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2.xml" ContentType="application/vnd.openxmlformats-officedocument.wordprocessingml.header+xml"/>
  <Override PartName="/word/footer7.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5.xml" ContentType="application/vnd.openxmlformats-officedocument.wordprocessingml.header+xml"/>
  <Override PartName="/word/header16.xml" ContentType="application/vnd.openxmlformats-officedocument.wordprocessingml.header+xml"/>
  <Override PartName="/word/charts/chart14.xml" ContentType="application/vnd.openxmlformats-officedocument.drawingml.chart+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theme/themeOverride1.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charts/chart17.xml" ContentType="application/vnd.openxmlformats-officedocument.drawingml.chart+xml"/>
  <Override PartName="/word/header21.xml" ContentType="application/vnd.openxmlformats-officedocument.wordprocessingml.header+xml"/>
  <Override PartName="/word/header22.xml" ContentType="application/vnd.openxmlformats-officedocument.wordprocessingml.header+xml"/>
  <Override PartName="/word/footer10.xml" ContentType="application/vnd.openxmlformats-officedocument.wordprocessingml.footer+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header23.xml" ContentType="application/vnd.openxmlformats-officedocument.wordprocessingml.header+xml"/>
  <Override PartName="/word/header24.xml" ContentType="application/vnd.openxmlformats-officedocument.wordprocessingml.header+xml"/>
  <Override PartName="/word/footer11.xml" ContentType="application/vnd.openxmlformats-officedocument.wordprocessingml.footer+xml"/>
  <Override PartName="/word/charts/chart36.xml" ContentType="application/vnd.openxmlformats-officedocument.drawingml.chart+xml"/>
  <Override PartName="/word/charts/chart37.xml" ContentType="application/vnd.openxmlformats-officedocument.drawingml.chart+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header28.xml" ContentType="application/vnd.openxmlformats-officedocument.wordprocessingml.header+xml"/>
  <Override PartName="/word/header29.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charts/chart49.xml" ContentType="application/vnd.openxmlformats-officedocument.drawingml.chart+xml"/>
  <Override PartName="/word/header31.xml" ContentType="application/vnd.openxmlformats-officedocument.wordprocessingml.header+xml"/>
  <Override PartName="/word/footer1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1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3C17" w:rsidRPr="00C8675F" w:rsidRDefault="00933C17" w:rsidP="00EF7388">
      <w:pPr>
        <w:pStyle w:val="DocTitle"/>
        <w:spacing w:line="276" w:lineRule="auto"/>
        <w:jc w:val="center"/>
        <w:rPr>
          <w:color w:val="9E0880"/>
        </w:rPr>
      </w:pPr>
      <w:bookmarkStart w:id="0" w:name="DocTitle"/>
      <w:r w:rsidRPr="00C8675F">
        <w:rPr>
          <w:color w:val="9E0880"/>
        </w:rPr>
        <w:t>Romania General Transport Master Plan</w:t>
      </w:r>
    </w:p>
    <w:p w:rsidR="00933C17" w:rsidRPr="00C8675F" w:rsidRDefault="00933C17"/>
    <w:p w:rsidR="00181E57" w:rsidRDefault="003D16DD" w:rsidP="00EF7388">
      <w:pPr>
        <w:pStyle w:val="DocTitle"/>
        <w:spacing w:line="276" w:lineRule="auto"/>
        <w:jc w:val="center"/>
        <w:rPr>
          <w:color w:val="9E0880"/>
          <w:sz w:val="56"/>
        </w:rPr>
      </w:pPr>
      <w:r>
        <w:rPr>
          <w:color w:val="9E0880"/>
          <w:sz w:val="56"/>
        </w:rPr>
        <w:t>Revised</w:t>
      </w:r>
      <w:r w:rsidR="00181E57">
        <w:rPr>
          <w:color w:val="9E0880"/>
          <w:sz w:val="56"/>
        </w:rPr>
        <w:t xml:space="preserve"> Final</w:t>
      </w:r>
      <w:r w:rsidR="00181E57" w:rsidRPr="00181E57">
        <w:rPr>
          <w:color w:val="9E0880"/>
          <w:sz w:val="56"/>
        </w:rPr>
        <w:t xml:space="preserve"> Report on the</w:t>
      </w:r>
      <w:r w:rsidR="001A4DE2">
        <w:rPr>
          <w:color w:val="9E0880"/>
          <w:sz w:val="56"/>
        </w:rPr>
        <w:t xml:space="preserve"> </w:t>
      </w:r>
      <w:r w:rsidR="00181E57" w:rsidRPr="00181E57">
        <w:rPr>
          <w:color w:val="9E0880"/>
          <w:sz w:val="56"/>
        </w:rPr>
        <w:t>Master Plan Short, Medium and Long Term</w:t>
      </w:r>
    </w:p>
    <w:p w:rsidR="006F78B3" w:rsidRPr="00C8675F" w:rsidRDefault="006F78B3" w:rsidP="00B30A59"/>
    <w:p w:rsidR="00A63B03" w:rsidRDefault="00A63B03" w:rsidP="00A63B03">
      <w:pPr>
        <w:tabs>
          <w:tab w:val="left" w:pos="2070"/>
        </w:tabs>
      </w:pPr>
    </w:p>
    <w:tbl>
      <w:tblPr>
        <w:tblpPr w:leftFromText="180" w:rightFromText="180" w:vertAnchor="text" w:horzAnchor="margin" w:tblpXSpec="center" w:tblpY="51"/>
        <w:tblW w:w="0" w:type="auto"/>
        <w:tblLook w:val="04A0" w:firstRow="1" w:lastRow="0" w:firstColumn="1" w:lastColumn="0" w:noHBand="0" w:noVBand="1"/>
      </w:tblPr>
      <w:tblGrid>
        <w:gridCol w:w="4746"/>
        <w:gridCol w:w="4746"/>
      </w:tblGrid>
      <w:tr w:rsidR="00096141" w:rsidRPr="00096141" w:rsidTr="00D56638">
        <w:trPr>
          <w:trHeight w:val="2248"/>
        </w:trPr>
        <w:tc>
          <w:tcPr>
            <w:tcW w:w="4730" w:type="dxa"/>
            <w:vAlign w:val="center"/>
          </w:tcPr>
          <w:p w:rsidR="00096141" w:rsidRPr="00096141" w:rsidRDefault="00096141" w:rsidP="00096141">
            <w:pPr>
              <w:tabs>
                <w:tab w:val="left" w:pos="2070"/>
              </w:tabs>
              <w:jc w:val="center"/>
            </w:pPr>
            <w:r w:rsidRPr="00096141">
              <w:rPr>
                <w:noProof/>
                <w:lang w:val="ro-RO" w:eastAsia="ro-RO"/>
              </w:rPr>
              <w:drawing>
                <wp:inline distT="0" distB="0" distL="0" distR="0" wp14:anchorId="21AB4026" wp14:editId="41C8A3EF">
                  <wp:extent cx="2788920" cy="2346960"/>
                  <wp:effectExtent l="57150" t="38100" r="30480" b="15240"/>
                  <wp:docPr id="49" name="Picture 14" descr="airport-denver-photo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rport-denver-photo20b.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788920" cy="2346960"/>
                          </a:xfrm>
                          <a:prstGeom prst="rect">
                            <a:avLst/>
                          </a:prstGeom>
                          <a:noFill/>
                          <a:ln w="28575" cmpd="sng">
                            <a:solidFill>
                              <a:srgbClr val="FFFF00"/>
                            </a:solidFill>
                            <a:miter lim="800000"/>
                            <a:headEnd/>
                            <a:tailEnd/>
                          </a:ln>
                          <a:effectLst/>
                        </pic:spPr>
                      </pic:pic>
                    </a:graphicData>
                  </a:graphic>
                </wp:inline>
              </w:drawing>
            </w:r>
          </w:p>
        </w:tc>
        <w:tc>
          <w:tcPr>
            <w:tcW w:w="4731" w:type="dxa"/>
            <w:vAlign w:val="center"/>
          </w:tcPr>
          <w:p w:rsidR="00096141" w:rsidRPr="00096141" w:rsidRDefault="00096141" w:rsidP="00096141">
            <w:pPr>
              <w:tabs>
                <w:tab w:val="left" w:pos="2070"/>
              </w:tabs>
              <w:jc w:val="center"/>
            </w:pPr>
            <w:r w:rsidRPr="00096141">
              <w:rPr>
                <w:noProof/>
                <w:lang w:val="ro-RO" w:eastAsia="ro-RO"/>
              </w:rPr>
              <w:drawing>
                <wp:inline distT="0" distB="0" distL="0" distR="0" wp14:anchorId="4945CF28" wp14:editId="16290860">
                  <wp:extent cx="2788188" cy="2304288"/>
                  <wp:effectExtent l="57150" t="38100" r="31212" b="19812"/>
                  <wp:docPr id="50" name="Picture 15" descr="asphalt-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phalt-road.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788188" cy="2304288"/>
                          </a:xfrm>
                          <a:prstGeom prst="rect">
                            <a:avLst/>
                          </a:prstGeom>
                          <a:noFill/>
                          <a:ln w="28575" cmpd="sng">
                            <a:solidFill>
                              <a:srgbClr val="FFFF00"/>
                            </a:solidFill>
                            <a:miter lim="800000"/>
                            <a:headEnd/>
                            <a:tailEnd/>
                          </a:ln>
                          <a:effectLst/>
                        </pic:spPr>
                      </pic:pic>
                    </a:graphicData>
                  </a:graphic>
                </wp:inline>
              </w:drawing>
            </w:r>
          </w:p>
        </w:tc>
      </w:tr>
      <w:tr w:rsidR="00096141" w:rsidRPr="00096141" w:rsidTr="00D56638">
        <w:trPr>
          <w:trHeight w:val="399"/>
        </w:trPr>
        <w:tc>
          <w:tcPr>
            <w:tcW w:w="4730" w:type="dxa"/>
            <w:vAlign w:val="center"/>
          </w:tcPr>
          <w:p w:rsidR="00096141" w:rsidRPr="00096141" w:rsidRDefault="00096141" w:rsidP="00096141">
            <w:pPr>
              <w:tabs>
                <w:tab w:val="left" w:pos="2070"/>
              </w:tabs>
              <w:jc w:val="center"/>
            </w:pPr>
            <w:r w:rsidRPr="00096141">
              <w:rPr>
                <w:noProof/>
                <w:lang w:val="ro-RO" w:eastAsia="ro-RO"/>
              </w:rPr>
              <w:drawing>
                <wp:inline distT="0" distB="0" distL="0" distR="0" wp14:anchorId="3F33125B" wp14:editId="255411D7">
                  <wp:extent cx="2766060" cy="2202180"/>
                  <wp:effectExtent l="57150" t="38100" r="34290" b="26670"/>
                  <wp:docPr id="51" name="Picture 16" descr="port-const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rt-constanta.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66060" cy="2202180"/>
                          </a:xfrm>
                          <a:prstGeom prst="rect">
                            <a:avLst/>
                          </a:prstGeom>
                          <a:noFill/>
                          <a:ln w="28575" cmpd="sng">
                            <a:solidFill>
                              <a:srgbClr val="FFFF00"/>
                            </a:solidFill>
                            <a:miter lim="800000"/>
                            <a:headEnd/>
                            <a:tailEnd/>
                          </a:ln>
                          <a:effectLst/>
                        </pic:spPr>
                      </pic:pic>
                    </a:graphicData>
                  </a:graphic>
                </wp:inline>
              </w:drawing>
            </w:r>
          </w:p>
        </w:tc>
        <w:tc>
          <w:tcPr>
            <w:tcW w:w="4731" w:type="dxa"/>
            <w:vAlign w:val="center"/>
          </w:tcPr>
          <w:p w:rsidR="00096141" w:rsidRPr="00096141" w:rsidRDefault="00096141" w:rsidP="00096141">
            <w:pPr>
              <w:tabs>
                <w:tab w:val="left" w:pos="2070"/>
              </w:tabs>
              <w:jc w:val="center"/>
            </w:pPr>
            <w:r w:rsidRPr="00096141">
              <w:rPr>
                <w:noProof/>
                <w:lang w:val="ro-RO" w:eastAsia="ro-RO"/>
              </w:rPr>
              <w:drawing>
                <wp:inline distT="0" distB="0" distL="0" distR="0" wp14:anchorId="253D2459" wp14:editId="35A8297F">
                  <wp:extent cx="2766060" cy="2217420"/>
                  <wp:effectExtent l="57150" t="38100" r="34290" b="11430"/>
                  <wp:docPr id="52" name="Picture 17" descr="rail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ilway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766060" cy="2217420"/>
                          </a:xfrm>
                          <a:prstGeom prst="rect">
                            <a:avLst/>
                          </a:prstGeom>
                          <a:noFill/>
                          <a:ln w="28575" cmpd="sng">
                            <a:solidFill>
                              <a:srgbClr val="FFFF00"/>
                            </a:solidFill>
                            <a:miter lim="800000"/>
                            <a:headEnd/>
                            <a:tailEnd/>
                          </a:ln>
                          <a:effectLst/>
                        </pic:spPr>
                      </pic:pic>
                    </a:graphicData>
                  </a:graphic>
                </wp:inline>
              </w:drawing>
            </w:r>
          </w:p>
        </w:tc>
      </w:tr>
    </w:tbl>
    <w:p w:rsidR="00096141" w:rsidRDefault="00096141" w:rsidP="00A63B03">
      <w:pPr>
        <w:tabs>
          <w:tab w:val="left" w:pos="2070"/>
        </w:tabs>
      </w:pPr>
    </w:p>
    <w:p w:rsidR="00B30A59" w:rsidRPr="00C8675F" w:rsidRDefault="00B30A59" w:rsidP="00A63B03">
      <w:pPr>
        <w:tabs>
          <w:tab w:val="left" w:pos="2070"/>
        </w:tabs>
      </w:pPr>
    </w:p>
    <w:p w:rsidR="00620F1B" w:rsidRPr="00C8675F" w:rsidRDefault="00620F1B" w:rsidP="00A63B03">
      <w:pPr>
        <w:tabs>
          <w:tab w:val="left" w:pos="2070"/>
        </w:tabs>
        <w:sectPr w:rsidR="00620F1B" w:rsidRPr="00C8675F" w:rsidSect="00B12539">
          <w:headerReference w:type="even" r:id="rId13"/>
          <w:headerReference w:type="default" r:id="rId14"/>
          <w:footerReference w:type="even" r:id="rId15"/>
          <w:footerReference w:type="default" r:id="rId16"/>
          <w:headerReference w:type="first" r:id="rId17"/>
          <w:footerReference w:type="first" r:id="rId18"/>
          <w:pgSz w:w="11907" w:h="16840" w:code="9"/>
          <w:pgMar w:top="-2430" w:right="709" w:bottom="1729" w:left="907" w:header="270" w:footer="113" w:gutter="0"/>
          <w:cols w:space="720"/>
          <w:docGrid w:linePitch="360"/>
        </w:sectPr>
      </w:pPr>
    </w:p>
    <w:p w:rsidR="00291402" w:rsidRDefault="00291402" w:rsidP="00291402">
      <w:pPr>
        <w:tabs>
          <w:tab w:val="left" w:pos="1418"/>
          <w:tab w:val="left" w:leader="dot" w:pos="4536"/>
          <w:tab w:val="left" w:pos="5103"/>
          <w:tab w:val="left" w:pos="6521"/>
          <w:tab w:val="left" w:leader="dot" w:pos="10206"/>
        </w:tabs>
      </w:pPr>
    </w:p>
    <w:p w:rsidR="0059217C" w:rsidRDefault="0059217C" w:rsidP="00291402">
      <w:pPr>
        <w:tabs>
          <w:tab w:val="left" w:pos="1418"/>
          <w:tab w:val="left" w:leader="dot" w:pos="4536"/>
          <w:tab w:val="left" w:pos="5103"/>
          <w:tab w:val="left" w:pos="6521"/>
          <w:tab w:val="left" w:leader="dot" w:pos="10206"/>
        </w:tabs>
      </w:pPr>
    </w:p>
    <w:p w:rsidR="0059217C" w:rsidRDefault="0059217C" w:rsidP="00291402">
      <w:pPr>
        <w:tabs>
          <w:tab w:val="left" w:pos="1418"/>
          <w:tab w:val="left" w:leader="dot" w:pos="4536"/>
          <w:tab w:val="left" w:pos="5103"/>
          <w:tab w:val="left" w:pos="6521"/>
          <w:tab w:val="left" w:leader="dot" w:pos="10206"/>
        </w:tabs>
      </w:pPr>
    </w:p>
    <w:p w:rsidR="0059217C" w:rsidRDefault="0059217C"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C35DF0" w:rsidRDefault="00C35DF0" w:rsidP="00291402">
      <w:pPr>
        <w:tabs>
          <w:tab w:val="left" w:pos="1418"/>
          <w:tab w:val="left" w:leader="dot" w:pos="4536"/>
          <w:tab w:val="left" w:pos="5103"/>
          <w:tab w:val="left" w:pos="6521"/>
          <w:tab w:val="left" w:leader="dot" w:pos="10206"/>
        </w:tabs>
      </w:pPr>
    </w:p>
    <w:p w:rsidR="0059217C" w:rsidRDefault="0059217C" w:rsidP="00291402">
      <w:pPr>
        <w:tabs>
          <w:tab w:val="left" w:pos="1418"/>
          <w:tab w:val="left" w:leader="dot" w:pos="4536"/>
          <w:tab w:val="left" w:pos="5103"/>
          <w:tab w:val="left" w:pos="6521"/>
          <w:tab w:val="left" w:leader="dot" w:pos="10206"/>
        </w:tabs>
      </w:pPr>
    </w:p>
    <w:p w:rsidR="0059217C" w:rsidRDefault="0059217C" w:rsidP="00291402">
      <w:pPr>
        <w:tabs>
          <w:tab w:val="left" w:pos="1418"/>
          <w:tab w:val="left" w:leader="dot" w:pos="4536"/>
          <w:tab w:val="left" w:pos="5103"/>
          <w:tab w:val="left" w:pos="6521"/>
          <w:tab w:val="left" w:leader="dot" w:pos="10206"/>
        </w:tabs>
      </w:pPr>
    </w:p>
    <w:p w:rsidR="0059217C" w:rsidRPr="00C8675F" w:rsidRDefault="0059217C" w:rsidP="00291402">
      <w:pPr>
        <w:tabs>
          <w:tab w:val="left" w:pos="1418"/>
          <w:tab w:val="left" w:leader="dot" w:pos="4536"/>
          <w:tab w:val="left" w:pos="5103"/>
          <w:tab w:val="left" w:pos="6521"/>
          <w:tab w:val="left" w:leader="dot" w:pos="10206"/>
        </w:tabs>
      </w:pPr>
    </w:p>
    <w:p w:rsidR="00933C17" w:rsidRPr="00C8675F" w:rsidRDefault="00604286" w:rsidP="00933C17">
      <w:pPr>
        <w:tabs>
          <w:tab w:val="left" w:pos="1701"/>
          <w:tab w:val="left" w:pos="2070"/>
          <w:tab w:val="left" w:pos="6237"/>
        </w:tabs>
      </w:pPr>
      <w:r>
        <w:t>Prepared by:</w:t>
      </w:r>
      <w:r>
        <w:tab/>
      </w:r>
      <w:r>
        <w:tab/>
      </w:r>
      <w:r>
        <w:tab/>
        <w:t>Checked by:</w:t>
      </w:r>
      <w:r>
        <w:tab/>
      </w:r>
      <w:r w:rsidR="00F05B60">
        <w:rPr>
          <w:noProof/>
          <w:lang w:val="ro-RO" w:eastAsia="ro-RO"/>
        </w:rPr>
        <w:drawing>
          <wp:inline distT="0" distB="0" distL="0" distR="0" wp14:anchorId="0F4CCBB3" wp14:editId="102F4E59">
            <wp:extent cx="1295400" cy="390525"/>
            <wp:effectExtent l="19050" t="0" r="0" b="0"/>
            <wp:docPr id="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screen"/>
                    <a:srcRect/>
                    <a:stretch>
                      <a:fillRect/>
                    </a:stretch>
                  </pic:blipFill>
                  <pic:spPr bwMode="auto">
                    <a:xfrm>
                      <a:off x="0" y="0"/>
                      <a:ext cx="1295400" cy="390525"/>
                    </a:xfrm>
                    <a:prstGeom prst="rect">
                      <a:avLst/>
                    </a:prstGeom>
                    <a:noFill/>
                    <a:ln w="9525">
                      <a:noFill/>
                      <a:miter lim="800000"/>
                      <a:headEnd/>
                      <a:tailEnd/>
                    </a:ln>
                  </pic:spPr>
                </pic:pic>
              </a:graphicData>
            </a:graphic>
          </wp:inline>
        </w:drawing>
      </w:r>
    </w:p>
    <w:p w:rsidR="00933C17" w:rsidRPr="00C8675F" w:rsidRDefault="00604286" w:rsidP="00933C17">
      <w:pPr>
        <w:tabs>
          <w:tab w:val="left" w:pos="1701"/>
          <w:tab w:val="left" w:pos="2070"/>
          <w:tab w:val="left" w:pos="6237"/>
        </w:tabs>
      </w:pPr>
      <w:r>
        <w:tab/>
        <w:t>Iain Mobbs, Frank Mohan, Geoff Clarke</w:t>
      </w:r>
      <w:r>
        <w:tab/>
        <w:t xml:space="preserve">Craig Bell </w:t>
      </w:r>
    </w:p>
    <w:p w:rsidR="00933C17" w:rsidRPr="00C8675F" w:rsidRDefault="00604286" w:rsidP="00933C17">
      <w:pPr>
        <w:tabs>
          <w:tab w:val="left" w:pos="1701"/>
          <w:tab w:val="left" w:pos="2070"/>
          <w:tab w:val="left" w:pos="6237"/>
        </w:tabs>
      </w:pPr>
      <w:r>
        <w:tab/>
        <w:t>Johan Els</w:t>
      </w:r>
      <w:r>
        <w:tab/>
        <w:t>Regional Director</w:t>
      </w:r>
    </w:p>
    <w:p w:rsidR="00933C17" w:rsidRPr="00C8675F" w:rsidRDefault="00933C17" w:rsidP="00933C17">
      <w:pPr>
        <w:tabs>
          <w:tab w:val="left" w:pos="1701"/>
          <w:tab w:val="left" w:pos="2070"/>
          <w:tab w:val="left" w:pos="6237"/>
        </w:tabs>
      </w:pPr>
    </w:p>
    <w:p w:rsidR="00933C17" w:rsidRPr="00C8675F" w:rsidRDefault="00933C17" w:rsidP="00933C17">
      <w:pPr>
        <w:tabs>
          <w:tab w:val="left" w:pos="1701"/>
          <w:tab w:val="left" w:pos="2070"/>
          <w:tab w:val="left" w:pos="6237"/>
        </w:tabs>
      </w:pPr>
    </w:p>
    <w:p w:rsidR="00933C17" w:rsidRPr="00C8675F" w:rsidRDefault="00604286" w:rsidP="00933C17">
      <w:pPr>
        <w:tabs>
          <w:tab w:val="left" w:pos="1701"/>
          <w:tab w:val="left" w:pos="2070"/>
          <w:tab w:val="left" w:pos="6237"/>
        </w:tabs>
      </w:pPr>
      <w:r>
        <w:t>Approved by:</w:t>
      </w:r>
      <w:r>
        <w:tab/>
      </w:r>
      <w:r w:rsidR="00F05B60">
        <w:rPr>
          <w:noProof/>
          <w:lang w:val="ro-RO" w:eastAsia="ro-RO"/>
        </w:rPr>
        <w:drawing>
          <wp:inline distT="0" distB="0" distL="0" distR="0" wp14:anchorId="01DD6847" wp14:editId="25F62B42">
            <wp:extent cx="1590675" cy="495300"/>
            <wp:effectExtent l="19050" t="0" r="9525" b="0"/>
            <wp:docPr id="292" name="Picture 4" descr="Martin B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 Bright"/>
                    <pic:cNvPicPr>
                      <a:picLocks noChangeAspect="1" noChangeArrowheads="1"/>
                    </pic:cNvPicPr>
                  </pic:nvPicPr>
                  <pic:blipFill>
                    <a:blip r:embed="rId20" cstate="screen"/>
                    <a:srcRect/>
                    <a:stretch>
                      <a:fillRect/>
                    </a:stretch>
                  </pic:blipFill>
                  <pic:spPr bwMode="auto">
                    <a:xfrm>
                      <a:off x="0" y="0"/>
                      <a:ext cx="1590675" cy="495300"/>
                    </a:xfrm>
                    <a:prstGeom prst="rect">
                      <a:avLst/>
                    </a:prstGeom>
                    <a:noFill/>
                    <a:ln w="9525">
                      <a:noFill/>
                      <a:miter lim="800000"/>
                      <a:headEnd/>
                      <a:tailEnd/>
                    </a:ln>
                  </pic:spPr>
                </pic:pic>
              </a:graphicData>
            </a:graphic>
          </wp:inline>
        </w:drawing>
      </w:r>
    </w:p>
    <w:p w:rsidR="00933C17" w:rsidRPr="00C8675F" w:rsidRDefault="00604286" w:rsidP="00933C17">
      <w:pPr>
        <w:tabs>
          <w:tab w:val="left" w:pos="1701"/>
          <w:tab w:val="left" w:pos="2070"/>
          <w:tab w:val="left" w:pos="6237"/>
        </w:tabs>
      </w:pPr>
      <w:r>
        <w:tab/>
        <w:t>Martin Bright</w:t>
      </w:r>
    </w:p>
    <w:p w:rsidR="00933C17" w:rsidRPr="00C8675F" w:rsidRDefault="00604286" w:rsidP="00933C17">
      <w:pPr>
        <w:tabs>
          <w:tab w:val="left" w:pos="1701"/>
          <w:tab w:val="left" w:pos="2070"/>
          <w:tab w:val="left" w:pos="6237"/>
        </w:tabs>
      </w:pPr>
      <w:r>
        <w:tab/>
        <w:t>Director</w:t>
      </w:r>
    </w:p>
    <w:p w:rsidR="00933C17" w:rsidRPr="00C8675F" w:rsidRDefault="00933C17" w:rsidP="00933C17">
      <w:pPr>
        <w:tabs>
          <w:tab w:val="left" w:pos="1701"/>
          <w:tab w:val="left" w:pos="2070"/>
          <w:tab w:val="left" w:pos="6237"/>
        </w:tabs>
      </w:pPr>
    </w:p>
    <w:p w:rsidR="005B79D7" w:rsidRDefault="005B79D7" w:rsidP="00933C17">
      <w:pPr>
        <w:tabs>
          <w:tab w:val="left" w:pos="1701"/>
          <w:tab w:val="left" w:pos="2070"/>
          <w:tab w:val="left" w:pos="6237"/>
        </w:tabs>
      </w:pPr>
    </w:p>
    <w:p w:rsidR="005B79D7" w:rsidRDefault="005B79D7" w:rsidP="00933C17">
      <w:pPr>
        <w:tabs>
          <w:tab w:val="left" w:pos="1701"/>
          <w:tab w:val="left" w:pos="2070"/>
          <w:tab w:val="left" w:pos="6237"/>
        </w:tabs>
      </w:pPr>
    </w:p>
    <w:p w:rsidR="00A63B03" w:rsidRPr="00C8675F" w:rsidRDefault="00A63B03" w:rsidP="00A63B03">
      <w:pPr>
        <w:tabs>
          <w:tab w:val="left" w:pos="1701"/>
          <w:tab w:val="left" w:pos="2070"/>
          <w:tab w:val="left" w:pos="6237"/>
        </w:tabs>
      </w:pPr>
    </w:p>
    <w:p w:rsidR="00A63B03" w:rsidRPr="00C8675F" w:rsidRDefault="00604286" w:rsidP="00A63B03">
      <w:pPr>
        <w:spacing w:after="200" w:line="276" w:lineRule="auto"/>
        <w:rPr>
          <w:sz w:val="36"/>
          <w:szCs w:val="36"/>
        </w:rPr>
      </w:pPr>
      <w:r w:rsidRPr="00604286">
        <w:rPr>
          <w:rFonts w:eastAsia="Calibri" w:cs="Arial"/>
          <w:sz w:val="22"/>
          <w:szCs w:val="22"/>
        </w:rPr>
        <w:t>Romania General Transport Master Plan</w:t>
      </w:r>
    </w:p>
    <w:p w:rsidR="00A63B03" w:rsidRPr="00C8675F" w:rsidRDefault="00E333C8" w:rsidP="00A63B03">
      <w:pPr>
        <w:spacing w:after="240"/>
      </w:pPr>
      <w:r>
        <w:t>Revised</w:t>
      </w:r>
      <w:r w:rsidR="00603BBF">
        <w:t xml:space="preserve"> Final Report on the Master Plan Short, Medium and Long Term</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933"/>
        <w:gridCol w:w="5159"/>
        <w:gridCol w:w="1362"/>
        <w:gridCol w:w="1435"/>
        <w:gridCol w:w="1618"/>
      </w:tblGrid>
      <w:tr w:rsidR="00A63B03" w:rsidRPr="00C8675F" w:rsidTr="003B5193">
        <w:trPr>
          <w:cantSplit/>
        </w:trPr>
        <w:tc>
          <w:tcPr>
            <w:tcW w:w="444" w:type="pct"/>
          </w:tcPr>
          <w:p w:rsidR="00A63B03" w:rsidRPr="00C8675F" w:rsidRDefault="00604286" w:rsidP="00B12539">
            <w:pPr>
              <w:jc w:val="center"/>
            </w:pPr>
            <w:r>
              <w:t>Rev No</w:t>
            </w:r>
          </w:p>
        </w:tc>
        <w:tc>
          <w:tcPr>
            <w:tcW w:w="2455" w:type="pct"/>
          </w:tcPr>
          <w:p w:rsidR="00A63B03" w:rsidRPr="00C8675F" w:rsidRDefault="00604286" w:rsidP="00B12539">
            <w:pPr>
              <w:jc w:val="center"/>
            </w:pPr>
            <w:r>
              <w:t>Comments</w:t>
            </w:r>
          </w:p>
        </w:tc>
        <w:tc>
          <w:tcPr>
            <w:tcW w:w="648" w:type="pct"/>
          </w:tcPr>
          <w:p w:rsidR="00A63B03" w:rsidRPr="00C8675F" w:rsidRDefault="00604286" w:rsidP="00B12539">
            <w:pPr>
              <w:jc w:val="center"/>
            </w:pPr>
            <w:r>
              <w:t>Checked by</w:t>
            </w:r>
          </w:p>
        </w:tc>
        <w:tc>
          <w:tcPr>
            <w:tcW w:w="683" w:type="pct"/>
          </w:tcPr>
          <w:p w:rsidR="00A63B03" w:rsidRPr="00C8675F" w:rsidRDefault="00604286" w:rsidP="00B12539">
            <w:pPr>
              <w:jc w:val="center"/>
            </w:pPr>
            <w:r>
              <w:t>Approved by</w:t>
            </w:r>
          </w:p>
        </w:tc>
        <w:tc>
          <w:tcPr>
            <w:tcW w:w="770" w:type="pct"/>
          </w:tcPr>
          <w:p w:rsidR="00A63B03" w:rsidRPr="00C8675F" w:rsidRDefault="00604286" w:rsidP="00B12539">
            <w:pPr>
              <w:jc w:val="center"/>
            </w:pPr>
            <w:r>
              <w:t>Date</w:t>
            </w:r>
          </w:p>
        </w:tc>
      </w:tr>
      <w:tr w:rsidR="00A63B03" w:rsidRPr="00C8675F" w:rsidTr="003B5193">
        <w:trPr>
          <w:cantSplit/>
        </w:trPr>
        <w:tc>
          <w:tcPr>
            <w:tcW w:w="444" w:type="pct"/>
          </w:tcPr>
          <w:p w:rsidR="00A63B03" w:rsidRPr="00C8675F" w:rsidRDefault="00E333C8" w:rsidP="00B12539">
            <w:pPr>
              <w:jc w:val="center"/>
            </w:pPr>
            <w:r>
              <w:t>1</w:t>
            </w:r>
          </w:p>
        </w:tc>
        <w:tc>
          <w:tcPr>
            <w:tcW w:w="2455" w:type="pct"/>
          </w:tcPr>
          <w:p w:rsidR="00A63B03" w:rsidRPr="00C8675F" w:rsidRDefault="00604286" w:rsidP="00B12539">
            <w:r w:rsidRPr="00604286">
              <w:t>First Draft for Client Comment</w:t>
            </w:r>
          </w:p>
        </w:tc>
        <w:tc>
          <w:tcPr>
            <w:tcW w:w="648" w:type="pct"/>
          </w:tcPr>
          <w:p w:rsidR="00A63B03" w:rsidRPr="00C8675F" w:rsidRDefault="00604286" w:rsidP="00A7537A">
            <w:pPr>
              <w:jc w:val="center"/>
            </w:pPr>
            <w:r w:rsidRPr="00604286">
              <w:t>CB</w:t>
            </w:r>
          </w:p>
        </w:tc>
        <w:tc>
          <w:tcPr>
            <w:tcW w:w="683" w:type="pct"/>
          </w:tcPr>
          <w:p w:rsidR="00A63B03" w:rsidRPr="00C8675F" w:rsidRDefault="00604286" w:rsidP="00A7537A">
            <w:pPr>
              <w:jc w:val="center"/>
            </w:pPr>
            <w:r w:rsidRPr="00604286">
              <w:t>MJB</w:t>
            </w:r>
          </w:p>
        </w:tc>
        <w:tc>
          <w:tcPr>
            <w:tcW w:w="770" w:type="pct"/>
          </w:tcPr>
          <w:p w:rsidR="00A63B03" w:rsidRPr="00C8675F" w:rsidRDefault="00731170" w:rsidP="001453E7">
            <w:pPr>
              <w:jc w:val="center"/>
            </w:pPr>
            <w:r>
              <w:t>1</w:t>
            </w:r>
            <w:r w:rsidR="001453E7">
              <w:t>9</w:t>
            </w:r>
            <w:r w:rsidR="00604286" w:rsidRPr="00604286">
              <w:t>/</w:t>
            </w:r>
            <w:r>
              <w:t>0</w:t>
            </w:r>
            <w:r w:rsidR="001453E7">
              <w:t>8</w:t>
            </w:r>
            <w:r w:rsidR="00604286" w:rsidRPr="00604286">
              <w:t>/201</w:t>
            </w:r>
            <w:r w:rsidR="001453E7">
              <w:t>3</w:t>
            </w:r>
          </w:p>
        </w:tc>
      </w:tr>
      <w:tr w:rsidR="001453E7" w:rsidRPr="00C8675F" w:rsidTr="007613DE">
        <w:trPr>
          <w:cantSplit/>
          <w:trHeight w:val="90"/>
        </w:trPr>
        <w:tc>
          <w:tcPr>
            <w:tcW w:w="444" w:type="pct"/>
          </w:tcPr>
          <w:p w:rsidR="001453E7" w:rsidRPr="00604286" w:rsidRDefault="00E333C8" w:rsidP="00B12539">
            <w:pPr>
              <w:jc w:val="center"/>
            </w:pPr>
            <w:r>
              <w:t>2</w:t>
            </w:r>
          </w:p>
        </w:tc>
        <w:tc>
          <w:tcPr>
            <w:tcW w:w="2455" w:type="pct"/>
          </w:tcPr>
          <w:p w:rsidR="001453E7" w:rsidRPr="00604286" w:rsidRDefault="001453E7" w:rsidP="00B12539">
            <w:r w:rsidRPr="00604286">
              <w:t>Revised following Client Comments</w:t>
            </w:r>
          </w:p>
        </w:tc>
        <w:tc>
          <w:tcPr>
            <w:tcW w:w="648" w:type="pct"/>
          </w:tcPr>
          <w:p w:rsidR="001453E7" w:rsidRPr="00C8675F" w:rsidRDefault="001453E7" w:rsidP="00BD6820">
            <w:pPr>
              <w:jc w:val="center"/>
            </w:pPr>
            <w:r w:rsidRPr="00604286">
              <w:t>CB</w:t>
            </w:r>
          </w:p>
        </w:tc>
        <w:tc>
          <w:tcPr>
            <w:tcW w:w="683" w:type="pct"/>
          </w:tcPr>
          <w:p w:rsidR="001453E7" w:rsidRPr="00C8675F" w:rsidRDefault="001453E7" w:rsidP="00BD6820">
            <w:pPr>
              <w:jc w:val="center"/>
            </w:pPr>
            <w:r w:rsidRPr="00604286">
              <w:t>MJB</w:t>
            </w:r>
          </w:p>
        </w:tc>
        <w:tc>
          <w:tcPr>
            <w:tcW w:w="770" w:type="pct"/>
          </w:tcPr>
          <w:p w:rsidR="001453E7" w:rsidRDefault="001453E7" w:rsidP="00731170">
            <w:pPr>
              <w:jc w:val="center"/>
            </w:pPr>
            <w:r>
              <w:t>29/08/2014</w:t>
            </w:r>
          </w:p>
        </w:tc>
      </w:tr>
      <w:tr w:rsidR="005B79D7" w:rsidRPr="00C8675F" w:rsidTr="005B79D7">
        <w:trPr>
          <w:cantSplit/>
        </w:trPr>
        <w:tc>
          <w:tcPr>
            <w:tcW w:w="444" w:type="pct"/>
            <w:tcBorders>
              <w:top w:val="dotted" w:sz="4" w:space="0" w:color="auto"/>
              <w:left w:val="dotted" w:sz="4" w:space="0" w:color="auto"/>
              <w:bottom w:val="dotted" w:sz="4" w:space="0" w:color="auto"/>
              <w:right w:val="dotted" w:sz="4" w:space="0" w:color="auto"/>
            </w:tcBorders>
          </w:tcPr>
          <w:p w:rsidR="005B79D7" w:rsidRPr="00604286" w:rsidRDefault="005B79D7" w:rsidP="005B79D7">
            <w:pPr>
              <w:jc w:val="center"/>
            </w:pPr>
            <w:r>
              <w:t>3</w:t>
            </w:r>
          </w:p>
        </w:tc>
        <w:tc>
          <w:tcPr>
            <w:tcW w:w="2455" w:type="pct"/>
            <w:tcBorders>
              <w:top w:val="dotted" w:sz="4" w:space="0" w:color="auto"/>
              <w:left w:val="dotted" w:sz="4" w:space="0" w:color="auto"/>
              <w:bottom w:val="dotted" w:sz="4" w:space="0" w:color="auto"/>
              <w:right w:val="dotted" w:sz="4" w:space="0" w:color="auto"/>
            </w:tcBorders>
          </w:tcPr>
          <w:p w:rsidR="005B79D7" w:rsidRPr="00604286" w:rsidRDefault="005B79D7" w:rsidP="005B79D7">
            <w:r w:rsidRPr="00604286">
              <w:t>Revised following Client Comments</w:t>
            </w:r>
          </w:p>
        </w:tc>
        <w:tc>
          <w:tcPr>
            <w:tcW w:w="648" w:type="pct"/>
            <w:tcBorders>
              <w:top w:val="dotted" w:sz="4" w:space="0" w:color="auto"/>
              <w:left w:val="dotted" w:sz="4" w:space="0" w:color="auto"/>
              <w:bottom w:val="dotted" w:sz="4" w:space="0" w:color="auto"/>
              <w:right w:val="dotted" w:sz="4" w:space="0" w:color="auto"/>
            </w:tcBorders>
          </w:tcPr>
          <w:p w:rsidR="005B79D7" w:rsidRPr="00C8675F" w:rsidRDefault="005B79D7" w:rsidP="005B79D7">
            <w:pPr>
              <w:jc w:val="center"/>
            </w:pPr>
            <w:r w:rsidRPr="00604286">
              <w:t>CB</w:t>
            </w:r>
          </w:p>
        </w:tc>
        <w:tc>
          <w:tcPr>
            <w:tcW w:w="683" w:type="pct"/>
            <w:tcBorders>
              <w:top w:val="dotted" w:sz="4" w:space="0" w:color="auto"/>
              <w:left w:val="dotted" w:sz="4" w:space="0" w:color="auto"/>
              <w:bottom w:val="dotted" w:sz="4" w:space="0" w:color="auto"/>
              <w:right w:val="dotted" w:sz="4" w:space="0" w:color="auto"/>
            </w:tcBorders>
          </w:tcPr>
          <w:p w:rsidR="005B79D7" w:rsidRPr="00C8675F" w:rsidRDefault="005B79D7" w:rsidP="005B79D7">
            <w:pPr>
              <w:jc w:val="center"/>
            </w:pPr>
            <w:r w:rsidRPr="00604286">
              <w:t>MJB</w:t>
            </w:r>
          </w:p>
        </w:tc>
        <w:tc>
          <w:tcPr>
            <w:tcW w:w="770" w:type="pct"/>
            <w:tcBorders>
              <w:top w:val="dotted" w:sz="4" w:space="0" w:color="auto"/>
              <w:left w:val="dotted" w:sz="4" w:space="0" w:color="auto"/>
              <w:bottom w:val="dotted" w:sz="4" w:space="0" w:color="auto"/>
              <w:right w:val="dotted" w:sz="4" w:space="0" w:color="auto"/>
            </w:tcBorders>
          </w:tcPr>
          <w:p w:rsidR="005B79D7" w:rsidRDefault="005B79D7">
            <w:pPr>
              <w:jc w:val="center"/>
            </w:pPr>
            <w:r>
              <w:t>30/09/2014</w:t>
            </w:r>
          </w:p>
        </w:tc>
      </w:tr>
      <w:tr w:rsidR="007613DE" w:rsidRPr="00C8675F" w:rsidTr="005B79D7">
        <w:trPr>
          <w:cantSplit/>
        </w:trPr>
        <w:tc>
          <w:tcPr>
            <w:tcW w:w="444" w:type="pct"/>
            <w:tcBorders>
              <w:top w:val="dotted" w:sz="4" w:space="0" w:color="auto"/>
              <w:left w:val="dotted" w:sz="4" w:space="0" w:color="auto"/>
              <w:bottom w:val="dotted" w:sz="4" w:space="0" w:color="auto"/>
              <w:right w:val="dotted" w:sz="4" w:space="0" w:color="auto"/>
            </w:tcBorders>
          </w:tcPr>
          <w:p w:rsidR="007613DE" w:rsidRDefault="007613DE" w:rsidP="005B79D7">
            <w:pPr>
              <w:jc w:val="center"/>
            </w:pPr>
            <w:r>
              <w:t>4</w:t>
            </w:r>
          </w:p>
        </w:tc>
        <w:tc>
          <w:tcPr>
            <w:tcW w:w="2455" w:type="pct"/>
            <w:tcBorders>
              <w:top w:val="dotted" w:sz="4" w:space="0" w:color="auto"/>
              <w:left w:val="dotted" w:sz="4" w:space="0" w:color="auto"/>
              <w:bottom w:val="dotted" w:sz="4" w:space="0" w:color="auto"/>
              <w:right w:val="dotted" w:sz="4" w:space="0" w:color="auto"/>
            </w:tcBorders>
          </w:tcPr>
          <w:p w:rsidR="007613DE" w:rsidRPr="00604286" w:rsidRDefault="007613DE" w:rsidP="007613DE">
            <w:r w:rsidRPr="00604286">
              <w:t>Revised following Client Comments</w:t>
            </w:r>
          </w:p>
        </w:tc>
        <w:tc>
          <w:tcPr>
            <w:tcW w:w="648" w:type="pct"/>
            <w:tcBorders>
              <w:top w:val="dotted" w:sz="4" w:space="0" w:color="auto"/>
              <w:left w:val="dotted" w:sz="4" w:space="0" w:color="auto"/>
              <w:bottom w:val="dotted" w:sz="4" w:space="0" w:color="auto"/>
              <w:right w:val="dotted" w:sz="4" w:space="0" w:color="auto"/>
            </w:tcBorders>
          </w:tcPr>
          <w:p w:rsidR="007613DE" w:rsidRPr="00C8675F" w:rsidRDefault="007613DE" w:rsidP="007613DE">
            <w:pPr>
              <w:jc w:val="center"/>
            </w:pPr>
            <w:r w:rsidRPr="00604286">
              <w:t>CB</w:t>
            </w:r>
          </w:p>
        </w:tc>
        <w:tc>
          <w:tcPr>
            <w:tcW w:w="683" w:type="pct"/>
            <w:tcBorders>
              <w:top w:val="dotted" w:sz="4" w:space="0" w:color="auto"/>
              <w:left w:val="dotted" w:sz="4" w:space="0" w:color="auto"/>
              <w:bottom w:val="dotted" w:sz="4" w:space="0" w:color="auto"/>
              <w:right w:val="dotted" w:sz="4" w:space="0" w:color="auto"/>
            </w:tcBorders>
          </w:tcPr>
          <w:p w:rsidR="007613DE" w:rsidRPr="00C8675F" w:rsidRDefault="007613DE" w:rsidP="007613DE">
            <w:pPr>
              <w:jc w:val="center"/>
            </w:pPr>
            <w:r w:rsidRPr="00604286">
              <w:t>MJB</w:t>
            </w:r>
          </w:p>
        </w:tc>
        <w:tc>
          <w:tcPr>
            <w:tcW w:w="770" w:type="pct"/>
            <w:tcBorders>
              <w:top w:val="dotted" w:sz="4" w:space="0" w:color="auto"/>
              <w:left w:val="dotted" w:sz="4" w:space="0" w:color="auto"/>
              <w:bottom w:val="dotted" w:sz="4" w:space="0" w:color="auto"/>
              <w:right w:val="dotted" w:sz="4" w:space="0" w:color="auto"/>
            </w:tcBorders>
          </w:tcPr>
          <w:p w:rsidR="007613DE" w:rsidRDefault="00583DCC">
            <w:pPr>
              <w:jc w:val="center"/>
            </w:pPr>
            <w:r>
              <w:t>13/02</w:t>
            </w:r>
            <w:r w:rsidR="007613DE">
              <w:t>/2015</w:t>
            </w:r>
          </w:p>
        </w:tc>
      </w:tr>
    </w:tbl>
    <w:p w:rsidR="00A63B03" w:rsidRDefault="00A63B03" w:rsidP="00A63B03">
      <w:pPr>
        <w:tabs>
          <w:tab w:val="left" w:pos="1701"/>
          <w:tab w:val="left" w:pos="2070"/>
          <w:tab w:val="left" w:pos="6237"/>
        </w:tabs>
      </w:pPr>
    </w:p>
    <w:p w:rsidR="00731170" w:rsidRPr="00C8675F" w:rsidRDefault="00731170" w:rsidP="00A63B03">
      <w:pPr>
        <w:tabs>
          <w:tab w:val="left" w:pos="1701"/>
          <w:tab w:val="left" w:pos="2070"/>
          <w:tab w:val="left" w:pos="6237"/>
        </w:tabs>
      </w:pPr>
    </w:p>
    <w:p w:rsidR="00A63B03" w:rsidRPr="00C8675F" w:rsidRDefault="00604286" w:rsidP="00A63B03">
      <w:pPr>
        <w:tabs>
          <w:tab w:val="left" w:pos="1701"/>
          <w:tab w:val="left" w:pos="6237"/>
        </w:tabs>
      </w:pPr>
      <w:r>
        <w:t>Strada Polona, Nr. 68-72, Sector 1, Bucuresti, Romania</w:t>
      </w:r>
    </w:p>
    <w:p w:rsidR="00A63B03" w:rsidRPr="00C8675F" w:rsidRDefault="00604286" w:rsidP="00A63B03">
      <w:r>
        <w:t>Telephone: +4 021 316 1163   Website: http://www.aecom.com</w:t>
      </w:r>
    </w:p>
    <w:p w:rsidR="00A63B03" w:rsidRPr="00C8675F" w:rsidRDefault="00A63B03" w:rsidP="00A63B03"/>
    <w:p w:rsidR="00A63B03" w:rsidRPr="00C8675F" w:rsidRDefault="00604286" w:rsidP="00A63B03">
      <w:pPr>
        <w:tabs>
          <w:tab w:val="left" w:pos="2880"/>
          <w:tab w:val="right" w:pos="10205"/>
        </w:tabs>
      </w:pPr>
      <w:r>
        <w:t>Job No: 60268467</w:t>
      </w:r>
      <w:r>
        <w:tab/>
      </w:r>
      <w:proofErr w:type="gramStart"/>
      <w:r>
        <w:t>Reference</w:t>
      </w:r>
      <w:proofErr w:type="gramEnd"/>
      <w:r>
        <w:t>:</w:t>
      </w:r>
      <w:r w:rsidR="001852F7">
        <w:t xml:space="preserve"> </w:t>
      </w:r>
      <w:r w:rsidR="00DA523B">
        <w:t>Revised</w:t>
      </w:r>
      <w:r w:rsidR="00B24D90">
        <w:t xml:space="preserve"> Final Master Plan</w:t>
      </w:r>
      <w:r>
        <w:tab/>
        <w:t xml:space="preserve">Date Created: </w:t>
      </w:r>
      <w:r w:rsidR="00583DCC">
        <w:t>Febr</w:t>
      </w:r>
      <w:bookmarkStart w:id="1" w:name="_GoBack"/>
      <w:bookmarkEnd w:id="1"/>
      <w:r w:rsidR="007613DE">
        <w:t>uary</w:t>
      </w:r>
      <w:r w:rsidR="005B79D7">
        <w:t xml:space="preserve"> </w:t>
      </w:r>
      <w:r w:rsidR="007613DE">
        <w:t>2015</w:t>
      </w:r>
    </w:p>
    <w:p w:rsidR="00A63B03" w:rsidRDefault="00A63B03" w:rsidP="00A63B03">
      <w:pPr>
        <w:tabs>
          <w:tab w:val="left" w:pos="1418"/>
          <w:tab w:val="left" w:pos="2070"/>
          <w:tab w:val="left" w:leader="dot" w:pos="4536"/>
          <w:tab w:val="left" w:pos="5103"/>
          <w:tab w:val="left" w:pos="6521"/>
          <w:tab w:val="left" w:leader="dot" w:pos="10206"/>
        </w:tabs>
      </w:pPr>
    </w:p>
    <w:p w:rsidR="007613DE" w:rsidRPr="00C8675F" w:rsidRDefault="007613DE" w:rsidP="00A63B03">
      <w:pPr>
        <w:tabs>
          <w:tab w:val="left" w:pos="1418"/>
          <w:tab w:val="left" w:pos="2070"/>
          <w:tab w:val="left" w:leader="dot" w:pos="4536"/>
          <w:tab w:val="left" w:pos="5103"/>
          <w:tab w:val="left" w:pos="6521"/>
          <w:tab w:val="left" w:leader="dot" w:pos="10206"/>
        </w:tabs>
      </w:pPr>
    </w:p>
    <w:p w:rsidR="00A63B03" w:rsidRPr="00C8675F" w:rsidRDefault="00A63B03" w:rsidP="00A63B03">
      <w:pPr>
        <w:tabs>
          <w:tab w:val="left" w:pos="1418"/>
          <w:tab w:val="left" w:pos="2070"/>
          <w:tab w:val="left" w:leader="dot" w:pos="4536"/>
          <w:tab w:val="left" w:pos="5103"/>
          <w:tab w:val="left" w:pos="6521"/>
          <w:tab w:val="left" w:leader="dot" w:pos="10206"/>
        </w:tabs>
      </w:pPr>
    </w:p>
    <w:p w:rsidR="008160E8" w:rsidRPr="00C8675F" w:rsidRDefault="00604286" w:rsidP="008160E8">
      <w:pPr>
        <w:spacing w:line="276" w:lineRule="auto"/>
        <w:jc w:val="both"/>
      </w:pPr>
      <w:r>
        <w:t>This document has been prepared by AECOM Ingenieria SRL for the sole use of our client (the “Client”) and in accordance with generally accepted consultancy principles, the budget for fees and the terms of reference agreed between AECOM Ingenieria SRL and the Client. Any information provided by third parties and referred to herein has not been checked or verified by AECOM Ingenieria SRL, unless otherwise expressly stated in the document. No third party may rely upon this document without the prior and express written agreement of AECOM Ingenieria SRL.</w:t>
      </w:r>
    </w:p>
    <w:p w:rsidR="00A63B03" w:rsidRPr="00C8675F" w:rsidRDefault="00A63B03" w:rsidP="00A63B03">
      <w:pPr>
        <w:tabs>
          <w:tab w:val="left" w:pos="2070"/>
        </w:tabs>
      </w:pPr>
    </w:p>
    <w:p w:rsidR="00A63B03" w:rsidRPr="00C8675F" w:rsidRDefault="00A63B03" w:rsidP="00A63B03">
      <w:pPr>
        <w:tabs>
          <w:tab w:val="left" w:pos="1418"/>
          <w:tab w:val="left" w:pos="2070"/>
          <w:tab w:val="left" w:leader="dot" w:pos="4536"/>
          <w:tab w:val="left" w:pos="5103"/>
          <w:tab w:val="left" w:pos="6521"/>
          <w:tab w:val="left" w:leader="dot" w:pos="10206"/>
        </w:tabs>
      </w:pPr>
    </w:p>
    <w:p w:rsidR="005B79D7" w:rsidRPr="0076579A" w:rsidRDefault="005B79D7" w:rsidP="005B79D7">
      <w:pPr>
        <w:tabs>
          <w:tab w:val="left" w:pos="1418"/>
          <w:tab w:val="left" w:pos="2070"/>
          <w:tab w:val="left" w:leader="dot" w:pos="4536"/>
          <w:tab w:val="left" w:pos="5103"/>
          <w:tab w:val="left" w:pos="6521"/>
          <w:tab w:val="left" w:leader="dot" w:pos="10206"/>
        </w:tabs>
        <w:rPr>
          <w:lang w:val="ro-RO"/>
        </w:rPr>
      </w:pPr>
    </w:p>
    <w:p w:rsidR="005B79D7" w:rsidRPr="0076579A" w:rsidRDefault="005B79D7" w:rsidP="005B79D7">
      <w:pPr>
        <w:tabs>
          <w:tab w:val="left" w:pos="2070"/>
        </w:tabs>
        <w:rPr>
          <w:lang w:val="ro-RO"/>
        </w:rPr>
        <w:sectPr w:rsidR="005B79D7" w:rsidRPr="0076579A" w:rsidSect="00B12539">
          <w:headerReference w:type="default" r:id="rId21"/>
          <w:footerReference w:type="default" r:id="rId22"/>
          <w:pgSz w:w="11907" w:h="16840" w:code="9"/>
          <w:pgMar w:top="-3150" w:right="709" w:bottom="1729" w:left="907" w:header="180" w:footer="567" w:gutter="0"/>
          <w:cols w:space="720"/>
          <w:vAlign w:val="bottom"/>
          <w:docGrid w:linePitch="360"/>
        </w:sectPr>
      </w:pPr>
    </w:p>
    <w:p w:rsidR="005B79D7" w:rsidRDefault="005B79D7">
      <w:pPr>
        <w:rPr>
          <w:caps/>
          <w:sz w:val="21"/>
          <w:szCs w:val="21"/>
          <w:lang w:val="ro-RO"/>
        </w:rPr>
      </w:pPr>
    </w:p>
    <w:p w:rsidR="005B79D7" w:rsidRPr="00EF7388" w:rsidRDefault="005B79D7" w:rsidP="00EF7388">
      <w:pPr>
        <w:rPr>
          <w:rFonts w:cs="Arial"/>
          <w:b/>
          <w:color w:val="9E0880"/>
          <w:sz w:val="22"/>
          <w:szCs w:val="22"/>
          <w:lang w:val="ro-RO"/>
        </w:rPr>
      </w:pPr>
      <w:r w:rsidRPr="00EF7388">
        <w:rPr>
          <w:rFonts w:cs="Arial"/>
          <w:b/>
          <w:color w:val="9E0880"/>
          <w:sz w:val="22"/>
          <w:szCs w:val="22"/>
          <w:lang w:val="ro-RO"/>
        </w:rPr>
        <w:t>IMPORTANT NOTE</w:t>
      </w:r>
    </w:p>
    <w:p w:rsidR="005B79D7" w:rsidRPr="00EF7388" w:rsidRDefault="005B79D7" w:rsidP="00EF7388">
      <w:pPr>
        <w:spacing w:after="120"/>
        <w:jc w:val="both"/>
        <w:rPr>
          <w:rFonts w:cs="Arial"/>
          <w:sz w:val="21"/>
          <w:szCs w:val="21"/>
        </w:rPr>
      </w:pPr>
      <w:r w:rsidRPr="00EF7388">
        <w:rPr>
          <w:rFonts w:cs="Arial"/>
          <w:sz w:val="21"/>
          <w:szCs w:val="21"/>
        </w:rPr>
        <w:t>The current draft document should be read strictly from t</w:t>
      </w:r>
      <w:r>
        <w:rPr>
          <w:rFonts w:cs="Arial"/>
          <w:sz w:val="21"/>
          <w:szCs w:val="21"/>
        </w:rPr>
        <w:t>he perspective of the following:</w:t>
      </w:r>
    </w:p>
    <w:p w:rsidR="005B79D7" w:rsidRDefault="005B79D7" w:rsidP="00EF7388">
      <w:pPr>
        <w:rPr>
          <w:lang w:val="ro-RO"/>
        </w:rPr>
      </w:pPr>
    </w:p>
    <w:p w:rsidR="005B79D7" w:rsidRPr="00EF7388" w:rsidRDefault="005B79D7" w:rsidP="00EF7388">
      <w:pPr>
        <w:rPr>
          <w:rFonts w:cs="Arial"/>
          <w:b/>
          <w:color w:val="9E0880"/>
          <w:sz w:val="22"/>
          <w:szCs w:val="22"/>
          <w:lang w:val="ro-RO"/>
        </w:rPr>
      </w:pPr>
      <w:r>
        <w:rPr>
          <w:rFonts w:cs="Arial"/>
          <w:b/>
          <w:color w:val="9E0880"/>
          <w:sz w:val="22"/>
          <w:szCs w:val="22"/>
          <w:lang w:val="ro-RO"/>
        </w:rPr>
        <w:t>CAVEATS</w:t>
      </w:r>
    </w:p>
    <w:p w:rsidR="005B79D7" w:rsidRDefault="005B79D7" w:rsidP="00EF7388">
      <w:pPr>
        <w:rPr>
          <w:lang w:val="ro-RO"/>
        </w:rPr>
      </w:pPr>
    </w:p>
    <w:p w:rsidR="005B79D7" w:rsidRPr="00EF7388" w:rsidRDefault="005B79D7" w:rsidP="00EF7388">
      <w:pPr>
        <w:rPr>
          <w:rFonts w:cs="Arial"/>
          <w:b/>
          <w:color w:val="9E0880"/>
          <w:sz w:val="22"/>
          <w:szCs w:val="22"/>
          <w:lang w:val="ro-RO"/>
        </w:rPr>
      </w:pPr>
      <w:r w:rsidRPr="00EF7388">
        <w:rPr>
          <w:rFonts w:cs="Arial"/>
          <w:b/>
          <w:color w:val="9E0880"/>
          <w:sz w:val="22"/>
          <w:szCs w:val="22"/>
          <w:lang w:val="ro-RO"/>
        </w:rPr>
        <w:t>Status of current document</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 xml:space="preserve">The current document is a </w:t>
      </w:r>
      <w:r w:rsidRPr="00EF7388">
        <w:rPr>
          <w:sz w:val="21"/>
          <w:szCs w:val="21"/>
          <w:u w:val="single"/>
        </w:rPr>
        <w:t>working draft</w:t>
      </w:r>
      <w:r w:rsidRPr="00EF7388">
        <w:rPr>
          <w:sz w:val="21"/>
          <w:szCs w:val="21"/>
        </w:rPr>
        <w:t xml:space="preserve"> of the Master Plan Report. This version </w:t>
      </w:r>
      <w:r w:rsidRPr="00EF7388">
        <w:rPr>
          <w:sz w:val="21"/>
          <w:szCs w:val="21"/>
          <w:u w:val="single"/>
        </w:rPr>
        <w:t>is not final</w:t>
      </w:r>
      <w:r w:rsidRPr="00EF7388">
        <w:rPr>
          <w:sz w:val="21"/>
          <w:szCs w:val="21"/>
        </w:rPr>
        <w:t xml:space="preserve"> and will be updated with the results of more detailed analysis which is being carried out in particular for the rail, ports, airports and intermodal transport sectors. The updating process will be done in parallel with the incoroporation of the feed-back collected from the public consultation process.</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 xml:space="preserve">The Strategic Environmental Assessment (SEA) procedure (including the Appropriate Assessment) is ongoing. Upon completion its conclusions will be incorporated in the final version of the </w:t>
      </w:r>
      <w:r w:rsidR="0059217C">
        <w:rPr>
          <w:sz w:val="21"/>
          <w:szCs w:val="21"/>
        </w:rPr>
        <w:t>Master Plan</w:t>
      </w:r>
      <w:r w:rsidRPr="00EF7388">
        <w:rPr>
          <w:sz w:val="21"/>
          <w:szCs w:val="21"/>
        </w:rPr>
        <w:t xml:space="preserve"> report.</w:t>
      </w:r>
    </w:p>
    <w:p w:rsidR="005B79D7" w:rsidRDefault="005B79D7" w:rsidP="00EF7388">
      <w:pPr>
        <w:rPr>
          <w:lang w:val="ro-RO"/>
        </w:rPr>
      </w:pPr>
    </w:p>
    <w:p w:rsidR="005B79D7" w:rsidRPr="00EF7388" w:rsidRDefault="005B79D7" w:rsidP="00EF7388">
      <w:pPr>
        <w:rPr>
          <w:rFonts w:cs="Arial"/>
          <w:b/>
          <w:color w:val="9E0880"/>
          <w:sz w:val="22"/>
          <w:szCs w:val="22"/>
          <w:lang w:val="ro-RO"/>
        </w:rPr>
      </w:pPr>
      <w:r w:rsidRPr="00EF7388">
        <w:rPr>
          <w:rFonts w:cs="Arial"/>
          <w:b/>
          <w:color w:val="9E0880"/>
          <w:sz w:val="22"/>
          <w:szCs w:val="22"/>
          <w:lang w:val="ro-RO"/>
        </w:rPr>
        <w:t xml:space="preserve">Coverage of the </w:t>
      </w:r>
      <w:r w:rsidR="00087823">
        <w:rPr>
          <w:rFonts w:cs="Arial"/>
          <w:b/>
          <w:color w:val="9E0880"/>
          <w:sz w:val="22"/>
          <w:szCs w:val="22"/>
          <w:lang w:val="ro-RO"/>
        </w:rPr>
        <w:t>Master Pla</w:t>
      </w:r>
      <w:r w:rsidR="000C1FE8">
        <w:rPr>
          <w:rFonts w:cs="Arial"/>
          <w:b/>
          <w:color w:val="9E0880"/>
          <w:sz w:val="22"/>
          <w:szCs w:val="22"/>
          <w:lang w:val="ro-RO"/>
        </w:rPr>
        <w:t>n</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 xml:space="preserve">The </w:t>
      </w:r>
      <w:r w:rsidR="0059217C">
        <w:rPr>
          <w:sz w:val="21"/>
          <w:szCs w:val="21"/>
        </w:rPr>
        <w:t>Master Plan</w:t>
      </w:r>
      <w:r w:rsidRPr="00EF7388">
        <w:rPr>
          <w:sz w:val="21"/>
          <w:szCs w:val="21"/>
        </w:rPr>
        <w:t xml:space="preserve"> refers to the major objectives of the national transport system. Therefore it is a high-level planning instrument relevant for major interventions (projects and other actions) with significance for the objectives of the national transport system – which are suitable for modelling, apprasial and prioritisation at </w:t>
      </w:r>
      <w:r w:rsidR="0059217C">
        <w:rPr>
          <w:sz w:val="21"/>
          <w:szCs w:val="21"/>
        </w:rPr>
        <w:t>Master Plan</w:t>
      </w:r>
      <w:r w:rsidRPr="00EF7388">
        <w:rPr>
          <w:sz w:val="21"/>
          <w:szCs w:val="21"/>
        </w:rPr>
        <w:t xml:space="preserve"> level. This means a range of small scale interventions are not within the scope of the </w:t>
      </w:r>
      <w:r w:rsidR="0059217C">
        <w:rPr>
          <w:sz w:val="21"/>
          <w:szCs w:val="21"/>
        </w:rPr>
        <w:t>Master Plan</w:t>
      </w:r>
      <w:r w:rsidRPr="00EF7388">
        <w:rPr>
          <w:sz w:val="21"/>
          <w:szCs w:val="21"/>
        </w:rPr>
        <w:t xml:space="preserve">, which does not mean they shouldn’t be financed by the Ministry of Transport, but that the Master Plan is not a proper instrument for planning it and therefore that there should be a different process of defining, planning and prioritising such interventions. Typical interventions outside the scope of the </w:t>
      </w:r>
      <w:r w:rsidR="0059217C">
        <w:rPr>
          <w:sz w:val="21"/>
          <w:szCs w:val="21"/>
        </w:rPr>
        <w:t>Master Plan</w:t>
      </w:r>
      <w:r w:rsidRPr="00EF7388">
        <w:rPr>
          <w:sz w:val="21"/>
          <w:szCs w:val="21"/>
        </w:rPr>
        <w:t xml:space="preserve"> are: </w:t>
      </w:r>
    </w:p>
    <w:p w:rsidR="005B79D7" w:rsidRPr="00EF7388" w:rsidRDefault="005B79D7" w:rsidP="0085264B">
      <w:pPr>
        <w:pStyle w:val="ListParagraph"/>
        <w:numPr>
          <w:ilvl w:val="0"/>
          <w:numId w:val="63"/>
        </w:numPr>
        <w:spacing w:after="120" w:line="240" w:lineRule="auto"/>
        <w:rPr>
          <w:sz w:val="21"/>
          <w:szCs w:val="21"/>
        </w:rPr>
      </w:pPr>
      <w:r w:rsidRPr="00EF7388">
        <w:rPr>
          <w:sz w:val="21"/>
          <w:szCs w:val="21"/>
        </w:rPr>
        <w:t>Actions required for the day-to-day running of business (regular operations and maintenance activities of the various entities under MoT), e.g. administrative buildings</w:t>
      </w:r>
      <w:proofErr w:type="gramStart"/>
      <w:r w:rsidRPr="00EF7388">
        <w:rPr>
          <w:sz w:val="21"/>
          <w:szCs w:val="21"/>
        </w:rPr>
        <w:t>,office</w:t>
      </w:r>
      <w:proofErr w:type="gramEnd"/>
      <w:r w:rsidRPr="00EF7388">
        <w:rPr>
          <w:sz w:val="21"/>
          <w:szCs w:val="21"/>
        </w:rPr>
        <w:t xml:space="preserve">  equipment, consumables, operating costs, regular maintenance, etc.</w:t>
      </w:r>
    </w:p>
    <w:p w:rsidR="005B79D7" w:rsidRPr="00EF7388" w:rsidRDefault="005B79D7" w:rsidP="0085264B">
      <w:pPr>
        <w:pStyle w:val="ListParagraph"/>
        <w:numPr>
          <w:ilvl w:val="0"/>
          <w:numId w:val="63"/>
        </w:numPr>
        <w:spacing w:after="120" w:line="240" w:lineRule="auto"/>
        <w:rPr>
          <w:sz w:val="21"/>
          <w:szCs w:val="21"/>
        </w:rPr>
      </w:pPr>
      <w:r w:rsidRPr="00EF7388">
        <w:rPr>
          <w:sz w:val="21"/>
          <w:szCs w:val="21"/>
        </w:rPr>
        <w:t xml:space="preserve">Investments of nature of such small size and detailed nature that goes well below the </w:t>
      </w:r>
      <w:r w:rsidR="0059217C">
        <w:rPr>
          <w:sz w:val="21"/>
          <w:szCs w:val="21"/>
        </w:rPr>
        <w:t>Master Plan</w:t>
      </w:r>
      <w:r w:rsidRPr="00EF7388">
        <w:rPr>
          <w:sz w:val="21"/>
          <w:szCs w:val="21"/>
        </w:rPr>
        <w:t xml:space="preserve"> level, e.g. small scale renewals/rehabilitations of small rail stations, small scale safety interventions, small scale intra-zone interventions which cannot be modelled, etc.</w:t>
      </w:r>
    </w:p>
    <w:p w:rsidR="005B79D7" w:rsidRPr="00EF7388" w:rsidRDefault="005B79D7" w:rsidP="0085264B">
      <w:pPr>
        <w:pStyle w:val="PlainText"/>
        <w:numPr>
          <w:ilvl w:val="0"/>
          <w:numId w:val="68"/>
        </w:numPr>
        <w:spacing w:after="120" w:line="240" w:lineRule="auto"/>
        <w:rPr>
          <w:rFonts w:ascii="Arial" w:hAnsi="Arial" w:cs="Arial"/>
          <w:sz w:val="21"/>
          <w:szCs w:val="21"/>
        </w:rPr>
      </w:pPr>
      <w:r w:rsidRPr="00EF7388">
        <w:rPr>
          <w:rFonts w:ascii="Arial" w:hAnsi="Arial" w:cs="Arial"/>
          <w:sz w:val="21"/>
          <w:szCs w:val="21"/>
        </w:rPr>
        <w:t xml:space="preserve">In addition, there is another group of projects not evaluated within the </w:t>
      </w:r>
      <w:r w:rsidR="0059217C">
        <w:rPr>
          <w:rFonts w:ascii="Arial" w:hAnsi="Arial" w:cs="Arial"/>
          <w:sz w:val="21"/>
          <w:szCs w:val="21"/>
        </w:rPr>
        <w:t>Master Plan</w:t>
      </w:r>
      <w:r w:rsidRPr="00EF7388">
        <w:rPr>
          <w:rFonts w:ascii="Arial" w:hAnsi="Arial" w:cs="Arial"/>
          <w:sz w:val="21"/>
          <w:szCs w:val="21"/>
        </w:rPr>
        <w:t>ning exercise. These are the “Reference Case” projects i.e. those already committed investments which had finacing already decided (and often were already under construction) at the time of defining the “Reference Case” for the purpose of the National Transport Model (year 2013). The list and map of the committed “Reference Case” projects assumed to continue to be implemented “by default” is provided in Annex …</w:t>
      </w:r>
    </w:p>
    <w:p w:rsidR="005B79D7" w:rsidRDefault="005B79D7" w:rsidP="00EF7388">
      <w:pPr>
        <w:rPr>
          <w:lang w:val="ro-RO"/>
        </w:rPr>
      </w:pPr>
    </w:p>
    <w:p w:rsidR="005B79D7" w:rsidRPr="00EF7388" w:rsidRDefault="005B79D7" w:rsidP="00EF7388">
      <w:pPr>
        <w:rPr>
          <w:rFonts w:cs="Arial"/>
          <w:b/>
          <w:color w:val="9E0880"/>
          <w:sz w:val="22"/>
          <w:szCs w:val="22"/>
          <w:lang w:val="ro-RO"/>
        </w:rPr>
      </w:pPr>
      <w:r w:rsidRPr="00EF7388">
        <w:rPr>
          <w:rFonts w:cs="Arial"/>
          <w:b/>
          <w:color w:val="9E0880"/>
          <w:sz w:val="22"/>
          <w:szCs w:val="22"/>
          <w:lang w:val="ro-RO"/>
        </w:rPr>
        <w:t xml:space="preserve">Time horizon of the </w:t>
      </w:r>
      <w:r w:rsidR="0059217C">
        <w:rPr>
          <w:rFonts w:cs="Arial"/>
          <w:b/>
          <w:color w:val="9E0880"/>
          <w:sz w:val="22"/>
          <w:szCs w:val="22"/>
          <w:lang w:val="ro-RO"/>
        </w:rPr>
        <w:t>Master Plan</w:t>
      </w:r>
    </w:p>
    <w:p w:rsidR="005B79D7" w:rsidRPr="00EF7388" w:rsidRDefault="005B79D7" w:rsidP="0085264B">
      <w:pPr>
        <w:pStyle w:val="PlainText"/>
        <w:numPr>
          <w:ilvl w:val="0"/>
          <w:numId w:val="68"/>
        </w:numPr>
        <w:spacing w:after="120" w:line="240" w:lineRule="auto"/>
        <w:rPr>
          <w:rFonts w:ascii="Arial" w:hAnsi="Arial" w:cs="Arial"/>
          <w:sz w:val="21"/>
          <w:szCs w:val="21"/>
        </w:rPr>
      </w:pPr>
      <w:r w:rsidRPr="00EF7388">
        <w:rPr>
          <w:rFonts w:ascii="Arial" w:hAnsi="Arial" w:cs="Arial"/>
          <w:sz w:val="21"/>
          <w:szCs w:val="21"/>
        </w:rPr>
        <w:t xml:space="preserve">The </w:t>
      </w:r>
      <w:r w:rsidR="0059217C">
        <w:rPr>
          <w:rFonts w:ascii="Arial" w:hAnsi="Arial" w:cs="Arial"/>
          <w:sz w:val="21"/>
          <w:szCs w:val="21"/>
        </w:rPr>
        <w:t>Master Plan</w:t>
      </w:r>
      <w:r w:rsidRPr="00EF7388">
        <w:rPr>
          <w:rFonts w:ascii="Arial" w:hAnsi="Arial" w:cs="Arial"/>
          <w:sz w:val="21"/>
          <w:szCs w:val="21"/>
        </w:rPr>
        <w:t xml:space="preserve"> planning horizon is the year 2030. Given the level of uncertainty associated with long-term forecasting, any action beyond the year 2030 should be reconfirmed on the basis of an updated plan (e.g. carried out within 10 years time i.e. in 2025). </w:t>
      </w:r>
    </w:p>
    <w:p w:rsidR="005B79D7" w:rsidRPr="00EF7388" w:rsidRDefault="005B79D7" w:rsidP="0085264B">
      <w:pPr>
        <w:pStyle w:val="PlainText"/>
        <w:numPr>
          <w:ilvl w:val="0"/>
          <w:numId w:val="68"/>
        </w:numPr>
        <w:spacing w:after="120" w:line="240" w:lineRule="auto"/>
        <w:rPr>
          <w:rFonts w:ascii="Arial" w:hAnsi="Arial" w:cs="Arial"/>
          <w:sz w:val="21"/>
          <w:szCs w:val="21"/>
        </w:rPr>
      </w:pPr>
      <w:r w:rsidRPr="00EF7388">
        <w:rPr>
          <w:rFonts w:ascii="Arial" w:hAnsi="Arial" w:cs="Arial"/>
          <w:sz w:val="21"/>
          <w:szCs w:val="21"/>
        </w:rPr>
        <w:t xml:space="preserve">However, for more volatile sectors, especially airports – where the level of uncertainty in the traffic forecast is much higher than e.g. for roads sector, the </w:t>
      </w:r>
      <w:r w:rsidR="0059217C">
        <w:rPr>
          <w:rFonts w:ascii="Arial" w:hAnsi="Arial" w:cs="Arial"/>
          <w:sz w:val="21"/>
          <w:szCs w:val="21"/>
        </w:rPr>
        <w:t>Master Plan</w:t>
      </w:r>
      <w:r w:rsidRPr="00EF7388">
        <w:rPr>
          <w:rFonts w:ascii="Arial" w:hAnsi="Arial" w:cs="Arial"/>
          <w:sz w:val="21"/>
          <w:szCs w:val="21"/>
        </w:rPr>
        <w:t xml:space="preserve"> horizon to be taken up for implementation should not exceed the year 2020, whilst any projects beyond 2020 should be re-confirmed on the basis of the actual market (demand/traffic) developments.</w:t>
      </w:r>
    </w:p>
    <w:p w:rsidR="005B79D7" w:rsidRDefault="005B79D7" w:rsidP="00EF7388">
      <w:pPr>
        <w:rPr>
          <w:lang w:val="ro-RO"/>
        </w:rPr>
      </w:pPr>
    </w:p>
    <w:p w:rsidR="005B79D7" w:rsidRPr="00EF7388" w:rsidRDefault="005B79D7" w:rsidP="00EF7388">
      <w:pPr>
        <w:rPr>
          <w:rFonts w:cs="Arial"/>
          <w:b/>
          <w:color w:val="9E0880"/>
          <w:sz w:val="22"/>
          <w:szCs w:val="22"/>
          <w:lang w:val="ro-RO"/>
        </w:rPr>
      </w:pPr>
      <w:r w:rsidRPr="00EF7388">
        <w:rPr>
          <w:rFonts w:cs="Arial"/>
          <w:b/>
          <w:color w:val="9E0880"/>
          <w:sz w:val="22"/>
          <w:szCs w:val="22"/>
          <w:lang w:val="ro-RO"/>
        </w:rPr>
        <w:t>Level of analysis and relation with Feasibility Studies</w:t>
      </w:r>
    </w:p>
    <w:p w:rsidR="005B79D7" w:rsidRPr="00EF7388" w:rsidRDefault="005B79D7" w:rsidP="0085264B">
      <w:pPr>
        <w:pStyle w:val="PlainText"/>
        <w:numPr>
          <w:ilvl w:val="0"/>
          <w:numId w:val="68"/>
        </w:numPr>
        <w:spacing w:after="120" w:line="240" w:lineRule="auto"/>
        <w:rPr>
          <w:rFonts w:ascii="Arial" w:hAnsi="Arial" w:cs="Arial"/>
          <w:sz w:val="21"/>
          <w:szCs w:val="21"/>
        </w:rPr>
      </w:pPr>
      <w:r w:rsidRPr="00EF7388">
        <w:rPr>
          <w:rFonts w:ascii="Arial" w:hAnsi="Arial" w:cs="Arial"/>
          <w:sz w:val="21"/>
          <w:szCs w:val="21"/>
        </w:rPr>
        <w:t xml:space="preserve">The level of the </w:t>
      </w:r>
      <w:r w:rsidR="0059217C">
        <w:rPr>
          <w:rFonts w:ascii="Arial" w:hAnsi="Arial" w:cs="Arial"/>
          <w:sz w:val="21"/>
          <w:szCs w:val="21"/>
        </w:rPr>
        <w:t>Master Plan</w:t>
      </w:r>
      <w:r w:rsidRPr="00EF7388">
        <w:rPr>
          <w:rFonts w:ascii="Arial" w:hAnsi="Arial" w:cs="Arial"/>
          <w:sz w:val="21"/>
          <w:szCs w:val="21"/>
        </w:rPr>
        <w:t xml:space="preserve"> analysis is high by its very nature. Consequently and in order to ensure a fair comparison basis across projects and thus a relevant comparison of their economic performance indicators, high-level uniform assumptions have been made on the project costs (based on average values per km/type of infrastructure/type of terrain). This means the cost estimates used in the </w:t>
      </w:r>
      <w:r w:rsidR="0059217C">
        <w:rPr>
          <w:rFonts w:ascii="Arial" w:hAnsi="Arial" w:cs="Arial"/>
          <w:sz w:val="21"/>
          <w:szCs w:val="21"/>
        </w:rPr>
        <w:t>Master Plan</w:t>
      </w:r>
      <w:r w:rsidRPr="00EF7388">
        <w:rPr>
          <w:rFonts w:ascii="Arial" w:hAnsi="Arial" w:cs="Arial"/>
          <w:sz w:val="21"/>
          <w:szCs w:val="21"/>
        </w:rPr>
        <w:t xml:space="preserve"> do not necessarily match precisely more detailed estimates from e.g. existing Feasibility Studies (FS), which is not an error but a methodological choice. However, normally the difference between the </w:t>
      </w:r>
      <w:r w:rsidR="0059217C">
        <w:rPr>
          <w:rFonts w:ascii="Arial" w:hAnsi="Arial" w:cs="Arial"/>
          <w:sz w:val="21"/>
          <w:szCs w:val="21"/>
        </w:rPr>
        <w:lastRenderedPageBreak/>
        <w:t>Master Plan</w:t>
      </w:r>
      <w:r w:rsidRPr="00EF7388">
        <w:rPr>
          <w:rFonts w:ascii="Arial" w:hAnsi="Arial" w:cs="Arial"/>
          <w:sz w:val="21"/>
          <w:szCs w:val="21"/>
        </w:rPr>
        <w:t xml:space="preserve"> estimates and FS values should not exceed &lt;25-30%&gt;, which is the usual approximation margin for this level of analysis.</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Inherent from the high level of analysis is the approximation of the economic performance, which because of (i) the margin in the cost estimation and (ii) the scale of the economic benefits (i.e. some local benefits –e.g. intra-zone- might not be captured by the National Transport Model) should be considered preliminary until a more detailed analysis at the level of each project is carried out further at FS level. A methodological consequence was the choice of not excluding projects at the usual threshold of the economic discount rate (5%) but lowering the pass/fail bar to 3% EIRR at this level, whilst the final decision on the economic acceptance of any project would be (re-)confirmed on the basis of the more detailed analysis of both the costs and benefits at FS level.</w:t>
      </w:r>
    </w:p>
    <w:p w:rsidR="005B79D7" w:rsidRDefault="005B79D7" w:rsidP="0085264B">
      <w:pPr>
        <w:pStyle w:val="ListParagraph"/>
        <w:numPr>
          <w:ilvl w:val="0"/>
          <w:numId w:val="68"/>
        </w:numPr>
        <w:spacing w:after="120" w:line="240" w:lineRule="auto"/>
        <w:rPr>
          <w:sz w:val="21"/>
          <w:szCs w:val="21"/>
        </w:rPr>
      </w:pPr>
      <w:r w:rsidRPr="00EF7388">
        <w:rPr>
          <w:sz w:val="21"/>
          <w:szCs w:val="21"/>
        </w:rPr>
        <w:t xml:space="preserve">The same logic applies to the technical solutions. The </w:t>
      </w:r>
      <w:r w:rsidR="0059217C">
        <w:rPr>
          <w:sz w:val="21"/>
          <w:szCs w:val="21"/>
        </w:rPr>
        <w:t>Master Plan</w:t>
      </w:r>
      <w:r w:rsidRPr="00EF7388">
        <w:rPr>
          <w:sz w:val="21"/>
          <w:szCs w:val="21"/>
        </w:rPr>
        <w:t xml:space="preserve"> defined generic measures (interventions) to serve the specific operational objectives defined in response to the problems identified – e.g. “Improve travel speeds on Bucharest – West Road Corridor”. To enable model testing, costing and economic appraisal, certain </w:t>
      </w:r>
      <w:r w:rsidR="00FE3389">
        <w:rPr>
          <w:sz w:val="21"/>
          <w:szCs w:val="21"/>
        </w:rPr>
        <w:t xml:space="preserve">preliminary </w:t>
      </w:r>
      <w:r w:rsidRPr="00EF7388">
        <w:rPr>
          <w:sz w:val="21"/>
          <w:szCs w:val="21"/>
        </w:rPr>
        <w:t xml:space="preserve">technical solutions have been defined e.g. 2x2 motorway/express-way, </w:t>
      </w:r>
      <w:r w:rsidR="00FE3389">
        <w:rPr>
          <w:sz w:val="21"/>
          <w:szCs w:val="21"/>
        </w:rPr>
        <w:t xml:space="preserve">rehabilitation of a rail section to a specific speed, extension of a passenger terminal to a certain capacity, </w:t>
      </w:r>
      <w:r w:rsidRPr="00EF7388">
        <w:rPr>
          <w:sz w:val="21"/>
          <w:szCs w:val="21"/>
        </w:rPr>
        <w:t xml:space="preserve">etc. Such technical solutions will need to be however reconfirmed at the level of each particular project within the FS on the basis of a detailed options analysis including more detailed cost, capacity, economic and environmental impact analyses. In this respect it is imperative that the ToR for the new Feasibility Studies launched for the </w:t>
      </w:r>
      <w:r w:rsidR="0059217C">
        <w:rPr>
          <w:sz w:val="21"/>
          <w:szCs w:val="21"/>
        </w:rPr>
        <w:t>Master Plan</w:t>
      </w:r>
      <w:r w:rsidRPr="00EF7388">
        <w:rPr>
          <w:sz w:val="21"/>
          <w:szCs w:val="21"/>
        </w:rPr>
        <w:t xml:space="preserve"> projects includes clear and explicit provisions for such</w:t>
      </w:r>
      <w:r w:rsidR="005348BA">
        <w:rPr>
          <w:sz w:val="21"/>
          <w:szCs w:val="21"/>
        </w:rPr>
        <w:t xml:space="preserve"> capacity and options analysis.</w:t>
      </w:r>
    </w:p>
    <w:p w:rsidR="005348BA" w:rsidRPr="00EF7388" w:rsidRDefault="005348BA" w:rsidP="0085264B">
      <w:pPr>
        <w:pStyle w:val="ListParagraph"/>
        <w:numPr>
          <w:ilvl w:val="0"/>
          <w:numId w:val="68"/>
        </w:numPr>
        <w:spacing w:after="120" w:line="240" w:lineRule="auto"/>
        <w:rPr>
          <w:sz w:val="21"/>
          <w:szCs w:val="21"/>
        </w:rPr>
      </w:pPr>
      <w:r w:rsidRPr="00EF7388">
        <w:rPr>
          <w:sz w:val="21"/>
          <w:szCs w:val="21"/>
        </w:rPr>
        <w:t xml:space="preserve">Similarly, the recommended approach - which will have to be reconfirmed for each case within Feasibility Studies - is that the infrastructure should be designed in such a way as to allow future development (for example from an expressway profile to a motorway profile, from 2 lanes to 3 lanes per direction, etc) if and when such developments are justified by the demand </w:t>
      </w:r>
      <w:r w:rsidR="000A6CA6">
        <w:rPr>
          <w:sz w:val="21"/>
          <w:szCs w:val="21"/>
        </w:rPr>
        <w:t>and covered by funding sources.</w:t>
      </w:r>
    </w:p>
    <w:p w:rsidR="005B79D7" w:rsidRDefault="005B79D7" w:rsidP="00EF7388">
      <w:pPr>
        <w:rPr>
          <w:lang w:val="ro-RO"/>
        </w:rPr>
      </w:pPr>
    </w:p>
    <w:p w:rsidR="005B79D7" w:rsidRPr="00EF7388" w:rsidRDefault="005B79D7" w:rsidP="00EF7388">
      <w:pPr>
        <w:rPr>
          <w:b/>
          <w:color w:val="9E0880"/>
          <w:sz w:val="22"/>
          <w:szCs w:val="22"/>
          <w:lang w:val="ro-RO"/>
        </w:rPr>
      </w:pPr>
      <w:r w:rsidRPr="00EF7388">
        <w:rPr>
          <w:rFonts w:cs="Arial"/>
          <w:b/>
          <w:color w:val="9E0880"/>
          <w:sz w:val="22"/>
          <w:szCs w:val="22"/>
          <w:lang w:val="ro-RO"/>
        </w:rPr>
        <w:t>Conclusions</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In summary, this Master Plan has been produced at a point in time based upon the best information available at that time and underpinned by a robust process which has been used to appraise the various schemes being proposed. There will be changes which occur over time which will impact upon the costs, standards and performance of each individual infrastructure scheme proposed. These include, inter alia:</w:t>
      </w:r>
    </w:p>
    <w:p w:rsidR="005B79D7" w:rsidRPr="00EF7388" w:rsidRDefault="005B79D7" w:rsidP="0085264B">
      <w:pPr>
        <w:pStyle w:val="ListParagraph"/>
        <w:numPr>
          <w:ilvl w:val="0"/>
          <w:numId w:val="69"/>
        </w:numPr>
        <w:spacing w:after="120" w:line="240" w:lineRule="auto"/>
        <w:rPr>
          <w:sz w:val="21"/>
          <w:szCs w:val="21"/>
        </w:rPr>
      </w:pPr>
      <w:r w:rsidRPr="00EF7388">
        <w:rPr>
          <w:sz w:val="21"/>
          <w:szCs w:val="21"/>
        </w:rPr>
        <w:t>Changes in the timetable for implementation of other schemes, across all modes, which impact upon the scheme in question;</w:t>
      </w:r>
    </w:p>
    <w:p w:rsidR="005B79D7" w:rsidRPr="00EF7388" w:rsidRDefault="005B79D7" w:rsidP="0085264B">
      <w:pPr>
        <w:pStyle w:val="ListParagraph"/>
        <w:numPr>
          <w:ilvl w:val="0"/>
          <w:numId w:val="69"/>
        </w:numPr>
        <w:spacing w:after="120" w:line="240" w:lineRule="auto"/>
        <w:rPr>
          <w:sz w:val="21"/>
          <w:szCs w:val="21"/>
        </w:rPr>
      </w:pPr>
      <w:r w:rsidRPr="00EF7388">
        <w:rPr>
          <w:sz w:val="21"/>
          <w:szCs w:val="21"/>
        </w:rPr>
        <w:t>Improved information as a consequence of feasibility, or other, studies in to the particular scheme; and</w:t>
      </w:r>
    </w:p>
    <w:p w:rsidR="005B79D7" w:rsidRPr="00EF7388" w:rsidRDefault="005B79D7" w:rsidP="0085264B">
      <w:pPr>
        <w:pStyle w:val="ListParagraph"/>
        <w:numPr>
          <w:ilvl w:val="0"/>
          <w:numId w:val="69"/>
        </w:numPr>
        <w:spacing w:after="120" w:line="240" w:lineRule="auto"/>
        <w:rPr>
          <w:sz w:val="21"/>
          <w:szCs w:val="21"/>
        </w:rPr>
      </w:pPr>
      <w:r w:rsidRPr="00EF7388">
        <w:rPr>
          <w:sz w:val="21"/>
          <w:szCs w:val="21"/>
        </w:rPr>
        <w:t xml:space="preserve">External factors, such as changes in the macro level economic performance of the country, which impact upon forecast demand for a particular scheme. </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Each of these will potentially affect the required standard of the improvement, the costs of implementation and the economic merit of an individual scheme. It is important therefore that the Master Plan is seen as a live document which provides a robust platform for moving the transport sector forward, but which also needs to be maintained and reviewed over time in order to ensure that the objectives for improving the transport sector are met.</w:t>
      </w:r>
    </w:p>
    <w:p w:rsidR="005B79D7" w:rsidRPr="00EF7388" w:rsidRDefault="005B79D7" w:rsidP="0085264B">
      <w:pPr>
        <w:pStyle w:val="ListParagraph"/>
        <w:numPr>
          <w:ilvl w:val="0"/>
          <w:numId w:val="68"/>
        </w:numPr>
        <w:spacing w:after="120" w:line="240" w:lineRule="auto"/>
        <w:rPr>
          <w:sz w:val="21"/>
          <w:szCs w:val="21"/>
        </w:rPr>
      </w:pPr>
      <w:r w:rsidRPr="00EF7388">
        <w:rPr>
          <w:sz w:val="21"/>
          <w:szCs w:val="21"/>
        </w:rPr>
        <w:t>This Master Plan Report will be supported by a separate Implementation Plan which will outline the schedule for when projects will be delivered. The Implementation Plan will take into account project maturity and eligibility for alternative funding streams, criteria which have not been included in the multi criteria assessment which has been used to develop the Master Plan list of projects.  It is therefore possible that in the Implementation Plan projects will be delivered in a different order to that indicated in the prioritised list of projects in this Master Plan Report.</w:t>
      </w:r>
    </w:p>
    <w:p w:rsidR="005B79D7" w:rsidRPr="00B909C0" w:rsidRDefault="005B79D7" w:rsidP="005B79D7">
      <w:pPr>
        <w:rPr>
          <w:caps/>
          <w:sz w:val="21"/>
          <w:szCs w:val="21"/>
          <w:lang w:val="ro-RO"/>
        </w:rPr>
      </w:pPr>
    </w:p>
    <w:p w:rsidR="005B79D7" w:rsidRDefault="005B79D7" w:rsidP="005B79D7">
      <w:pPr>
        <w:rPr>
          <w:caps/>
          <w:sz w:val="21"/>
          <w:szCs w:val="21"/>
          <w:lang w:val="ro-RO"/>
        </w:rPr>
      </w:pPr>
    </w:p>
    <w:p w:rsidR="005B79D7" w:rsidRDefault="005B79D7" w:rsidP="005B79D7">
      <w:pPr>
        <w:rPr>
          <w:caps/>
          <w:sz w:val="21"/>
          <w:szCs w:val="21"/>
          <w:lang w:val="ro-RO"/>
        </w:rPr>
        <w:sectPr w:rsidR="005B79D7" w:rsidSect="005B79D7">
          <w:headerReference w:type="default" r:id="rId23"/>
          <w:type w:val="continuous"/>
          <w:pgSz w:w="11907" w:h="16840" w:code="9"/>
          <w:pgMar w:top="-1134" w:right="709" w:bottom="1729" w:left="907" w:header="357" w:footer="567" w:gutter="0"/>
          <w:pgBorders w:offsetFrom="page">
            <w:top w:val="single" w:sz="4" w:space="24" w:color="auto"/>
            <w:left w:val="single" w:sz="4" w:space="24" w:color="auto"/>
            <w:bottom w:val="single" w:sz="4" w:space="24" w:color="auto"/>
            <w:right w:val="single" w:sz="4" w:space="24" w:color="auto"/>
          </w:pgBorders>
          <w:cols w:space="187"/>
          <w:docGrid w:linePitch="360"/>
        </w:sectPr>
      </w:pPr>
    </w:p>
    <w:p w:rsidR="00361223" w:rsidRDefault="00C905F7">
      <w:pPr>
        <w:rPr>
          <w:rFonts w:cs="Arial"/>
          <w:b/>
          <w:color w:val="9E0880"/>
          <w:sz w:val="22"/>
          <w:szCs w:val="22"/>
          <w:lang w:val="ro-RO"/>
        </w:rPr>
      </w:pPr>
      <w:r>
        <w:rPr>
          <w:rFonts w:cs="Arial"/>
          <w:b/>
          <w:color w:val="9E0880"/>
          <w:sz w:val="22"/>
          <w:szCs w:val="22"/>
          <w:lang w:val="ro-RO"/>
        </w:rPr>
        <w:lastRenderedPageBreak/>
        <w:t>The way the Master Plan fulfills the ex-ante conditionalities defines in the reference document</w:t>
      </w:r>
    </w:p>
    <w:p w:rsidR="0059217C" w:rsidRPr="00EF7388" w:rsidRDefault="00DE269D">
      <w:pPr>
        <w:rPr>
          <w:rFonts w:cs="Arial"/>
          <w:b/>
          <w:color w:val="9E0880"/>
          <w:sz w:val="22"/>
          <w:szCs w:val="22"/>
          <w:lang w:val="ro-RO"/>
        </w:rPr>
      </w:pPr>
      <w:r w:rsidRPr="00EF7388">
        <w:rPr>
          <w:rFonts w:cs="Arial"/>
          <w:b/>
          <w:color w:val="9E0880"/>
          <w:sz w:val="22"/>
          <w:szCs w:val="22"/>
          <w:lang w:val="ro-RO"/>
        </w:rPr>
        <w:t>EUROPEAN COMMISSION, Directorate-General- Regional and Urban Policy, DRAFT -“Guidance on Ex ante Conditionality for the European Structural and Investment Funds”, PART II, “Criteria for fulfilment</w:t>
      </w:r>
    </w:p>
    <w:tbl>
      <w:tblPr>
        <w:tblStyle w:val="TableGrid"/>
        <w:tblW w:w="5000" w:type="pct"/>
        <w:tblLayout w:type="fixed"/>
        <w:tblLook w:val="04A0" w:firstRow="1" w:lastRow="0" w:firstColumn="1" w:lastColumn="0" w:noHBand="0" w:noVBand="1"/>
      </w:tblPr>
      <w:tblGrid>
        <w:gridCol w:w="9014"/>
        <w:gridCol w:w="1077"/>
        <w:gridCol w:w="4697"/>
      </w:tblGrid>
      <w:tr w:rsidR="00361223" w:rsidRPr="002742DE" w:rsidTr="00EF7388">
        <w:trPr>
          <w:trHeight w:val="544"/>
          <w:tblHeader/>
        </w:trPr>
        <w:tc>
          <w:tcPr>
            <w:tcW w:w="3048" w:type="pct"/>
            <w:vMerge w:val="restart"/>
            <w:shd w:val="clear" w:color="auto" w:fill="B8CCE4" w:themeFill="accent1" w:themeFillTint="66"/>
            <w:vAlign w:val="center"/>
          </w:tcPr>
          <w:p w:rsidR="00361223" w:rsidRPr="002742DE" w:rsidRDefault="00361223" w:rsidP="00DE269D">
            <w:pPr>
              <w:spacing w:line="222" w:lineRule="exact"/>
              <w:jc w:val="center"/>
              <w:rPr>
                <w:rFonts w:cs="Arial"/>
                <w:b/>
                <w:sz w:val="20"/>
                <w:szCs w:val="20"/>
              </w:rPr>
            </w:pPr>
            <w:r w:rsidRPr="002742DE">
              <w:rPr>
                <w:rFonts w:cs="Arial"/>
                <w:b/>
                <w:sz w:val="20"/>
                <w:szCs w:val="20"/>
              </w:rPr>
              <w:t>Criteria for fulfilment</w:t>
            </w:r>
          </w:p>
        </w:tc>
        <w:tc>
          <w:tcPr>
            <w:tcW w:w="1952" w:type="pct"/>
            <w:gridSpan w:val="2"/>
            <w:shd w:val="clear" w:color="auto" w:fill="B8CCE4" w:themeFill="accent1" w:themeFillTint="66"/>
            <w:vAlign w:val="center"/>
          </w:tcPr>
          <w:p w:rsidR="00361223" w:rsidRPr="002742DE" w:rsidRDefault="00361223" w:rsidP="00DE269D">
            <w:pPr>
              <w:spacing w:before="39"/>
              <w:ind w:left="642" w:right="-20"/>
              <w:jc w:val="center"/>
              <w:rPr>
                <w:rFonts w:cs="Arial"/>
                <w:b/>
                <w:sz w:val="20"/>
                <w:szCs w:val="20"/>
              </w:rPr>
            </w:pPr>
            <w:r w:rsidRPr="002742DE">
              <w:rPr>
                <w:rFonts w:cs="Arial"/>
                <w:b/>
                <w:sz w:val="20"/>
                <w:szCs w:val="20"/>
              </w:rPr>
              <w:t>Criteria fulfilled?</w:t>
            </w:r>
          </w:p>
        </w:tc>
      </w:tr>
      <w:tr w:rsidR="00361223" w:rsidRPr="002742DE" w:rsidTr="00EF7388">
        <w:trPr>
          <w:trHeight w:val="759"/>
          <w:tblHeader/>
        </w:trPr>
        <w:tc>
          <w:tcPr>
            <w:tcW w:w="3048" w:type="pct"/>
            <w:vMerge/>
            <w:shd w:val="clear" w:color="auto" w:fill="B8CCE4" w:themeFill="accent1" w:themeFillTint="66"/>
            <w:vAlign w:val="center"/>
          </w:tcPr>
          <w:p w:rsidR="00361223" w:rsidRPr="002742DE" w:rsidRDefault="00361223" w:rsidP="00DE269D">
            <w:pPr>
              <w:spacing w:line="222" w:lineRule="exact"/>
              <w:jc w:val="center"/>
              <w:rPr>
                <w:rFonts w:cs="Arial"/>
                <w:b/>
                <w:sz w:val="20"/>
                <w:szCs w:val="20"/>
              </w:rPr>
            </w:pPr>
          </w:p>
        </w:tc>
        <w:tc>
          <w:tcPr>
            <w:tcW w:w="364" w:type="pct"/>
            <w:shd w:val="clear" w:color="auto" w:fill="B8CCE4" w:themeFill="accent1" w:themeFillTint="66"/>
            <w:vAlign w:val="center"/>
          </w:tcPr>
          <w:p w:rsidR="00361223" w:rsidRPr="002742DE" w:rsidRDefault="00361223" w:rsidP="00DE269D">
            <w:pPr>
              <w:spacing w:before="39"/>
              <w:ind w:right="-20"/>
              <w:jc w:val="center"/>
              <w:rPr>
                <w:rFonts w:cs="Arial"/>
                <w:b/>
                <w:sz w:val="20"/>
                <w:szCs w:val="20"/>
              </w:rPr>
            </w:pPr>
            <w:r w:rsidRPr="002742DE">
              <w:rPr>
                <w:rFonts w:cs="Arial"/>
                <w:b/>
                <w:sz w:val="20"/>
                <w:szCs w:val="20"/>
              </w:rPr>
              <w:t>YES / NO</w:t>
            </w:r>
          </w:p>
        </w:tc>
        <w:tc>
          <w:tcPr>
            <w:tcW w:w="1589" w:type="pct"/>
            <w:shd w:val="clear" w:color="auto" w:fill="B8CCE4" w:themeFill="accent1" w:themeFillTint="66"/>
            <w:vAlign w:val="center"/>
          </w:tcPr>
          <w:p w:rsidR="00361223" w:rsidRPr="002742DE" w:rsidRDefault="00361223" w:rsidP="00DE269D">
            <w:pPr>
              <w:spacing w:before="39"/>
              <w:ind w:left="642" w:right="-20"/>
              <w:jc w:val="center"/>
              <w:rPr>
                <w:rFonts w:cs="Arial"/>
                <w:b/>
                <w:sz w:val="20"/>
                <w:szCs w:val="20"/>
              </w:rPr>
            </w:pPr>
            <w:r w:rsidRPr="002742DE">
              <w:rPr>
                <w:rFonts w:cs="Arial"/>
                <w:b/>
                <w:sz w:val="20"/>
                <w:szCs w:val="20"/>
              </w:rPr>
              <w:t>Elements of non-fulfilment</w:t>
            </w:r>
          </w:p>
        </w:tc>
      </w:tr>
      <w:tr w:rsidR="00361223" w:rsidRPr="002A1C7F" w:rsidTr="00EF7388">
        <w:tc>
          <w:tcPr>
            <w:tcW w:w="3048" w:type="pct"/>
            <w:vAlign w:val="center"/>
          </w:tcPr>
          <w:p w:rsidR="00361223" w:rsidRPr="002A1C7F" w:rsidRDefault="00361223" w:rsidP="00DE269D">
            <w:pPr>
              <w:spacing w:line="222" w:lineRule="exact"/>
              <w:rPr>
                <w:rFonts w:cs="Arial"/>
                <w:b/>
                <w:sz w:val="20"/>
                <w:szCs w:val="20"/>
              </w:rPr>
            </w:pP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34"/>
                <w:sz w:val="20"/>
                <w:szCs w:val="20"/>
              </w:rPr>
              <w:t xml:space="preserve"> </w:t>
            </w:r>
            <w:r w:rsidRPr="002A1C7F">
              <w:rPr>
                <w:rFonts w:cs="Arial"/>
                <w:b/>
                <w:i/>
                <w:sz w:val="20"/>
                <w:szCs w:val="20"/>
              </w:rPr>
              <w:t>e</w:t>
            </w:r>
            <w:r w:rsidRPr="002A1C7F">
              <w:rPr>
                <w:rFonts w:cs="Arial"/>
                <w:b/>
                <w:i/>
                <w:spacing w:val="1"/>
                <w:sz w:val="20"/>
                <w:szCs w:val="20"/>
              </w:rPr>
              <w:t>x</w:t>
            </w:r>
            <w:r w:rsidRPr="002A1C7F">
              <w:rPr>
                <w:rFonts w:cs="Arial"/>
                <w:b/>
                <w:i/>
                <w:sz w:val="20"/>
                <w:szCs w:val="20"/>
              </w:rPr>
              <w:t>i</w:t>
            </w:r>
            <w:r w:rsidRPr="002A1C7F">
              <w:rPr>
                <w:rFonts w:cs="Arial"/>
                <w:b/>
                <w:i/>
                <w:spacing w:val="-1"/>
                <w:sz w:val="20"/>
                <w:szCs w:val="20"/>
              </w:rPr>
              <w:t>s</w:t>
            </w:r>
            <w:r w:rsidRPr="002A1C7F">
              <w:rPr>
                <w:rFonts w:cs="Arial"/>
                <w:b/>
                <w:i/>
                <w:sz w:val="20"/>
                <w:szCs w:val="20"/>
              </w:rPr>
              <w:t>t</w:t>
            </w:r>
            <w:r w:rsidRPr="002A1C7F">
              <w:rPr>
                <w:rFonts w:cs="Arial"/>
                <w:b/>
                <w:i/>
                <w:spacing w:val="1"/>
                <w:sz w:val="20"/>
                <w:szCs w:val="20"/>
              </w:rPr>
              <w:t>en</w:t>
            </w:r>
            <w:r w:rsidRPr="002A1C7F">
              <w:rPr>
                <w:rFonts w:cs="Arial"/>
                <w:b/>
                <w:i/>
                <w:sz w:val="20"/>
                <w:szCs w:val="20"/>
              </w:rPr>
              <w:t>ce</w:t>
            </w:r>
            <w:r w:rsidRPr="002A1C7F">
              <w:rPr>
                <w:rFonts w:cs="Arial"/>
                <w:b/>
                <w:i/>
                <w:spacing w:val="30"/>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34"/>
                <w:sz w:val="20"/>
                <w:szCs w:val="20"/>
              </w:rPr>
              <w:t xml:space="preserve"> </w:t>
            </w:r>
            <w:r w:rsidRPr="002A1C7F">
              <w:rPr>
                <w:rFonts w:cs="Arial"/>
                <w:b/>
                <w:i/>
                <w:sz w:val="20"/>
                <w:szCs w:val="20"/>
              </w:rPr>
              <w:t>a</w:t>
            </w:r>
            <w:r w:rsidRPr="002A1C7F">
              <w:rPr>
                <w:rFonts w:cs="Arial"/>
                <w:b/>
                <w:i/>
                <w:spacing w:val="34"/>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h</w:t>
            </w:r>
            <w:r w:rsidRPr="002A1C7F">
              <w:rPr>
                <w:rFonts w:cs="Arial"/>
                <w:b/>
                <w:i/>
                <w:spacing w:val="-2"/>
                <w:sz w:val="20"/>
                <w:szCs w:val="20"/>
              </w:rPr>
              <w:t>e</w:t>
            </w:r>
            <w:r w:rsidRPr="002A1C7F">
              <w:rPr>
                <w:rFonts w:cs="Arial"/>
                <w:b/>
                <w:i/>
                <w:spacing w:val="1"/>
                <w:sz w:val="20"/>
                <w:szCs w:val="20"/>
              </w:rPr>
              <w:t>n</w:t>
            </w:r>
            <w:r w:rsidRPr="002A1C7F">
              <w:rPr>
                <w:rFonts w:cs="Arial"/>
                <w:b/>
                <w:i/>
                <w:spacing w:val="-1"/>
                <w:sz w:val="20"/>
                <w:szCs w:val="20"/>
              </w:rPr>
              <w:t>s</w:t>
            </w:r>
            <w:r w:rsidRPr="002A1C7F">
              <w:rPr>
                <w:rFonts w:cs="Arial"/>
                <w:b/>
                <w:i/>
                <w:sz w:val="20"/>
                <w:szCs w:val="20"/>
              </w:rPr>
              <w:t>ive</w:t>
            </w:r>
            <w:r w:rsidRPr="002A1C7F">
              <w:rPr>
                <w:rFonts w:cs="Arial"/>
                <w:b/>
                <w:i/>
                <w:spacing w:val="25"/>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1"/>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w:t>
            </w:r>
            <w:r w:rsidRPr="002A1C7F">
              <w:rPr>
                <w:rFonts w:cs="Arial"/>
                <w:b/>
                <w:i/>
                <w:spacing w:val="29"/>
                <w:sz w:val="20"/>
                <w:szCs w:val="20"/>
              </w:rPr>
              <w:t xml:space="preserve"> </w:t>
            </w:r>
            <w:r w:rsidRPr="002A1C7F">
              <w:rPr>
                <w:rFonts w:cs="Arial"/>
                <w:b/>
                <w:i/>
                <w:spacing w:val="1"/>
                <w:sz w:val="20"/>
                <w:szCs w:val="20"/>
              </w:rPr>
              <w:t>p</w:t>
            </w:r>
            <w:r w:rsidRPr="002A1C7F">
              <w:rPr>
                <w:rFonts w:cs="Arial"/>
                <w:b/>
                <w:i/>
                <w:sz w:val="20"/>
                <w:szCs w:val="20"/>
              </w:rPr>
              <w:t>l</w:t>
            </w:r>
            <w:r w:rsidRPr="002A1C7F">
              <w:rPr>
                <w:rFonts w:cs="Arial"/>
                <w:b/>
                <w:i/>
                <w:spacing w:val="1"/>
                <w:sz w:val="20"/>
                <w:szCs w:val="20"/>
              </w:rPr>
              <w:t>a</w:t>
            </w:r>
            <w:r w:rsidRPr="002A1C7F">
              <w:rPr>
                <w:rFonts w:cs="Arial"/>
                <w:b/>
                <w:i/>
                <w:sz w:val="20"/>
                <w:szCs w:val="20"/>
              </w:rPr>
              <w:t>n</w:t>
            </w:r>
            <w:r w:rsidRPr="002A1C7F">
              <w:rPr>
                <w:rFonts w:cs="Arial"/>
                <w:b/>
                <w:i/>
                <w:spacing w:val="35"/>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pacing w:val="1"/>
                <w:sz w:val="20"/>
                <w:szCs w:val="20"/>
              </w:rPr>
              <w:t>p</w:t>
            </w:r>
            <w:r w:rsidRPr="002A1C7F">
              <w:rPr>
                <w:rFonts w:cs="Arial"/>
                <w:b/>
                <w:i/>
                <w:sz w:val="20"/>
                <w:szCs w:val="20"/>
              </w:rPr>
              <w:t>l</w:t>
            </w:r>
            <w:r w:rsidRPr="002A1C7F">
              <w:rPr>
                <w:rFonts w:cs="Arial"/>
                <w:b/>
                <w:i/>
                <w:spacing w:val="-1"/>
                <w:sz w:val="20"/>
                <w:szCs w:val="20"/>
              </w:rPr>
              <w:t>an</w:t>
            </w:r>
            <w:r w:rsidRPr="002A1C7F">
              <w:rPr>
                <w:rFonts w:cs="Arial"/>
                <w:b/>
                <w:i/>
                <w:sz w:val="20"/>
                <w:szCs w:val="20"/>
              </w:rPr>
              <w:t>s</w:t>
            </w:r>
            <w:r w:rsidRPr="002A1C7F">
              <w:rPr>
                <w:rFonts w:cs="Arial"/>
                <w:b/>
                <w:i/>
                <w:spacing w:val="32"/>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z w:val="20"/>
                <w:szCs w:val="20"/>
              </w:rPr>
              <w:t>f</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mew</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28"/>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5"/>
                <w:sz w:val="20"/>
                <w:szCs w:val="20"/>
              </w:rPr>
              <w:t xml:space="preserve"> </w:t>
            </w:r>
            <w:r w:rsidRPr="002A1C7F">
              <w:rPr>
                <w:rFonts w:cs="Arial"/>
                <w:b/>
                <w:i/>
                <w:sz w:val="20"/>
                <w:szCs w:val="20"/>
              </w:rPr>
              <w:t>f</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mew</w:t>
            </w:r>
            <w:r w:rsidRPr="002A1C7F">
              <w:rPr>
                <w:rFonts w:cs="Arial"/>
                <w:b/>
                <w:i/>
                <w:spacing w:val="1"/>
                <w:sz w:val="20"/>
                <w:szCs w:val="20"/>
              </w:rPr>
              <w:t>o</w:t>
            </w:r>
            <w:r w:rsidRPr="002A1C7F">
              <w:rPr>
                <w:rFonts w:cs="Arial"/>
                <w:b/>
                <w:i/>
                <w:spacing w:val="2"/>
                <w:sz w:val="20"/>
                <w:szCs w:val="20"/>
              </w:rPr>
              <w:t>r</w:t>
            </w:r>
            <w:r w:rsidRPr="002A1C7F">
              <w:rPr>
                <w:rFonts w:cs="Arial"/>
                <w:b/>
                <w:i/>
                <w:sz w:val="20"/>
                <w:szCs w:val="20"/>
              </w:rPr>
              <w:t>ks</w:t>
            </w:r>
            <w:r w:rsidRPr="002A1C7F">
              <w:rPr>
                <w:rFonts w:cs="Arial"/>
                <w:b/>
                <w:i/>
                <w:spacing w:val="27"/>
                <w:sz w:val="20"/>
                <w:szCs w:val="20"/>
              </w:rPr>
              <w:t xml:space="preserve"> </w:t>
            </w:r>
            <w:r w:rsidRPr="002A1C7F">
              <w:rPr>
                <w:rFonts w:cs="Arial"/>
                <w:b/>
                <w:i/>
                <w:sz w:val="20"/>
                <w:szCs w:val="20"/>
              </w:rPr>
              <w:t>f</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1"/>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 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tme</w:t>
            </w:r>
            <w:r w:rsidRPr="002A1C7F">
              <w:rPr>
                <w:rFonts w:cs="Arial"/>
                <w:b/>
                <w:i/>
                <w:spacing w:val="1"/>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w</w:t>
            </w:r>
            <w:r w:rsidRPr="002A1C7F">
              <w:rPr>
                <w:rFonts w:cs="Arial"/>
                <w:b/>
                <w:i/>
                <w:spacing w:val="1"/>
                <w:sz w:val="20"/>
                <w:szCs w:val="20"/>
              </w:rPr>
              <w:t>h</w:t>
            </w:r>
            <w:r w:rsidRPr="002A1C7F">
              <w:rPr>
                <w:rFonts w:cs="Arial"/>
                <w:b/>
                <w:i/>
                <w:sz w:val="20"/>
                <w:szCs w:val="20"/>
              </w:rPr>
              <w:t>ic</w:t>
            </w:r>
            <w:r w:rsidRPr="002A1C7F">
              <w:rPr>
                <w:rFonts w:cs="Arial"/>
                <w:b/>
                <w:i/>
                <w:spacing w:val="1"/>
                <w:sz w:val="20"/>
                <w:szCs w:val="20"/>
              </w:rPr>
              <w:t>h</w:t>
            </w:r>
            <w:r w:rsidRPr="002A1C7F">
              <w:rPr>
                <w:rFonts w:cs="Arial"/>
                <w:b/>
                <w:i/>
                <w:sz w:val="20"/>
                <w:szCs w:val="20"/>
              </w:rPr>
              <w:t>:</w:t>
            </w:r>
          </w:p>
        </w:tc>
        <w:tc>
          <w:tcPr>
            <w:tcW w:w="364" w:type="pct"/>
            <w:vAlign w:val="center"/>
          </w:tcPr>
          <w:p w:rsidR="00361223" w:rsidRPr="002A1C7F" w:rsidRDefault="00361223" w:rsidP="00DE269D">
            <w:pPr>
              <w:spacing w:line="222" w:lineRule="exact"/>
              <w:jc w:val="center"/>
              <w:rPr>
                <w:rFonts w:cs="Arial"/>
                <w:b/>
                <w:sz w:val="20"/>
                <w:szCs w:val="20"/>
              </w:rPr>
            </w:pPr>
          </w:p>
        </w:tc>
        <w:tc>
          <w:tcPr>
            <w:tcW w:w="1589" w:type="pct"/>
            <w:vAlign w:val="center"/>
          </w:tcPr>
          <w:p w:rsidR="00361223" w:rsidRPr="002A1C7F" w:rsidRDefault="00361223" w:rsidP="00DE269D">
            <w:pPr>
              <w:spacing w:line="222" w:lineRule="exact"/>
              <w:rPr>
                <w:rFonts w:cs="Arial"/>
                <w:b/>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820"/>
              </w:tabs>
              <w:spacing w:before="60" w:line="240" w:lineRule="auto"/>
              <w:contextualSpacing/>
              <w:jc w:val="left"/>
            </w:pPr>
            <w:r w:rsidRPr="002742DE">
              <w:rPr>
                <w:spacing w:val="3"/>
              </w:rPr>
              <w:t>T</w:t>
            </w:r>
            <w:r w:rsidRPr="002742DE">
              <w:rPr>
                <w:spacing w:val="-1"/>
              </w:rPr>
              <w:t>h</w:t>
            </w:r>
            <w:r w:rsidRPr="002742DE">
              <w:t>e</w:t>
            </w:r>
            <w:r w:rsidRPr="002742DE">
              <w:rPr>
                <w:spacing w:val="7"/>
              </w:rPr>
              <w:t xml:space="preserve"> </w:t>
            </w:r>
            <w:r w:rsidRPr="002742DE">
              <w:rPr>
                <w:spacing w:val="1"/>
              </w:rPr>
              <w:t>r</w:t>
            </w:r>
            <w:r w:rsidRPr="002742DE">
              <w:t>ele</w:t>
            </w:r>
            <w:r w:rsidRPr="002742DE">
              <w:rPr>
                <w:spacing w:val="-1"/>
              </w:rPr>
              <w:t>v</w:t>
            </w:r>
            <w:r w:rsidRPr="002742DE">
              <w:t>a</w:t>
            </w:r>
            <w:r w:rsidRPr="002742DE">
              <w:rPr>
                <w:spacing w:val="-1"/>
              </w:rPr>
              <w:t>n</w:t>
            </w:r>
            <w:r w:rsidRPr="002742DE">
              <w:t>t</w:t>
            </w:r>
            <w:r w:rsidRPr="002742DE">
              <w:rPr>
                <w:spacing w:val="4"/>
              </w:rPr>
              <w:t xml:space="preserve"> </w:t>
            </w:r>
            <w:r w:rsidRPr="002742DE">
              <w:rPr>
                <w:spacing w:val="1"/>
              </w:rPr>
              <w:t>op</w:t>
            </w:r>
            <w:r w:rsidRPr="002742DE">
              <w:t>e</w:t>
            </w:r>
            <w:r w:rsidRPr="002742DE">
              <w:rPr>
                <w:spacing w:val="1"/>
              </w:rPr>
              <w:t>r</w:t>
            </w:r>
            <w:r w:rsidRPr="002742DE">
              <w:t>ati</w:t>
            </w:r>
            <w:r w:rsidRPr="002742DE">
              <w:rPr>
                <w:spacing w:val="1"/>
              </w:rPr>
              <w:t>o</w:t>
            </w:r>
            <w:r w:rsidRPr="002742DE">
              <w:rPr>
                <w:spacing w:val="-1"/>
              </w:rPr>
              <w:t>n</w:t>
            </w:r>
            <w:r w:rsidRPr="002742DE">
              <w:t>al</w:t>
            </w:r>
            <w:r w:rsidRPr="002742DE">
              <w:rPr>
                <w:spacing w:val="1"/>
              </w:rPr>
              <w:t xml:space="preserve"> pro</w:t>
            </w:r>
            <w:r w:rsidRPr="002742DE">
              <w:rPr>
                <w:spacing w:val="-1"/>
              </w:rPr>
              <w:t>g</w:t>
            </w:r>
            <w:r w:rsidRPr="002742DE">
              <w:rPr>
                <w:spacing w:val="1"/>
              </w:rPr>
              <w:t>r</w:t>
            </w:r>
            <w:r w:rsidRPr="002742DE">
              <w:rPr>
                <w:spacing w:val="3"/>
              </w:rPr>
              <w:t>a</w:t>
            </w:r>
            <w:r w:rsidRPr="002742DE">
              <w:rPr>
                <w:spacing w:val="-1"/>
              </w:rPr>
              <w:t>m</w:t>
            </w:r>
            <w:r w:rsidRPr="002742DE">
              <w:rPr>
                <w:spacing w:val="-4"/>
              </w:rPr>
              <w:t>m</w:t>
            </w:r>
            <w:r w:rsidRPr="002742DE">
              <w:t>e</w:t>
            </w:r>
            <w:r w:rsidRPr="002742DE">
              <w:rPr>
                <w:spacing w:val="5"/>
              </w:rPr>
              <w:t xml:space="preserve"> </w:t>
            </w:r>
            <w:r w:rsidRPr="002742DE">
              <w:rPr>
                <w:spacing w:val="3"/>
              </w:rPr>
              <w:t>a</w:t>
            </w:r>
            <w:r w:rsidRPr="002742DE">
              <w:rPr>
                <w:spacing w:val="-1"/>
              </w:rPr>
              <w:t>n</w:t>
            </w:r>
            <w:r w:rsidRPr="002742DE">
              <w:t>d</w:t>
            </w:r>
            <w:r w:rsidRPr="002742DE">
              <w:rPr>
                <w:spacing w:val="10"/>
              </w:rPr>
              <w:t xml:space="preserve"> </w:t>
            </w:r>
            <w:r w:rsidRPr="002742DE">
              <w:rPr>
                <w:spacing w:val="-2"/>
              </w:rPr>
              <w:t>w</w:t>
            </w:r>
            <w:r w:rsidRPr="002742DE">
              <w:rPr>
                <w:spacing w:val="-1"/>
              </w:rPr>
              <w:t>h</w:t>
            </w:r>
            <w:r w:rsidRPr="002742DE">
              <w:t>e</w:t>
            </w:r>
            <w:r w:rsidRPr="002742DE">
              <w:rPr>
                <w:spacing w:val="1"/>
              </w:rPr>
              <w:t>r</w:t>
            </w:r>
            <w:r w:rsidRPr="002742DE">
              <w:t>e</w:t>
            </w:r>
            <w:r w:rsidRPr="002742DE">
              <w:rPr>
                <w:spacing w:val="5"/>
              </w:rPr>
              <w:t xml:space="preserve"> </w:t>
            </w:r>
            <w:r w:rsidRPr="002742DE">
              <w:t>a</w:t>
            </w:r>
            <w:r w:rsidRPr="002742DE">
              <w:rPr>
                <w:spacing w:val="1"/>
              </w:rPr>
              <w:t>ppropr</w:t>
            </w:r>
            <w:r w:rsidRPr="002742DE">
              <w:t>iat</w:t>
            </w:r>
            <w:r w:rsidRPr="002742DE">
              <w:rPr>
                <w:spacing w:val="-2"/>
              </w:rPr>
              <w:t>e</w:t>
            </w:r>
            <w:r w:rsidRPr="002742DE">
              <w:t>, t</w:t>
            </w:r>
            <w:r w:rsidRPr="002742DE">
              <w:rPr>
                <w:spacing w:val="-1"/>
              </w:rPr>
              <w:t>h</w:t>
            </w:r>
            <w:r w:rsidRPr="002742DE">
              <w:t>e</w:t>
            </w:r>
            <w:r w:rsidRPr="002742DE">
              <w:rPr>
                <w:spacing w:val="8"/>
              </w:rPr>
              <w:t xml:space="preserve"> </w:t>
            </w:r>
            <w:r w:rsidRPr="002742DE">
              <w:rPr>
                <w:spacing w:val="2"/>
              </w:rPr>
              <w:t>P</w:t>
            </w:r>
            <w:r w:rsidRPr="002742DE">
              <w:t>a</w:t>
            </w:r>
            <w:r w:rsidRPr="002742DE">
              <w:rPr>
                <w:spacing w:val="1"/>
              </w:rPr>
              <w:t>r</w:t>
            </w:r>
            <w:r w:rsidRPr="002742DE">
              <w:t>t</w:t>
            </w:r>
            <w:r w:rsidRPr="002742DE">
              <w:rPr>
                <w:spacing w:val="-1"/>
              </w:rPr>
              <w:t>n</w:t>
            </w:r>
            <w:r w:rsidRPr="002742DE">
              <w:t>e</w:t>
            </w:r>
            <w:r w:rsidRPr="002742DE">
              <w:rPr>
                <w:spacing w:val="1"/>
              </w:rPr>
              <w:t>r</w:t>
            </w:r>
            <w:r w:rsidRPr="002742DE">
              <w:rPr>
                <w:spacing w:val="-1"/>
              </w:rPr>
              <w:t>sh</w:t>
            </w:r>
            <w:r w:rsidRPr="002742DE">
              <w:t>ip</w:t>
            </w:r>
            <w:r w:rsidRPr="002742DE">
              <w:rPr>
                <w:spacing w:val="4"/>
              </w:rPr>
              <w:t xml:space="preserve"> </w:t>
            </w:r>
            <w:r w:rsidRPr="002742DE">
              <w:rPr>
                <w:spacing w:val="-2"/>
              </w:rPr>
              <w:t>A</w:t>
            </w:r>
            <w:r w:rsidRPr="002742DE">
              <w:rPr>
                <w:spacing w:val="-1"/>
              </w:rPr>
              <w:t>g</w:t>
            </w:r>
            <w:r w:rsidRPr="002742DE">
              <w:rPr>
                <w:spacing w:val="1"/>
              </w:rPr>
              <w:t>r</w:t>
            </w:r>
            <w:r w:rsidRPr="002742DE">
              <w:t>e</w:t>
            </w:r>
            <w:r w:rsidRPr="002742DE">
              <w:rPr>
                <w:spacing w:val="3"/>
              </w:rPr>
              <w:t>e</w:t>
            </w:r>
            <w:r w:rsidRPr="002742DE">
              <w:rPr>
                <w:spacing w:val="-1"/>
              </w:rPr>
              <w:t>m</w:t>
            </w:r>
            <w:r w:rsidRPr="002742DE">
              <w:rPr>
                <w:spacing w:val="3"/>
              </w:rPr>
              <w:t>e</w:t>
            </w:r>
            <w:r w:rsidRPr="002742DE">
              <w:rPr>
                <w:spacing w:val="-1"/>
              </w:rPr>
              <w:t>n</w:t>
            </w:r>
            <w:r w:rsidRPr="002742DE">
              <w:t>t</w:t>
            </w:r>
            <w:r w:rsidRPr="002742DE">
              <w:rPr>
                <w:spacing w:val="6"/>
              </w:rPr>
              <w:t xml:space="preserve"> </w:t>
            </w:r>
            <w:r w:rsidRPr="002742DE">
              <w:rPr>
                <w:spacing w:val="3"/>
              </w:rPr>
              <w:t>c</w:t>
            </w:r>
            <w:r w:rsidRPr="002742DE">
              <w:rPr>
                <w:spacing w:val="1"/>
              </w:rPr>
              <w:t>o</w:t>
            </w:r>
            <w:r w:rsidRPr="002742DE">
              <w:rPr>
                <w:spacing w:val="-1"/>
              </w:rPr>
              <w:t>n</w:t>
            </w:r>
            <w:r w:rsidRPr="002742DE">
              <w:t>tai</w:t>
            </w:r>
            <w:r w:rsidRPr="002742DE">
              <w:rPr>
                <w:spacing w:val="1"/>
              </w:rPr>
              <w:t>n</w:t>
            </w:r>
            <w:r w:rsidRPr="002742DE">
              <w:t xml:space="preserve">s a </w:t>
            </w:r>
            <w:r w:rsidRPr="002742DE">
              <w:rPr>
                <w:spacing w:val="1"/>
              </w:rPr>
              <w:t>r</w:t>
            </w:r>
            <w:r w:rsidRPr="002742DE">
              <w:t>e</w:t>
            </w:r>
            <w:r w:rsidRPr="002742DE">
              <w:rPr>
                <w:spacing w:val="-1"/>
              </w:rPr>
              <w:t>f</w:t>
            </w:r>
            <w:r w:rsidRPr="002742DE">
              <w:t>e</w:t>
            </w:r>
            <w:r w:rsidRPr="002742DE">
              <w:rPr>
                <w:spacing w:val="1"/>
              </w:rPr>
              <w:t>r</w:t>
            </w:r>
            <w:r w:rsidRPr="002742DE">
              <w:t>e</w:t>
            </w:r>
            <w:r w:rsidRPr="002742DE">
              <w:rPr>
                <w:spacing w:val="-1"/>
              </w:rPr>
              <w:t>n</w:t>
            </w:r>
            <w:r w:rsidRPr="002742DE">
              <w:t>ce</w:t>
            </w:r>
            <w:r w:rsidRPr="002742DE">
              <w:rPr>
                <w:spacing w:val="-6"/>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n</w:t>
            </w:r>
            <w:r w:rsidRPr="002742DE">
              <w:rPr>
                <w:spacing w:val="3"/>
              </w:rPr>
              <w:t>a</w:t>
            </w:r>
            <w:r w:rsidRPr="002742DE">
              <w:rPr>
                <w:spacing w:val="-4"/>
              </w:rPr>
              <w:t>m</w:t>
            </w:r>
            <w:r w:rsidRPr="002742DE">
              <w:t>e</w:t>
            </w:r>
            <w:r w:rsidRPr="002742DE">
              <w:rPr>
                <w:spacing w:val="-3"/>
              </w:rPr>
              <w:t xml:space="preserve"> </w:t>
            </w:r>
            <w:r w:rsidRPr="002742DE">
              <w:rPr>
                <w:spacing w:val="3"/>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k</w:t>
            </w:r>
            <w:r w:rsidRPr="002742DE">
              <w:rPr>
                <w:spacing w:val="-10"/>
              </w:rPr>
              <w:t xml:space="preserve"> </w:t>
            </w:r>
            <w:r w:rsidRPr="002742DE">
              <w:rPr>
                <w:spacing w:val="3"/>
              </w:rPr>
              <w:t>a</w:t>
            </w:r>
            <w:r w:rsidRPr="002742DE">
              <w:rPr>
                <w:spacing w:val="-1"/>
              </w:rPr>
              <w:t>n</w:t>
            </w:r>
            <w:r w:rsidRPr="002742DE">
              <w:t>d</w:t>
            </w:r>
            <w:r w:rsidRPr="002742DE">
              <w:rPr>
                <w:spacing w:val="4"/>
              </w:rPr>
              <w:t xml:space="preserve"> </w:t>
            </w:r>
            <w:r w:rsidRPr="002742DE">
              <w:rPr>
                <w:spacing w:val="1"/>
              </w:rPr>
              <w:t>pr</w:t>
            </w:r>
            <w:r w:rsidRPr="002742DE">
              <w:rPr>
                <w:spacing w:val="2"/>
              </w:rPr>
              <w:t>o</w:t>
            </w:r>
            <w:r w:rsidRPr="002742DE">
              <w:rPr>
                <w:spacing w:val="-1"/>
              </w:rPr>
              <w:t>v</w:t>
            </w:r>
            <w:r w:rsidRPr="002742DE">
              <w:t>i</w:t>
            </w:r>
            <w:r w:rsidRPr="002742DE">
              <w:rPr>
                <w:spacing w:val="1"/>
              </w:rPr>
              <w:t>d</w:t>
            </w:r>
            <w:r w:rsidRPr="002742DE">
              <w:t>es</w:t>
            </w:r>
            <w:r w:rsidRPr="002742DE">
              <w:rPr>
                <w:spacing w:val="-7"/>
              </w:rPr>
              <w:t xml:space="preserve"> </w:t>
            </w:r>
            <w:r w:rsidRPr="002742DE">
              <w:t xml:space="preserve">a </w:t>
            </w:r>
            <w:r w:rsidRPr="002742DE">
              <w:rPr>
                <w:spacing w:val="1"/>
              </w:rPr>
              <w:t>h</w:t>
            </w:r>
            <w:r w:rsidRPr="002742DE">
              <w:rPr>
                <w:spacing w:val="-4"/>
              </w:rPr>
              <w:t>y</w:t>
            </w:r>
            <w:r w:rsidRPr="002742DE">
              <w:rPr>
                <w:spacing w:val="1"/>
              </w:rPr>
              <w:t>p</w:t>
            </w:r>
            <w:r w:rsidRPr="002742DE">
              <w:t>e</w:t>
            </w:r>
            <w:r w:rsidRPr="002742DE">
              <w:rPr>
                <w:spacing w:val="1"/>
              </w:rPr>
              <w:t>r</w:t>
            </w:r>
            <w:r w:rsidRPr="002742DE">
              <w:t>l</w:t>
            </w:r>
            <w:r w:rsidRPr="002742DE">
              <w:rPr>
                <w:spacing w:val="2"/>
              </w:rPr>
              <w:t>i</w:t>
            </w:r>
            <w:r w:rsidRPr="002742DE">
              <w:rPr>
                <w:spacing w:val="-1"/>
              </w:rPr>
              <w:t>n</w:t>
            </w:r>
            <w:r w:rsidRPr="002742DE">
              <w:t>k</w:t>
            </w:r>
            <w:r w:rsidRPr="002742DE">
              <w:rPr>
                <w:spacing w:val="-9"/>
              </w:rPr>
              <w:t xml:space="preserve"> </w:t>
            </w:r>
            <w:r w:rsidRPr="002742DE">
              <w:t>to</w:t>
            </w:r>
            <w:r w:rsidRPr="002742DE">
              <w:rPr>
                <w:spacing w:val="-1"/>
              </w:rPr>
              <w:t xml:space="preserve"> </w:t>
            </w:r>
            <w:r w:rsidRPr="002742DE">
              <w:rPr>
                <w:spacing w:val="2"/>
              </w:rPr>
              <w:t>t</w:t>
            </w:r>
            <w:r w:rsidRPr="002742DE">
              <w:rPr>
                <w:spacing w:val="-1"/>
              </w:rPr>
              <w:t>h</w:t>
            </w:r>
            <w:r w:rsidRPr="002742DE">
              <w:t>e</w:t>
            </w:r>
            <w:r w:rsidRPr="002742DE">
              <w:rPr>
                <w:spacing w:val="-1"/>
              </w:rPr>
              <w:t xml:space="preserve"> </w:t>
            </w:r>
            <w:r w:rsidRPr="002742DE">
              <w:rPr>
                <w:spacing w:val="1"/>
              </w:rPr>
              <w:t>do</w:t>
            </w:r>
            <w:r w:rsidRPr="002742DE">
              <w:t>c</w:t>
            </w:r>
            <w:r w:rsidRPr="002742DE">
              <w:rPr>
                <w:spacing w:val="1"/>
              </w:rPr>
              <w:t>u</w:t>
            </w:r>
            <w:r w:rsidRPr="002742DE">
              <w:rPr>
                <w:spacing w:val="-4"/>
              </w:rPr>
              <w:t>m</w:t>
            </w:r>
            <w:r w:rsidRPr="002742DE">
              <w:rPr>
                <w:spacing w:val="3"/>
              </w:rPr>
              <w:t>e</w:t>
            </w:r>
            <w:r w:rsidRPr="002742DE">
              <w:rPr>
                <w:spacing w:val="1"/>
              </w:rPr>
              <w:t>n</w:t>
            </w:r>
            <w:r w:rsidRPr="002742DE">
              <w:t>t</w:t>
            </w:r>
            <w:r w:rsidRPr="002742DE">
              <w:rPr>
                <w:spacing w:val="-1"/>
              </w:rPr>
              <w:t>s</w:t>
            </w:r>
            <w:r w:rsidRPr="002742DE">
              <w:rPr>
                <w:spacing w:val="1"/>
              </w:rPr>
              <w:t>(</w:t>
            </w:r>
            <w:r w:rsidRPr="002742DE">
              <w:rPr>
                <w:spacing w:val="-1"/>
              </w:rPr>
              <w:t>s</w:t>
            </w:r>
            <w:r w:rsidRPr="002742DE">
              <w:rPr>
                <w:spacing w:val="1"/>
              </w:rPr>
              <w:t>)</w:t>
            </w:r>
            <w:r w:rsidRPr="002742DE">
              <w:t>.</w:t>
            </w:r>
          </w:p>
        </w:tc>
        <w:tc>
          <w:tcPr>
            <w:tcW w:w="364" w:type="pct"/>
            <w:vAlign w:val="center"/>
          </w:tcPr>
          <w:p w:rsidR="00361223" w:rsidRPr="002742DE" w:rsidRDefault="00361223" w:rsidP="00DE269D">
            <w:pPr>
              <w:tabs>
                <w:tab w:val="left" w:pos="820"/>
              </w:tabs>
              <w:spacing w:before="60"/>
              <w:jc w:val="center"/>
              <w:rPr>
                <w:rFonts w:eastAsia="Wingdings" w:cs="Arial"/>
                <w:sz w:val="20"/>
                <w:szCs w:val="20"/>
              </w:rPr>
            </w:pPr>
            <w:r>
              <w:rPr>
                <w:rFonts w:eastAsia="Wingdings" w:cs="Arial"/>
                <w:sz w:val="20"/>
                <w:szCs w:val="20"/>
              </w:rPr>
              <w:t>NO</w:t>
            </w:r>
          </w:p>
        </w:tc>
        <w:tc>
          <w:tcPr>
            <w:tcW w:w="1589" w:type="pct"/>
            <w:vAlign w:val="center"/>
          </w:tcPr>
          <w:p w:rsidR="00361223" w:rsidRPr="002742DE" w:rsidRDefault="00361223" w:rsidP="00DE269D">
            <w:pPr>
              <w:tabs>
                <w:tab w:val="left" w:pos="820"/>
              </w:tabs>
              <w:spacing w:before="60"/>
              <w:rPr>
                <w:rFonts w:eastAsia="Wingdings" w:cs="Arial"/>
                <w:sz w:val="20"/>
                <w:szCs w:val="20"/>
              </w:rPr>
            </w:pPr>
            <w:r w:rsidRPr="002742DE">
              <w:rPr>
                <w:rFonts w:cs="Arial"/>
                <w:sz w:val="20"/>
                <w:szCs w:val="20"/>
              </w:rPr>
              <w:t>Master Pl</w:t>
            </w:r>
            <w:r>
              <w:rPr>
                <w:rFonts w:cs="Arial"/>
                <w:sz w:val="20"/>
                <w:szCs w:val="20"/>
              </w:rPr>
              <w:t>an not yet approved</w:t>
            </w:r>
          </w:p>
        </w:tc>
      </w:tr>
      <w:tr w:rsidR="00361223" w:rsidRPr="002A1C7F" w:rsidTr="00EF7388">
        <w:tc>
          <w:tcPr>
            <w:tcW w:w="3048" w:type="pct"/>
            <w:vAlign w:val="center"/>
          </w:tcPr>
          <w:p w:rsidR="00361223" w:rsidRPr="002A1C7F" w:rsidRDefault="00361223" w:rsidP="00DE269D">
            <w:pPr>
              <w:tabs>
                <w:tab w:val="left" w:pos="460"/>
              </w:tabs>
              <w:spacing w:line="222" w:lineRule="exact"/>
              <w:rPr>
                <w:rFonts w:cs="Arial"/>
                <w:b/>
                <w:sz w:val="20"/>
                <w:szCs w:val="20"/>
              </w:rPr>
            </w:pPr>
            <w:r w:rsidRPr="002A1C7F">
              <w:rPr>
                <w:rFonts w:cs="Arial"/>
                <w:b/>
                <w:sz w:val="20"/>
                <w:szCs w:val="20"/>
              </w:rPr>
              <w:t>–</w:t>
            </w:r>
            <w:r w:rsidRPr="002A1C7F">
              <w:rPr>
                <w:rFonts w:cs="Arial"/>
                <w:b/>
                <w:sz w:val="20"/>
                <w:szCs w:val="20"/>
              </w:rPr>
              <w:tab/>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z w:val="20"/>
                <w:szCs w:val="20"/>
              </w:rPr>
              <w:t>lies</w:t>
            </w:r>
            <w:r w:rsidRPr="002A1C7F">
              <w:rPr>
                <w:rFonts w:cs="Arial"/>
                <w:b/>
                <w:i/>
                <w:spacing w:val="-7"/>
                <w:sz w:val="20"/>
                <w:szCs w:val="20"/>
              </w:rPr>
              <w:t xml:space="preserve"> </w:t>
            </w:r>
            <w:r w:rsidRPr="002A1C7F">
              <w:rPr>
                <w:rFonts w:cs="Arial"/>
                <w:b/>
                <w:i/>
                <w:spacing w:val="-1"/>
                <w:sz w:val="20"/>
                <w:szCs w:val="20"/>
              </w:rPr>
              <w:t>w</w:t>
            </w:r>
            <w:r w:rsidRPr="002A1C7F">
              <w:rPr>
                <w:rFonts w:cs="Arial"/>
                <w:b/>
                <w:i/>
                <w:sz w:val="20"/>
                <w:szCs w:val="20"/>
              </w:rPr>
              <w:t>ith</w:t>
            </w:r>
            <w:r w:rsidRPr="002A1C7F">
              <w:rPr>
                <w:rFonts w:cs="Arial"/>
                <w:b/>
                <w:i/>
                <w:spacing w:val="-1"/>
                <w:sz w:val="20"/>
                <w:szCs w:val="20"/>
              </w:rPr>
              <w:t xml:space="preserve"> </w:t>
            </w:r>
            <w:r w:rsidRPr="002A1C7F">
              <w:rPr>
                <w:rFonts w:cs="Arial"/>
                <w:b/>
                <w:i/>
                <w:sz w:val="20"/>
                <w:szCs w:val="20"/>
              </w:rPr>
              <w:t>le</w:t>
            </w:r>
            <w:r w:rsidRPr="002A1C7F">
              <w:rPr>
                <w:rFonts w:cs="Arial"/>
                <w:b/>
                <w:i/>
                <w:spacing w:val="1"/>
                <w:sz w:val="20"/>
                <w:szCs w:val="20"/>
              </w:rPr>
              <w:t>ga</w:t>
            </w:r>
            <w:r w:rsidRPr="002A1C7F">
              <w:rPr>
                <w:rFonts w:cs="Arial"/>
                <w:b/>
                <w:i/>
                <w:sz w:val="20"/>
                <w:szCs w:val="20"/>
              </w:rPr>
              <w:t>l</w:t>
            </w:r>
            <w:r w:rsidRPr="002A1C7F">
              <w:rPr>
                <w:rFonts w:cs="Arial"/>
                <w:b/>
                <w:i/>
                <w:spacing w:val="-4"/>
                <w:sz w:val="20"/>
                <w:szCs w:val="20"/>
              </w:rPr>
              <w:t xml:space="preserve"> </w:t>
            </w:r>
            <w:r w:rsidRPr="002A1C7F">
              <w:rPr>
                <w:rFonts w:cs="Arial"/>
                <w:b/>
                <w:i/>
                <w:sz w:val="20"/>
                <w:szCs w:val="20"/>
              </w:rPr>
              <w:t>re</w:t>
            </w:r>
            <w:r w:rsidRPr="002A1C7F">
              <w:rPr>
                <w:rFonts w:cs="Arial"/>
                <w:b/>
                <w:i/>
                <w:spacing w:val="1"/>
                <w:sz w:val="20"/>
                <w:szCs w:val="20"/>
              </w:rPr>
              <w:t>qu</w:t>
            </w:r>
            <w:r w:rsidRPr="002A1C7F">
              <w:rPr>
                <w:rFonts w:cs="Arial"/>
                <w:b/>
                <w:i/>
                <w:sz w:val="20"/>
                <w:szCs w:val="20"/>
              </w:rPr>
              <w:t>i</w:t>
            </w:r>
            <w:r w:rsidRPr="002A1C7F">
              <w:rPr>
                <w:rFonts w:cs="Arial"/>
                <w:b/>
                <w:i/>
                <w:spacing w:val="-1"/>
                <w:sz w:val="20"/>
                <w:szCs w:val="20"/>
              </w:rPr>
              <w:t>r</w:t>
            </w:r>
            <w:r w:rsidRPr="002A1C7F">
              <w:rPr>
                <w:rFonts w:cs="Arial"/>
                <w:b/>
                <w:i/>
                <w:sz w:val="20"/>
                <w:szCs w:val="20"/>
              </w:rPr>
              <w:t>em</w:t>
            </w:r>
            <w:r w:rsidRPr="002A1C7F">
              <w:rPr>
                <w:rFonts w:cs="Arial"/>
                <w:b/>
                <w:i/>
                <w:spacing w:val="1"/>
                <w:sz w:val="20"/>
                <w:szCs w:val="20"/>
              </w:rPr>
              <w:t>en</w:t>
            </w:r>
            <w:r w:rsidRPr="002A1C7F">
              <w:rPr>
                <w:rFonts w:cs="Arial"/>
                <w:b/>
                <w:i/>
                <w:sz w:val="20"/>
                <w:szCs w:val="20"/>
              </w:rPr>
              <w:t>ts</w:t>
            </w:r>
            <w:r w:rsidRPr="002A1C7F">
              <w:rPr>
                <w:rFonts w:cs="Arial"/>
                <w:b/>
                <w:i/>
                <w:spacing w:val="-12"/>
                <w:sz w:val="20"/>
                <w:szCs w:val="20"/>
              </w:rPr>
              <w:t xml:space="preserve"> </w:t>
            </w:r>
            <w:r w:rsidRPr="002A1C7F">
              <w:rPr>
                <w:rFonts w:cs="Arial"/>
                <w:b/>
                <w:i/>
                <w:sz w:val="20"/>
                <w:szCs w:val="20"/>
              </w:rPr>
              <w:t>f</w:t>
            </w:r>
            <w:r w:rsidRPr="002A1C7F">
              <w:rPr>
                <w:rFonts w:cs="Arial"/>
                <w:b/>
                <w:i/>
                <w:spacing w:val="1"/>
                <w:sz w:val="20"/>
                <w:szCs w:val="20"/>
              </w:rPr>
              <w:t>o</w:t>
            </w:r>
            <w:r w:rsidRPr="002A1C7F">
              <w:rPr>
                <w:rFonts w:cs="Arial"/>
                <w:b/>
                <w:i/>
                <w:sz w:val="20"/>
                <w:szCs w:val="20"/>
              </w:rPr>
              <w:t>r</w:t>
            </w:r>
            <w:r w:rsidRPr="002A1C7F">
              <w:rPr>
                <w:rFonts w:cs="Arial"/>
                <w:b/>
                <w:i/>
                <w:spacing w:val="-2"/>
                <w:sz w:val="20"/>
                <w:szCs w:val="20"/>
              </w:rPr>
              <w:t xml:space="preserve"> </w:t>
            </w:r>
            <w:r w:rsidRPr="002A1C7F">
              <w:rPr>
                <w:rFonts w:cs="Arial"/>
                <w:b/>
                <w:i/>
                <w:spacing w:val="-1"/>
                <w:sz w:val="20"/>
                <w:szCs w:val="20"/>
              </w:rPr>
              <w:t>s</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te</w:t>
            </w:r>
            <w:r w:rsidRPr="002A1C7F">
              <w:rPr>
                <w:rFonts w:cs="Arial"/>
                <w:b/>
                <w:i/>
                <w:spacing w:val="1"/>
                <w:sz w:val="20"/>
                <w:szCs w:val="20"/>
              </w:rPr>
              <w:t>g</w:t>
            </w:r>
            <w:r w:rsidRPr="002A1C7F">
              <w:rPr>
                <w:rFonts w:cs="Arial"/>
                <w:b/>
                <w:i/>
                <w:sz w:val="20"/>
                <w:szCs w:val="20"/>
              </w:rPr>
              <w:t>ic</w:t>
            </w:r>
            <w:r w:rsidRPr="002A1C7F">
              <w:rPr>
                <w:rFonts w:cs="Arial"/>
                <w:b/>
                <w:i/>
                <w:spacing w:val="-7"/>
                <w:sz w:val="20"/>
                <w:szCs w:val="20"/>
              </w:rPr>
              <w:t xml:space="preserve"> </w:t>
            </w:r>
            <w:r w:rsidRPr="002A1C7F">
              <w:rPr>
                <w:rFonts w:cs="Arial"/>
                <w:b/>
                <w:i/>
                <w:sz w:val="20"/>
                <w:szCs w:val="20"/>
              </w:rPr>
              <w:t>e</w:t>
            </w:r>
            <w:r w:rsidRPr="002A1C7F">
              <w:rPr>
                <w:rFonts w:cs="Arial"/>
                <w:b/>
                <w:i/>
                <w:spacing w:val="1"/>
                <w:sz w:val="20"/>
                <w:szCs w:val="20"/>
              </w:rPr>
              <w:t>n</w:t>
            </w:r>
            <w:r w:rsidRPr="002A1C7F">
              <w:rPr>
                <w:rFonts w:cs="Arial"/>
                <w:b/>
                <w:i/>
                <w:sz w:val="20"/>
                <w:szCs w:val="20"/>
              </w:rPr>
              <w:t>viro</w:t>
            </w:r>
            <w:r w:rsidRPr="002A1C7F">
              <w:rPr>
                <w:rFonts w:cs="Arial"/>
                <w:b/>
                <w:i/>
                <w:spacing w:val="1"/>
                <w:sz w:val="20"/>
                <w:szCs w:val="20"/>
              </w:rPr>
              <w:t>n</w:t>
            </w:r>
            <w:r w:rsidRPr="002A1C7F">
              <w:rPr>
                <w:rFonts w:cs="Arial"/>
                <w:b/>
                <w:i/>
                <w:sz w:val="20"/>
                <w:szCs w:val="20"/>
              </w:rPr>
              <w:t>me</w:t>
            </w:r>
            <w:r w:rsidRPr="002A1C7F">
              <w:rPr>
                <w:rFonts w:cs="Arial"/>
                <w:b/>
                <w:i/>
                <w:spacing w:val="2"/>
                <w:sz w:val="20"/>
                <w:szCs w:val="20"/>
              </w:rPr>
              <w:t>n</w:t>
            </w:r>
            <w:r w:rsidRPr="002A1C7F">
              <w:rPr>
                <w:rFonts w:cs="Arial"/>
                <w:b/>
                <w:i/>
                <w:sz w:val="20"/>
                <w:szCs w:val="20"/>
              </w:rPr>
              <w:t>t</w:t>
            </w:r>
            <w:r w:rsidRPr="002A1C7F">
              <w:rPr>
                <w:rFonts w:cs="Arial"/>
                <w:b/>
                <w:i/>
                <w:spacing w:val="1"/>
                <w:sz w:val="20"/>
                <w:szCs w:val="20"/>
              </w:rPr>
              <w:t>a</w:t>
            </w:r>
            <w:r w:rsidRPr="002A1C7F">
              <w:rPr>
                <w:rFonts w:cs="Arial"/>
                <w:b/>
                <w:i/>
                <w:sz w:val="20"/>
                <w:szCs w:val="20"/>
              </w:rPr>
              <w:t>l</w:t>
            </w:r>
            <w:r w:rsidRPr="002A1C7F">
              <w:rPr>
                <w:rFonts w:cs="Arial"/>
                <w:b/>
                <w:i/>
                <w:spacing w:val="-12"/>
                <w:sz w:val="20"/>
                <w:szCs w:val="20"/>
              </w:rPr>
              <w:t xml:space="preserve"> </w:t>
            </w:r>
            <w:r w:rsidRPr="002A1C7F">
              <w:rPr>
                <w:rFonts w:cs="Arial"/>
                <w:b/>
                <w:i/>
                <w:spacing w:val="1"/>
                <w:sz w:val="20"/>
                <w:szCs w:val="20"/>
              </w:rPr>
              <w:t>a</w:t>
            </w:r>
            <w:r w:rsidRPr="002A1C7F">
              <w:rPr>
                <w:rFonts w:cs="Arial"/>
                <w:b/>
                <w:i/>
                <w:spacing w:val="-1"/>
                <w:sz w:val="20"/>
                <w:szCs w:val="20"/>
              </w:rPr>
              <w:t>ss</w:t>
            </w:r>
            <w:r w:rsidRPr="002A1C7F">
              <w:rPr>
                <w:rFonts w:cs="Arial"/>
                <w:b/>
                <w:i/>
                <w:sz w:val="20"/>
                <w:szCs w:val="20"/>
              </w:rPr>
              <w:t>es</w:t>
            </w:r>
            <w:r w:rsidRPr="002A1C7F">
              <w:rPr>
                <w:rFonts w:cs="Arial"/>
                <w:b/>
                <w:i/>
                <w:spacing w:val="1"/>
                <w:sz w:val="20"/>
                <w:szCs w:val="20"/>
              </w:rPr>
              <w:t>s</w:t>
            </w:r>
            <w:r w:rsidRPr="002A1C7F">
              <w:rPr>
                <w:rFonts w:cs="Arial"/>
                <w:b/>
                <w:i/>
                <w:sz w:val="20"/>
                <w:szCs w:val="20"/>
              </w:rPr>
              <w:t>me</w:t>
            </w:r>
            <w:r w:rsidRPr="002A1C7F">
              <w:rPr>
                <w:rFonts w:cs="Arial"/>
                <w:b/>
                <w:i/>
                <w:spacing w:val="2"/>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w:t>
            </w:r>
          </w:p>
        </w:tc>
        <w:tc>
          <w:tcPr>
            <w:tcW w:w="364" w:type="pct"/>
            <w:vAlign w:val="center"/>
          </w:tcPr>
          <w:p w:rsidR="00361223" w:rsidRPr="002A1C7F" w:rsidRDefault="00361223" w:rsidP="00DE269D">
            <w:pPr>
              <w:tabs>
                <w:tab w:val="left" w:pos="460"/>
              </w:tabs>
              <w:spacing w:line="222" w:lineRule="exact"/>
              <w:jc w:val="center"/>
              <w:rPr>
                <w:rFonts w:cs="Arial"/>
                <w:b/>
                <w:sz w:val="20"/>
                <w:szCs w:val="20"/>
              </w:rPr>
            </w:pPr>
          </w:p>
        </w:tc>
        <w:tc>
          <w:tcPr>
            <w:tcW w:w="1589" w:type="pct"/>
            <w:vAlign w:val="center"/>
          </w:tcPr>
          <w:p w:rsidR="00361223" w:rsidRPr="002A1C7F" w:rsidRDefault="00361223" w:rsidP="00DE269D">
            <w:pPr>
              <w:tabs>
                <w:tab w:val="left" w:pos="460"/>
              </w:tabs>
              <w:spacing w:line="222" w:lineRule="exact"/>
              <w:rPr>
                <w:rFonts w:cs="Arial"/>
                <w:b/>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1120"/>
              </w:tabs>
              <w:spacing w:before="61" w:line="239" w:lineRule="auto"/>
              <w:contextualSpacing/>
              <w:jc w:val="left"/>
            </w:pPr>
            <w:r w:rsidRPr="002742DE">
              <w:t>An</w:t>
            </w:r>
            <w:r w:rsidRPr="002742DE">
              <w:rPr>
                <w:spacing w:val="33"/>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tal</w:t>
            </w:r>
            <w:r w:rsidRPr="002742DE">
              <w:rPr>
                <w:spacing w:val="24"/>
              </w:rPr>
              <w:t xml:space="preserve"> </w:t>
            </w:r>
            <w:r w:rsidRPr="002742DE">
              <w:rPr>
                <w:spacing w:val="1"/>
              </w:rPr>
              <w:t>r</w:t>
            </w:r>
            <w:r w:rsidRPr="002742DE">
              <w:t>e</w:t>
            </w:r>
            <w:r w:rsidRPr="002742DE">
              <w:rPr>
                <w:spacing w:val="1"/>
              </w:rPr>
              <w:t>por</w:t>
            </w:r>
            <w:r w:rsidRPr="002742DE">
              <w:t>t</w:t>
            </w:r>
            <w:r w:rsidRPr="002742DE">
              <w:rPr>
                <w:spacing w:val="31"/>
              </w:rPr>
              <w:t xml:space="preserve"> </w:t>
            </w:r>
            <w:r w:rsidRPr="002742DE">
              <w:rPr>
                <w:spacing w:val="-1"/>
              </w:rPr>
              <w:t>h</w:t>
            </w:r>
            <w:r w:rsidRPr="002742DE">
              <w:t>as</w:t>
            </w:r>
            <w:r w:rsidRPr="002742DE">
              <w:rPr>
                <w:spacing w:val="35"/>
              </w:rPr>
              <w:t xml:space="preserve"> </w:t>
            </w:r>
            <w:r w:rsidRPr="002742DE">
              <w:rPr>
                <w:spacing w:val="1"/>
              </w:rPr>
              <w:t>b</w:t>
            </w:r>
            <w:r w:rsidRPr="002742DE">
              <w:t>e</w:t>
            </w:r>
            <w:r w:rsidRPr="002742DE">
              <w:rPr>
                <w:spacing w:val="1"/>
              </w:rPr>
              <w:t>e</w:t>
            </w:r>
            <w:r w:rsidRPr="002742DE">
              <w:t>n</w:t>
            </w:r>
            <w:r w:rsidRPr="002742DE">
              <w:rPr>
                <w:spacing w:val="35"/>
              </w:rPr>
              <w:t xml:space="preserve"> </w:t>
            </w:r>
            <w:r w:rsidRPr="002742DE">
              <w:rPr>
                <w:spacing w:val="1"/>
              </w:rPr>
              <w:t>pr</w:t>
            </w:r>
            <w:r w:rsidRPr="002742DE">
              <w:t>e</w:t>
            </w:r>
            <w:r w:rsidRPr="002742DE">
              <w:rPr>
                <w:spacing w:val="1"/>
              </w:rPr>
              <w:t>p</w:t>
            </w:r>
            <w:r w:rsidRPr="002742DE">
              <w:t>a</w:t>
            </w:r>
            <w:r w:rsidRPr="002742DE">
              <w:rPr>
                <w:spacing w:val="1"/>
              </w:rPr>
              <w:t>r</w:t>
            </w:r>
            <w:r w:rsidRPr="002742DE">
              <w:rPr>
                <w:spacing w:val="-2"/>
              </w:rPr>
              <w:t>e</w:t>
            </w:r>
            <w:r w:rsidRPr="002742DE">
              <w:t>d</w:t>
            </w:r>
            <w:r w:rsidRPr="002742DE">
              <w:rPr>
                <w:spacing w:val="30"/>
              </w:rPr>
              <w:t xml:space="preserve"> </w:t>
            </w:r>
            <w:r w:rsidRPr="002742DE">
              <w:t>in</w:t>
            </w:r>
            <w:r w:rsidRPr="002742DE">
              <w:rPr>
                <w:spacing w:val="35"/>
              </w:rPr>
              <w:t xml:space="preserve"> </w:t>
            </w:r>
            <w:r w:rsidRPr="002742DE">
              <w:rPr>
                <w:spacing w:val="-2"/>
              </w:rPr>
              <w:t>w</w:t>
            </w:r>
            <w:r w:rsidRPr="002742DE">
              <w:rPr>
                <w:spacing w:val="-1"/>
              </w:rPr>
              <w:t>h</w:t>
            </w:r>
            <w:r w:rsidRPr="002742DE">
              <w:t>i</w:t>
            </w:r>
            <w:r w:rsidRPr="002742DE">
              <w:rPr>
                <w:spacing w:val="2"/>
              </w:rPr>
              <w:t>c</w:t>
            </w:r>
            <w:r w:rsidRPr="002742DE">
              <w:t>h</w:t>
            </w:r>
            <w:r w:rsidRPr="002742DE">
              <w:rPr>
                <w:spacing w:val="32"/>
              </w:rPr>
              <w:t xml:space="preserve"> </w:t>
            </w:r>
            <w:r w:rsidRPr="002742DE">
              <w:t>t</w:t>
            </w:r>
            <w:r w:rsidRPr="002742DE">
              <w:rPr>
                <w:spacing w:val="-1"/>
              </w:rPr>
              <w:t>h</w:t>
            </w:r>
            <w:r w:rsidRPr="002742DE">
              <w:t>e</w:t>
            </w:r>
            <w:r w:rsidRPr="002742DE">
              <w:rPr>
                <w:spacing w:val="37"/>
              </w:rPr>
              <w:t xml:space="preserve"> </w:t>
            </w:r>
            <w:r w:rsidRPr="002742DE">
              <w:t>li</w:t>
            </w:r>
            <w:r w:rsidRPr="002742DE">
              <w:rPr>
                <w:spacing w:val="-2"/>
              </w:rPr>
              <w:t>k</w:t>
            </w:r>
            <w:r w:rsidRPr="002742DE">
              <w:t>e</w:t>
            </w:r>
            <w:r w:rsidRPr="002742DE">
              <w:rPr>
                <w:spacing w:val="2"/>
              </w:rPr>
              <w:t>l</w:t>
            </w:r>
            <w:r w:rsidRPr="002742DE">
              <w:t>y</w:t>
            </w:r>
            <w:r w:rsidRPr="002742DE">
              <w:rPr>
                <w:spacing w:val="30"/>
              </w:rPr>
              <w:t xml:space="preserve"> </w:t>
            </w:r>
            <w:r w:rsidRPr="002742DE">
              <w:rPr>
                <w:spacing w:val="-1"/>
              </w:rPr>
              <w:t>s</w:t>
            </w:r>
            <w:r w:rsidRPr="002742DE">
              <w:rPr>
                <w:spacing w:val="2"/>
              </w:rPr>
              <w:t>i</w:t>
            </w:r>
            <w:r w:rsidRPr="002742DE">
              <w:rPr>
                <w:spacing w:val="-1"/>
              </w:rPr>
              <w:t>g</w:t>
            </w:r>
            <w:r w:rsidRPr="002742DE">
              <w:rPr>
                <w:spacing w:val="1"/>
              </w:rPr>
              <w:t>n</w:t>
            </w:r>
            <w:r w:rsidRPr="002742DE">
              <w:t>i</w:t>
            </w:r>
            <w:r w:rsidRPr="002742DE">
              <w:rPr>
                <w:spacing w:val="-2"/>
              </w:rPr>
              <w:t>f</w:t>
            </w:r>
            <w:r w:rsidRPr="002742DE">
              <w:t>ic</w:t>
            </w:r>
            <w:r w:rsidRPr="002742DE">
              <w:rPr>
                <w:spacing w:val="3"/>
              </w:rPr>
              <w:t>a</w:t>
            </w:r>
            <w:r w:rsidRPr="002742DE">
              <w:rPr>
                <w:spacing w:val="-1"/>
              </w:rPr>
              <w:t>n</w:t>
            </w:r>
            <w:r w:rsidRPr="002742DE">
              <w:t>t</w:t>
            </w:r>
            <w:r w:rsidRPr="002742DE">
              <w:rPr>
                <w:spacing w:val="28"/>
              </w:rPr>
              <w:t xml:space="preserve"> </w:t>
            </w:r>
            <w:r w:rsidRPr="002742DE">
              <w:rPr>
                <w:spacing w:val="3"/>
              </w:rPr>
              <w:t>e</w:t>
            </w:r>
            <w:r w:rsidRPr="002742DE">
              <w:rPr>
                <w:spacing w:val="1"/>
              </w:rPr>
              <w:t>f</w:t>
            </w:r>
            <w:r w:rsidRPr="002742DE">
              <w:rPr>
                <w:spacing w:val="-2"/>
              </w:rPr>
              <w:t>f</w:t>
            </w:r>
            <w:r w:rsidRPr="002742DE">
              <w:t>e</w:t>
            </w:r>
            <w:r w:rsidRPr="002742DE">
              <w:rPr>
                <w:spacing w:val="1"/>
              </w:rPr>
              <w:t>c</w:t>
            </w:r>
            <w:r w:rsidRPr="002742DE">
              <w:t>ts</w:t>
            </w:r>
            <w:r w:rsidRPr="002742DE">
              <w:rPr>
                <w:spacing w:val="30"/>
              </w:rPr>
              <w:t xml:space="preserve"> </w:t>
            </w:r>
            <w:r w:rsidRPr="002742DE">
              <w:rPr>
                <w:spacing w:val="1"/>
              </w:rPr>
              <w:t>o</w:t>
            </w:r>
            <w:r w:rsidRPr="002742DE">
              <w:t>n</w:t>
            </w:r>
            <w:r w:rsidRPr="002742DE">
              <w:rPr>
                <w:spacing w:val="35"/>
              </w:rPr>
              <w:t xml:space="preserve"> </w:t>
            </w:r>
            <w:r w:rsidRPr="002742DE">
              <w:t>t</w:t>
            </w:r>
            <w:r w:rsidRPr="002742DE">
              <w:rPr>
                <w:spacing w:val="-1"/>
              </w:rPr>
              <w:t>h</w:t>
            </w:r>
            <w:r w:rsidRPr="002742DE">
              <w:t>e e</w:t>
            </w:r>
            <w:r w:rsidRPr="002742DE">
              <w:rPr>
                <w:spacing w:val="-1"/>
              </w:rPr>
              <w:t>nv</w:t>
            </w:r>
            <w:r w:rsidRPr="002742DE">
              <w:t>ir</w:t>
            </w:r>
            <w:r w:rsidRPr="002742DE">
              <w:rPr>
                <w:spacing w:val="3"/>
              </w:rPr>
              <w:t>o</w:t>
            </w:r>
            <w:r w:rsidRPr="002742DE">
              <w:rPr>
                <w:spacing w:val="-1"/>
              </w:rPr>
              <w:t>n</w:t>
            </w:r>
            <w:r w:rsidRPr="002742DE">
              <w:rPr>
                <w:spacing w:val="3"/>
              </w:rPr>
              <w:t>e</w:t>
            </w:r>
            <w:r w:rsidRPr="002742DE">
              <w:rPr>
                <w:spacing w:val="-4"/>
              </w:rPr>
              <w:t>m</w:t>
            </w:r>
            <w:r w:rsidRPr="002742DE">
              <w:rPr>
                <w:spacing w:val="3"/>
              </w:rPr>
              <w:t>e</w:t>
            </w:r>
            <w:r w:rsidRPr="002742DE">
              <w:rPr>
                <w:spacing w:val="-1"/>
              </w:rPr>
              <w:t>n</w:t>
            </w:r>
            <w:r w:rsidRPr="002742DE">
              <w:t>t</w:t>
            </w:r>
            <w:r w:rsidRPr="002742DE">
              <w:rPr>
                <w:spacing w:val="10"/>
              </w:rPr>
              <w:t xml:space="preserve"> </w:t>
            </w:r>
            <w:r w:rsidRPr="002742DE">
              <w:rPr>
                <w:spacing w:val="1"/>
              </w:rPr>
              <w:t>o</w:t>
            </w:r>
            <w:r w:rsidRPr="002742DE">
              <w:t>f</w:t>
            </w:r>
            <w:r w:rsidRPr="002742DE">
              <w:rPr>
                <w:spacing w:val="16"/>
              </w:rPr>
              <w:t xml:space="preserve"> </w:t>
            </w:r>
            <w:r w:rsidRPr="002742DE">
              <w:rPr>
                <w:spacing w:val="2"/>
              </w:rPr>
              <w:t>t</w:t>
            </w:r>
            <w:r w:rsidRPr="002742DE">
              <w:rPr>
                <w:spacing w:val="-1"/>
              </w:rPr>
              <w:t>h</w:t>
            </w:r>
            <w:r w:rsidRPr="002742DE">
              <w:t>e</w:t>
            </w:r>
            <w:r w:rsidRPr="002742DE">
              <w:rPr>
                <w:spacing w:val="18"/>
              </w:rPr>
              <w:t xml:space="preserve"> </w:t>
            </w:r>
            <w:r w:rsidRPr="002742DE">
              <w:rPr>
                <w:spacing w:val="2"/>
              </w:rPr>
              <w:t>i</w:t>
            </w:r>
            <w:r w:rsidRPr="002742DE">
              <w:rPr>
                <w:spacing w:val="-1"/>
              </w:rPr>
              <w:t>m</w:t>
            </w:r>
            <w:r w:rsidRPr="002742DE">
              <w:rPr>
                <w:spacing w:val="1"/>
              </w:rPr>
              <w:t>p</w:t>
            </w:r>
            <w:r w:rsidRPr="002742DE">
              <w:t>l</w:t>
            </w:r>
            <w:r w:rsidRPr="002742DE">
              <w:rPr>
                <w:spacing w:val="2"/>
              </w:rPr>
              <w:t>e</w:t>
            </w:r>
            <w:r w:rsidRPr="002742DE">
              <w:rPr>
                <w:spacing w:val="-1"/>
              </w:rPr>
              <w:t>m</w:t>
            </w:r>
            <w:r w:rsidRPr="002742DE">
              <w:rPr>
                <w:spacing w:val="3"/>
              </w:rPr>
              <w:t>e</w:t>
            </w:r>
            <w:r w:rsidRPr="002742DE">
              <w:rPr>
                <w:spacing w:val="-1"/>
              </w:rPr>
              <w:t>n</w:t>
            </w:r>
            <w:r w:rsidRPr="002742DE">
              <w:t>tati</w:t>
            </w:r>
            <w:r w:rsidRPr="002742DE">
              <w:rPr>
                <w:spacing w:val="1"/>
              </w:rPr>
              <w:t>o</w:t>
            </w:r>
            <w:r w:rsidRPr="002742DE">
              <w:t>n</w:t>
            </w:r>
            <w:r w:rsidRPr="002742DE">
              <w:rPr>
                <w:spacing w:val="7"/>
              </w:rPr>
              <w:t xml:space="preserve"> </w:t>
            </w:r>
            <w:r w:rsidRPr="002742DE">
              <w:rPr>
                <w:spacing w:val="1"/>
              </w:rPr>
              <w:t>o</w:t>
            </w:r>
            <w:r w:rsidRPr="002742DE">
              <w:t>f</w:t>
            </w:r>
            <w:r w:rsidRPr="002742DE">
              <w:rPr>
                <w:spacing w:val="18"/>
              </w:rPr>
              <w:t xml:space="preserve"> </w:t>
            </w:r>
            <w:r w:rsidRPr="002742DE">
              <w:t>t</w:t>
            </w:r>
            <w:r w:rsidRPr="002742DE">
              <w:rPr>
                <w:spacing w:val="-1"/>
              </w:rPr>
              <w:t>h</w:t>
            </w:r>
            <w:r w:rsidRPr="002742DE">
              <w:t>e</w:t>
            </w:r>
            <w:r w:rsidRPr="002742DE">
              <w:rPr>
                <w:spacing w:val="20"/>
              </w:rPr>
              <w:t xml:space="preserve"> </w:t>
            </w:r>
            <w:r w:rsidRPr="002742DE">
              <w:rPr>
                <w:spacing w:val="1"/>
              </w:rPr>
              <w:t>p</w:t>
            </w:r>
            <w:r w:rsidRPr="002742DE">
              <w:t>lan</w:t>
            </w:r>
            <w:r w:rsidRPr="002742DE">
              <w:rPr>
                <w:spacing w:val="15"/>
              </w:rPr>
              <w:t xml:space="preserve"> </w:t>
            </w:r>
            <w:r w:rsidRPr="002742DE">
              <w:rPr>
                <w:spacing w:val="1"/>
              </w:rPr>
              <w:t>o</w:t>
            </w:r>
            <w:r w:rsidRPr="002742DE">
              <w:t>r</w:t>
            </w:r>
            <w:r w:rsidRPr="002742DE">
              <w:rPr>
                <w:spacing w:val="27"/>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t>w</w:t>
            </w:r>
            <w:r w:rsidRPr="002742DE">
              <w:rPr>
                <w:spacing w:val="1"/>
              </w:rPr>
              <w:t>or</w:t>
            </w:r>
            <w:r w:rsidRPr="002742DE">
              <w:t>k</w:t>
            </w:r>
            <w:r w:rsidRPr="002742DE">
              <w:rPr>
                <w:spacing w:val="9"/>
              </w:rPr>
              <w:t xml:space="preserve"> </w:t>
            </w:r>
            <w:r w:rsidRPr="002742DE">
              <w:t>a</w:t>
            </w:r>
            <w:r w:rsidRPr="002742DE">
              <w:rPr>
                <w:spacing w:val="-1"/>
              </w:rPr>
              <w:t>n</w:t>
            </w:r>
            <w:r w:rsidRPr="002742DE">
              <w:t>d</w:t>
            </w:r>
            <w:r w:rsidRPr="002742DE">
              <w:rPr>
                <w:spacing w:val="17"/>
              </w:rPr>
              <w:t xml:space="preserve"> </w:t>
            </w:r>
            <w:r w:rsidRPr="002742DE">
              <w:rPr>
                <w:spacing w:val="1"/>
              </w:rPr>
              <w:t>r</w:t>
            </w:r>
            <w:r w:rsidRPr="002742DE">
              <w:t>e</w:t>
            </w:r>
            <w:r w:rsidRPr="002742DE">
              <w:rPr>
                <w:spacing w:val="1"/>
              </w:rPr>
              <w:t>a</w:t>
            </w:r>
            <w:r w:rsidRPr="002742DE">
              <w:rPr>
                <w:spacing w:val="-1"/>
              </w:rPr>
              <w:t>s</w:t>
            </w:r>
            <w:r w:rsidRPr="002742DE">
              <w:rPr>
                <w:spacing w:val="3"/>
              </w:rPr>
              <w:t>o</w:t>
            </w:r>
            <w:r w:rsidRPr="002742DE">
              <w:rPr>
                <w:spacing w:val="-1"/>
              </w:rPr>
              <w:t>n</w:t>
            </w:r>
            <w:r w:rsidRPr="002742DE">
              <w:t>a</w:t>
            </w:r>
            <w:r w:rsidRPr="002742DE">
              <w:rPr>
                <w:spacing w:val="1"/>
              </w:rPr>
              <w:t>b</w:t>
            </w:r>
            <w:r w:rsidRPr="002742DE">
              <w:t>le</w:t>
            </w:r>
            <w:r w:rsidRPr="002742DE">
              <w:rPr>
                <w:spacing w:val="10"/>
              </w:rPr>
              <w:t xml:space="preserve"> </w:t>
            </w:r>
            <w:r w:rsidRPr="002742DE">
              <w:t>a</w:t>
            </w:r>
            <w:r w:rsidRPr="002742DE">
              <w:rPr>
                <w:spacing w:val="2"/>
              </w:rPr>
              <w:t>l</w:t>
            </w:r>
            <w:r w:rsidRPr="002742DE">
              <w:t>te</w:t>
            </w:r>
            <w:r w:rsidRPr="002742DE">
              <w:rPr>
                <w:spacing w:val="1"/>
              </w:rPr>
              <w:t>r</w:t>
            </w:r>
            <w:r w:rsidRPr="002742DE">
              <w:rPr>
                <w:spacing w:val="-1"/>
              </w:rPr>
              <w:t>n</w:t>
            </w:r>
            <w:r w:rsidRPr="002742DE">
              <w:t>at</w:t>
            </w:r>
            <w:r w:rsidRPr="002742DE">
              <w:rPr>
                <w:spacing w:val="2"/>
              </w:rPr>
              <w:t>i</w:t>
            </w:r>
            <w:r w:rsidRPr="002742DE">
              <w:rPr>
                <w:spacing w:val="-1"/>
              </w:rPr>
              <w:t>v</w:t>
            </w:r>
            <w:r w:rsidRPr="002742DE">
              <w:t>es ta</w:t>
            </w:r>
            <w:r w:rsidRPr="002742DE">
              <w:rPr>
                <w:spacing w:val="-1"/>
              </w:rPr>
              <w:t>k</w:t>
            </w:r>
            <w:r w:rsidRPr="002742DE">
              <w:rPr>
                <w:spacing w:val="2"/>
              </w:rPr>
              <w:t>i</w:t>
            </w:r>
            <w:r w:rsidRPr="002742DE">
              <w:rPr>
                <w:spacing w:val="-1"/>
              </w:rPr>
              <w:t>n</w:t>
            </w:r>
            <w:r w:rsidRPr="002742DE">
              <w:t>g</w:t>
            </w:r>
            <w:r w:rsidRPr="002742DE">
              <w:rPr>
                <w:spacing w:val="-1"/>
              </w:rPr>
              <w:t xml:space="preserve"> </w:t>
            </w:r>
            <w:r w:rsidRPr="002742DE">
              <w:rPr>
                <w:spacing w:val="2"/>
              </w:rPr>
              <w:t>i</w:t>
            </w:r>
            <w:r w:rsidRPr="002742DE">
              <w:rPr>
                <w:spacing w:val="-1"/>
              </w:rPr>
              <w:t>n</w:t>
            </w:r>
            <w:r w:rsidRPr="002742DE">
              <w:t>to</w:t>
            </w:r>
            <w:r w:rsidRPr="002742DE">
              <w:rPr>
                <w:spacing w:val="3"/>
              </w:rPr>
              <w:t xml:space="preserve"> </w:t>
            </w:r>
            <w:r w:rsidRPr="002742DE">
              <w:t>a</w:t>
            </w:r>
            <w:r w:rsidRPr="002742DE">
              <w:rPr>
                <w:spacing w:val="1"/>
              </w:rPr>
              <w:t>c</w:t>
            </w:r>
            <w:r w:rsidRPr="002742DE">
              <w:t>c</w:t>
            </w:r>
            <w:r w:rsidRPr="002742DE">
              <w:rPr>
                <w:spacing w:val="1"/>
              </w:rPr>
              <w:t>ou</w:t>
            </w:r>
            <w:r w:rsidRPr="002742DE">
              <w:rPr>
                <w:spacing w:val="-1"/>
              </w:rPr>
              <w:t>n</w:t>
            </w:r>
            <w:r w:rsidRPr="002742DE">
              <w:t>t</w:t>
            </w:r>
            <w:r w:rsidRPr="002742DE">
              <w:rPr>
                <w:spacing w:val="-1"/>
              </w:rPr>
              <w:t xml:space="preserve"> </w:t>
            </w:r>
            <w:r w:rsidRPr="002742DE">
              <w:rPr>
                <w:spacing w:val="2"/>
              </w:rPr>
              <w:t>t</w:t>
            </w:r>
            <w:r w:rsidRPr="002742DE">
              <w:rPr>
                <w:spacing w:val="-1"/>
              </w:rPr>
              <w:t>h</w:t>
            </w:r>
            <w:r w:rsidRPr="002742DE">
              <w:t>e</w:t>
            </w:r>
            <w:r w:rsidRPr="002742DE">
              <w:rPr>
                <w:spacing w:val="3"/>
              </w:rPr>
              <w:t xml:space="preserve"> </w:t>
            </w:r>
            <w:r w:rsidRPr="002742DE">
              <w:rPr>
                <w:spacing w:val="1"/>
              </w:rPr>
              <w:t>ob</w:t>
            </w:r>
            <w:r w:rsidRPr="002742DE">
              <w:rPr>
                <w:spacing w:val="2"/>
              </w:rPr>
              <w:t>j</w:t>
            </w:r>
            <w:r w:rsidRPr="002742DE">
              <w:t>e</w:t>
            </w:r>
            <w:r w:rsidRPr="002742DE">
              <w:rPr>
                <w:spacing w:val="1"/>
              </w:rPr>
              <w:t>c</w:t>
            </w:r>
            <w:r w:rsidRPr="002742DE">
              <w:t>ti</w:t>
            </w:r>
            <w:r w:rsidRPr="002742DE">
              <w:rPr>
                <w:spacing w:val="-2"/>
              </w:rPr>
              <w:t>v</w:t>
            </w:r>
            <w:r w:rsidRPr="002742DE">
              <w:t>es</w:t>
            </w:r>
            <w:r w:rsidRPr="002742DE">
              <w:rPr>
                <w:spacing w:val="-3"/>
              </w:rPr>
              <w:t xml:space="preserve"> </w:t>
            </w:r>
            <w:r w:rsidRPr="002742DE">
              <w:rPr>
                <w:spacing w:val="3"/>
              </w:rPr>
              <w:t>a</w:t>
            </w:r>
            <w:r w:rsidRPr="002742DE">
              <w:rPr>
                <w:spacing w:val="-1"/>
              </w:rPr>
              <w:t>n</w:t>
            </w:r>
            <w:r w:rsidRPr="002742DE">
              <w:t>d</w:t>
            </w:r>
            <w:r w:rsidRPr="002742DE">
              <w:rPr>
                <w:spacing w:val="3"/>
              </w:rPr>
              <w:t xml:space="preserve"> </w:t>
            </w:r>
            <w:r w:rsidRPr="002742DE">
              <w:t>t</w:t>
            </w:r>
            <w:r w:rsidRPr="002742DE">
              <w:rPr>
                <w:spacing w:val="-1"/>
              </w:rPr>
              <w:t>h</w:t>
            </w:r>
            <w:r w:rsidRPr="002742DE">
              <w:t>e</w:t>
            </w:r>
            <w:r w:rsidRPr="002742DE">
              <w:rPr>
                <w:spacing w:val="6"/>
              </w:rPr>
              <w:t xml:space="preserve"> </w:t>
            </w:r>
            <w:r w:rsidRPr="002742DE">
              <w:rPr>
                <w:spacing w:val="-1"/>
              </w:rPr>
              <w:t>g</w:t>
            </w:r>
            <w:r w:rsidRPr="002742DE">
              <w:t>e</w:t>
            </w:r>
            <w:r w:rsidRPr="002742DE">
              <w:rPr>
                <w:spacing w:val="1"/>
              </w:rPr>
              <w:t>o</w:t>
            </w:r>
            <w:r w:rsidRPr="002742DE">
              <w:rPr>
                <w:spacing w:val="-1"/>
              </w:rPr>
              <w:t>g</w:t>
            </w:r>
            <w:r w:rsidRPr="002742DE">
              <w:rPr>
                <w:spacing w:val="1"/>
              </w:rPr>
              <w:t>r</w:t>
            </w:r>
            <w:r w:rsidRPr="002742DE">
              <w:t>a</w:t>
            </w:r>
            <w:r w:rsidRPr="002742DE">
              <w:rPr>
                <w:spacing w:val="1"/>
              </w:rPr>
              <w:t>p</w:t>
            </w:r>
            <w:r w:rsidRPr="002742DE">
              <w:rPr>
                <w:spacing w:val="-1"/>
              </w:rPr>
              <w:t>h</w:t>
            </w:r>
            <w:r w:rsidRPr="002742DE">
              <w:t>ic</w:t>
            </w:r>
            <w:r w:rsidRPr="002742DE">
              <w:rPr>
                <w:spacing w:val="3"/>
              </w:rPr>
              <w:t>a</w:t>
            </w:r>
            <w:r w:rsidRPr="002742DE">
              <w:t>l</w:t>
            </w:r>
            <w:r w:rsidRPr="002742DE">
              <w:rPr>
                <w:spacing w:val="-5"/>
              </w:rPr>
              <w:t xml:space="preserve"> </w:t>
            </w:r>
            <w:r w:rsidRPr="002742DE">
              <w:rPr>
                <w:spacing w:val="-1"/>
              </w:rPr>
              <w:t>s</w:t>
            </w:r>
            <w:r w:rsidRPr="002742DE">
              <w:t>c</w:t>
            </w:r>
            <w:r w:rsidRPr="002742DE">
              <w:rPr>
                <w:spacing w:val="1"/>
              </w:rPr>
              <w:t>op</w:t>
            </w:r>
            <w:r w:rsidRPr="002742DE">
              <w:t xml:space="preserve">e </w:t>
            </w:r>
            <w:r w:rsidRPr="002742DE">
              <w:rPr>
                <w:spacing w:val="1"/>
              </w:rPr>
              <w:t>o</w:t>
            </w:r>
            <w:r w:rsidRPr="002742DE">
              <w:t>f</w:t>
            </w:r>
            <w:r w:rsidRPr="002742DE">
              <w:rPr>
                <w:spacing w:val="1"/>
              </w:rPr>
              <w:t xml:space="preserve"> </w:t>
            </w:r>
            <w:r w:rsidRPr="002742DE">
              <w:t>t</w:t>
            </w:r>
            <w:r w:rsidRPr="002742DE">
              <w:rPr>
                <w:spacing w:val="-1"/>
              </w:rPr>
              <w:t>h</w:t>
            </w:r>
            <w:r w:rsidRPr="002742DE">
              <w:t>e</w:t>
            </w:r>
            <w:r w:rsidRPr="002742DE">
              <w:rPr>
                <w:spacing w:val="3"/>
              </w:rPr>
              <w:t xml:space="preserve"> </w:t>
            </w:r>
            <w:r w:rsidRPr="002742DE">
              <w:t>c</w:t>
            </w:r>
            <w:r w:rsidRPr="002742DE">
              <w:rPr>
                <w:spacing w:val="4"/>
              </w:rPr>
              <w:t>o</w:t>
            </w:r>
            <w:r w:rsidRPr="002742DE">
              <w:rPr>
                <w:spacing w:val="-4"/>
              </w:rPr>
              <w:t>m</w:t>
            </w:r>
            <w:r w:rsidRPr="002742DE">
              <w:rPr>
                <w:spacing w:val="1"/>
              </w:rPr>
              <w:t>pr</w:t>
            </w:r>
            <w:r w:rsidRPr="002742DE">
              <w:rPr>
                <w:spacing w:val="3"/>
              </w:rPr>
              <w:t>e</w:t>
            </w:r>
            <w:r w:rsidRPr="002742DE">
              <w:rPr>
                <w:spacing w:val="-1"/>
              </w:rPr>
              <w:t>h</w:t>
            </w:r>
            <w:r w:rsidRPr="002742DE">
              <w:t>e</w:t>
            </w:r>
            <w:r w:rsidRPr="002742DE">
              <w:rPr>
                <w:spacing w:val="1"/>
              </w:rPr>
              <w:t>n</w:t>
            </w:r>
            <w:r w:rsidRPr="002742DE">
              <w:rPr>
                <w:spacing w:val="-1"/>
              </w:rPr>
              <w:t>s</w:t>
            </w:r>
            <w:r w:rsidRPr="002742DE">
              <w:rPr>
                <w:spacing w:val="2"/>
              </w:rPr>
              <w:t>i</w:t>
            </w:r>
            <w:r w:rsidRPr="002742DE">
              <w:rPr>
                <w:spacing w:val="-1"/>
              </w:rPr>
              <w:t>v</w:t>
            </w:r>
            <w:r w:rsidRPr="002742DE">
              <w:t>e</w:t>
            </w:r>
            <w:r w:rsidRPr="002742DE">
              <w:rPr>
                <w:spacing w:val="-7"/>
              </w:rPr>
              <w:t xml:space="preserve"> </w:t>
            </w:r>
            <w:r w:rsidRPr="002742DE">
              <w:t>tra</w:t>
            </w:r>
            <w:r w:rsidRPr="002742DE">
              <w:rPr>
                <w:spacing w:val="1"/>
              </w:rPr>
              <w:t>n</w:t>
            </w:r>
            <w:r w:rsidRPr="002742DE">
              <w:rPr>
                <w:spacing w:val="-1"/>
              </w:rPr>
              <w:t>s</w:t>
            </w:r>
            <w:r w:rsidRPr="002742DE">
              <w:rPr>
                <w:spacing w:val="1"/>
              </w:rPr>
              <w:t>por</w:t>
            </w:r>
            <w:r w:rsidRPr="002742DE">
              <w:t xml:space="preserve">t </w:t>
            </w:r>
            <w:r w:rsidRPr="002742DE">
              <w:rPr>
                <w:spacing w:val="1"/>
              </w:rPr>
              <w:t>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ork</w:t>
            </w:r>
            <w:r w:rsidRPr="002742DE">
              <w:t>,</w:t>
            </w:r>
            <w:r w:rsidRPr="002742DE">
              <w:rPr>
                <w:spacing w:val="-8"/>
              </w:rPr>
              <w:t xml:space="preserve"> </w:t>
            </w:r>
            <w:r w:rsidRPr="002742DE">
              <w:t>a</w:t>
            </w:r>
            <w:r w:rsidRPr="002742DE">
              <w:rPr>
                <w:spacing w:val="1"/>
              </w:rPr>
              <w:t>r</w:t>
            </w:r>
            <w:r w:rsidRPr="002742DE">
              <w:t>e</w:t>
            </w:r>
            <w:r w:rsidRPr="002742DE">
              <w:rPr>
                <w:spacing w:val="-1"/>
              </w:rPr>
              <w:t xml:space="preserve"> </w:t>
            </w:r>
            <w:r w:rsidRPr="002742DE">
              <w:t>i</w:t>
            </w:r>
            <w:r w:rsidRPr="002742DE">
              <w:rPr>
                <w:spacing w:val="1"/>
              </w:rPr>
              <w:t>d</w:t>
            </w:r>
            <w:r w:rsidRPr="002742DE">
              <w:t>e</w:t>
            </w:r>
            <w:r w:rsidRPr="002742DE">
              <w:rPr>
                <w:spacing w:val="-1"/>
              </w:rPr>
              <w:t>n</w:t>
            </w:r>
            <w:r w:rsidRPr="002742DE">
              <w:t>t</w:t>
            </w:r>
            <w:r w:rsidRPr="002742DE">
              <w:rPr>
                <w:spacing w:val="2"/>
              </w:rPr>
              <w:t>i</w:t>
            </w:r>
            <w:r w:rsidRPr="002742DE">
              <w:rPr>
                <w:spacing w:val="1"/>
              </w:rPr>
              <w:t>f</w:t>
            </w:r>
            <w:r w:rsidRPr="002742DE">
              <w:t>ie</w:t>
            </w:r>
            <w:r w:rsidRPr="002742DE">
              <w:rPr>
                <w:spacing w:val="1"/>
              </w:rPr>
              <w:t>d</w:t>
            </w:r>
            <w:r w:rsidRPr="002742DE">
              <w:t>,</w:t>
            </w:r>
            <w:r w:rsidRPr="002742DE">
              <w:rPr>
                <w:spacing w:val="-7"/>
              </w:rPr>
              <w:t xml:space="preserve"> </w:t>
            </w:r>
            <w:r w:rsidRPr="002742DE">
              <w:rPr>
                <w:spacing w:val="1"/>
              </w:rPr>
              <w:t>d</w:t>
            </w:r>
            <w:r w:rsidRPr="002742DE">
              <w:t>esc</w:t>
            </w:r>
            <w:r w:rsidRPr="002742DE">
              <w:rPr>
                <w:spacing w:val="1"/>
              </w:rPr>
              <w:t>r</w:t>
            </w:r>
            <w:r w:rsidRPr="002742DE">
              <w:t>i</w:t>
            </w:r>
            <w:r w:rsidRPr="002742DE">
              <w:rPr>
                <w:spacing w:val="1"/>
              </w:rPr>
              <w:t>b</w:t>
            </w:r>
            <w:r w:rsidRPr="002742DE">
              <w:t>ed</w:t>
            </w:r>
            <w:r w:rsidRPr="002742DE">
              <w:rPr>
                <w:spacing w:val="-6"/>
              </w:rPr>
              <w:t xml:space="preserve"> </w:t>
            </w:r>
            <w:r w:rsidRPr="002742DE">
              <w:t>a</w:t>
            </w:r>
            <w:r w:rsidRPr="002742DE">
              <w:rPr>
                <w:spacing w:val="-1"/>
              </w:rPr>
              <w:t>n</w:t>
            </w:r>
            <w:r w:rsidRPr="002742DE">
              <w:t>d</w:t>
            </w:r>
            <w:r w:rsidRPr="002742DE">
              <w:rPr>
                <w:spacing w:val="-2"/>
              </w:rPr>
              <w:t xml:space="preserve"> </w:t>
            </w:r>
            <w:r w:rsidRPr="002742DE">
              <w:t>e</w:t>
            </w:r>
            <w:r w:rsidRPr="002742DE">
              <w:rPr>
                <w:spacing w:val="-1"/>
              </w:rPr>
              <w:t>v</w:t>
            </w:r>
            <w:r w:rsidRPr="002742DE">
              <w:t>al</w:t>
            </w:r>
            <w:r w:rsidRPr="002742DE">
              <w:rPr>
                <w:spacing w:val="-1"/>
              </w:rPr>
              <w:t>u</w:t>
            </w:r>
            <w:r w:rsidRPr="002742DE">
              <w:t>ate</w:t>
            </w:r>
            <w:r w:rsidRPr="002742DE">
              <w:rPr>
                <w:spacing w:val="2"/>
              </w:rPr>
              <w:t>d</w:t>
            </w:r>
            <w:r w:rsidRPr="002742DE">
              <w:t>.</w:t>
            </w:r>
          </w:p>
        </w:tc>
        <w:tc>
          <w:tcPr>
            <w:tcW w:w="364" w:type="pct"/>
            <w:vAlign w:val="center"/>
          </w:tcPr>
          <w:p w:rsidR="00361223" w:rsidRPr="002742DE" w:rsidRDefault="00361223" w:rsidP="00DE269D">
            <w:pPr>
              <w:tabs>
                <w:tab w:val="left" w:pos="1120"/>
              </w:tabs>
              <w:spacing w:before="61" w:line="239" w:lineRule="auto"/>
              <w:jc w:val="center"/>
              <w:rPr>
                <w:rFonts w:eastAsia="Wingdings" w:cs="Arial"/>
                <w:sz w:val="20"/>
                <w:szCs w:val="20"/>
              </w:rPr>
            </w:pPr>
            <w:r>
              <w:rPr>
                <w:rFonts w:eastAsia="Wingdings" w:cs="Arial"/>
                <w:sz w:val="20"/>
                <w:szCs w:val="20"/>
              </w:rPr>
              <w:t>YES</w:t>
            </w:r>
          </w:p>
        </w:tc>
        <w:tc>
          <w:tcPr>
            <w:tcW w:w="1589" w:type="pct"/>
            <w:vAlign w:val="center"/>
          </w:tcPr>
          <w:p w:rsidR="00361223" w:rsidRPr="002742DE" w:rsidRDefault="00361223" w:rsidP="00DE269D">
            <w:pPr>
              <w:tabs>
                <w:tab w:val="left" w:pos="1120"/>
              </w:tabs>
              <w:spacing w:before="61" w:line="239" w:lineRule="auto"/>
              <w:rPr>
                <w:rFonts w:eastAsia="Wingdings" w:cs="Arial"/>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1120"/>
              </w:tabs>
              <w:spacing w:before="61" w:line="239" w:lineRule="auto"/>
              <w:contextualSpacing/>
              <w:jc w:val="left"/>
            </w:pPr>
            <w:r w:rsidRPr="002742DE">
              <w:rPr>
                <w:spacing w:val="3"/>
              </w:rPr>
              <w:t>T</w:t>
            </w:r>
            <w:r w:rsidRPr="002742DE">
              <w:rPr>
                <w:spacing w:val="-1"/>
              </w:rPr>
              <w:t>h</w:t>
            </w:r>
            <w:r w:rsidRPr="002742DE">
              <w:t>e</w:t>
            </w:r>
            <w:r w:rsidRPr="002742DE">
              <w:rPr>
                <w:spacing w:val="14"/>
              </w:rPr>
              <w:t xml:space="preserve"> </w:t>
            </w:r>
            <w:r w:rsidRPr="002742DE">
              <w:rPr>
                <w:spacing w:val="1"/>
              </w:rPr>
              <w:t>dr</w:t>
            </w:r>
            <w:r w:rsidRPr="002742DE">
              <w:t>a</w:t>
            </w:r>
            <w:r w:rsidRPr="002742DE">
              <w:rPr>
                <w:spacing w:val="-1"/>
              </w:rPr>
              <w:t>f</w:t>
            </w:r>
            <w:r w:rsidRPr="002742DE">
              <w:t>t</w:t>
            </w:r>
            <w:r w:rsidRPr="002742DE">
              <w:rPr>
                <w:spacing w:val="13"/>
              </w:rPr>
              <w:t xml:space="preserve"> </w:t>
            </w:r>
            <w:r w:rsidRPr="002742DE">
              <w:rPr>
                <w:spacing w:val="1"/>
              </w:rPr>
              <w:t>p</w:t>
            </w:r>
            <w:r w:rsidRPr="002742DE">
              <w:t>lan</w:t>
            </w:r>
            <w:r w:rsidRPr="002742DE">
              <w:rPr>
                <w:spacing w:val="13"/>
              </w:rPr>
              <w:t xml:space="preserve"> </w:t>
            </w:r>
            <w:r w:rsidRPr="002742DE">
              <w:rPr>
                <w:spacing w:val="1"/>
              </w:rPr>
              <w:t>o</w:t>
            </w:r>
            <w:r w:rsidRPr="002742DE">
              <w:t>r</w:t>
            </w:r>
            <w:r w:rsidRPr="002742DE">
              <w:rPr>
                <w:spacing w:val="18"/>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rPr>
                <w:spacing w:val="-5"/>
              </w:rPr>
              <w:t>w</w:t>
            </w:r>
            <w:r w:rsidRPr="002742DE">
              <w:rPr>
                <w:spacing w:val="1"/>
              </w:rPr>
              <w:t>o</w:t>
            </w:r>
            <w:r w:rsidRPr="002742DE">
              <w:rPr>
                <w:spacing w:val="3"/>
              </w:rPr>
              <w:t>r</w:t>
            </w:r>
            <w:r w:rsidRPr="002742DE">
              <w:t>k</w:t>
            </w:r>
            <w:r w:rsidRPr="002742DE">
              <w:rPr>
                <w:spacing w:val="9"/>
              </w:rPr>
              <w:t xml:space="preserve"> </w:t>
            </w:r>
            <w:r w:rsidRPr="002742DE">
              <w:t>a</w:t>
            </w:r>
            <w:r w:rsidRPr="002742DE">
              <w:rPr>
                <w:spacing w:val="-1"/>
              </w:rPr>
              <w:t>n</w:t>
            </w:r>
            <w:r w:rsidRPr="002742DE">
              <w:t>d</w:t>
            </w:r>
            <w:r w:rsidRPr="002742DE">
              <w:rPr>
                <w:spacing w:val="15"/>
              </w:rPr>
              <w:t xml:space="preserve"> </w:t>
            </w:r>
            <w:r w:rsidRPr="002742DE">
              <w:t>t</w:t>
            </w:r>
            <w:r w:rsidRPr="002742DE">
              <w:rPr>
                <w:spacing w:val="-1"/>
              </w:rPr>
              <w:t>h</w:t>
            </w:r>
            <w:r w:rsidRPr="002742DE">
              <w:t>e</w:t>
            </w:r>
            <w:r w:rsidRPr="002742DE">
              <w:rPr>
                <w:spacing w:val="18"/>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tal</w:t>
            </w:r>
            <w:r w:rsidRPr="002742DE">
              <w:rPr>
                <w:spacing w:val="5"/>
              </w:rPr>
              <w:t xml:space="preserve"> </w:t>
            </w:r>
            <w:r w:rsidRPr="002742DE">
              <w:rPr>
                <w:spacing w:val="1"/>
              </w:rPr>
              <w:t>r</w:t>
            </w:r>
            <w:r w:rsidRPr="002742DE">
              <w:t>e</w:t>
            </w:r>
            <w:r w:rsidRPr="002742DE">
              <w:rPr>
                <w:spacing w:val="1"/>
              </w:rPr>
              <w:t>por</w:t>
            </w:r>
            <w:r w:rsidRPr="002742DE">
              <w:t>t</w:t>
            </w:r>
            <w:r w:rsidRPr="002742DE">
              <w:rPr>
                <w:spacing w:val="14"/>
              </w:rPr>
              <w:t xml:space="preserve"> </w:t>
            </w:r>
            <w:r w:rsidRPr="002742DE">
              <w:rPr>
                <w:spacing w:val="-1"/>
              </w:rPr>
              <w:t>h</w:t>
            </w:r>
            <w:r w:rsidRPr="002742DE">
              <w:t>a</w:t>
            </w:r>
            <w:r w:rsidRPr="002742DE">
              <w:rPr>
                <w:spacing w:val="-1"/>
              </w:rPr>
              <w:t>v</w:t>
            </w:r>
            <w:r w:rsidRPr="002742DE">
              <w:t>e</w:t>
            </w:r>
            <w:r w:rsidRPr="002742DE">
              <w:rPr>
                <w:spacing w:val="16"/>
              </w:rPr>
              <w:t xml:space="preserve"> </w:t>
            </w:r>
            <w:r w:rsidRPr="002742DE">
              <w:rPr>
                <w:spacing w:val="1"/>
              </w:rPr>
              <w:t>b</w:t>
            </w:r>
            <w:r w:rsidRPr="002742DE">
              <w:rPr>
                <w:spacing w:val="9"/>
              </w:rPr>
              <w:t>e</w:t>
            </w:r>
            <w:r w:rsidRPr="002742DE">
              <w:t>en</w:t>
            </w:r>
            <w:r w:rsidRPr="002742DE">
              <w:rPr>
                <w:spacing w:val="15"/>
              </w:rPr>
              <w:t xml:space="preserve"> </w:t>
            </w:r>
            <w:r w:rsidRPr="002742DE">
              <w:rPr>
                <w:spacing w:val="-1"/>
              </w:rPr>
              <w:t>m</w:t>
            </w:r>
            <w:r w:rsidRPr="002742DE">
              <w:t>a</w:t>
            </w:r>
            <w:r w:rsidRPr="002742DE">
              <w:rPr>
                <w:spacing w:val="1"/>
              </w:rPr>
              <w:t>d</w:t>
            </w:r>
            <w:r w:rsidRPr="002742DE">
              <w:t>e</w:t>
            </w:r>
            <w:r w:rsidRPr="002742DE">
              <w:rPr>
                <w:spacing w:val="13"/>
              </w:rPr>
              <w:t xml:space="preserve"> </w:t>
            </w:r>
            <w:r w:rsidRPr="002742DE">
              <w:rPr>
                <w:spacing w:val="3"/>
              </w:rPr>
              <w:t>a</w:t>
            </w:r>
            <w:r w:rsidRPr="002742DE">
              <w:rPr>
                <w:spacing w:val="-1"/>
              </w:rPr>
              <w:t>v</w:t>
            </w:r>
            <w:r w:rsidRPr="002742DE">
              <w:t>aila</w:t>
            </w:r>
            <w:r w:rsidRPr="002742DE">
              <w:rPr>
                <w:spacing w:val="1"/>
              </w:rPr>
              <w:t>b</w:t>
            </w:r>
            <w:r w:rsidRPr="002742DE">
              <w:t>le</w:t>
            </w:r>
            <w:r w:rsidRPr="002742DE">
              <w:rPr>
                <w:spacing w:val="10"/>
              </w:rPr>
              <w:t xml:space="preserve"> </w:t>
            </w:r>
            <w:r w:rsidRPr="002742DE">
              <w:t>to</w:t>
            </w:r>
            <w:r w:rsidRPr="002742DE">
              <w:rPr>
                <w:spacing w:val="18"/>
              </w:rPr>
              <w:t xml:space="preserve"> </w:t>
            </w:r>
            <w:r w:rsidRPr="002742DE">
              <w:t>t</w:t>
            </w:r>
            <w:r w:rsidRPr="002742DE">
              <w:rPr>
                <w:spacing w:val="-1"/>
              </w:rPr>
              <w:t>h</w:t>
            </w:r>
            <w:r w:rsidRPr="002742DE">
              <w:t xml:space="preserve">e </w:t>
            </w:r>
            <w:r w:rsidRPr="002742DE">
              <w:rPr>
                <w:spacing w:val="1"/>
              </w:rPr>
              <w:t>p</w:t>
            </w:r>
            <w:r w:rsidRPr="002742DE">
              <w:rPr>
                <w:spacing w:val="-1"/>
              </w:rPr>
              <w:t>u</w:t>
            </w:r>
            <w:r w:rsidRPr="002742DE">
              <w:rPr>
                <w:spacing w:val="1"/>
              </w:rPr>
              <w:t>b</w:t>
            </w:r>
            <w:r w:rsidRPr="002742DE">
              <w:t>lic</w:t>
            </w:r>
            <w:r w:rsidRPr="002742DE">
              <w:rPr>
                <w:spacing w:val="7"/>
              </w:rPr>
              <w:t xml:space="preserve"> </w:t>
            </w:r>
            <w:r w:rsidRPr="002742DE">
              <w:t>a</w:t>
            </w:r>
            <w:r w:rsidRPr="002742DE">
              <w:rPr>
                <w:spacing w:val="-1"/>
              </w:rPr>
              <w:t>n</w:t>
            </w:r>
            <w:r w:rsidRPr="002742DE">
              <w:t>d</w:t>
            </w:r>
            <w:r w:rsidRPr="002742DE">
              <w:rPr>
                <w:spacing w:val="10"/>
              </w:rPr>
              <w:t xml:space="preserve"> </w:t>
            </w:r>
            <w:r w:rsidRPr="002742DE">
              <w:t>t</w:t>
            </w:r>
            <w:r w:rsidRPr="002742DE">
              <w:rPr>
                <w:spacing w:val="-1"/>
              </w:rPr>
              <w:t>h</w:t>
            </w:r>
            <w:r w:rsidRPr="002742DE">
              <w:t>e</w:t>
            </w:r>
            <w:r w:rsidRPr="002742DE">
              <w:rPr>
                <w:spacing w:val="10"/>
              </w:rPr>
              <w:t xml:space="preserve"> </w:t>
            </w:r>
            <w:r w:rsidRPr="002742DE">
              <w:rPr>
                <w:spacing w:val="3"/>
              </w:rPr>
              <w:t>a</w:t>
            </w:r>
            <w:r w:rsidRPr="002742DE">
              <w:rPr>
                <w:spacing w:val="-1"/>
              </w:rPr>
              <w:t>u</w:t>
            </w:r>
            <w:r w:rsidRPr="002742DE">
              <w:rPr>
                <w:spacing w:val="2"/>
              </w:rPr>
              <w:t>t</w:t>
            </w:r>
            <w:r w:rsidRPr="002742DE">
              <w:rPr>
                <w:spacing w:val="-1"/>
              </w:rPr>
              <w:t>h</w:t>
            </w:r>
            <w:r w:rsidRPr="002742DE">
              <w:rPr>
                <w:spacing w:val="1"/>
              </w:rPr>
              <w:t>or</w:t>
            </w:r>
            <w:r w:rsidRPr="002742DE">
              <w:t>ities</w:t>
            </w:r>
            <w:r w:rsidRPr="002742DE">
              <w:rPr>
                <w:spacing w:val="8"/>
              </w:rPr>
              <w:t xml:space="preserve"> </w:t>
            </w:r>
            <w:r w:rsidRPr="002742DE">
              <w:t>with</w:t>
            </w:r>
            <w:r w:rsidRPr="002742DE">
              <w:rPr>
                <w:spacing w:val="7"/>
              </w:rPr>
              <w:t xml:space="preserve"> </w:t>
            </w:r>
            <w:r w:rsidRPr="002742DE">
              <w:rPr>
                <w:spacing w:val="-1"/>
              </w:rPr>
              <w:t>s</w:t>
            </w:r>
            <w:r w:rsidRPr="002742DE">
              <w:rPr>
                <w:spacing w:val="1"/>
              </w:rPr>
              <w:t>p</w:t>
            </w:r>
            <w:r w:rsidRPr="002742DE">
              <w:t>e</w:t>
            </w:r>
            <w:r w:rsidRPr="002742DE">
              <w:rPr>
                <w:spacing w:val="1"/>
              </w:rPr>
              <w:t>c</w:t>
            </w:r>
            <w:r w:rsidRPr="002742DE">
              <w:rPr>
                <w:spacing w:val="2"/>
              </w:rPr>
              <w:t>i</w:t>
            </w:r>
            <w:r w:rsidRPr="002742DE">
              <w:rPr>
                <w:spacing w:val="-2"/>
              </w:rPr>
              <w:t>f</w:t>
            </w:r>
            <w:r w:rsidRPr="002742DE">
              <w:t>ic</w:t>
            </w:r>
            <w:r w:rsidRPr="002742DE">
              <w:rPr>
                <w:spacing w:val="5"/>
              </w:rPr>
              <w:t xml:space="preserve"> </w:t>
            </w:r>
            <w:r w:rsidRPr="002742DE">
              <w:rPr>
                <w:spacing w:val="3"/>
              </w:rPr>
              <w:t>e</w:t>
            </w:r>
            <w:r w:rsidRPr="002742DE">
              <w:rPr>
                <w:spacing w:val="-1"/>
              </w:rPr>
              <w:t>n</w:t>
            </w:r>
            <w:r w:rsidRPr="002742DE">
              <w:rPr>
                <w:spacing w:val="1"/>
              </w:rPr>
              <w:t>v</w:t>
            </w:r>
            <w:r w:rsidRPr="002742DE">
              <w:t>ir</w:t>
            </w:r>
            <w:r w:rsidRPr="002742DE">
              <w:rPr>
                <w:spacing w:val="1"/>
              </w:rPr>
              <w:t>on</w:t>
            </w:r>
            <w:r w:rsidRPr="002742DE">
              <w:rPr>
                <w:spacing w:val="-4"/>
              </w:rPr>
              <w:t>m</w:t>
            </w:r>
            <w:r w:rsidRPr="002742DE">
              <w:rPr>
                <w:spacing w:val="3"/>
              </w:rPr>
              <w:t>e</w:t>
            </w:r>
            <w:r w:rsidRPr="002742DE">
              <w:rPr>
                <w:spacing w:val="-1"/>
              </w:rPr>
              <w:t>n</w:t>
            </w:r>
            <w:r w:rsidRPr="002742DE">
              <w:t xml:space="preserve">tal </w:t>
            </w:r>
            <w:r w:rsidRPr="002742DE">
              <w:rPr>
                <w:spacing w:val="1"/>
              </w:rPr>
              <w:t>r</w:t>
            </w:r>
            <w:r w:rsidRPr="002742DE">
              <w:rPr>
                <w:spacing w:val="3"/>
              </w:rPr>
              <w:t>e</w:t>
            </w:r>
            <w:r w:rsidRPr="002742DE">
              <w:rPr>
                <w:spacing w:val="-1"/>
              </w:rPr>
              <w:t>s</w:t>
            </w:r>
            <w:r w:rsidRPr="002742DE">
              <w:rPr>
                <w:spacing w:val="1"/>
              </w:rPr>
              <w:t>po</w:t>
            </w:r>
            <w:r w:rsidRPr="002742DE">
              <w:rPr>
                <w:spacing w:val="-1"/>
              </w:rPr>
              <w:t>ns</w:t>
            </w:r>
            <w:r w:rsidRPr="002742DE">
              <w:t>i</w:t>
            </w:r>
            <w:r w:rsidRPr="002742DE">
              <w:rPr>
                <w:spacing w:val="1"/>
              </w:rPr>
              <w:t>b</w:t>
            </w:r>
            <w:r w:rsidRPr="002742DE">
              <w:t>ili</w:t>
            </w:r>
            <w:r w:rsidRPr="002742DE">
              <w:rPr>
                <w:spacing w:val="-1"/>
              </w:rPr>
              <w:t>t</w:t>
            </w:r>
            <w:r w:rsidRPr="002742DE">
              <w:t>i</w:t>
            </w:r>
            <w:r w:rsidRPr="002742DE">
              <w:rPr>
                <w:spacing w:val="2"/>
              </w:rPr>
              <w:t>e</w:t>
            </w:r>
            <w:r w:rsidRPr="002742DE">
              <w:t>s</w:t>
            </w:r>
            <w:r w:rsidRPr="002742DE">
              <w:rPr>
                <w:spacing w:val="3"/>
              </w:rPr>
              <w:t xml:space="preserve"> </w:t>
            </w:r>
            <w:r w:rsidRPr="002742DE">
              <w:rPr>
                <w:spacing w:val="1"/>
              </w:rPr>
              <w:t>d</w:t>
            </w:r>
            <w:r w:rsidRPr="002742DE">
              <w:t>es</w:t>
            </w:r>
            <w:r w:rsidRPr="002742DE">
              <w:rPr>
                <w:spacing w:val="2"/>
              </w:rPr>
              <w:t>i</w:t>
            </w:r>
            <w:r w:rsidRPr="002742DE">
              <w:rPr>
                <w:spacing w:val="-1"/>
              </w:rPr>
              <w:t>gn</w:t>
            </w:r>
            <w:r w:rsidRPr="002742DE">
              <w:rPr>
                <w:spacing w:val="3"/>
              </w:rPr>
              <w:t>a</w:t>
            </w:r>
            <w:r w:rsidRPr="002742DE">
              <w:t>ted</w:t>
            </w:r>
            <w:r w:rsidRPr="002742DE">
              <w:rPr>
                <w:spacing w:val="4"/>
              </w:rPr>
              <w:t xml:space="preserve"> </w:t>
            </w:r>
            <w:r w:rsidRPr="002742DE">
              <w:rPr>
                <w:spacing w:val="3"/>
              </w:rPr>
              <w:t>b</w:t>
            </w:r>
            <w:r w:rsidRPr="002742DE">
              <w:t>y</w:t>
            </w:r>
            <w:r w:rsidRPr="002742DE">
              <w:rPr>
                <w:spacing w:val="9"/>
              </w:rPr>
              <w:t xml:space="preserve"> </w:t>
            </w:r>
            <w:r w:rsidRPr="002742DE">
              <w:t>t</w:t>
            </w:r>
            <w:r w:rsidRPr="002742DE">
              <w:rPr>
                <w:spacing w:val="-1"/>
              </w:rPr>
              <w:t>h</w:t>
            </w:r>
            <w:r w:rsidRPr="002742DE">
              <w:t>e M</w:t>
            </w:r>
            <w:r w:rsidRPr="002742DE">
              <w:rPr>
                <w:spacing w:val="3"/>
              </w:rPr>
              <w:t>e</w:t>
            </w:r>
            <w:r w:rsidRPr="002742DE">
              <w:rPr>
                <w:spacing w:val="-4"/>
              </w:rPr>
              <w:t>m</w:t>
            </w:r>
            <w:r w:rsidRPr="002742DE">
              <w:rPr>
                <w:spacing w:val="1"/>
              </w:rPr>
              <w:t>b</w:t>
            </w:r>
            <w:r w:rsidRPr="002742DE">
              <w:t>er</w:t>
            </w:r>
            <w:r w:rsidRPr="002742DE">
              <w:rPr>
                <w:spacing w:val="7"/>
              </w:rPr>
              <w:t xml:space="preserve"> </w:t>
            </w:r>
            <w:r w:rsidRPr="002742DE">
              <w:t>Stat</w:t>
            </w:r>
            <w:r w:rsidRPr="002742DE">
              <w:rPr>
                <w:spacing w:val="2"/>
              </w:rPr>
              <w:t>e</w:t>
            </w:r>
            <w:r w:rsidRPr="002742DE">
              <w:t>s</w:t>
            </w:r>
            <w:r w:rsidRPr="002742DE">
              <w:rPr>
                <w:spacing w:val="10"/>
              </w:rPr>
              <w:t xml:space="preserve"> </w:t>
            </w:r>
            <w:r w:rsidRPr="002742DE">
              <w:rPr>
                <w:spacing w:val="-2"/>
              </w:rPr>
              <w:t>w</w:t>
            </w:r>
            <w:r w:rsidRPr="002742DE">
              <w:rPr>
                <w:spacing w:val="1"/>
              </w:rPr>
              <w:t>h</w:t>
            </w:r>
            <w:r w:rsidRPr="002742DE">
              <w:t>o</w:t>
            </w:r>
            <w:r w:rsidRPr="002742DE">
              <w:rPr>
                <w:spacing w:val="10"/>
              </w:rPr>
              <w:t xml:space="preserve"> </w:t>
            </w:r>
            <w:r w:rsidRPr="002742DE">
              <w:t>a</w:t>
            </w:r>
            <w:r w:rsidRPr="002742DE">
              <w:rPr>
                <w:spacing w:val="1"/>
              </w:rPr>
              <w:t>r</w:t>
            </w:r>
            <w:r w:rsidRPr="002742DE">
              <w:t>e</w:t>
            </w:r>
            <w:r w:rsidRPr="002742DE">
              <w:rPr>
                <w:spacing w:val="10"/>
              </w:rPr>
              <w:t xml:space="preserve"> </w:t>
            </w:r>
            <w:r w:rsidRPr="002742DE">
              <w:t>l</w:t>
            </w:r>
            <w:r w:rsidRPr="002742DE">
              <w:rPr>
                <w:spacing w:val="2"/>
              </w:rPr>
              <w:t>i</w:t>
            </w:r>
            <w:r w:rsidRPr="002742DE">
              <w:rPr>
                <w:spacing w:val="1"/>
              </w:rPr>
              <w:t>k</w:t>
            </w:r>
            <w:r w:rsidRPr="002742DE">
              <w:t>e</w:t>
            </w:r>
            <w:r w:rsidRPr="002742DE">
              <w:rPr>
                <w:spacing w:val="2"/>
              </w:rPr>
              <w:t>l</w:t>
            </w:r>
            <w:r w:rsidRPr="002742DE">
              <w:t>y</w:t>
            </w:r>
            <w:r w:rsidRPr="002742DE">
              <w:rPr>
                <w:spacing w:val="4"/>
              </w:rPr>
              <w:t xml:space="preserve"> </w:t>
            </w:r>
            <w:r w:rsidRPr="002742DE">
              <w:t>to</w:t>
            </w:r>
            <w:r w:rsidRPr="002742DE">
              <w:rPr>
                <w:spacing w:val="12"/>
              </w:rPr>
              <w:t xml:space="preserve"> </w:t>
            </w:r>
            <w:r w:rsidRPr="002742DE">
              <w:rPr>
                <w:spacing w:val="1"/>
              </w:rPr>
              <w:t>b</w:t>
            </w:r>
            <w:r w:rsidRPr="002742DE">
              <w:t>e</w:t>
            </w:r>
            <w:r w:rsidRPr="002742DE">
              <w:rPr>
                <w:spacing w:val="11"/>
              </w:rPr>
              <w:t xml:space="preserve"> </w:t>
            </w:r>
            <w:r w:rsidRPr="002742DE">
              <w:t>c</w:t>
            </w:r>
            <w:r w:rsidRPr="002742DE">
              <w:rPr>
                <w:spacing w:val="4"/>
              </w:rPr>
              <w:t>o</w:t>
            </w:r>
            <w:r w:rsidRPr="002742DE">
              <w:rPr>
                <w:spacing w:val="-1"/>
              </w:rPr>
              <w:t>n</w:t>
            </w:r>
            <w:r w:rsidRPr="002742DE">
              <w:t>c</w:t>
            </w:r>
            <w:r w:rsidRPr="002742DE">
              <w:rPr>
                <w:spacing w:val="1"/>
              </w:rPr>
              <w:t>er</w:t>
            </w:r>
            <w:r w:rsidRPr="002742DE">
              <w:rPr>
                <w:spacing w:val="-1"/>
              </w:rPr>
              <w:t>n</w:t>
            </w:r>
            <w:r w:rsidRPr="002742DE">
              <w:t>ed</w:t>
            </w:r>
            <w:r w:rsidRPr="002742DE">
              <w:rPr>
                <w:spacing w:val="5"/>
              </w:rPr>
              <w:t xml:space="preserve"> </w:t>
            </w:r>
            <w:r w:rsidRPr="002742DE">
              <w:rPr>
                <w:spacing w:val="3"/>
              </w:rPr>
              <w:t>b</w:t>
            </w:r>
            <w:r w:rsidRPr="002742DE">
              <w:t>y</w:t>
            </w:r>
            <w:r w:rsidRPr="002742DE">
              <w:rPr>
                <w:spacing w:val="9"/>
              </w:rPr>
              <w:t xml:space="preserve"> </w:t>
            </w:r>
            <w:r w:rsidRPr="002742DE">
              <w:t>t</w:t>
            </w:r>
            <w:r w:rsidRPr="002742DE">
              <w:rPr>
                <w:spacing w:val="-1"/>
              </w:rPr>
              <w:t>h</w:t>
            </w:r>
            <w:r w:rsidRPr="002742DE">
              <w:t>e</w:t>
            </w:r>
            <w:r w:rsidRPr="002742DE">
              <w:rPr>
                <w:spacing w:val="13"/>
              </w:rPr>
              <w:t xml:space="preserve"> </w:t>
            </w:r>
            <w:r w:rsidRPr="002742DE">
              <w:t>e</w:t>
            </w:r>
            <w:r w:rsidRPr="002742DE">
              <w:rPr>
                <w:spacing w:val="1"/>
              </w:rPr>
              <w:t>n</w:t>
            </w:r>
            <w:r w:rsidRPr="002742DE">
              <w:rPr>
                <w:spacing w:val="-1"/>
              </w:rPr>
              <w:t>v</w:t>
            </w:r>
            <w:r w:rsidRPr="002742DE">
              <w:t>ir</w:t>
            </w:r>
            <w:r w:rsidRPr="002742DE">
              <w:rPr>
                <w:spacing w:val="1"/>
              </w:rPr>
              <w:t>o</w:t>
            </w:r>
            <w:r w:rsidRPr="002742DE">
              <w:rPr>
                <w:spacing w:val="-1"/>
              </w:rPr>
              <w:t>n</w:t>
            </w:r>
            <w:r w:rsidRPr="002742DE">
              <w:rPr>
                <w:spacing w:val="3"/>
              </w:rPr>
              <w:t>e</w:t>
            </w:r>
            <w:r w:rsidRPr="002742DE">
              <w:rPr>
                <w:spacing w:val="-1"/>
              </w:rPr>
              <w:t>m</w:t>
            </w:r>
            <w:r w:rsidRPr="002742DE">
              <w:t>e</w:t>
            </w:r>
            <w:r w:rsidRPr="002742DE">
              <w:rPr>
                <w:spacing w:val="-1"/>
              </w:rPr>
              <w:t>n</w:t>
            </w:r>
            <w:r w:rsidRPr="002742DE">
              <w:t>t</w:t>
            </w:r>
            <w:r w:rsidRPr="002742DE">
              <w:rPr>
                <w:spacing w:val="2"/>
              </w:rPr>
              <w:t>a</w:t>
            </w:r>
            <w:r w:rsidRPr="002742DE">
              <w:t xml:space="preserve">l </w:t>
            </w:r>
            <w:r w:rsidRPr="002742DE">
              <w:rPr>
                <w:spacing w:val="3"/>
              </w:rPr>
              <w:t>e</w:t>
            </w:r>
            <w:r w:rsidRPr="002742DE">
              <w:rPr>
                <w:spacing w:val="-2"/>
              </w:rPr>
              <w:t>ff</w:t>
            </w:r>
            <w:r w:rsidRPr="002742DE">
              <w:t>e</w:t>
            </w:r>
            <w:r w:rsidRPr="002742DE">
              <w:rPr>
                <w:spacing w:val="3"/>
              </w:rPr>
              <w:t>c</w:t>
            </w:r>
            <w:r w:rsidRPr="002742DE">
              <w:t>ts</w:t>
            </w:r>
            <w:r w:rsidRPr="002742DE">
              <w:rPr>
                <w:spacing w:val="6"/>
              </w:rPr>
              <w:t xml:space="preserve"> </w:t>
            </w:r>
            <w:r w:rsidRPr="002742DE">
              <w:rPr>
                <w:spacing w:val="3"/>
              </w:rPr>
              <w:t>o</w:t>
            </w:r>
            <w:r w:rsidRPr="002742DE">
              <w:t>f</w:t>
            </w:r>
            <w:r w:rsidRPr="002742DE">
              <w:rPr>
                <w:spacing w:val="12"/>
              </w:rPr>
              <w:t xml:space="preserve"> </w:t>
            </w:r>
            <w:r w:rsidRPr="002742DE">
              <w:t>t</w:t>
            </w:r>
            <w:r w:rsidRPr="002742DE">
              <w:rPr>
                <w:spacing w:val="-1"/>
              </w:rPr>
              <w:t>h</w:t>
            </w:r>
            <w:r w:rsidRPr="002742DE">
              <w:t xml:space="preserve">e </w:t>
            </w:r>
            <w:r w:rsidRPr="002742DE">
              <w:rPr>
                <w:spacing w:val="2"/>
              </w:rPr>
              <w:t>i</w:t>
            </w:r>
            <w:r w:rsidRPr="002742DE">
              <w:rPr>
                <w:spacing w:val="-4"/>
              </w:rPr>
              <w:t>m</w:t>
            </w:r>
            <w:r w:rsidRPr="002742DE">
              <w:rPr>
                <w:spacing w:val="1"/>
              </w:rPr>
              <w:t>p</w:t>
            </w:r>
            <w:r w:rsidRPr="002742DE">
              <w:t>l</w:t>
            </w:r>
            <w:r w:rsidRPr="002742DE">
              <w:rPr>
                <w:spacing w:val="2"/>
              </w:rPr>
              <w:t>e</w:t>
            </w:r>
            <w:r w:rsidRPr="002742DE">
              <w:rPr>
                <w:spacing w:val="-1"/>
              </w:rPr>
              <w:t>m</w:t>
            </w:r>
            <w:r w:rsidRPr="002742DE">
              <w:t>e</w:t>
            </w:r>
            <w:r w:rsidRPr="002742DE">
              <w:rPr>
                <w:spacing w:val="-1"/>
              </w:rPr>
              <w:t>n</w:t>
            </w:r>
            <w:r w:rsidRPr="002742DE">
              <w:rPr>
                <w:spacing w:val="2"/>
              </w:rPr>
              <w:t>t</w:t>
            </w:r>
            <w:r w:rsidRPr="002742DE">
              <w:t>i</w:t>
            </w:r>
            <w:r w:rsidRPr="002742DE">
              <w:rPr>
                <w:spacing w:val="1"/>
              </w:rPr>
              <w:t>n</w:t>
            </w:r>
            <w:r w:rsidRPr="002742DE">
              <w:t>g</w:t>
            </w:r>
            <w:r w:rsidRPr="002742DE">
              <w:rPr>
                <w:spacing w:val="-12"/>
              </w:rPr>
              <w:t xml:space="preserve"> </w:t>
            </w:r>
            <w:r w:rsidRPr="002742DE">
              <w:rPr>
                <w:spacing w:val="1"/>
              </w:rPr>
              <w:t>p</w:t>
            </w:r>
            <w:r w:rsidRPr="002742DE">
              <w:t>la</w:t>
            </w:r>
            <w:r w:rsidRPr="002742DE">
              <w:rPr>
                <w:spacing w:val="1"/>
              </w:rPr>
              <w:t>n</w:t>
            </w:r>
            <w:r w:rsidRPr="002742DE">
              <w:rPr>
                <w:spacing w:val="-1"/>
              </w:rPr>
              <w:t>s</w:t>
            </w:r>
            <w:r w:rsidRPr="002742DE">
              <w:t>.</w:t>
            </w:r>
          </w:p>
        </w:tc>
        <w:tc>
          <w:tcPr>
            <w:tcW w:w="364" w:type="pct"/>
            <w:vAlign w:val="center"/>
          </w:tcPr>
          <w:p w:rsidR="00361223" w:rsidRPr="00857897" w:rsidRDefault="00361223" w:rsidP="00DE269D">
            <w:pPr>
              <w:tabs>
                <w:tab w:val="left" w:pos="1120"/>
              </w:tabs>
              <w:spacing w:before="61" w:line="239" w:lineRule="auto"/>
              <w:jc w:val="center"/>
              <w:rPr>
                <w:rFonts w:eastAsia="Wingdings" w:cs="Arial"/>
                <w:sz w:val="20"/>
                <w:szCs w:val="20"/>
              </w:rPr>
            </w:pPr>
            <w:r w:rsidRPr="00857897">
              <w:rPr>
                <w:rFonts w:eastAsia="Wingdings" w:cs="Arial"/>
                <w:sz w:val="20"/>
                <w:szCs w:val="20"/>
              </w:rPr>
              <w:t>NO</w:t>
            </w:r>
          </w:p>
        </w:tc>
        <w:tc>
          <w:tcPr>
            <w:tcW w:w="1589" w:type="pct"/>
            <w:vAlign w:val="center"/>
          </w:tcPr>
          <w:p w:rsidR="00361223" w:rsidRPr="00363135" w:rsidRDefault="00361223" w:rsidP="00DE269D">
            <w:pPr>
              <w:rPr>
                <w:rFonts w:cs="Arial"/>
                <w:sz w:val="20"/>
                <w:szCs w:val="20"/>
              </w:rPr>
            </w:pPr>
            <w:r w:rsidRPr="00363135">
              <w:rPr>
                <w:rFonts w:cs="Arial"/>
                <w:sz w:val="20"/>
                <w:szCs w:val="20"/>
              </w:rPr>
              <w:t xml:space="preserve">The draft plan has been made available to the public and the authorities on October 2012 and October </w:t>
            </w:r>
            <w:proofErr w:type="gramStart"/>
            <w:r w:rsidRPr="00363135">
              <w:rPr>
                <w:rFonts w:cs="Arial"/>
                <w:sz w:val="20"/>
                <w:szCs w:val="20"/>
              </w:rPr>
              <w:t>2013 .</w:t>
            </w:r>
            <w:proofErr w:type="gramEnd"/>
            <w:r w:rsidRPr="00363135">
              <w:rPr>
                <w:rFonts w:cs="Arial"/>
                <w:sz w:val="20"/>
                <w:szCs w:val="20"/>
              </w:rPr>
              <w:t xml:space="preserve"> Each chapter from Environmental Report have been presented in the working group.</w:t>
            </w:r>
          </w:p>
          <w:p w:rsidR="00361223" w:rsidRPr="00363135" w:rsidRDefault="00361223" w:rsidP="00DE269D">
            <w:pPr>
              <w:rPr>
                <w:rFonts w:cs="Arial"/>
                <w:sz w:val="20"/>
                <w:szCs w:val="20"/>
              </w:rPr>
            </w:pPr>
            <w:r w:rsidRPr="00363135">
              <w:rPr>
                <w:rFonts w:cs="Arial"/>
                <w:sz w:val="20"/>
                <w:szCs w:val="20"/>
              </w:rPr>
              <w:t xml:space="preserve">The final Environmental Report will be </w:t>
            </w:r>
            <w:proofErr w:type="gramStart"/>
            <w:r w:rsidRPr="00363135">
              <w:rPr>
                <w:rFonts w:cs="Arial"/>
                <w:sz w:val="20"/>
                <w:szCs w:val="20"/>
              </w:rPr>
              <w:t>make</w:t>
            </w:r>
            <w:proofErr w:type="gramEnd"/>
            <w:r w:rsidRPr="00363135">
              <w:rPr>
                <w:rFonts w:cs="Arial"/>
                <w:sz w:val="20"/>
                <w:szCs w:val="20"/>
              </w:rPr>
              <w:t xml:space="preserve"> available after Appropriate Assessment will be approved by MECC. The final Environmental Report must include the conclusion of Appropriate Assessment.</w:t>
            </w: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1120"/>
              </w:tabs>
              <w:spacing w:before="60" w:line="240" w:lineRule="auto"/>
              <w:contextualSpacing/>
              <w:jc w:val="left"/>
            </w:pPr>
            <w:r w:rsidRPr="002742DE">
              <w:rPr>
                <w:spacing w:val="1"/>
              </w:rPr>
              <w:t>I</w:t>
            </w:r>
            <w:r w:rsidRPr="002742DE">
              <w:t>n</w:t>
            </w:r>
            <w:r w:rsidRPr="002742DE">
              <w:rPr>
                <w:spacing w:val="28"/>
              </w:rPr>
              <w:t xml:space="preserve"> </w:t>
            </w:r>
            <w:r w:rsidRPr="002742DE">
              <w:t>c</w:t>
            </w:r>
            <w:r w:rsidRPr="002742DE">
              <w:rPr>
                <w:spacing w:val="1"/>
              </w:rPr>
              <w:t>a</w:t>
            </w:r>
            <w:r w:rsidRPr="002742DE">
              <w:rPr>
                <w:spacing w:val="-1"/>
              </w:rPr>
              <w:t>s</w:t>
            </w:r>
            <w:r w:rsidRPr="002742DE">
              <w:t>e</w:t>
            </w:r>
            <w:r w:rsidRPr="002742DE">
              <w:rPr>
                <w:spacing w:val="29"/>
              </w:rPr>
              <w:t xml:space="preserve"> </w:t>
            </w:r>
            <w:r w:rsidRPr="002742DE">
              <w:rPr>
                <w:spacing w:val="1"/>
              </w:rPr>
              <w:t>o</w:t>
            </w:r>
            <w:r w:rsidRPr="002742DE">
              <w:t>f</w:t>
            </w:r>
            <w:r w:rsidRPr="002742DE">
              <w:rPr>
                <w:spacing w:val="28"/>
              </w:rPr>
              <w:t xml:space="preserve"> </w:t>
            </w:r>
            <w:r w:rsidRPr="002742DE">
              <w:rPr>
                <w:spacing w:val="1"/>
              </w:rPr>
              <w:t>po</w:t>
            </w:r>
            <w:r w:rsidRPr="002742DE">
              <w:rPr>
                <w:spacing w:val="-1"/>
              </w:rPr>
              <w:t>ss</w:t>
            </w:r>
            <w:r w:rsidRPr="002742DE">
              <w:t>i</w:t>
            </w:r>
            <w:r w:rsidRPr="002742DE">
              <w:rPr>
                <w:spacing w:val="1"/>
              </w:rPr>
              <w:t>b</w:t>
            </w:r>
            <w:r w:rsidRPr="002742DE">
              <w:t>le</w:t>
            </w:r>
            <w:r w:rsidRPr="002742DE">
              <w:rPr>
                <w:spacing w:val="25"/>
              </w:rPr>
              <w:t xml:space="preserve"> </w:t>
            </w:r>
            <w:r w:rsidRPr="002742DE">
              <w:rPr>
                <w:spacing w:val="-1"/>
              </w:rPr>
              <w:t>s</w:t>
            </w:r>
            <w:r w:rsidRPr="002742DE">
              <w:rPr>
                <w:spacing w:val="2"/>
              </w:rPr>
              <w:t>i</w:t>
            </w:r>
            <w:r w:rsidRPr="002742DE">
              <w:rPr>
                <w:spacing w:val="1"/>
              </w:rPr>
              <w:t>g</w:t>
            </w:r>
            <w:r w:rsidRPr="002742DE">
              <w:rPr>
                <w:spacing w:val="-1"/>
              </w:rPr>
              <w:t>n</w:t>
            </w:r>
            <w:r w:rsidRPr="002742DE">
              <w:rPr>
                <w:spacing w:val="2"/>
              </w:rPr>
              <w:t>i</w:t>
            </w:r>
            <w:r w:rsidRPr="002742DE">
              <w:rPr>
                <w:spacing w:val="-2"/>
              </w:rPr>
              <w:t>f</w:t>
            </w:r>
            <w:r w:rsidRPr="002742DE">
              <w:t>ic</w:t>
            </w:r>
            <w:r w:rsidRPr="002742DE">
              <w:rPr>
                <w:spacing w:val="3"/>
              </w:rPr>
              <w:t>a</w:t>
            </w:r>
            <w:r w:rsidRPr="002742DE">
              <w:rPr>
                <w:spacing w:val="1"/>
              </w:rPr>
              <w:t>n</w:t>
            </w:r>
            <w:r w:rsidRPr="002742DE">
              <w:t>t</w:t>
            </w:r>
            <w:r w:rsidRPr="002742DE">
              <w:rPr>
                <w:spacing w:val="23"/>
              </w:rPr>
              <w:t xml:space="preserve"> </w:t>
            </w:r>
            <w:r w:rsidRPr="002742DE">
              <w:t>tra</w:t>
            </w:r>
            <w:r w:rsidRPr="002742DE">
              <w:rPr>
                <w:spacing w:val="-1"/>
              </w:rPr>
              <w:t>ns</w:t>
            </w:r>
            <w:r w:rsidRPr="002742DE">
              <w:rPr>
                <w:spacing w:val="1"/>
              </w:rPr>
              <w:t>b</w:t>
            </w:r>
            <w:r w:rsidRPr="002742DE">
              <w:rPr>
                <w:spacing w:val="5"/>
              </w:rPr>
              <w:t>o</w:t>
            </w:r>
            <w:r w:rsidRPr="002742DE">
              <w:rPr>
                <w:spacing w:val="1"/>
              </w:rPr>
              <w:t>u</w:t>
            </w:r>
            <w:r w:rsidRPr="002742DE">
              <w:rPr>
                <w:spacing w:val="-1"/>
              </w:rPr>
              <w:t>n</w:t>
            </w:r>
            <w:r w:rsidRPr="002742DE">
              <w:rPr>
                <w:spacing w:val="1"/>
              </w:rPr>
              <w:t>d</w:t>
            </w:r>
            <w:r w:rsidRPr="002742DE">
              <w:t>a</w:t>
            </w:r>
            <w:r w:rsidRPr="002742DE">
              <w:rPr>
                <w:spacing w:val="3"/>
              </w:rPr>
              <w:t>r</w:t>
            </w:r>
            <w:r w:rsidRPr="002742DE">
              <w:t>y</w:t>
            </w:r>
            <w:r w:rsidRPr="002742DE">
              <w:rPr>
                <w:spacing w:val="17"/>
              </w:rPr>
              <w:t xml:space="preserve"> </w:t>
            </w:r>
            <w:r w:rsidRPr="002742DE">
              <w:t>e</w:t>
            </w:r>
            <w:r w:rsidRPr="002742DE">
              <w:rPr>
                <w:spacing w:val="1"/>
              </w:rPr>
              <w:t>f</w:t>
            </w:r>
            <w:r w:rsidRPr="002742DE">
              <w:rPr>
                <w:spacing w:val="-2"/>
              </w:rPr>
              <w:t>f</w:t>
            </w:r>
            <w:r w:rsidRPr="002742DE">
              <w:t>e</w:t>
            </w:r>
            <w:r w:rsidRPr="002742DE">
              <w:rPr>
                <w:spacing w:val="1"/>
              </w:rPr>
              <w:t>c</w:t>
            </w:r>
            <w:r w:rsidRPr="002742DE">
              <w:rPr>
                <w:spacing w:val="2"/>
              </w:rPr>
              <w:t>t</w:t>
            </w:r>
            <w:r w:rsidRPr="002742DE">
              <w:rPr>
                <w:spacing w:val="-1"/>
              </w:rPr>
              <w:t>s</w:t>
            </w:r>
            <w:r w:rsidRPr="002742DE">
              <w:t>,</w:t>
            </w:r>
            <w:r w:rsidRPr="002742DE">
              <w:rPr>
                <w:spacing w:val="26"/>
              </w:rPr>
              <w:t xml:space="preserve"> </w:t>
            </w:r>
            <w:r w:rsidRPr="002742DE">
              <w:t>t</w:t>
            </w:r>
            <w:r w:rsidRPr="002742DE">
              <w:rPr>
                <w:spacing w:val="-1"/>
              </w:rPr>
              <w:t>h</w:t>
            </w:r>
            <w:r w:rsidRPr="002742DE">
              <w:t>e</w:t>
            </w:r>
            <w:r w:rsidRPr="002742DE">
              <w:rPr>
                <w:spacing w:val="30"/>
              </w:rPr>
              <w:t xml:space="preserve"> </w:t>
            </w:r>
            <w:r w:rsidRPr="002742DE">
              <w:rPr>
                <w:spacing w:val="3"/>
              </w:rPr>
              <w:t>d</w:t>
            </w:r>
            <w:r w:rsidRPr="002742DE">
              <w:rPr>
                <w:spacing w:val="1"/>
              </w:rPr>
              <w:t>r</w:t>
            </w:r>
            <w:r w:rsidRPr="002742DE">
              <w:t>a</w:t>
            </w:r>
            <w:r w:rsidRPr="002742DE">
              <w:rPr>
                <w:spacing w:val="-1"/>
              </w:rPr>
              <w:t>f</w:t>
            </w:r>
            <w:r w:rsidRPr="002742DE">
              <w:t>t</w:t>
            </w:r>
            <w:r w:rsidRPr="002742DE">
              <w:rPr>
                <w:spacing w:val="27"/>
              </w:rPr>
              <w:t xml:space="preserve"> </w:t>
            </w:r>
            <w:r w:rsidRPr="002742DE">
              <w:rPr>
                <w:spacing w:val="1"/>
              </w:rPr>
              <w:t>p</w:t>
            </w:r>
            <w:r w:rsidRPr="002742DE">
              <w:t>lan</w:t>
            </w:r>
            <w:r w:rsidRPr="002742DE">
              <w:rPr>
                <w:spacing w:val="27"/>
              </w:rPr>
              <w:t xml:space="preserve"> </w:t>
            </w:r>
            <w:r w:rsidRPr="002742DE">
              <w:rPr>
                <w:spacing w:val="1"/>
              </w:rPr>
              <w:t>o</w:t>
            </w:r>
            <w:r w:rsidRPr="002742DE">
              <w:t>r</w:t>
            </w:r>
            <w:r w:rsidRPr="002742DE">
              <w:rPr>
                <w:spacing w:val="30"/>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rPr>
                <w:spacing w:val="-5"/>
              </w:rPr>
              <w:t>w</w:t>
            </w:r>
            <w:r w:rsidRPr="002742DE">
              <w:rPr>
                <w:spacing w:val="1"/>
              </w:rPr>
              <w:t>o</w:t>
            </w:r>
            <w:r w:rsidRPr="002742DE">
              <w:rPr>
                <w:spacing w:val="3"/>
              </w:rPr>
              <w:t>r</w:t>
            </w:r>
            <w:r w:rsidRPr="002742DE">
              <w:t>k</w:t>
            </w:r>
            <w:r w:rsidRPr="002742DE">
              <w:rPr>
                <w:spacing w:val="21"/>
              </w:rPr>
              <w:t xml:space="preserve"> </w:t>
            </w:r>
            <w:r w:rsidRPr="002742DE">
              <w:t>a</w:t>
            </w:r>
            <w:r w:rsidRPr="002742DE">
              <w:rPr>
                <w:spacing w:val="-1"/>
              </w:rPr>
              <w:t>n</w:t>
            </w:r>
            <w:r w:rsidRPr="002742DE">
              <w:t>d</w:t>
            </w:r>
            <w:r w:rsidRPr="002742DE">
              <w:rPr>
                <w:spacing w:val="29"/>
              </w:rPr>
              <w:t xml:space="preserve"> </w:t>
            </w:r>
            <w:r w:rsidRPr="002742DE">
              <w:rPr>
                <w:spacing w:val="2"/>
              </w:rPr>
              <w:t>t</w:t>
            </w:r>
            <w:r w:rsidRPr="002742DE">
              <w:rPr>
                <w:spacing w:val="-1"/>
              </w:rPr>
              <w:t>h</w:t>
            </w:r>
            <w:r w:rsidRPr="002742DE">
              <w:t>e e</w:t>
            </w:r>
            <w:r w:rsidRPr="002742DE">
              <w:rPr>
                <w:spacing w:val="-1"/>
              </w:rPr>
              <w:t>nv</w:t>
            </w:r>
            <w:r w:rsidRPr="002742DE">
              <w:t>ir</w:t>
            </w:r>
            <w:r w:rsidRPr="002742DE">
              <w:rPr>
                <w:spacing w:val="3"/>
              </w:rPr>
              <w:t>o</w:t>
            </w:r>
            <w:r w:rsidRPr="002742DE">
              <w:rPr>
                <w:spacing w:val="1"/>
              </w:rPr>
              <w:t>n</w:t>
            </w:r>
            <w:r w:rsidRPr="002742DE">
              <w:rPr>
                <w:spacing w:val="-4"/>
              </w:rPr>
              <w:t>m</w:t>
            </w:r>
            <w:r w:rsidRPr="002742DE">
              <w:rPr>
                <w:spacing w:val="3"/>
              </w:rPr>
              <w:t>e</w:t>
            </w:r>
            <w:r w:rsidRPr="002742DE">
              <w:rPr>
                <w:spacing w:val="-1"/>
              </w:rPr>
              <w:t>n</w:t>
            </w:r>
            <w:r w:rsidRPr="002742DE">
              <w:t>tal</w:t>
            </w:r>
            <w:r w:rsidRPr="002742DE">
              <w:rPr>
                <w:spacing w:val="-12"/>
              </w:rPr>
              <w:t xml:space="preserve"> </w:t>
            </w:r>
            <w:r w:rsidRPr="002742DE">
              <w:rPr>
                <w:spacing w:val="1"/>
              </w:rPr>
              <w:t>r</w:t>
            </w:r>
            <w:r w:rsidRPr="002742DE">
              <w:t>e</w:t>
            </w:r>
            <w:r w:rsidRPr="002742DE">
              <w:rPr>
                <w:spacing w:val="1"/>
              </w:rPr>
              <w:t>por</w:t>
            </w:r>
            <w:r w:rsidRPr="002742DE">
              <w:t>t</w:t>
            </w:r>
            <w:r w:rsidRPr="002742DE">
              <w:rPr>
                <w:spacing w:val="-5"/>
              </w:rPr>
              <w:t xml:space="preserve"> </w:t>
            </w:r>
            <w:r w:rsidRPr="002742DE">
              <w:rPr>
                <w:spacing w:val="-1"/>
              </w:rPr>
              <w:t>h</w:t>
            </w:r>
            <w:r w:rsidRPr="002742DE">
              <w:t>a</w:t>
            </w:r>
            <w:r w:rsidRPr="002742DE">
              <w:rPr>
                <w:spacing w:val="-1"/>
              </w:rPr>
              <w:t>v</w:t>
            </w:r>
            <w:r w:rsidRPr="002742DE">
              <w:t>e</w:t>
            </w:r>
            <w:r w:rsidRPr="002742DE">
              <w:rPr>
                <w:spacing w:val="-3"/>
              </w:rPr>
              <w:t xml:space="preserve"> </w:t>
            </w:r>
            <w:r w:rsidRPr="002742DE">
              <w:rPr>
                <w:spacing w:val="1"/>
              </w:rPr>
              <w:t>b</w:t>
            </w:r>
            <w:r w:rsidRPr="002742DE">
              <w:t>e</w:t>
            </w:r>
            <w:r w:rsidRPr="002742DE">
              <w:rPr>
                <w:spacing w:val="3"/>
              </w:rPr>
              <w:t>e</w:t>
            </w:r>
            <w:r w:rsidRPr="002742DE">
              <w:t>n</w:t>
            </w:r>
            <w:r w:rsidRPr="002742DE">
              <w:rPr>
                <w:spacing w:val="-5"/>
              </w:rPr>
              <w:t xml:space="preserve"> </w:t>
            </w:r>
            <w:r w:rsidRPr="002742DE">
              <w:rPr>
                <w:spacing w:val="-2"/>
              </w:rPr>
              <w:t>f</w:t>
            </w:r>
            <w:r w:rsidRPr="002742DE">
              <w:rPr>
                <w:spacing w:val="1"/>
              </w:rPr>
              <w:t>o</w:t>
            </w:r>
            <w:r w:rsidRPr="002742DE">
              <w:rPr>
                <w:spacing w:val="3"/>
              </w:rPr>
              <w:t>r</w:t>
            </w:r>
            <w:r w:rsidRPr="002742DE">
              <w:rPr>
                <w:spacing w:val="-2"/>
              </w:rPr>
              <w:t>w</w:t>
            </w:r>
            <w:r w:rsidRPr="002742DE">
              <w:t>a</w:t>
            </w:r>
            <w:r w:rsidRPr="002742DE">
              <w:rPr>
                <w:spacing w:val="1"/>
              </w:rPr>
              <w:t>rd</w:t>
            </w:r>
            <w:r w:rsidRPr="002742DE">
              <w:t>ed</w:t>
            </w:r>
            <w:r w:rsidRPr="002742DE">
              <w:rPr>
                <w:spacing w:val="-6"/>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r</w:t>
            </w:r>
            <w:r w:rsidRPr="002742DE">
              <w:t>ele</w:t>
            </w:r>
            <w:r w:rsidRPr="002742DE">
              <w:rPr>
                <w:spacing w:val="-1"/>
              </w:rPr>
              <w:t>v</w:t>
            </w:r>
            <w:r w:rsidRPr="002742DE">
              <w:t>a</w:t>
            </w:r>
            <w:r w:rsidRPr="002742DE">
              <w:rPr>
                <w:spacing w:val="-1"/>
              </w:rPr>
              <w:t>n</w:t>
            </w:r>
            <w:r w:rsidRPr="002742DE">
              <w:rPr>
                <w:spacing w:val="2"/>
              </w:rPr>
              <w:t>t</w:t>
            </w:r>
            <w:r w:rsidRPr="002742DE">
              <w:t>/a</w:t>
            </w:r>
            <w:r w:rsidRPr="002742DE">
              <w:rPr>
                <w:spacing w:val="1"/>
              </w:rPr>
              <w:t>ff</w:t>
            </w:r>
            <w:r w:rsidRPr="002742DE">
              <w:t>e</w:t>
            </w:r>
            <w:r w:rsidRPr="002742DE">
              <w:rPr>
                <w:spacing w:val="1"/>
              </w:rPr>
              <w:t>c</w:t>
            </w:r>
            <w:r w:rsidRPr="002742DE">
              <w:t>ted</w:t>
            </w:r>
            <w:r w:rsidRPr="002742DE">
              <w:rPr>
                <w:spacing w:val="-12"/>
              </w:rPr>
              <w:t xml:space="preserve"> </w:t>
            </w:r>
            <w:r w:rsidRPr="002742DE">
              <w:t>M</w:t>
            </w:r>
            <w:r w:rsidRPr="002742DE">
              <w:rPr>
                <w:spacing w:val="3"/>
              </w:rPr>
              <w:t>e</w:t>
            </w:r>
            <w:r w:rsidRPr="002742DE">
              <w:rPr>
                <w:spacing w:val="-4"/>
              </w:rPr>
              <w:t>m</w:t>
            </w:r>
            <w:r w:rsidRPr="002742DE">
              <w:rPr>
                <w:spacing w:val="1"/>
              </w:rPr>
              <w:t>b</w:t>
            </w:r>
            <w:r w:rsidRPr="002742DE">
              <w:t>er</w:t>
            </w:r>
            <w:r w:rsidRPr="002742DE">
              <w:rPr>
                <w:spacing w:val="-6"/>
              </w:rPr>
              <w:t xml:space="preserve"> </w:t>
            </w:r>
            <w:r w:rsidRPr="002742DE">
              <w:t>State</w:t>
            </w:r>
            <w:r w:rsidRPr="002742DE">
              <w:rPr>
                <w:spacing w:val="-1"/>
              </w:rPr>
              <w:t>s</w:t>
            </w:r>
            <w:r w:rsidRPr="002742DE">
              <w:t>.</w:t>
            </w:r>
          </w:p>
        </w:tc>
        <w:tc>
          <w:tcPr>
            <w:tcW w:w="364" w:type="pct"/>
            <w:vAlign w:val="center"/>
          </w:tcPr>
          <w:p w:rsidR="00361223" w:rsidRPr="00857897" w:rsidRDefault="00361223" w:rsidP="00DE269D">
            <w:pPr>
              <w:tabs>
                <w:tab w:val="left" w:pos="1120"/>
              </w:tabs>
              <w:spacing w:before="60"/>
              <w:jc w:val="center"/>
              <w:rPr>
                <w:rFonts w:eastAsia="Wingdings" w:cs="Arial"/>
                <w:sz w:val="20"/>
                <w:szCs w:val="20"/>
              </w:rPr>
            </w:pPr>
            <w:r w:rsidRPr="00857897">
              <w:rPr>
                <w:rFonts w:eastAsia="Wingdings" w:cs="Arial"/>
                <w:sz w:val="20"/>
                <w:szCs w:val="20"/>
              </w:rPr>
              <w:t>NO</w:t>
            </w:r>
          </w:p>
        </w:tc>
        <w:tc>
          <w:tcPr>
            <w:tcW w:w="1589" w:type="pct"/>
            <w:vAlign w:val="center"/>
          </w:tcPr>
          <w:p w:rsidR="00361223" w:rsidRPr="00363135" w:rsidRDefault="00361223" w:rsidP="00DE269D">
            <w:pPr>
              <w:rPr>
                <w:rFonts w:cs="Arial"/>
                <w:sz w:val="20"/>
                <w:szCs w:val="20"/>
              </w:rPr>
            </w:pPr>
            <w:r w:rsidRPr="00363135">
              <w:rPr>
                <w:rFonts w:cs="Arial"/>
                <w:spacing w:val="1"/>
                <w:sz w:val="20"/>
                <w:szCs w:val="20"/>
              </w:rPr>
              <w:t>I</w:t>
            </w:r>
            <w:r w:rsidRPr="00363135">
              <w:rPr>
                <w:rFonts w:cs="Arial"/>
                <w:sz w:val="20"/>
                <w:szCs w:val="20"/>
              </w:rPr>
              <w:t>n</w:t>
            </w:r>
            <w:r w:rsidRPr="00363135">
              <w:rPr>
                <w:rFonts w:cs="Arial"/>
                <w:spacing w:val="28"/>
                <w:sz w:val="20"/>
                <w:szCs w:val="20"/>
              </w:rPr>
              <w:t xml:space="preserve"> </w:t>
            </w:r>
            <w:r w:rsidRPr="00363135">
              <w:rPr>
                <w:rFonts w:cs="Arial"/>
                <w:sz w:val="20"/>
                <w:szCs w:val="20"/>
              </w:rPr>
              <w:t>c</w:t>
            </w:r>
            <w:r w:rsidRPr="00363135">
              <w:rPr>
                <w:rFonts w:cs="Arial"/>
                <w:spacing w:val="1"/>
                <w:sz w:val="20"/>
                <w:szCs w:val="20"/>
              </w:rPr>
              <w:t>a</w:t>
            </w:r>
            <w:r w:rsidRPr="00363135">
              <w:rPr>
                <w:rFonts w:cs="Arial"/>
                <w:spacing w:val="-1"/>
                <w:sz w:val="20"/>
                <w:szCs w:val="20"/>
              </w:rPr>
              <w:t>s</w:t>
            </w:r>
            <w:r w:rsidRPr="00363135">
              <w:rPr>
                <w:rFonts w:cs="Arial"/>
                <w:sz w:val="20"/>
                <w:szCs w:val="20"/>
              </w:rPr>
              <w:t>e</w:t>
            </w:r>
            <w:r w:rsidRPr="00363135">
              <w:rPr>
                <w:rFonts w:cs="Arial"/>
                <w:spacing w:val="29"/>
                <w:sz w:val="20"/>
                <w:szCs w:val="20"/>
              </w:rPr>
              <w:t xml:space="preserve"> </w:t>
            </w:r>
            <w:r w:rsidRPr="00363135">
              <w:rPr>
                <w:rFonts w:cs="Arial"/>
                <w:spacing w:val="1"/>
                <w:sz w:val="20"/>
                <w:szCs w:val="20"/>
              </w:rPr>
              <w:t>o</w:t>
            </w:r>
            <w:r w:rsidRPr="00363135">
              <w:rPr>
                <w:rFonts w:cs="Arial"/>
                <w:sz w:val="20"/>
                <w:szCs w:val="20"/>
              </w:rPr>
              <w:t>f</w:t>
            </w:r>
            <w:r w:rsidRPr="00363135">
              <w:rPr>
                <w:rFonts w:cs="Arial"/>
                <w:spacing w:val="28"/>
                <w:sz w:val="20"/>
                <w:szCs w:val="20"/>
              </w:rPr>
              <w:t xml:space="preserve"> </w:t>
            </w:r>
            <w:r w:rsidRPr="00363135">
              <w:rPr>
                <w:rFonts w:cs="Arial"/>
                <w:spacing w:val="1"/>
                <w:sz w:val="20"/>
                <w:szCs w:val="20"/>
              </w:rPr>
              <w:t>po</w:t>
            </w:r>
            <w:r w:rsidRPr="00363135">
              <w:rPr>
                <w:rFonts w:cs="Arial"/>
                <w:spacing w:val="-1"/>
                <w:sz w:val="20"/>
                <w:szCs w:val="20"/>
              </w:rPr>
              <w:t>ss</w:t>
            </w:r>
            <w:r w:rsidRPr="00363135">
              <w:rPr>
                <w:rFonts w:cs="Arial"/>
                <w:sz w:val="20"/>
                <w:szCs w:val="20"/>
              </w:rPr>
              <w:t>i</w:t>
            </w:r>
            <w:r w:rsidRPr="00363135">
              <w:rPr>
                <w:rFonts w:cs="Arial"/>
                <w:spacing w:val="1"/>
                <w:sz w:val="20"/>
                <w:szCs w:val="20"/>
              </w:rPr>
              <w:t>b</w:t>
            </w:r>
            <w:r w:rsidRPr="00363135">
              <w:rPr>
                <w:rFonts w:cs="Arial"/>
                <w:sz w:val="20"/>
                <w:szCs w:val="20"/>
              </w:rPr>
              <w:t>le</w:t>
            </w:r>
            <w:r w:rsidRPr="00363135">
              <w:rPr>
                <w:rFonts w:cs="Arial"/>
                <w:spacing w:val="25"/>
                <w:sz w:val="20"/>
                <w:szCs w:val="20"/>
              </w:rPr>
              <w:t xml:space="preserve"> </w:t>
            </w:r>
            <w:r w:rsidRPr="00363135">
              <w:rPr>
                <w:rFonts w:cs="Arial"/>
                <w:spacing w:val="-1"/>
                <w:sz w:val="20"/>
                <w:szCs w:val="20"/>
              </w:rPr>
              <w:t>s</w:t>
            </w:r>
            <w:r w:rsidRPr="00363135">
              <w:rPr>
                <w:rFonts w:cs="Arial"/>
                <w:spacing w:val="2"/>
                <w:sz w:val="20"/>
                <w:szCs w:val="20"/>
              </w:rPr>
              <w:t>i</w:t>
            </w:r>
            <w:r w:rsidRPr="00363135">
              <w:rPr>
                <w:rFonts w:cs="Arial"/>
                <w:spacing w:val="1"/>
                <w:sz w:val="20"/>
                <w:szCs w:val="20"/>
              </w:rPr>
              <w:t>g</w:t>
            </w:r>
            <w:r w:rsidRPr="00363135">
              <w:rPr>
                <w:rFonts w:cs="Arial"/>
                <w:spacing w:val="-1"/>
                <w:sz w:val="20"/>
                <w:szCs w:val="20"/>
              </w:rPr>
              <w:t>n</w:t>
            </w:r>
            <w:r w:rsidRPr="00363135">
              <w:rPr>
                <w:rFonts w:cs="Arial"/>
                <w:spacing w:val="2"/>
                <w:sz w:val="20"/>
                <w:szCs w:val="20"/>
              </w:rPr>
              <w:t>i</w:t>
            </w:r>
            <w:r w:rsidRPr="00363135">
              <w:rPr>
                <w:rFonts w:cs="Arial"/>
                <w:spacing w:val="-2"/>
                <w:sz w:val="20"/>
                <w:szCs w:val="20"/>
              </w:rPr>
              <w:t>f</w:t>
            </w:r>
            <w:r w:rsidRPr="00363135">
              <w:rPr>
                <w:rFonts w:cs="Arial"/>
                <w:sz w:val="20"/>
                <w:szCs w:val="20"/>
              </w:rPr>
              <w:t>ic</w:t>
            </w:r>
            <w:r w:rsidRPr="00363135">
              <w:rPr>
                <w:rFonts w:cs="Arial"/>
                <w:spacing w:val="3"/>
                <w:sz w:val="20"/>
                <w:szCs w:val="20"/>
              </w:rPr>
              <w:t>a</w:t>
            </w:r>
            <w:r w:rsidRPr="00363135">
              <w:rPr>
                <w:rFonts w:cs="Arial"/>
                <w:spacing w:val="1"/>
                <w:sz w:val="20"/>
                <w:szCs w:val="20"/>
              </w:rPr>
              <w:t>n</w:t>
            </w:r>
            <w:r w:rsidRPr="00363135">
              <w:rPr>
                <w:rFonts w:cs="Arial"/>
                <w:sz w:val="20"/>
                <w:szCs w:val="20"/>
              </w:rPr>
              <w:t>t</w:t>
            </w:r>
            <w:r w:rsidRPr="00363135">
              <w:rPr>
                <w:rFonts w:cs="Arial"/>
                <w:spacing w:val="23"/>
                <w:sz w:val="20"/>
                <w:szCs w:val="20"/>
              </w:rPr>
              <w:t xml:space="preserve"> </w:t>
            </w:r>
            <w:r w:rsidRPr="00363135">
              <w:rPr>
                <w:rFonts w:cs="Arial"/>
                <w:sz w:val="20"/>
                <w:szCs w:val="20"/>
              </w:rPr>
              <w:t>tra</w:t>
            </w:r>
            <w:r w:rsidRPr="00363135">
              <w:rPr>
                <w:rFonts w:cs="Arial"/>
                <w:spacing w:val="-1"/>
                <w:sz w:val="20"/>
                <w:szCs w:val="20"/>
              </w:rPr>
              <w:t>ns</w:t>
            </w:r>
            <w:r w:rsidRPr="00363135">
              <w:rPr>
                <w:rFonts w:cs="Arial"/>
                <w:spacing w:val="1"/>
                <w:sz w:val="20"/>
                <w:szCs w:val="20"/>
              </w:rPr>
              <w:t>b</w:t>
            </w:r>
            <w:r w:rsidRPr="00363135">
              <w:rPr>
                <w:rFonts w:cs="Arial"/>
                <w:spacing w:val="5"/>
                <w:sz w:val="20"/>
                <w:szCs w:val="20"/>
              </w:rPr>
              <w:t>o</w:t>
            </w:r>
            <w:r w:rsidRPr="00363135">
              <w:rPr>
                <w:rFonts w:cs="Arial"/>
                <w:spacing w:val="1"/>
                <w:sz w:val="20"/>
                <w:szCs w:val="20"/>
              </w:rPr>
              <w:t>u</w:t>
            </w:r>
            <w:r w:rsidRPr="00363135">
              <w:rPr>
                <w:rFonts w:cs="Arial"/>
                <w:spacing w:val="-1"/>
                <w:sz w:val="20"/>
                <w:szCs w:val="20"/>
              </w:rPr>
              <w:t>n</w:t>
            </w:r>
            <w:r w:rsidRPr="00363135">
              <w:rPr>
                <w:rFonts w:cs="Arial"/>
                <w:spacing w:val="1"/>
                <w:sz w:val="20"/>
                <w:szCs w:val="20"/>
              </w:rPr>
              <w:t>d</w:t>
            </w:r>
            <w:r w:rsidRPr="00363135">
              <w:rPr>
                <w:rFonts w:cs="Arial"/>
                <w:sz w:val="20"/>
                <w:szCs w:val="20"/>
              </w:rPr>
              <w:t>a</w:t>
            </w:r>
            <w:r w:rsidRPr="00363135">
              <w:rPr>
                <w:rFonts w:cs="Arial"/>
                <w:spacing w:val="3"/>
                <w:sz w:val="20"/>
                <w:szCs w:val="20"/>
              </w:rPr>
              <w:t>r</w:t>
            </w:r>
            <w:r w:rsidRPr="00363135">
              <w:rPr>
                <w:rFonts w:cs="Arial"/>
                <w:sz w:val="20"/>
                <w:szCs w:val="20"/>
              </w:rPr>
              <w:t>y</w:t>
            </w:r>
            <w:r w:rsidRPr="00363135">
              <w:rPr>
                <w:rFonts w:cs="Arial"/>
                <w:spacing w:val="17"/>
                <w:sz w:val="20"/>
                <w:szCs w:val="20"/>
              </w:rPr>
              <w:t xml:space="preserve"> </w:t>
            </w:r>
            <w:r w:rsidRPr="00363135">
              <w:rPr>
                <w:rFonts w:cs="Arial"/>
                <w:sz w:val="20"/>
                <w:szCs w:val="20"/>
              </w:rPr>
              <w:t>e</w:t>
            </w:r>
            <w:r w:rsidRPr="00363135">
              <w:rPr>
                <w:rFonts w:cs="Arial"/>
                <w:spacing w:val="1"/>
                <w:sz w:val="20"/>
                <w:szCs w:val="20"/>
              </w:rPr>
              <w:t>f</w:t>
            </w:r>
            <w:r w:rsidRPr="00363135">
              <w:rPr>
                <w:rFonts w:cs="Arial"/>
                <w:spacing w:val="-2"/>
                <w:sz w:val="20"/>
                <w:szCs w:val="20"/>
              </w:rPr>
              <w:t>f</w:t>
            </w:r>
            <w:r w:rsidRPr="00363135">
              <w:rPr>
                <w:rFonts w:cs="Arial"/>
                <w:sz w:val="20"/>
                <w:szCs w:val="20"/>
              </w:rPr>
              <w:t>e</w:t>
            </w:r>
            <w:r w:rsidRPr="00363135">
              <w:rPr>
                <w:rFonts w:cs="Arial"/>
                <w:spacing w:val="1"/>
                <w:sz w:val="20"/>
                <w:szCs w:val="20"/>
              </w:rPr>
              <w:t>c</w:t>
            </w:r>
            <w:r w:rsidRPr="00363135">
              <w:rPr>
                <w:rFonts w:cs="Arial"/>
                <w:spacing w:val="2"/>
                <w:sz w:val="20"/>
                <w:szCs w:val="20"/>
              </w:rPr>
              <w:t>t</w:t>
            </w:r>
            <w:r w:rsidRPr="00363135">
              <w:rPr>
                <w:rFonts w:cs="Arial"/>
                <w:spacing w:val="-1"/>
                <w:sz w:val="20"/>
                <w:szCs w:val="20"/>
              </w:rPr>
              <w:t>s</w:t>
            </w:r>
            <w:r w:rsidRPr="00363135">
              <w:rPr>
                <w:rFonts w:cs="Arial"/>
                <w:sz w:val="20"/>
                <w:szCs w:val="20"/>
              </w:rPr>
              <w:t xml:space="preserve"> the Final Environmental Report and Master Plan will be forwarded to t</w:t>
            </w:r>
            <w:r w:rsidRPr="00363135">
              <w:rPr>
                <w:rFonts w:cs="Arial"/>
                <w:spacing w:val="-1"/>
                <w:sz w:val="20"/>
                <w:szCs w:val="20"/>
              </w:rPr>
              <w:t>h</w:t>
            </w:r>
            <w:r w:rsidRPr="00363135">
              <w:rPr>
                <w:rFonts w:cs="Arial"/>
                <w:sz w:val="20"/>
                <w:szCs w:val="20"/>
              </w:rPr>
              <w:t>e</w:t>
            </w:r>
            <w:r w:rsidRPr="00363135">
              <w:rPr>
                <w:rFonts w:cs="Arial"/>
                <w:spacing w:val="-1"/>
                <w:sz w:val="20"/>
                <w:szCs w:val="20"/>
              </w:rPr>
              <w:t xml:space="preserve"> </w:t>
            </w:r>
            <w:r w:rsidRPr="00363135">
              <w:rPr>
                <w:rFonts w:cs="Arial"/>
                <w:spacing w:val="1"/>
                <w:sz w:val="20"/>
                <w:szCs w:val="20"/>
              </w:rPr>
              <w:t>r</w:t>
            </w:r>
            <w:r w:rsidRPr="00363135">
              <w:rPr>
                <w:rFonts w:cs="Arial"/>
                <w:sz w:val="20"/>
                <w:szCs w:val="20"/>
              </w:rPr>
              <w:t>ele</w:t>
            </w:r>
            <w:r w:rsidRPr="00363135">
              <w:rPr>
                <w:rFonts w:cs="Arial"/>
                <w:spacing w:val="-1"/>
                <w:sz w:val="20"/>
                <w:szCs w:val="20"/>
              </w:rPr>
              <w:t>v</w:t>
            </w:r>
            <w:r w:rsidRPr="00363135">
              <w:rPr>
                <w:rFonts w:cs="Arial"/>
                <w:sz w:val="20"/>
                <w:szCs w:val="20"/>
              </w:rPr>
              <w:t>a</w:t>
            </w:r>
            <w:r w:rsidRPr="00363135">
              <w:rPr>
                <w:rFonts w:cs="Arial"/>
                <w:spacing w:val="-1"/>
                <w:sz w:val="20"/>
                <w:szCs w:val="20"/>
              </w:rPr>
              <w:t>n</w:t>
            </w:r>
            <w:r w:rsidRPr="00363135">
              <w:rPr>
                <w:rFonts w:cs="Arial"/>
                <w:spacing w:val="2"/>
                <w:sz w:val="20"/>
                <w:szCs w:val="20"/>
              </w:rPr>
              <w:t>t</w:t>
            </w:r>
            <w:r w:rsidRPr="00363135">
              <w:rPr>
                <w:rFonts w:cs="Arial"/>
                <w:sz w:val="20"/>
                <w:szCs w:val="20"/>
              </w:rPr>
              <w:t>/a</w:t>
            </w:r>
            <w:r w:rsidRPr="00363135">
              <w:rPr>
                <w:rFonts w:cs="Arial"/>
                <w:spacing w:val="1"/>
                <w:sz w:val="20"/>
                <w:szCs w:val="20"/>
              </w:rPr>
              <w:t>ff</w:t>
            </w:r>
            <w:r w:rsidRPr="00363135">
              <w:rPr>
                <w:rFonts w:cs="Arial"/>
                <w:sz w:val="20"/>
                <w:szCs w:val="20"/>
              </w:rPr>
              <w:t>e</w:t>
            </w:r>
            <w:r w:rsidRPr="00363135">
              <w:rPr>
                <w:rFonts w:cs="Arial"/>
                <w:spacing w:val="1"/>
                <w:sz w:val="20"/>
                <w:szCs w:val="20"/>
              </w:rPr>
              <w:t>c</w:t>
            </w:r>
            <w:r w:rsidRPr="00363135">
              <w:rPr>
                <w:rFonts w:cs="Arial"/>
                <w:sz w:val="20"/>
                <w:szCs w:val="20"/>
              </w:rPr>
              <w:t>ted</w:t>
            </w:r>
            <w:r w:rsidRPr="00363135">
              <w:rPr>
                <w:rFonts w:cs="Arial"/>
                <w:spacing w:val="-12"/>
                <w:sz w:val="20"/>
                <w:szCs w:val="20"/>
              </w:rPr>
              <w:t xml:space="preserve"> </w:t>
            </w:r>
            <w:r w:rsidRPr="00363135">
              <w:rPr>
                <w:rFonts w:cs="Arial"/>
                <w:sz w:val="20"/>
                <w:szCs w:val="20"/>
              </w:rPr>
              <w:t>M</w:t>
            </w:r>
            <w:r w:rsidRPr="00363135">
              <w:rPr>
                <w:rFonts w:cs="Arial"/>
                <w:spacing w:val="3"/>
                <w:sz w:val="20"/>
                <w:szCs w:val="20"/>
              </w:rPr>
              <w:t>e</w:t>
            </w:r>
            <w:r w:rsidRPr="00363135">
              <w:rPr>
                <w:rFonts w:cs="Arial"/>
                <w:spacing w:val="-4"/>
                <w:sz w:val="20"/>
                <w:szCs w:val="20"/>
              </w:rPr>
              <w:t>m</w:t>
            </w:r>
            <w:r w:rsidRPr="00363135">
              <w:rPr>
                <w:rFonts w:cs="Arial"/>
                <w:spacing w:val="1"/>
                <w:sz w:val="20"/>
                <w:szCs w:val="20"/>
              </w:rPr>
              <w:t>b</w:t>
            </w:r>
            <w:r w:rsidRPr="00363135">
              <w:rPr>
                <w:rFonts w:cs="Arial"/>
                <w:sz w:val="20"/>
                <w:szCs w:val="20"/>
              </w:rPr>
              <w:t>er</w:t>
            </w:r>
            <w:r w:rsidRPr="00363135">
              <w:rPr>
                <w:rFonts w:cs="Arial"/>
                <w:spacing w:val="-6"/>
                <w:sz w:val="20"/>
                <w:szCs w:val="20"/>
              </w:rPr>
              <w:t xml:space="preserve"> </w:t>
            </w:r>
            <w:r w:rsidRPr="00363135">
              <w:rPr>
                <w:rFonts w:cs="Arial"/>
                <w:sz w:val="20"/>
                <w:szCs w:val="20"/>
              </w:rPr>
              <w:t>State</w:t>
            </w:r>
            <w:r w:rsidRPr="00363135">
              <w:rPr>
                <w:rFonts w:cs="Arial"/>
                <w:spacing w:val="-1"/>
                <w:sz w:val="20"/>
                <w:szCs w:val="20"/>
              </w:rPr>
              <w:t>s.</w:t>
            </w:r>
          </w:p>
          <w:p w:rsidR="00361223" w:rsidRPr="00363135" w:rsidRDefault="00361223" w:rsidP="00DE269D">
            <w:pPr>
              <w:rPr>
                <w:rFonts w:cs="Arial"/>
                <w:sz w:val="20"/>
                <w:szCs w:val="20"/>
              </w:rPr>
            </w:pPr>
            <w:r w:rsidRPr="00363135">
              <w:rPr>
                <w:rFonts w:cs="Arial"/>
                <w:sz w:val="20"/>
                <w:szCs w:val="20"/>
              </w:rPr>
              <w:t>Responsibility to inform the relevant/affected Member States lies the central public authority promoting the plan (in this case the Ministry of Transport), on the recommendation of the Ministry of Environment and Climate Change. It is recommended that the establishment of States which are notified to be performed by the central public authority promotes plan with the Ministry of Environment and Climate Change.</w:t>
            </w:r>
          </w:p>
          <w:p w:rsidR="00361223" w:rsidRPr="00363135" w:rsidRDefault="00361223" w:rsidP="00DE269D">
            <w:pPr>
              <w:rPr>
                <w:rFonts w:cs="Arial"/>
                <w:sz w:val="20"/>
                <w:szCs w:val="20"/>
              </w:rPr>
            </w:pPr>
            <w:r w:rsidRPr="00363135">
              <w:rPr>
                <w:rFonts w:cs="Arial"/>
                <w:sz w:val="20"/>
                <w:szCs w:val="20"/>
              </w:rPr>
              <w:t xml:space="preserve">In according with GD 1076/2004 </w:t>
            </w:r>
            <w:r w:rsidRPr="00363135">
              <w:rPr>
                <w:rFonts w:cs="Arial"/>
                <w:sz w:val="20"/>
                <w:szCs w:val="20"/>
                <w:lang w:val="ro-RO"/>
              </w:rPr>
              <w:t>Art. 22 (2) din HG 1076/2004 menţionează că</w:t>
            </w:r>
            <w:r w:rsidRPr="00363135">
              <w:rPr>
                <w:rFonts w:cs="Arial"/>
                <w:i/>
                <w:iCs/>
                <w:sz w:val="20"/>
                <w:szCs w:val="20"/>
                <w:lang w:val="ro-RO"/>
              </w:rPr>
              <w:t xml:space="preserve"> „În cazul în care implementarea planului sau programului poate avea efecte semnificative transfrontieră, titularul, prin intermediul autorităţii publice centrale care promovează planul sau programul, este obligat să transmită proiectul de plan sau de program şi raportul de mediu elaborat pentru acesta, în limba engleză, autorităţilor centrale de mediu din statele posibil afectate, în termen de maximum 20 de zile calendaristice de la finalizarea raportului de mediu, conform art. 21 alin. (3)”.</w:t>
            </w: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1120"/>
              </w:tabs>
              <w:spacing w:before="60" w:line="240" w:lineRule="auto"/>
              <w:contextualSpacing/>
              <w:jc w:val="left"/>
            </w:pPr>
            <w:r w:rsidRPr="002742DE">
              <w:rPr>
                <w:spacing w:val="3"/>
              </w:rPr>
              <w:t>T</w:t>
            </w:r>
            <w:r w:rsidRPr="002742DE">
              <w:rPr>
                <w:spacing w:val="-1"/>
              </w:rPr>
              <w:t>h</w:t>
            </w:r>
            <w:r w:rsidRPr="002742DE">
              <w:t>e</w:t>
            </w:r>
            <w:r w:rsidRPr="002742DE">
              <w:rPr>
                <w:spacing w:val="5"/>
              </w:rPr>
              <w:t xml:space="preserve"> </w:t>
            </w:r>
            <w:r w:rsidRPr="002742DE">
              <w:t>e</w:t>
            </w:r>
            <w:r w:rsidRPr="002742DE">
              <w:rPr>
                <w:spacing w:val="-1"/>
              </w:rPr>
              <w:t>nv</w:t>
            </w:r>
            <w:r w:rsidRPr="002742DE">
              <w:t>ir</w:t>
            </w:r>
            <w:r w:rsidRPr="002742DE">
              <w:rPr>
                <w:spacing w:val="1"/>
              </w:rPr>
              <w:t>on</w:t>
            </w:r>
            <w:r w:rsidRPr="002742DE">
              <w:rPr>
                <w:spacing w:val="-1"/>
              </w:rPr>
              <w:t>m</w:t>
            </w:r>
            <w:r w:rsidRPr="002742DE">
              <w:t>e</w:t>
            </w:r>
            <w:r w:rsidRPr="002742DE">
              <w:rPr>
                <w:spacing w:val="1"/>
              </w:rPr>
              <w:t>n</w:t>
            </w:r>
            <w:r w:rsidRPr="002742DE">
              <w:t>tal</w:t>
            </w:r>
            <w:r w:rsidRPr="002742DE">
              <w:rPr>
                <w:spacing w:val="-5"/>
              </w:rPr>
              <w:t xml:space="preserve"> </w:t>
            </w:r>
            <w:r w:rsidRPr="002742DE">
              <w:rPr>
                <w:spacing w:val="1"/>
              </w:rPr>
              <w:t>r</w:t>
            </w:r>
            <w:r w:rsidRPr="002742DE">
              <w:t>e</w:t>
            </w:r>
            <w:r w:rsidRPr="002742DE">
              <w:rPr>
                <w:spacing w:val="1"/>
              </w:rPr>
              <w:t>por</w:t>
            </w:r>
            <w:r w:rsidRPr="002742DE">
              <w:t>t</w:t>
            </w:r>
            <w:r w:rsidRPr="002742DE">
              <w:rPr>
                <w:spacing w:val="2"/>
              </w:rPr>
              <w:t xml:space="preserve"> </w:t>
            </w:r>
            <w:r w:rsidRPr="002742DE">
              <w:t>a</w:t>
            </w:r>
            <w:r w:rsidRPr="002742DE">
              <w:rPr>
                <w:spacing w:val="-1"/>
              </w:rPr>
              <w:t>n</w:t>
            </w:r>
            <w:r w:rsidRPr="002742DE">
              <w:t>d</w:t>
            </w:r>
            <w:r w:rsidRPr="002742DE">
              <w:rPr>
                <w:spacing w:val="5"/>
              </w:rPr>
              <w:t xml:space="preserve"> </w:t>
            </w:r>
            <w:r w:rsidRPr="002742DE">
              <w:t>t</w:t>
            </w:r>
            <w:r w:rsidRPr="002742DE">
              <w:rPr>
                <w:spacing w:val="-1"/>
              </w:rPr>
              <w:t>h</w:t>
            </w:r>
            <w:r w:rsidRPr="002742DE">
              <w:t>e</w:t>
            </w:r>
            <w:r w:rsidRPr="002742DE">
              <w:rPr>
                <w:spacing w:val="6"/>
              </w:rPr>
              <w:t xml:space="preserve"> </w:t>
            </w:r>
            <w:r w:rsidRPr="002742DE">
              <w:rPr>
                <w:spacing w:val="1"/>
              </w:rPr>
              <w:t>op</w:t>
            </w:r>
            <w:r w:rsidRPr="002742DE">
              <w:t>i</w:t>
            </w:r>
            <w:r w:rsidRPr="002742DE">
              <w:rPr>
                <w:spacing w:val="-1"/>
              </w:rPr>
              <w:t>n</w:t>
            </w:r>
            <w:r w:rsidRPr="002742DE">
              <w:t>i</w:t>
            </w:r>
            <w:r w:rsidRPr="002742DE">
              <w:rPr>
                <w:spacing w:val="1"/>
              </w:rPr>
              <w:t>on</w:t>
            </w:r>
            <w:r w:rsidRPr="002742DE">
              <w:t>s e</w:t>
            </w:r>
            <w:r w:rsidRPr="002742DE">
              <w:rPr>
                <w:spacing w:val="-1"/>
              </w:rPr>
              <w:t>x</w:t>
            </w:r>
            <w:r w:rsidRPr="002742DE">
              <w:rPr>
                <w:spacing w:val="1"/>
              </w:rPr>
              <w:t>pr</w:t>
            </w:r>
            <w:r w:rsidRPr="002742DE">
              <w:t>es</w:t>
            </w:r>
            <w:r w:rsidRPr="002742DE">
              <w:rPr>
                <w:spacing w:val="-1"/>
              </w:rPr>
              <w:t>s</w:t>
            </w:r>
            <w:r w:rsidRPr="002742DE">
              <w:t>ed</w:t>
            </w:r>
            <w:r w:rsidRPr="002742DE">
              <w:rPr>
                <w:spacing w:val="1"/>
              </w:rPr>
              <w:t xml:space="preserve"> </w:t>
            </w:r>
            <w:r w:rsidRPr="002742DE">
              <w:rPr>
                <w:spacing w:val="2"/>
              </w:rPr>
              <w:t>i</w:t>
            </w:r>
            <w:r w:rsidRPr="002742DE">
              <w:t>n</w:t>
            </w:r>
            <w:r w:rsidRPr="002742DE">
              <w:rPr>
                <w:spacing w:val="4"/>
              </w:rPr>
              <w:t xml:space="preserve"> </w:t>
            </w:r>
            <w:r w:rsidRPr="002742DE">
              <w:t>t</w:t>
            </w:r>
            <w:r w:rsidRPr="002742DE">
              <w:rPr>
                <w:spacing w:val="-1"/>
              </w:rPr>
              <w:t>h</w:t>
            </w:r>
            <w:r w:rsidRPr="002742DE">
              <w:t>e</w:t>
            </w:r>
            <w:r w:rsidRPr="002742DE">
              <w:rPr>
                <w:spacing w:val="8"/>
              </w:rPr>
              <w:t xml:space="preserve"> </w:t>
            </w:r>
            <w:r w:rsidRPr="002742DE">
              <w:rPr>
                <w:spacing w:val="1"/>
              </w:rPr>
              <w:t>r</w:t>
            </w:r>
            <w:r w:rsidRPr="002742DE">
              <w:t>ele</w:t>
            </w:r>
            <w:r w:rsidRPr="002742DE">
              <w:rPr>
                <w:spacing w:val="-1"/>
              </w:rPr>
              <w:t>v</w:t>
            </w:r>
            <w:r w:rsidRPr="002742DE">
              <w:t>a</w:t>
            </w:r>
            <w:r w:rsidRPr="002742DE">
              <w:rPr>
                <w:spacing w:val="-1"/>
              </w:rPr>
              <w:t>n</w:t>
            </w:r>
            <w:r w:rsidRPr="002742DE">
              <w:t>t</w:t>
            </w:r>
            <w:r w:rsidRPr="002742DE">
              <w:rPr>
                <w:spacing w:val="1"/>
              </w:rPr>
              <w:t xml:space="preserve"> </w:t>
            </w:r>
            <w:r w:rsidRPr="002742DE">
              <w:t>c</w:t>
            </w:r>
            <w:r w:rsidRPr="002742DE">
              <w:rPr>
                <w:spacing w:val="1"/>
              </w:rPr>
              <w:t>on</w:t>
            </w:r>
            <w:r w:rsidRPr="002742DE">
              <w:rPr>
                <w:spacing w:val="-1"/>
              </w:rPr>
              <w:t>s</w:t>
            </w:r>
            <w:r w:rsidRPr="002742DE">
              <w:rPr>
                <w:spacing w:val="1"/>
              </w:rPr>
              <w:t>u</w:t>
            </w:r>
            <w:r w:rsidRPr="002742DE">
              <w:t>ltati</w:t>
            </w:r>
            <w:r w:rsidRPr="002742DE">
              <w:rPr>
                <w:spacing w:val="1"/>
              </w:rPr>
              <w:t>on</w:t>
            </w:r>
            <w:r w:rsidRPr="002742DE">
              <w:t>s</w:t>
            </w:r>
            <w:r w:rsidRPr="002742DE">
              <w:rPr>
                <w:spacing w:val="4"/>
              </w:rPr>
              <w:t xml:space="preserve"> </w:t>
            </w:r>
            <w:r w:rsidRPr="002742DE">
              <w:rPr>
                <w:spacing w:val="1"/>
              </w:rPr>
              <w:t>(</w:t>
            </w:r>
            <w:r w:rsidRPr="002742DE">
              <w:t>i</w:t>
            </w:r>
            <w:r w:rsidRPr="002742DE">
              <w:rPr>
                <w:spacing w:val="-1"/>
              </w:rPr>
              <w:t>n</w:t>
            </w:r>
            <w:r w:rsidRPr="002742DE">
              <w:t>c</w:t>
            </w:r>
            <w:r w:rsidRPr="002742DE">
              <w:rPr>
                <w:spacing w:val="2"/>
              </w:rPr>
              <w:t>l</w:t>
            </w:r>
            <w:r w:rsidRPr="002742DE">
              <w:rPr>
                <w:spacing w:val="-1"/>
              </w:rPr>
              <w:t>u</w:t>
            </w:r>
            <w:r w:rsidRPr="002742DE">
              <w:rPr>
                <w:spacing w:val="3"/>
              </w:rPr>
              <w:t>d</w:t>
            </w:r>
            <w:r w:rsidRPr="002742DE">
              <w:t>i</w:t>
            </w:r>
            <w:r w:rsidRPr="002742DE">
              <w:rPr>
                <w:spacing w:val="-1"/>
              </w:rPr>
              <w:t>n</w:t>
            </w:r>
            <w:r w:rsidRPr="002742DE">
              <w:t>g as</w:t>
            </w:r>
            <w:r w:rsidRPr="002742DE">
              <w:rPr>
                <w:spacing w:val="5"/>
              </w:rPr>
              <w:t xml:space="preserve"> </w:t>
            </w:r>
            <w:r w:rsidRPr="002742DE">
              <w:t>a</w:t>
            </w:r>
            <w:r w:rsidRPr="002742DE">
              <w:rPr>
                <w:spacing w:val="1"/>
              </w:rPr>
              <w:t>ppropr</w:t>
            </w:r>
            <w:r w:rsidRPr="002742DE">
              <w:t>iate</w:t>
            </w:r>
            <w:r w:rsidRPr="002742DE">
              <w:rPr>
                <w:spacing w:val="-1"/>
              </w:rPr>
              <w:t xml:space="preserve"> </w:t>
            </w:r>
            <w:r w:rsidRPr="002742DE">
              <w:t>tra</w:t>
            </w:r>
            <w:r w:rsidRPr="002742DE">
              <w:rPr>
                <w:spacing w:val="-1"/>
              </w:rPr>
              <w:t>ns</w:t>
            </w:r>
            <w:r w:rsidRPr="002742DE">
              <w:rPr>
                <w:spacing w:val="1"/>
              </w:rPr>
              <w:t>bo</w:t>
            </w:r>
            <w:r w:rsidRPr="002742DE">
              <w:rPr>
                <w:spacing w:val="-1"/>
              </w:rPr>
              <w:t>un</w:t>
            </w:r>
            <w:r w:rsidRPr="002742DE">
              <w:rPr>
                <w:spacing w:val="1"/>
              </w:rPr>
              <w:t>d</w:t>
            </w:r>
            <w:r w:rsidRPr="002742DE">
              <w:t>a</w:t>
            </w:r>
            <w:r w:rsidRPr="002742DE">
              <w:rPr>
                <w:spacing w:val="3"/>
              </w:rPr>
              <w:t>r</w:t>
            </w:r>
            <w:r w:rsidRPr="002742DE">
              <w:t>y</w:t>
            </w:r>
            <w:r w:rsidRPr="002742DE">
              <w:rPr>
                <w:spacing w:val="-5"/>
              </w:rPr>
              <w:t xml:space="preserve"> </w:t>
            </w:r>
            <w:r w:rsidRPr="002742DE">
              <w:rPr>
                <w:spacing w:val="5"/>
              </w:rPr>
              <w:t>o</w:t>
            </w:r>
            <w:r w:rsidRPr="002742DE">
              <w:rPr>
                <w:spacing w:val="-1"/>
              </w:rPr>
              <w:t>n</w:t>
            </w:r>
            <w:r w:rsidRPr="002742DE">
              <w:t>es)</w:t>
            </w:r>
            <w:r w:rsidRPr="002742DE">
              <w:rPr>
                <w:spacing w:val="4"/>
              </w:rPr>
              <w:t xml:space="preserve"> </w:t>
            </w:r>
            <w:r w:rsidRPr="002742DE">
              <w:rPr>
                <w:spacing w:val="-1"/>
              </w:rPr>
              <w:t>h</w:t>
            </w:r>
            <w:r w:rsidRPr="002742DE">
              <w:rPr>
                <w:spacing w:val="3"/>
              </w:rPr>
              <w:t>a</w:t>
            </w:r>
            <w:r w:rsidRPr="002742DE">
              <w:rPr>
                <w:spacing w:val="-1"/>
              </w:rPr>
              <w:t>v</w:t>
            </w:r>
            <w:r w:rsidRPr="002742DE">
              <w:t>e</w:t>
            </w:r>
            <w:r w:rsidRPr="002742DE">
              <w:rPr>
                <w:spacing w:val="4"/>
              </w:rPr>
              <w:t xml:space="preserve"> </w:t>
            </w:r>
            <w:r w:rsidRPr="002742DE">
              <w:rPr>
                <w:spacing w:val="1"/>
              </w:rPr>
              <w:t>b</w:t>
            </w:r>
            <w:r w:rsidRPr="002742DE">
              <w:t>e</w:t>
            </w:r>
            <w:r w:rsidRPr="002742DE">
              <w:rPr>
                <w:spacing w:val="1"/>
              </w:rPr>
              <w:t>e</w:t>
            </w:r>
            <w:r w:rsidRPr="002742DE">
              <w:t>n</w:t>
            </w:r>
            <w:r w:rsidRPr="002742DE">
              <w:rPr>
                <w:spacing w:val="5"/>
              </w:rPr>
              <w:t xml:space="preserve"> </w:t>
            </w:r>
            <w:r w:rsidRPr="002742DE">
              <w:rPr>
                <w:spacing w:val="1"/>
              </w:rPr>
              <w:t>d</w:t>
            </w:r>
            <w:r w:rsidRPr="002742DE">
              <w:rPr>
                <w:spacing w:val="-1"/>
              </w:rPr>
              <w:t>u</w:t>
            </w:r>
            <w:r w:rsidRPr="002742DE">
              <w:rPr>
                <w:spacing w:val="2"/>
              </w:rPr>
              <w:t>l</w:t>
            </w:r>
            <w:r w:rsidRPr="002742DE">
              <w:t>y</w:t>
            </w:r>
            <w:r w:rsidRPr="002742DE">
              <w:rPr>
                <w:spacing w:val="3"/>
              </w:rPr>
              <w:t xml:space="preserve"> </w:t>
            </w:r>
            <w:r w:rsidRPr="002742DE">
              <w:t>t</w:t>
            </w:r>
            <w:r w:rsidRPr="002742DE">
              <w:rPr>
                <w:spacing w:val="2"/>
              </w:rPr>
              <w:t>a</w:t>
            </w:r>
            <w:r w:rsidRPr="002742DE">
              <w:rPr>
                <w:spacing w:val="-1"/>
              </w:rPr>
              <w:t>k</w:t>
            </w:r>
            <w:r w:rsidRPr="002742DE">
              <w:t>en</w:t>
            </w:r>
            <w:r w:rsidRPr="002742DE">
              <w:rPr>
                <w:spacing w:val="5"/>
              </w:rPr>
              <w:t xml:space="preserve"> </w:t>
            </w:r>
            <w:r w:rsidRPr="002742DE">
              <w:t>i</w:t>
            </w:r>
            <w:r w:rsidRPr="002742DE">
              <w:rPr>
                <w:spacing w:val="1"/>
              </w:rPr>
              <w:t>n</w:t>
            </w:r>
            <w:r w:rsidRPr="002742DE">
              <w:t>to</w:t>
            </w:r>
            <w:r w:rsidRPr="002742DE">
              <w:rPr>
                <w:spacing w:val="5"/>
              </w:rPr>
              <w:t xml:space="preserve"> </w:t>
            </w:r>
            <w:r w:rsidRPr="002742DE">
              <w:t>a</w:t>
            </w:r>
            <w:r w:rsidRPr="002742DE">
              <w:rPr>
                <w:spacing w:val="1"/>
              </w:rPr>
              <w:t>c</w:t>
            </w:r>
            <w:r w:rsidRPr="002742DE">
              <w:t>c</w:t>
            </w:r>
            <w:r w:rsidRPr="002742DE">
              <w:rPr>
                <w:spacing w:val="1"/>
              </w:rPr>
              <w:t>o</w:t>
            </w:r>
            <w:r w:rsidRPr="002742DE">
              <w:rPr>
                <w:spacing w:val="-1"/>
              </w:rPr>
              <w:t>un</w:t>
            </w:r>
            <w:r w:rsidRPr="002742DE">
              <w:t>t</w:t>
            </w:r>
            <w:r w:rsidRPr="002742DE">
              <w:rPr>
                <w:spacing w:val="3"/>
              </w:rPr>
              <w:t xml:space="preserve"> d</w:t>
            </w:r>
            <w:r w:rsidRPr="002742DE">
              <w:rPr>
                <w:spacing w:val="-1"/>
              </w:rPr>
              <w:t>u</w:t>
            </w:r>
            <w:r w:rsidRPr="002742DE">
              <w:rPr>
                <w:spacing w:val="1"/>
              </w:rPr>
              <w:t>r</w:t>
            </w:r>
            <w:r w:rsidRPr="002742DE">
              <w:t>i</w:t>
            </w:r>
            <w:r w:rsidRPr="002742DE">
              <w:rPr>
                <w:spacing w:val="1"/>
              </w:rPr>
              <w:t>n</w:t>
            </w:r>
            <w:r w:rsidRPr="002742DE">
              <w:t>g</w:t>
            </w:r>
            <w:r w:rsidRPr="002742DE">
              <w:rPr>
                <w:spacing w:val="1"/>
              </w:rPr>
              <w:t xml:space="preserve"> </w:t>
            </w:r>
            <w:r w:rsidRPr="002742DE">
              <w:rPr>
                <w:spacing w:val="2"/>
              </w:rPr>
              <w:t>t</w:t>
            </w:r>
            <w:r w:rsidRPr="002742DE">
              <w:rPr>
                <w:spacing w:val="-1"/>
              </w:rPr>
              <w:t>h</w:t>
            </w:r>
            <w:r w:rsidRPr="002742DE">
              <w:t>e</w:t>
            </w:r>
            <w:r w:rsidRPr="002742DE">
              <w:rPr>
                <w:spacing w:val="6"/>
              </w:rPr>
              <w:t xml:space="preserve"> </w:t>
            </w:r>
            <w:r w:rsidRPr="002742DE">
              <w:rPr>
                <w:spacing w:val="1"/>
              </w:rPr>
              <w:t>pr</w:t>
            </w:r>
            <w:r w:rsidRPr="002742DE">
              <w:t>e</w:t>
            </w:r>
            <w:r w:rsidRPr="002742DE">
              <w:rPr>
                <w:spacing w:val="1"/>
              </w:rPr>
              <w:t>p</w:t>
            </w:r>
            <w:r w:rsidRPr="002742DE">
              <w:t>a</w:t>
            </w:r>
            <w:r w:rsidRPr="002742DE">
              <w:rPr>
                <w:spacing w:val="1"/>
              </w:rPr>
              <w:t>r</w:t>
            </w:r>
            <w:r w:rsidRPr="002742DE">
              <w:t>ati</w:t>
            </w:r>
            <w:r w:rsidRPr="002742DE">
              <w:rPr>
                <w:spacing w:val="1"/>
              </w:rPr>
              <w:t>o</w:t>
            </w:r>
            <w:r w:rsidRPr="002742DE">
              <w:t xml:space="preserve">n </w:t>
            </w:r>
            <w:r w:rsidRPr="002742DE">
              <w:rPr>
                <w:spacing w:val="1"/>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w:t>
            </w:r>
            <w:r w:rsidRPr="002742DE">
              <w:rPr>
                <w:spacing w:val="-1"/>
              </w:rPr>
              <w:t>s</w:t>
            </w:r>
            <w:r w:rsidRPr="002742DE">
              <w:t>i</w:t>
            </w:r>
            <w:r w:rsidRPr="002742DE">
              <w:rPr>
                <w:spacing w:val="-1"/>
              </w:rPr>
              <w:t>v</w:t>
            </w:r>
            <w:r w:rsidRPr="002742DE">
              <w:t>e</w:t>
            </w:r>
            <w:r w:rsidRPr="002742DE">
              <w:rPr>
                <w:spacing w:val="-11"/>
              </w:rPr>
              <w:t xml:space="preserve"> </w:t>
            </w:r>
            <w:r w:rsidRPr="002742DE">
              <w:t>tr</w:t>
            </w:r>
            <w:r w:rsidRPr="002742DE">
              <w:rPr>
                <w:spacing w:val="3"/>
              </w:rPr>
              <w:t>a</w:t>
            </w:r>
            <w:r w:rsidRPr="002742DE">
              <w:rPr>
                <w:spacing w:val="-1"/>
              </w:rPr>
              <w:t>ns</w:t>
            </w:r>
            <w:r w:rsidRPr="002742DE">
              <w:rPr>
                <w:spacing w:val="1"/>
              </w:rPr>
              <w:t>por</w:t>
            </w:r>
            <w:r w:rsidRPr="002742DE">
              <w:t>t</w:t>
            </w:r>
            <w:r w:rsidRPr="002742DE">
              <w:rPr>
                <w:spacing w:val="-7"/>
              </w:rPr>
              <w:t xml:space="preserve"> </w:t>
            </w:r>
            <w:r w:rsidRPr="002742DE">
              <w:rPr>
                <w:spacing w:val="1"/>
              </w:rPr>
              <w:t>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rPr>
                <w:spacing w:val="-1"/>
              </w:rPr>
              <w:t>k</w:t>
            </w:r>
            <w:r w:rsidRPr="002742DE">
              <w:t>.</w:t>
            </w:r>
          </w:p>
        </w:tc>
        <w:tc>
          <w:tcPr>
            <w:tcW w:w="364" w:type="pct"/>
            <w:vAlign w:val="center"/>
          </w:tcPr>
          <w:p w:rsidR="00361223" w:rsidRPr="00857897" w:rsidRDefault="00361223" w:rsidP="00DE269D">
            <w:pPr>
              <w:tabs>
                <w:tab w:val="left" w:pos="1120"/>
              </w:tabs>
              <w:spacing w:before="61" w:line="239" w:lineRule="auto"/>
              <w:jc w:val="center"/>
              <w:rPr>
                <w:rFonts w:eastAsia="Wingdings" w:cs="Arial"/>
                <w:sz w:val="20"/>
                <w:szCs w:val="20"/>
              </w:rPr>
            </w:pPr>
            <w:r w:rsidRPr="00857897">
              <w:rPr>
                <w:rFonts w:eastAsia="Wingdings" w:cs="Arial"/>
                <w:sz w:val="20"/>
                <w:szCs w:val="20"/>
              </w:rPr>
              <w:t>NO</w:t>
            </w:r>
          </w:p>
        </w:tc>
        <w:tc>
          <w:tcPr>
            <w:tcW w:w="1589" w:type="pct"/>
            <w:vAlign w:val="center"/>
          </w:tcPr>
          <w:p w:rsidR="00361223" w:rsidRPr="00857897" w:rsidRDefault="00361223" w:rsidP="00DE269D">
            <w:pPr>
              <w:spacing w:before="100" w:beforeAutospacing="1"/>
              <w:rPr>
                <w:rFonts w:eastAsia="Wingdings" w:cs="Arial"/>
                <w:sz w:val="20"/>
                <w:szCs w:val="20"/>
              </w:rPr>
            </w:pPr>
            <w:r>
              <w:rPr>
                <w:rFonts w:eastAsia="Wingdings" w:cs="Arial"/>
                <w:sz w:val="20"/>
                <w:szCs w:val="20"/>
              </w:rPr>
              <w:t>See previous.</w:t>
            </w:r>
          </w:p>
        </w:tc>
      </w:tr>
      <w:tr w:rsidR="00361223" w:rsidRPr="002742DE" w:rsidTr="00EF7388">
        <w:tc>
          <w:tcPr>
            <w:tcW w:w="3048" w:type="pct"/>
            <w:vAlign w:val="center"/>
          </w:tcPr>
          <w:p w:rsidR="00361223" w:rsidRPr="002742DE" w:rsidRDefault="00361223" w:rsidP="0085264B">
            <w:pPr>
              <w:pStyle w:val="ListParagraph"/>
              <w:widowControl w:val="0"/>
              <w:numPr>
                <w:ilvl w:val="0"/>
                <w:numId w:val="64"/>
              </w:numPr>
              <w:tabs>
                <w:tab w:val="left" w:pos="1120"/>
              </w:tabs>
              <w:spacing w:before="57" w:line="240" w:lineRule="auto"/>
              <w:contextualSpacing/>
              <w:jc w:val="left"/>
            </w:pPr>
            <w:r w:rsidRPr="002742DE">
              <w:rPr>
                <w:spacing w:val="1"/>
              </w:rPr>
              <w:t>W</w:t>
            </w:r>
            <w:r w:rsidRPr="002742DE">
              <w:rPr>
                <w:spacing w:val="-1"/>
              </w:rPr>
              <w:t>h</w:t>
            </w:r>
            <w:r w:rsidRPr="002742DE">
              <w:t xml:space="preserve">en </w:t>
            </w:r>
            <w:r w:rsidRPr="002742DE">
              <w:rPr>
                <w:spacing w:val="28"/>
              </w:rPr>
              <w:t xml:space="preserve"> </w:t>
            </w:r>
            <w:r w:rsidRPr="002742DE">
              <w:t>t</w:t>
            </w:r>
            <w:r w:rsidRPr="002742DE">
              <w:rPr>
                <w:spacing w:val="-1"/>
              </w:rPr>
              <w:t>h</w:t>
            </w:r>
            <w:r w:rsidRPr="002742DE">
              <w:t xml:space="preserve">e </w:t>
            </w:r>
            <w:r w:rsidRPr="002742DE">
              <w:rPr>
                <w:spacing w:val="32"/>
              </w:rPr>
              <w:t xml:space="preserve"> </w:t>
            </w:r>
            <w:r w:rsidRPr="002742DE">
              <w:rPr>
                <w:spacing w:val="1"/>
              </w:rPr>
              <w:t>p</w:t>
            </w:r>
            <w:r w:rsidRPr="002742DE">
              <w:t xml:space="preserve">lan </w:t>
            </w:r>
            <w:r w:rsidRPr="002742DE">
              <w:rPr>
                <w:spacing w:val="30"/>
              </w:rPr>
              <w:t xml:space="preserve"> </w:t>
            </w:r>
            <w:r w:rsidRPr="002742DE">
              <w:rPr>
                <w:spacing w:val="1"/>
              </w:rPr>
              <w:t>o</w:t>
            </w:r>
            <w:r w:rsidRPr="002742DE">
              <w:t xml:space="preserve">r </w:t>
            </w:r>
            <w:r w:rsidRPr="002742DE">
              <w:rPr>
                <w:spacing w:val="33"/>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t>w</w:t>
            </w:r>
            <w:r w:rsidRPr="002742DE">
              <w:rPr>
                <w:spacing w:val="1"/>
              </w:rPr>
              <w:t>or</w:t>
            </w:r>
            <w:r w:rsidRPr="002742DE">
              <w:t xml:space="preserve">k </w:t>
            </w:r>
            <w:r w:rsidRPr="002742DE">
              <w:rPr>
                <w:spacing w:val="24"/>
              </w:rPr>
              <w:t xml:space="preserve"> </w:t>
            </w:r>
            <w:r w:rsidRPr="002742DE">
              <w:rPr>
                <w:spacing w:val="-1"/>
              </w:rPr>
              <w:t>h</w:t>
            </w:r>
            <w:r w:rsidRPr="002742DE">
              <w:t xml:space="preserve">as </w:t>
            </w:r>
            <w:r w:rsidRPr="002742DE">
              <w:rPr>
                <w:spacing w:val="31"/>
              </w:rPr>
              <w:t xml:space="preserve"> </w:t>
            </w:r>
            <w:r w:rsidRPr="002742DE">
              <w:rPr>
                <w:spacing w:val="1"/>
              </w:rPr>
              <w:t>b</w:t>
            </w:r>
            <w:r w:rsidRPr="002742DE">
              <w:t>e</w:t>
            </w:r>
            <w:r w:rsidRPr="002742DE">
              <w:rPr>
                <w:spacing w:val="1"/>
              </w:rPr>
              <w:t>e</w:t>
            </w:r>
            <w:r w:rsidRPr="002742DE">
              <w:t xml:space="preserve">n </w:t>
            </w:r>
            <w:r w:rsidRPr="002742DE">
              <w:rPr>
                <w:spacing w:val="29"/>
              </w:rPr>
              <w:t xml:space="preserve"> </w:t>
            </w:r>
            <w:r w:rsidRPr="002742DE">
              <w:t>a</w:t>
            </w:r>
            <w:r w:rsidRPr="002742DE">
              <w:rPr>
                <w:spacing w:val="1"/>
              </w:rPr>
              <w:t>dop</w:t>
            </w:r>
            <w:r w:rsidRPr="002742DE">
              <w:t>te</w:t>
            </w:r>
            <w:r w:rsidRPr="002742DE">
              <w:rPr>
                <w:spacing w:val="1"/>
              </w:rPr>
              <w:t>d</w:t>
            </w:r>
            <w:r w:rsidRPr="002742DE">
              <w:t xml:space="preserve">, </w:t>
            </w:r>
            <w:r w:rsidRPr="002742DE">
              <w:rPr>
                <w:spacing w:val="25"/>
              </w:rPr>
              <w:t xml:space="preserve"> </w:t>
            </w:r>
            <w:r w:rsidRPr="002742DE">
              <w:t>t</w:t>
            </w:r>
            <w:r w:rsidRPr="002742DE">
              <w:rPr>
                <w:spacing w:val="-1"/>
              </w:rPr>
              <w:t>h</w:t>
            </w:r>
            <w:r w:rsidRPr="002742DE">
              <w:t xml:space="preserve">e </w:t>
            </w:r>
            <w:r w:rsidRPr="002742DE">
              <w:rPr>
                <w:spacing w:val="32"/>
              </w:rPr>
              <w:t xml:space="preserve"> </w:t>
            </w:r>
            <w:r w:rsidRPr="002742DE">
              <w:t>a</w:t>
            </w:r>
            <w:r w:rsidRPr="002742DE">
              <w:rPr>
                <w:spacing w:val="-1"/>
              </w:rPr>
              <w:t>u</w:t>
            </w:r>
            <w:r w:rsidRPr="002742DE">
              <w:t>t</w:t>
            </w:r>
            <w:r w:rsidRPr="002742DE">
              <w:rPr>
                <w:spacing w:val="-1"/>
              </w:rPr>
              <w:t>h</w:t>
            </w:r>
            <w:r w:rsidRPr="002742DE">
              <w:rPr>
                <w:spacing w:val="1"/>
              </w:rPr>
              <w:t>or</w:t>
            </w:r>
            <w:r w:rsidRPr="002742DE">
              <w:t xml:space="preserve">ities </w:t>
            </w:r>
            <w:r w:rsidRPr="002742DE">
              <w:rPr>
                <w:spacing w:val="28"/>
              </w:rPr>
              <w:t xml:space="preserve"> </w:t>
            </w:r>
            <w:r w:rsidRPr="002742DE">
              <w:rPr>
                <w:spacing w:val="-2"/>
              </w:rPr>
              <w:t>w</w:t>
            </w:r>
            <w:r w:rsidRPr="002742DE">
              <w:t>i</w:t>
            </w:r>
            <w:r w:rsidRPr="002742DE">
              <w:rPr>
                <w:spacing w:val="2"/>
              </w:rPr>
              <w:t>t</w:t>
            </w:r>
            <w:r w:rsidRPr="002742DE">
              <w:t xml:space="preserve">h </w:t>
            </w:r>
            <w:r w:rsidRPr="002742DE">
              <w:rPr>
                <w:spacing w:val="29"/>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 xml:space="preserve">tal </w:t>
            </w:r>
            <w:r w:rsidRPr="002742DE">
              <w:rPr>
                <w:spacing w:val="1"/>
              </w:rPr>
              <w:t>r</w:t>
            </w:r>
            <w:r w:rsidRPr="002742DE">
              <w:t>es</w:t>
            </w:r>
            <w:r w:rsidRPr="002742DE">
              <w:rPr>
                <w:spacing w:val="1"/>
              </w:rPr>
              <w:t>po</w:t>
            </w:r>
            <w:r w:rsidRPr="002742DE">
              <w:rPr>
                <w:spacing w:val="-1"/>
              </w:rPr>
              <w:t>ns</w:t>
            </w:r>
            <w:r w:rsidRPr="002742DE">
              <w:t>i</w:t>
            </w:r>
            <w:r w:rsidRPr="002742DE">
              <w:rPr>
                <w:spacing w:val="1"/>
              </w:rPr>
              <w:t>b</w:t>
            </w:r>
            <w:r w:rsidRPr="002742DE">
              <w:t>ili</w:t>
            </w:r>
            <w:r w:rsidRPr="002742DE">
              <w:rPr>
                <w:spacing w:val="-1"/>
              </w:rPr>
              <w:t>t</w:t>
            </w:r>
            <w:r w:rsidRPr="002742DE">
              <w:t>i</w:t>
            </w:r>
            <w:r w:rsidRPr="002742DE">
              <w:rPr>
                <w:spacing w:val="2"/>
              </w:rPr>
              <w:t>e</w:t>
            </w:r>
            <w:r w:rsidRPr="002742DE">
              <w:rPr>
                <w:spacing w:val="-1"/>
              </w:rPr>
              <w:t>s</w:t>
            </w:r>
            <w:r w:rsidRPr="002742DE">
              <w:t>, t</w:t>
            </w:r>
            <w:r w:rsidRPr="002742DE">
              <w:rPr>
                <w:spacing w:val="-1"/>
              </w:rPr>
              <w:t>h</w:t>
            </w:r>
            <w:r w:rsidRPr="002742DE">
              <w:t>e</w:t>
            </w:r>
            <w:r w:rsidRPr="002742DE">
              <w:rPr>
                <w:spacing w:val="10"/>
              </w:rPr>
              <w:t xml:space="preserve"> </w:t>
            </w:r>
            <w:r w:rsidRPr="002742DE">
              <w:rPr>
                <w:spacing w:val="1"/>
              </w:rPr>
              <w:t>p</w:t>
            </w:r>
            <w:r w:rsidRPr="002742DE">
              <w:rPr>
                <w:spacing w:val="-1"/>
              </w:rPr>
              <w:t>u</w:t>
            </w:r>
            <w:r w:rsidRPr="002742DE">
              <w:rPr>
                <w:spacing w:val="1"/>
              </w:rPr>
              <w:t>b</w:t>
            </w:r>
            <w:r w:rsidRPr="002742DE">
              <w:t>lic</w:t>
            </w:r>
            <w:r w:rsidRPr="002742DE">
              <w:rPr>
                <w:spacing w:val="7"/>
              </w:rPr>
              <w:t xml:space="preserve"> </w:t>
            </w:r>
            <w:r w:rsidRPr="002742DE">
              <w:t>a</w:t>
            </w:r>
            <w:r w:rsidRPr="002742DE">
              <w:rPr>
                <w:spacing w:val="1"/>
              </w:rPr>
              <w:t>n</w:t>
            </w:r>
            <w:r w:rsidRPr="002742DE">
              <w:t>d</w:t>
            </w:r>
            <w:r w:rsidRPr="002742DE">
              <w:rPr>
                <w:spacing w:val="10"/>
              </w:rPr>
              <w:t xml:space="preserve"> </w:t>
            </w:r>
            <w:r w:rsidRPr="002742DE">
              <w:t>a</w:t>
            </w:r>
            <w:r w:rsidRPr="002742DE">
              <w:rPr>
                <w:spacing w:val="1"/>
              </w:rPr>
              <w:t>n</w:t>
            </w:r>
            <w:r w:rsidRPr="002742DE">
              <w:t>y</w:t>
            </w:r>
            <w:r w:rsidRPr="002742DE">
              <w:rPr>
                <w:spacing w:val="6"/>
              </w:rPr>
              <w:t xml:space="preserve"> </w:t>
            </w:r>
            <w:r w:rsidRPr="002742DE">
              <w:t>M</w:t>
            </w:r>
            <w:r w:rsidRPr="002742DE">
              <w:rPr>
                <w:spacing w:val="3"/>
              </w:rPr>
              <w:t>e</w:t>
            </w:r>
            <w:r w:rsidRPr="002742DE">
              <w:rPr>
                <w:spacing w:val="-4"/>
              </w:rPr>
              <w:t>m</w:t>
            </w:r>
            <w:r w:rsidRPr="002742DE">
              <w:rPr>
                <w:spacing w:val="1"/>
              </w:rPr>
              <w:t>b</w:t>
            </w:r>
            <w:r w:rsidRPr="002742DE">
              <w:t>er</w:t>
            </w:r>
            <w:r w:rsidRPr="002742DE">
              <w:rPr>
                <w:spacing w:val="6"/>
              </w:rPr>
              <w:t xml:space="preserve"> </w:t>
            </w:r>
            <w:r w:rsidRPr="002742DE">
              <w:t>State</w:t>
            </w:r>
            <w:r w:rsidRPr="002742DE">
              <w:rPr>
                <w:spacing w:val="8"/>
              </w:rPr>
              <w:t xml:space="preserve"> </w:t>
            </w:r>
            <w:r w:rsidRPr="002742DE">
              <w:t>c</w:t>
            </w:r>
            <w:r w:rsidRPr="002742DE">
              <w:rPr>
                <w:spacing w:val="1"/>
              </w:rPr>
              <w:t>o</w:t>
            </w:r>
            <w:r w:rsidRPr="002742DE">
              <w:rPr>
                <w:spacing w:val="-1"/>
              </w:rPr>
              <w:t>n</w:t>
            </w:r>
            <w:r w:rsidRPr="002742DE">
              <w:rPr>
                <w:spacing w:val="2"/>
              </w:rPr>
              <w:t>s</w:t>
            </w:r>
            <w:r w:rsidRPr="002742DE">
              <w:rPr>
                <w:spacing w:val="-1"/>
              </w:rPr>
              <w:t>u</w:t>
            </w:r>
            <w:r w:rsidRPr="002742DE">
              <w:t>lt</w:t>
            </w:r>
            <w:r w:rsidRPr="002742DE">
              <w:rPr>
                <w:spacing w:val="2"/>
              </w:rPr>
              <w:t>e</w:t>
            </w:r>
            <w:r w:rsidRPr="002742DE">
              <w:rPr>
                <w:spacing w:val="1"/>
              </w:rPr>
              <w:t>d</w:t>
            </w:r>
            <w:r w:rsidRPr="002742DE">
              <w:t>,</w:t>
            </w:r>
            <w:r w:rsidRPr="002742DE">
              <w:rPr>
                <w:spacing w:val="4"/>
              </w:rPr>
              <w:t xml:space="preserve"> </w:t>
            </w:r>
            <w:r w:rsidRPr="002742DE">
              <w:t>a</w:t>
            </w:r>
            <w:r w:rsidRPr="002742DE">
              <w:rPr>
                <w:spacing w:val="1"/>
              </w:rPr>
              <w:t>r</w:t>
            </w:r>
            <w:r w:rsidRPr="002742DE">
              <w:t>e</w:t>
            </w:r>
            <w:r w:rsidRPr="002742DE">
              <w:rPr>
                <w:spacing w:val="17"/>
              </w:rPr>
              <w:t xml:space="preserve"> </w:t>
            </w:r>
            <w:r w:rsidRPr="002742DE">
              <w:t>i</w:t>
            </w:r>
            <w:r w:rsidRPr="002742DE">
              <w:rPr>
                <w:spacing w:val="-1"/>
              </w:rPr>
              <w:t>n</w:t>
            </w:r>
            <w:r w:rsidRPr="002742DE">
              <w:rPr>
                <w:spacing w:val="-2"/>
              </w:rPr>
              <w:t>f</w:t>
            </w:r>
            <w:r w:rsidRPr="002742DE">
              <w:rPr>
                <w:spacing w:val="1"/>
              </w:rPr>
              <w:t>or</w:t>
            </w:r>
            <w:r w:rsidRPr="002742DE">
              <w:rPr>
                <w:spacing w:val="-4"/>
              </w:rPr>
              <w:t>m</w:t>
            </w:r>
            <w:r w:rsidRPr="002742DE">
              <w:t>ed</w:t>
            </w:r>
            <w:r w:rsidRPr="002742DE">
              <w:rPr>
                <w:spacing w:val="6"/>
              </w:rPr>
              <w:t xml:space="preserve"> </w:t>
            </w:r>
            <w:r w:rsidRPr="002742DE">
              <w:t>a</w:t>
            </w:r>
            <w:r w:rsidRPr="002742DE">
              <w:rPr>
                <w:spacing w:val="-1"/>
              </w:rPr>
              <w:t>n</w:t>
            </w:r>
            <w:r w:rsidRPr="002742DE">
              <w:t>d</w:t>
            </w:r>
            <w:r w:rsidRPr="002742DE">
              <w:rPr>
                <w:spacing w:val="10"/>
              </w:rPr>
              <w:t xml:space="preserve"> </w:t>
            </w:r>
            <w:r w:rsidRPr="002742DE">
              <w:rPr>
                <w:spacing w:val="2"/>
              </w:rPr>
              <w:t>t</w:t>
            </w:r>
            <w:r w:rsidRPr="002742DE">
              <w:rPr>
                <w:spacing w:val="-1"/>
              </w:rPr>
              <w:t>h</w:t>
            </w:r>
            <w:r w:rsidRPr="002742DE">
              <w:t>e</w:t>
            </w:r>
            <w:r w:rsidRPr="002742DE">
              <w:rPr>
                <w:spacing w:val="10"/>
              </w:rPr>
              <w:t xml:space="preserve"> </w:t>
            </w:r>
            <w:r w:rsidRPr="002742DE">
              <w:rPr>
                <w:spacing w:val="-2"/>
              </w:rPr>
              <w:t>f</w:t>
            </w:r>
            <w:r w:rsidRPr="002742DE">
              <w:rPr>
                <w:spacing w:val="1"/>
              </w:rPr>
              <w:t>o</w:t>
            </w:r>
            <w:r w:rsidRPr="002742DE">
              <w:t>ll</w:t>
            </w:r>
            <w:r w:rsidRPr="002742DE">
              <w:rPr>
                <w:spacing w:val="3"/>
              </w:rPr>
              <w:t>o</w:t>
            </w:r>
            <w:r w:rsidRPr="002742DE">
              <w:rPr>
                <w:spacing w:val="-2"/>
              </w:rPr>
              <w:t>w</w:t>
            </w:r>
            <w:r w:rsidRPr="002742DE">
              <w:rPr>
                <w:spacing w:val="2"/>
              </w:rPr>
              <w:t>i</w:t>
            </w:r>
            <w:r w:rsidRPr="002742DE">
              <w:rPr>
                <w:spacing w:val="1"/>
              </w:rPr>
              <w:t>n</w:t>
            </w:r>
            <w:r w:rsidRPr="002742DE">
              <w:t>g it</w:t>
            </w:r>
            <w:r w:rsidRPr="002742DE">
              <w:rPr>
                <w:spacing w:val="2"/>
              </w:rPr>
              <w:t>e</w:t>
            </w:r>
            <w:r w:rsidRPr="002742DE">
              <w:rPr>
                <w:spacing w:val="-1"/>
              </w:rPr>
              <w:t>m</w:t>
            </w:r>
            <w:r w:rsidRPr="002742DE">
              <w:t>s</w:t>
            </w:r>
            <w:r w:rsidRPr="002742DE">
              <w:rPr>
                <w:spacing w:val="22"/>
              </w:rPr>
              <w:t xml:space="preserve"> </w:t>
            </w:r>
            <w:r w:rsidRPr="002742DE">
              <w:rPr>
                <w:spacing w:val="-1"/>
              </w:rPr>
              <w:t>h</w:t>
            </w:r>
            <w:r w:rsidRPr="002742DE">
              <w:t>a</w:t>
            </w:r>
            <w:r w:rsidRPr="002742DE">
              <w:rPr>
                <w:spacing w:val="-1"/>
              </w:rPr>
              <w:t>v</w:t>
            </w:r>
            <w:r w:rsidRPr="002742DE">
              <w:t>e</w:t>
            </w:r>
            <w:r w:rsidRPr="002742DE">
              <w:rPr>
                <w:spacing w:val="23"/>
              </w:rPr>
              <w:t xml:space="preserve"> </w:t>
            </w:r>
            <w:r w:rsidRPr="002742DE">
              <w:rPr>
                <w:spacing w:val="1"/>
              </w:rPr>
              <w:t>b</w:t>
            </w:r>
            <w:r w:rsidRPr="002742DE">
              <w:t>e</w:t>
            </w:r>
            <w:r w:rsidRPr="002742DE">
              <w:rPr>
                <w:spacing w:val="1"/>
              </w:rPr>
              <w:t>e</w:t>
            </w:r>
            <w:r w:rsidRPr="002742DE">
              <w:t>n</w:t>
            </w:r>
            <w:r w:rsidRPr="002742DE">
              <w:rPr>
                <w:spacing w:val="24"/>
              </w:rPr>
              <w:t xml:space="preserve"> </w:t>
            </w:r>
            <w:r w:rsidRPr="002742DE">
              <w:rPr>
                <w:spacing w:val="-4"/>
              </w:rPr>
              <w:t>m</w:t>
            </w:r>
            <w:r w:rsidRPr="002742DE">
              <w:t>a</w:t>
            </w:r>
            <w:r w:rsidRPr="002742DE">
              <w:rPr>
                <w:spacing w:val="1"/>
              </w:rPr>
              <w:t>d</w:t>
            </w:r>
            <w:r w:rsidRPr="002742DE">
              <w:t>e</w:t>
            </w:r>
            <w:r w:rsidRPr="002742DE">
              <w:rPr>
                <w:spacing w:val="21"/>
              </w:rPr>
              <w:t xml:space="preserve"> </w:t>
            </w:r>
            <w:r w:rsidRPr="002742DE">
              <w:rPr>
                <w:spacing w:val="3"/>
              </w:rPr>
              <w:t>a</w:t>
            </w:r>
            <w:r w:rsidRPr="002742DE">
              <w:rPr>
                <w:spacing w:val="-1"/>
              </w:rPr>
              <w:t>v</w:t>
            </w:r>
            <w:r w:rsidRPr="002742DE">
              <w:t>ail</w:t>
            </w:r>
            <w:r w:rsidRPr="002742DE">
              <w:rPr>
                <w:spacing w:val="3"/>
              </w:rPr>
              <w:t>a</w:t>
            </w:r>
            <w:r w:rsidRPr="002742DE">
              <w:rPr>
                <w:spacing w:val="1"/>
              </w:rPr>
              <w:t>b</w:t>
            </w:r>
            <w:r w:rsidRPr="002742DE">
              <w:t>le</w:t>
            </w:r>
            <w:r w:rsidRPr="002742DE">
              <w:rPr>
                <w:spacing w:val="17"/>
              </w:rPr>
              <w:t xml:space="preserve"> </w:t>
            </w:r>
            <w:r w:rsidRPr="002742DE">
              <w:t>to</w:t>
            </w:r>
            <w:r w:rsidRPr="002742DE">
              <w:rPr>
                <w:spacing w:val="23"/>
              </w:rPr>
              <w:t xml:space="preserve"> </w:t>
            </w:r>
            <w:r w:rsidRPr="002742DE">
              <w:t>t</w:t>
            </w:r>
            <w:r w:rsidRPr="002742DE">
              <w:rPr>
                <w:spacing w:val="-1"/>
              </w:rPr>
              <w:t>h</w:t>
            </w:r>
            <w:r w:rsidRPr="002742DE">
              <w:rPr>
                <w:spacing w:val="3"/>
              </w:rPr>
              <w:t>e</w:t>
            </w:r>
            <w:r w:rsidRPr="002742DE">
              <w:rPr>
                <w:spacing w:val="-1"/>
              </w:rPr>
              <w:t>m</w:t>
            </w:r>
            <w:r w:rsidRPr="002742DE">
              <w:t>:</w:t>
            </w:r>
            <w:r w:rsidRPr="002742DE">
              <w:rPr>
                <w:spacing w:val="21"/>
              </w:rPr>
              <w:t xml:space="preserve"> </w:t>
            </w:r>
            <w:r w:rsidRPr="002742DE">
              <w:rPr>
                <w:spacing w:val="2"/>
              </w:rPr>
              <w:t>t</w:t>
            </w:r>
            <w:r w:rsidRPr="002742DE">
              <w:rPr>
                <w:spacing w:val="-1"/>
              </w:rPr>
              <w:t>h</w:t>
            </w:r>
            <w:r w:rsidRPr="002742DE">
              <w:t>e</w:t>
            </w:r>
            <w:r w:rsidRPr="002742DE">
              <w:rPr>
                <w:spacing w:val="23"/>
              </w:rPr>
              <w:t xml:space="preserve"> </w:t>
            </w:r>
            <w:r w:rsidRPr="002742DE">
              <w:rPr>
                <w:spacing w:val="1"/>
              </w:rPr>
              <w:t>p</w:t>
            </w:r>
            <w:r w:rsidRPr="002742DE">
              <w:t>l</w:t>
            </w:r>
            <w:r w:rsidRPr="002742DE">
              <w:rPr>
                <w:spacing w:val="2"/>
              </w:rPr>
              <w:t>a</w:t>
            </w:r>
            <w:r w:rsidRPr="002742DE">
              <w:t>n</w:t>
            </w:r>
            <w:r w:rsidRPr="002742DE">
              <w:rPr>
                <w:spacing w:val="20"/>
              </w:rPr>
              <w:t xml:space="preserve"> </w:t>
            </w:r>
            <w:r w:rsidRPr="002742DE">
              <w:rPr>
                <w:spacing w:val="1"/>
              </w:rPr>
              <w:t>o</w:t>
            </w:r>
            <w:r w:rsidRPr="002742DE">
              <w:t>r</w:t>
            </w:r>
            <w:r w:rsidRPr="002742DE">
              <w:rPr>
                <w:spacing w:val="25"/>
              </w:rPr>
              <w:t xml:space="preserve"> </w:t>
            </w:r>
            <w:r w:rsidRPr="002742DE">
              <w:rPr>
                <w:spacing w:val="-2"/>
              </w:rPr>
              <w:t>f</w:t>
            </w:r>
            <w:r w:rsidRPr="002742DE">
              <w:rPr>
                <w:spacing w:val="1"/>
              </w:rPr>
              <w:t>r</w:t>
            </w:r>
            <w:r w:rsidRPr="002742DE">
              <w:rPr>
                <w:spacing w:val="3"/>
              </w:rPr>
              <w:t>a</w:t>
            </w:r>
            <w:r w:rsidRPr="002742DE">
              <w:rPr>
                <w:spacing w:val="-1"/>
              </w:rPr>
              <w:t>m</w:t>
            </w:r>
            <w:r w:rsidRPr="002742DE">
              <w:rPr>
                <w:spacing w:val="3"/>
              </w:rPr>
              <w:t>e</w:t>
            </w:r>
            <w:r w:rsidRPr="002742DE">
              <w:rPr>
                <w:spacing w:val="-5"/>
              </w:rPr>
              <w:t>w</w:t>
            </w:r>
            <w:r w:rsidRPr="002742DE">
              <w:rPr>
                <w:spacing w:val="1"/>
              </w:rPr>
              <w:t>or</w:t>
            </w:r>
            <w:r w:rsidRPr="002742DE">
              <w:t>k</w:t>
            </w:r>
            <w:r w:rsidRPr="002742DE">
              <w:rPr>
                <w:spacing w:val="16"/>
              </w:rPr>
              <w:t xml:space="preserve"> </w:t>
            </w:r>
            <w:r w:rsidRPr="002742DE">
              <w:t>as</w:t>
            </w:r>
            <w:r w:rsidRPr="002742DE">
              <w:rPr>
                <w:spacing w:val="24"/>
              </w:rPr>
              <w:t xml:space="preserve"> </w:t>
            </w:r>
            <w:r w:rsidRPr="002742DE">
              <w:t>a</w:t>
            </w:r>
            <w:r w:rsidRPr="002742DE">
              <w:rPr>
                <w:spacing w:val="1"/>
              </w:rPr>
              <w:t>dop</w:t>
            </w:r>
            <w:r w:rsidRPr="002742DE">
              <w:t>te</w:t>
            </w:r>
            <w:r w:rsidRPr="002742DE">
              <w:rPr>
                <w:spacing w:val="1"/>
              </w:rPr>
              <w:t>d</w:t>
            </w:r>
            <w:r w:rsidRPr="002742DE">
              <w:t>,</w:t>
            </w:r>
            <w:r w:rsidRPr="002742DE">
              <w:rPr>
                <w:spacing w:val="18"/>
              </w:rPr>
              <w:t xml:space="preserve"> </w:t>
            </w:r>
            <w:r w:rsidRPr="002742DE">
              <w:t>t</w:t>
            </w:r>
            <w:r w:rsidRPr="002742DE">
              <w:rPr>
                <w:spacing w:val="-1"/>
              </w:rPr>
              <w:t>h</w:t>
            </w:r>
            <w:r w:rsidRPr="002742DE">
              <w:t>e</w:t>
            </w:r>
            <w:r w:rsidRPr="002742DE">
              <w:rPr>
                <w:spacing w:val="23"/>
              </w:rPr>
              <w:t xml:space="preserve"> </w:t>
            </w:r>
            <w:r w:rsidRPr="002742DE">
              <w:rPr>
                <w:spacing w:val="2"/>
              </w:rPr>
              <w:t>s</w:t>
            </w:r>
            <w:r w:rsidRPr="002742DE">
              <w:t>tat</w:t>
            </w:r>
            <w:r w:rsidRPr="002742DE">
              <w:rPr>
                <w:spacing w:val="3"/>
              </w:rPr>
              <w:t>e</w:t>
            </w:r>
            <w:r w:rsidRPr="002742DE">
              <w:rPr>
                <w:spacing w:val="1"/>
              </w:rPr>
              <w:t>m</w:t>
            </w:r>
            <w:r w:rsidRPr="002742DE">
              <w:t>e</w:t>
            </w:r>
            <w:r w:rsidRPr="002742DE">
              <w:rPr>
                <w:spacing w:val="-1"/>
              </w:rPr>
              <w:t>n</w:t>
            </w:r>
            <w:r w:rsidRPr="002742DE">
              <w:t xml:space="preserve">t </w:t>
            </w:r>
            <w:r w:rsidRPr="002742DE">
              <w:rPr>
                <w:spacing w:val="1"/>
              </w:rPr>
              <w:t>r</w:t>
            </w:r>
            <w:r w:rsidRPr="002742DE">
              <w:t>e</w:t>
            </w:r>
            <w:r w:rsidRPr="002742DE">
              <w:rPr>
                <w:spacing w:val="-1"/>
              </w:rPr>
              <w:t>f</w:t>
            </w:r>
            <w:r w:rsidRPr="002742DE">
              <w:t>e</w:t>
            </w:r>
            <w:r w:rsidRPr="002742DE">
              <w:rPr>
                <w:spacing w:val="1"/>
              </w:rPr>
              <w:t>rr</w:t>
            </w:r>
            <w:r w:rsidRPr="002742DE">
              <w:t>ed</w:t>
            </w:r>
            <w:r w:rsidRPr="002742DE">
              <w:rPr>
                <w:spacing w:val="3"/>
              </w:rPr>
              <w:t xml:space="preserve"> </w:t>
            </w:r>
            <w:r w:rsidRPr="002742DE">
              <w:t>to</w:t>
            </w:r>
            <w:r w:rsidRPr="002742DE">
              <w:rPr>
                <w:spacing w:val="8"/>
              </w:rPr>
              <w:t xml:space="preserve"> </w:t>
            </w:r>
            <w:r w:rsidRPr="002742DE">
              <w:t>in</w:t>
            </w:r>
            <w:r w:rsidRPr="002742DE">
              <w:rPr>
                <w:spacing w:val="5"/>
              </w:rPr>
              <w:t xml:space="preserve"> </w:t>
            </w:r>
            <w:r w:rsidRPr="002742DE">
              <w:rPr>
                <w:spacing w:val="-2"/>
              </w:rPr>
              <w:t>A</w:t>
            </w:r>
            <w:r w:rsidRPr="002742DE">
              <w:rPr>
                <w:spacing w:val="1"/>
              </w:rPr>
              <w:t>r</w:t>
            </w:r>
            <w:r w:rsidRPr="002742DE">
              <w:t>ticle</w:t>
            </w:r>
            <w:r w:rsidRPr="002742DE">
              <w:rPr>
                <w:spacing w:val="3"/>
              </w:rPr>
              <w:t xml:space="preserve"> </w:t>
            </w:r>
            <w:r w:rsidRPr="002742DE">
              <w:rPr>
                <w:spacing w:val="1"/>
              </w:rPr>
              <w:t>9(1</w:t>
            </w:r>
            <w:r w:rsidRPr="002742DE">
              <w:t>)</w:t>
            </w:r>
            <w:r w:rsidRPr="002742DE">
              <w:rPr>
                <w:spacing w:val="5"/>
              </w:rPr>
              <w:t xml:space="preserve"> </w:t>
            </w:r>
            <w:r w:rsidRPr="002742DE">
              <w:rPr>
                <w:spacing w:val="1"/>
              </w:rPr>
              <w:t>o</w:t>
            </w:r>
            <w:r w:rsidRPr="002742DE">
              <w:t>f</w:t>
            </w:r>
            <w:r w:rsidRPr="002742DE">
              <w:rPr>
                <w:spacing w:val="5"/>
              </w:rPr>
              <w:t xml:space="preserve"> </w:t>
            </w:r>
            <w:r w:rsidRPr="002742DE">
              <w:t>t</w:t>
            </w:r>
            <w:r w:rsidRPr="002742DE">
              <w:rPr>
                <w:spacing w:val="-1"/>
              </w:rPr>
              <w:t>h</w:t>
            </w:r>
            <w:r w:rsidRPr="002742DE">
              <w:t>e</w:t>
            </w:r>
            <w:r w:rsidRPr="002742DE">
              <w:rPr>
                <w:spacing w:val="6"/>
              </w:rPr>
              <w:t xml:space="preserve"> </w:t>
            </w:r>
            <w:r w:rsidRPr="002742DE">
              <w:t>S</w:t>
            </w:r>
            <w:r w:rsidRPr="002742DE">
              <w:rPr>
                <w:spacing w:val="3"/>
              </w:rPr>
              <w:t>E</w:t>
            </w:r>
            <w:r w:rsidRPr="002742DE">
              <w:t>A</w:t>
            </w:r>
            <w:r w:rsidRPr="002742DE">
              <w:rPr>
                <w:spacing w:val="3"/>
              </w:rPr>
              <w:t xml:space="preserve"> </w:t>
            </w:r>
            <w:r w:rsidRPr="002742DE">
              <w:t>Di</w:t>
            </w:r>
            <w:r w:rsidRPr="002742DE">
              <w:rPr>
                <w:spacing w:val="1"/>
              </w:rPr>
              <w:t>r</w:t>
            </w:r>
            <w:r w:rsidRPr="002742DE">
              <w:t>e</w:t>
            </w:r>
            <w:r w:rsidRPr="002742DE">
              <w:rPr>
                <w:spacing w:val="1"/>
              </w:rPr>
              <w:t>c</w:t>
            </w:r>
            <w:r w:rsidRPr="002742DE">
              <w:t>t</w:t>
            </w:r>
            <w:r w:rsidRPr="002742DE">
              <w:rPr>
                <w:spacing w:val="2"/>
              </w:rPr>
              <w:t>i</w:t>
            </w:r>
            <w:r w:rsidRPr="002742DE">
              <w:rPr>
                <w:spacing w:val="-1"/>
              </w:rPr>
              <w:t>v</w:t>
            </w:r>
            <w:r w:rsidRPr="002742DE">
              <w:t>e</w:t>
            </w:r>
            <w:r w:rsidRPr="002742DE">
              <w:rPr>
                <w:spacing w:val="1"/>
              </w:rPr>
              <w:t xml:space="preserve"> </w:t>
            </w:r>
            <w:r w:rsidRPr="002742DE">
              <w:t>a</w:t>
            </w:r>
            <w:r w:rsidRPr="002742DE">
              <w:rPr>
                <w:spacing w:val="-1"/>
              </w:rPr>
              <w:t>n</w:t>
            </w:r>
            <w:r w:rsidRPr="002742DE">
              <w:t>d</w:t>
            </w:r>
            <w:r w:rsidRPr="002742DE">
              <w:rPr>
                <w:spacing w:val="7"/>
              </w:rPr>
              <w:t xml:space="preserve"> </w:t>
            </w:r>
            <w:r w:rsidRPr="002742DE">
              <w:t>t</w:t>
            </w:r>
            <w:r w:rsidRPr="002742DE">
              <w:rPr>
                <w:spacing w:val="-1"/>
              </w:rPr>
              <w:t>h</w:t>
            </w:r>
            <w:r w:rsidRPr="002742DE">
              <w:t>e</w:t>
            </w:r>
            <w:r w:rsidRPr="002742DE">
              <w:rPr>
                <w:spacing w:val="9"/>
              </w:rPr>
              <w:t xml:space="preserve"> </w:t>
            </w:r>
            <w:r w:rsidRPr="002742DE">
              <w:rPr>
                <w:spacing w:val="-1"/>
              </w:rPr>
              <w:t>m</w:t>
            </w:r>
            <w:r w:rsidRPr="002742DE">
              <w:t>e</w:t>
            </w:r>
            <w:r w:rsidRPr="002742DE">
              <w:rPr>
                <w:spacing w:val="1"/>
              </w:rPr>
              <w:t>a</w:t>
            </w:r>
            <w:r w:rsidRPr="002742DE">
              <w:rPr>
                <w:spacing w:val="2"/>
              </w:rPr>
              <w:t>s</w:t>
            </w:r>
            <w:r w:rsidRPr="002742DE">
              <w:rPr>
                <w:spacing w:val="-1"/>
              </w:rPr>
              <w:t>u</w:t>
            </w:r>
            <w:r w:rsidRPr="002742DE">
              <w:rPr>
                <w:spacing w:val="1"/>
              </w:rPr>
              <w:t>r</w:t>
            </w:r>
            <w:r w:rsidRPr="002742DE">
              <w:t>es c</w:t>
            </w:r>
            <w:r w:rsidRPr="002742DE">
              <w:rPr>
                <w:spacing w:val="1"/>
              </w:rPr>
              <w:t>o</w:t>
            </w:r>
            <w:r w:rsidRPr="002742DE">
              <w:rPr>
                <w:spacing w:val="-1"/>
              </w:rPr>
              <w:t>n</w:t>
            </w:r>
            <w:r w:rsidRPr="002742DE">
              <w:t>c</w:t>
            </w:r>
            <w:r w:rsidRPr="002742DE">
              <w:rPr>
                <w:spacing w:val="1"/>
              </w:rPr>
              <w:t>e</w:t>
            </w:r>
            <w:r w:rsidRPr="002742DE">
              <w:rPr>
                <w:spacing w:val="3"/>
              </w:rPr>
              <w:t>r</w:t>
            </w:r>
            <w:r w:rsidRPr="002742DE">
              <w:rPr>
                <w:spacing w:val="-1"/>
              </w:rPr>
              <w:t>n</w:t>
            </w:r>
            <w:r w:rsidRPr="002742DE">
              <w:t>i</w:t>
            </w:r>
            <w:r w:rsidRPr="002742DE">
              <w:rPr>
                <w:spacing w:val="1"/>
              </w:rPr>
              <w:t>n</w:t>
            </w:r>
            <w:r w:rsidRPr="002742DE">
              <w:t>g</w:t>
            </w:r>
            <w:r w:rsidRPr="002742DE">
              <w:rPr>
                <w:spacing w:val="1"/>
              </w:rPr>
              <w:t xml:space="preserve"> </w:t>
            </w:r>
            <w:r w:rsidRPr="002742DE">
              <w:rPr>
                <w:spacing w:val="-4"/>
              </w:rPr>
              <w:t>m</w:t>
            </w:r>
            <w:r w:rsidRPr="002742DE">
              <w:rPr>
                <w:spacing w:val="3"/>
              </w:rPr>
              <w:t>o</w:t>
            </w:r>
            <w:r w:rsidRPr="002742DE">
              <w:rPr>
                <w:spacing w:val="-1"/>
              </w:rPr>
              <w:t>n</w:t>
            </w:r>
            <w:r w:rsidRPr="002742DE">
              <w:t>it</w:t>
            </w:r>
            <w:r w:rsidRPr="002742DE">
              <w:rPr>
                <w:spacing w:val="1"/>
              </w:rPr>
              <w:t>o</w:t>
            </w:r>
            <w:r w:rsidRPr="002742DE">
              <w:rPr>
                <w:spacing w:val="3"/>
              </w:rPr>
              <w:t>r</w:t>
            </w:r>
            <w:r w:rsidRPr="002742DE">
              <w:t>i</w:t>
            </w:r>
            <w:r w:rsidRPr="002742DE">
              <w:rPr>
                <w:spacing w:val="-1"/>
              </w:rPr>
              <w:t>n</w:t>
            </w:r>
            <w:r w:rsidRPr="002742DE">
              <w:t xml:space="preserve">g </w:t>
            </w:r>
            <w:r w:rsidRPr="002742DE">
              <w:rPr>
                <w:spacing w:val="1"/>
              </w:rPr>
              <w:t>r</w:t>
            </w:r>
            <w:r w:rsidRPr="002742DE">
              <w:t>e</w:t>
            </w:r>
            <w:r w:rsidRPr="002742DE">
              <w:rPr>
                <w:spacing w:val="-1"/>
              </w:rPr>
              <w:t>f</w:t>
            </w:r>
            <w:r w:rsidRPr="002742DE">
              <w:t>e</w:t>
            </w:r>
            <w:r w:rsidRPr="002742DE">
              <w:rPr>
                <w:spacing w:val="1"/>
              </w:rPr>
              <w:t>rr</w:t>
            </w:r>
            <w:r w:rsidRPr="002742DE">
              <w:t>ed</w:t>
            </w:r>
            <w:r w:rsidRPr="002742DE">
              <w:rPr>
                <w:spacing w:val="-4"/>
              </w:rPr>
              <w:t xml:space="preserve"> </w:t>
            </w:r>
            <w:r w:rsidRPr="002742DE">
              <w:t>to</w:t>
            </w:r>
            <w:r w:rsidRPr="002742DE">
              <w:rPr>
                <w:spacing w:val="-1"/>
              </w:rPr>
              <w:t xml:space="preserve"> </w:t>
            </w:r>
            <w:r w:rsidRPr="002742DE">
              <w:t>in</w:t>
            </w:r>
            <w:r w:rsidRPr="002742DE">
              <w:rPr>
                <w:spacing w:val="-3"/>
              </w:rPr>
              <w:t xml:space="preserve"> </w:t>
            </w:r>
            <w:r w:rsidRPr="002742DE">
              <w:rPr>
                <w:spacing w:val="-2"/>
              </w:rPr>
              <w:t>A</w:t>
            </w:r>
            <w:r w:rsidRPr="002742DE">
              <w:rPr>
                <w:spacing w:val="1"/>
              </w:rPr>
              <w:t>r</w:t>
            </w:r>
            <w:r w:rsidRPr="002742DE">
              <w:t>ticle</w:t>
            </w:r>
            <w:r w:rsidRPr="002742DE">
              <w:rPr>
                <w:spacing w:val="-6"/>
              </w:rPr>
              <w:t xml:space="preserve"> </w:t>
            </w:r>
            <w:r w:rsidRPr="002742DE">
              <w:rPr>
                <w:spacing w:val="1"/>
              </w:rPr>
              <w:t>1</w:t>
            </w:r>
            <w:r w:rsidRPr="002742DE">
              <w:t>0</w:t>
            </w:r>
            <w:r w:rsidRPr="002742DE">
              <w:rPr>
                <w:spacing w:val="-1"/>
              </w:rPr>
              <w:t xml:space="preserve"> </w:t>
            </w:r>
            <w:r w:rsidRPr="002742DE">
              <w:rPr>
                <w:spacing w:val="1"/>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w:t>
            </w:r>
            <w:r w:rsidRPr="002742DE">
              <w:t>SEA</w:t>
            </w:r>
            <w:r w:rsidRPr="002742DE">
              <w:rPr>
                <w:spacing w:val="-6"/>
              </w:rPr>
              <w:t xml:space="preserve"> </w:t>
            </w:r>
            <w:r w:rsidRPr="002742DE">
              <w:t>Di</w:t>
            </w:r>
            <w:r w:rsidRPr="002742DE">
              <w:rPr>
                <w:spacing w:val="1"/>
              </w:rPr>
              <w:t>r</w:t>
            </w:r>
            <w:r w:rsidRPr="002742DE">
              <w:t>e</w:t>
            </w:r>
            <w:r w:rsidRPr="002742DE">
              <w:rPr>
                <w:spacing w:val="1"/>
              </w:rPr>
              <w:t>c</w:t>
            </w:r>
            <w:r w:rsidRPr="002742DE">
              <w:t>t</w:t>
            </w:r>
            <w:r w:rsidRPr="002742DE">
              <w:rPr>
                <w:spacing w:val="2"/>
              </w:rPr>
              <w:t>i</w:t>
            </w:r>
            <w:r w:rsidRPr="002742DE">
              <w:rPr>
                <w:spacing w:val="-1"/>
              </w:rPr>
              <w:t>v</w:t>
            </w:r>
            <w:r w:rsidRPr="002742DE">
              <w:t>e.</w:t>
            </w:r>
          </w:p>
        </w:tc>
        <w:tc>
          <w:tcPr>
            <w:tcW w:w="364" w:type="pct"/>
            <w:vAlign w:val="center"/>
          </w:tcPr>
          <w:p w:rsidR="00361223" w:rsidRPr="002742DE" w:rsidRDefault="00361223" w:rsidP="00DE269D">
            <w:pPr>
              <w:tabs>
                <w:tab w:val="left" w:pos="1120"/>
              </w:tabs>
              <w:spacing w:before="57"/>
              <w:jc w:val="center"/>
              <w:rPr>
                <w:rFonts w:eastAsia="Wingdings" w:cs="Arial"/>
                <w:sz w:val="20"/>
                <w:szCs w:val="20"/>
              </w:rPr>
            </w:pPr>
            <w:r>
              <w:rPr>
                <w:rFonts w:eastAsia="Wingdings" w:cs="Arial"/>
                <w:sz w:val="20"/>
                <w:szCs w:val="20"/>
              </w:rPr>
              <w:t>NO</w:t>
            </w:r>
          </w:p>
        </w:tc>
        <w:tc>
          <w:tcPr>
            <w:tcW w:w="1589" w:type="pct"/>
            <w:vAlign w:val="center"/>
          </w:tcPr>
          <w:p w:rsidR="00361223" w:rsidRPr="002742DE" w:rsidRDefault="00361223" w:rsidP="00DE269D">
            <w:pPr>
              <w:tabs>
                <w:tab w:val="left" w:pos="1120"/>
              </w:tabs>
              <w:spacing w:before="57"/>
              <w:rPr>
                <w:rFonts w:eastAsia="Wingdings" w:cs="Arial"/>
                <w:sz w:val="20"/>
                <w:szCs w:val="20"/>
              </w:rPr>
            </w:pPr>
            <w:r>
              <w:rPr>
                <w:rFonts w:eastAsia="Wingdings" w:cs="Arial"/>
                <w:sz w:val="20"/>
                <w:szCs w:val="20"/>
              </w:rPr>
              <w:t>See previous.</w:t>
            </w:r>
          </w:p>
        </w:tc>
      </w:tr>
      <w:tr w:rsidR="00361223" w:rsidRPr="002A1C7F" w:rsidTr="00EF7388">
        <w:tc>
          <w:tcPr>
            <w:tcW w:w="3048" w:type="pct"/>
            <w:vAlign w:val="center"/>
          </w:tcPr>
          <w:p w:rsidR="00361223" w:rsidRPr="002A1C7F" w:rsidRDefault="00361223" w:rsidP="00DE269D">
            <w:pPr>
              <w:tabs>
                <w:tab w:val="left" w:pos="460"/>
              </w:tabs>
              <w:spacing w:line="225" w:lineRule="exact"/>
              <w:rPr>
                <w:rFonts w:cs="Arial"/>
                <w:b/>
                <w:sz w:val="20"/>
                <w:szCs w:val="20"/>
              </w:rPr>
            </w:pPr>
            <w:r w:rsidRPr="002A1C7F">
              <w:rPr>
                <w:rFonts w:cs="Arial"/>
                <w:b/>
                <w:sz w:val="20"/>
                <w:szCs w:val="20"/>
              </w:rPr>
              <w:t>‒</w:t>
            </w:r>
            <w:r w:rsidRPr="002A1C7F">
              <w:rPr>
                <w:rFonts w:cs="Arial"/>
                <w:b/>
                <w:sz w:val="20"/>
                <w:szCs w:val="20"/>
              </w:rPr>
              <w:tab/>
            </w:r>
            <w:r w:rsidRPr="002A1C7F">
              <w:rPr>
                <w:rFonts w:cs="Arial"/>
                <w:b/>
                <w:i/>
                <w:spacing w:val="-1"/>
                <w:sz w:val="20"/>
                <w:szCs w:val="20"/>
              </w:rPr>
              <w:t>s</w:t>
            </w:r>
            <w:r w:rsidRPr="002A1C7F">
              <w:rPr>
                <w:rFonts w:cs="Arial"/>
                <w:b/>
                <w:i/>
                <w:sz w:val="20"/>
                <w:szCs w:val="20"/>
              </w:rPr>
              <w:t xml:space="preserve">ets </w:t>
            </w:r>
            <w:r w:rsidRPr="002A1C7F">
              <w:rPr>
                <w:rFonts w:cs="Arial"/>
                <w:b/>
                <w:i/>
                <w:spacing w:val="2"/>
                <w:sz w:val="20"/>
                <w:szCs w:val="20"/>
              </w:rPr>
              <w:t xml:space="preserve"> </w:t>
            </w:r>
            <w:r w:rsidRPr="002A1C7F">
              <w:rPr>
                <w:rFonts w:cs="Arial"/>
                <w:b/>
                <w:i/>
                <w:spacing w:val="1"/>
                <w:sz w:val="20"/>
                <w:szCs w:val="20"/>
              </w:rPr>
              <w:t>ou</w:t>
            </w:r>
            <w:r w:rsidRPr="002A1C7F">
              <w:rPr>
                <w:rFonts w:cs="Arial"/>
                <w:b/>
                <w:i/>
                <w:sz w:val="20"/>
                <w:szCs w:val="20"/>
              </w:rPr>
              <w:t xml:space="preserve">t </w:t>
            </w:r>
            <w:r w:rsidRPr="002A1C7F">
              <w:rPr>
                <w:rFonts w:cs="Arial"/>
                <w:b/>
                <w:i/>
                <w:spacing w:val="5"/>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 xml:space="preserve">e </w:t>
            </w:r>
            <w:r w:rsidRPr="002A1C7F">
              <w:rPr>
                <w:rFonts w:cs="Arial"/>
                <w:b/>
                <w:i/>
                <w:spacing w:val="4"/>
                <w:sz w:val="20"/>
                <w:szCs w:val="20"/>
              </w:rPr>
              <w:t xml:space="preserve"> </w:t>
            </w:r>
            <w:r w:rsidRPr="002A1C7F">
              <w:rPr>
                <w:rFonts w:cs="Arial"/>
                <w:b/>
                <w:i/>
                <w:sz w:val="20"/>
                <w:szCs w:val="20"/>
              </w:rPr>
              <w:t>c</w:t>
            </w:r>
            <w:r w:rsidRPr="002A1C7F">
              <w:rPr>
                <w:rFonts w:cs="Arial"/>
                <w:b/>
                <w:i/>
                <w:spacing w:val="1"/>
                <w:sz w:val="20"/>
                <w:szCs w:val="20"/>
              </w:rPr>
              <w:t>on</w:t>
            </w:r>
            <w:r w:rsidRPr="002A1C7F">
              <w:rPr>
                <w:rFonts w:cs="Arial"/>
                <w:b/>
                <w:i/>
                <w:sz w:val="20"/>
                <w:szCs w:val="20"/>
              </w:rPr>
              <w:t>t</w:t>
            </w:r>
            <w:r w:rsidRPr="002A1C7F">
              <w:rPr>
                <w:rFonts w:cs="Arial"/>
                <w:b/>
                <w:i/>
                <w:spacing w:val="-1"/>
                <w:sz w:val="20"/>
                <w:szCs w:val="20"/>
              </w:rPr>
              <w:t>r</w:t>
            </w:r>
            <w:r w:rsidRPr="002A1C7F">
              <w:rPr>
                <w:rFonts w:cs="Arial"/>
                <w:b/>
                <w:i/>
                <w:sz w:val="20"/>
                <w:szCs w:val="20"/>
              </w:rPr>
              <w:t>i</w:t>
            </w:r>
            <w:r w:rsidRPr="002A1C7F">
              <w:rPr>
                <w:rFonts w:cs="Arial"/>
                <w:b/>
                <w:i/>
                <w:spacing w:val="1"/>
                <w:sz w:val="20"/>
                <w:szCs w:val="20"/>
              </w:rPr>
              <w:t>bu</w:t>
            </w:r>
            <w:r w:rsidRPr="002A1C7F">
              <w:rPr>
                <w:rFonts w:cs="Arial"/>
                <w:b/>
                <w:i/>
                <w:sz w:val="20"/>
                <w:szCs w:val="20"/>
              </w:rPr>
              <w:t>ti</w:t>
            </w:r>
            <w:r w:rsidRPr="002A1C7F">
              <w:rPr>
                <w:rFonts w:cs="Arial"/>
                <w:b/>
                <w:i/>
                <w:spacing w:val="1"/>
                <w:sz w:val="20"/>
                <w:szCs w:val="20"/>
              </w:rPr>
              <w:t>o</w:t>
            </w:r>
            <w:r w:rsidRPr="002A1C7F">
              <w:rPr>
                <w:rFonts w:cs="Arial"/>
                <w:b/>
                <w:i/>
                <w:sz w:val="20"/>
                <w:szCs w:val="20"/>
              </w:rPr>
              <w:t>n</w:t>
            </w:r>
            <w:r w:rsidRPr="002A1C7F">
              <w:rPr>
                <w:rFonts w:cs="Arial"/>
                <w:b/>
                <w:i/>
                <w:spacing w:val="46"/>
                <w:sz w:val="20"/>
                <w:szCs w:val="20"/>
              </w:rPr>
              <w:t xml:space="preserve"> </w:t>
            </w:r>
            <w:r w:rsidRPr="002A1C7F">
              <w:rPr>
                <w:rFonts w:cs="Arial"/>
                <w:b/>
                <w:i/>
                <w:sz w:val="20"/>
                <w:szCs w:val="20"/>
              </w:rPr>
              <w:t xml:space="preserve">to </w:t>
            </w:r>
            <w:r w:rsidRPr="002A1C7F">
              <w:rPr>
                <w:rFonts w:cs="Arial"/>
                <w:b/>
                <w:i/>
                <w:spacing w:val="4"/>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 xml:space="preserve">e </w:t>
            </w:r>
            <w:r w:rsidRPr="002A1C7F">
              <w:rPr>
                <w:rFonts w:cs="Arial"/>
                <w:b/>
                <w:i/>
                <w:spacing w:val="4"/>
                <w:sz w:val="20"/>
                <w:szCs w:val="20"/>
              </w:rPr>
              <w:t xml:space="preserve"> </w:t>
            </w:r>
            <w:r w:rsidRPr="002A1C7F">
              <w:rPr>
                <w:rFonts w:cs="Arial"/>
                <w:b/>
                <w:i/>
                <w:spacing w:val="-1"/>
                <w:sz w:val="20"/>
                <w:szCs w:val="20"/>
              </w:rPr>
              <w:t>s</w:t>
            </w:r>
            <w:r w:rsidRPr="002A1C7F">
              <w:rPr>
                <w:rFonts w:cs="Arial"/>
                <w:b/>
                <w:i/>
                <w:sz w:val="20"/>
                <w:szCs w:val="20"/>
              </w:rPr>
              <w:t>i</w:t>
            </w:r>
            <w:r w:rsidRPr="002A1C7F">
              <w:rPr>
                <w:rFonts w:cs="Arial"/>
                <w:b/>
                <w:i/>
                <w:spacing w:val="1"/>
                <w:sz w:val="20"/>
                <w:szCs w:val="20"/>
              </w:rPr>
              <w:t>ng</w:t>
            </w:r>
            <w:r w:rsidRPr="002A1C7F">
              <w:rPr>
                <w:rFonts w:cs="Arial"/>
                <w:b/>
                <w:i/>
                <w:sz w:val="20"/>
                <w:szCs w:val="20"/>
              </w:rPr>
              <w:t xml:space="preserve">le </w:t>
            </w:r>
            <w:r w:rsidRPr="002A1C7F">
              <w:rPr>
                <w:rFonts w:cs="Arial"/>
                <w:b/>
                <w:i/>
                <w:spacing w:val="1"/>
                <w:sz w:val="20"/>
                <w:szCs w:val="20"/>
              </w:rPr>
              <w:t xml:space="preserve"> </w:t>
            </w:r>
            <w:r w:rsidRPr="002A1C7F">
              <w:rPr>
                <w:rFonts w:cs="Arial"/>
                <w:b/>
                <w:i/>
                <w:sz w:val="20"/>
                <w:szCs w:val="20"/>
              </w:rPr>
              <w:t>E</w:t>
            </w:r>
            <w:r w:rsidRPr="002A1C7F">
              <w:rPr>
                <w:rFonts w:cs="Arial"/>
                <w:b/>
                <w:i/>
                <w:spacing w:val="1"/>
                <w:sz w:val="20"/>
                <w:szCs w:val="20"/>
              </w:rPr>
              <w:t>u</w:t>
            </w:r>
            <w:r w:rsidRPr="002A1C7F">
              <w:rPr>
                <w:rFonts w:cs="Arial"/>
                <w:b/>
                <w:i/>
                <w:spacing w:val="-1"/>
                <w:sz w:val="20"/>
                <w:szCs w:val="20"/>
              </w:rPr>
              <w:t>r</w:t>
            </w:r>
            <w:r w:rsidRPr="002A1C7F">
              <w:rPr>
                <w:rFonts w:cs="Arial"/>
                <w:b/>
                <w:i/>
                <w:spacing w:val="1"/>
                <w:sz w:val="20"/>
                <w:szCs w:val="20"/>
              </w:rPr>
              <w:t>op</w:t>
            </w:r>
            <w:r w:rsidRPr="002A1C7F">
              <w:rPr>
                <w:rFonts w:cs="Arial"/>
                <w:b/>
                <w:i/>
                <w:sz w:val="20"/>
                <w:szCs w:val="20"/>
              </w:rPr>
              <w:t>e</w:t>
            </w:r>
            <w:r w:rsidRPr="002A1C7F">
              <w:rPr>
                <w:rFonts w:cs="Arial"/>
                <w:b/>
                <w:i/>
                <w:spacing w:val="1"/>
                <w:sz w:val="20"/>
                <w:szCs w:val="20"/>
              </w:rPr>
              <w:t>a</w:t>
            </w:r>
            <w:r w:rsidRPr="002A1C7F">
              <w:rPr>
                <w:rFonts w:cs="Arial"/>
                <w:b/>
                <w:i/>
                <w:sz w:val="20"/>
                <w:szCs w:val="20"/>
              </w:rPr>
              <w:t>n</w:t>
            </w:r>
            <w:r w:rsidRPr="002A1C7F">
              <w:rPr>
                <w:rFonts w:cs="Arial"/>
                <w:b/>
                <w:i/>
                <w:spacing w:val="48"/>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2"/>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w:t>
            </w:r>
            <w:r w:rsidRPr="002A1C7F">
              <w:rPr>
                <w:rFonts w:cs="Arial"/>
                <w:b/>
                <w:i/>
                <w:spacing w:val="47"/>
                <w:sz w:val="20"/>
                <w:szCs w:val="20"/>
              </w:rPr>
              <w:t xml:space="preserve"> </w:t>
            </w:r>
            <w:r w:rsidRPr="002A1C7F">
              <w:rPr>
                <w:rFonts w:cs="Arial"/>
                <w:b/>
                <w:i/>
                <w:sz w:val="20"/>
                <w:szCs w:val="20"/>
              </w:rPr>
              <w:t>A</w:t>
            </w:r>
            <w:r w:rsidRPr="002A1C7F">
              <w:rPr>
                <w:rFonts w:cs="Arial"/>
                <w:b/>
                <w:i/>
                <w:spacing w:val="-1"/>
                <w:sz w:val="20"/>
                <w:szCs w:val="20"/>
              </w:rPr>
              <w:t>r</w:t>
            </w:r>
            <w:r w:rsidRPr="002A1C7F">
              <w:rPr>
                <w:rFonts w:cs="Arial"/>
                <w:b/>
                <w:i/>
                <w:sz w:val="20"/>
                <w:szCs w:val="20"/>
              </w:rPr>
              <w:t xml:space="preserve">ea </w:t>
            </w:r>
            <w:r w:rsidRPr="002A1C7F">
              <w:rPr>
                <w:rFonts w:cs="Arial"/>
                <w:b/>
                <w:i/>
                <w:spacing w:val="3"/>
                <w:sz w:val="20"/>
                <w:szCs w:val="20"/>
              </w:rPr>
              <w:t xml:space="preserve"> </w:t>
            </w:r>
            <w:r w:rsidRPr="002A1C7F">
              <w:rPr>
                <w:rFonts w:cs="Arial"/>
                <w:b/>
                <w:i/>
                <w:sz w:val="20"/>
                <w:szCs w:val="20"/>
              </w:rPr>
              <w:t>c</w:t>
            </w:r>
            <w:r w:rsidRPr="002A1C7F">
              <w:rPr>
                <w:rFonts w:cs="Arial"/>
                <w:b/>
                <w:i/>
                <w:spacing w:val="1"/>
                <w:sz w:val="20"/>
                <w:szCs w:val="20"/>
              </w:rPr>
              <w:t>on</w:t>
            </w:r>
            <w:r w:rsidRPr="002A1C7F">
              <w:rPr>
                <w:rFonts w:cs="Arial"/>
                <w:b/>
                <w:i/>
                <w:spacing w:val="-1"/>
                <w:sz w:val="20"/>
                <w:szCs w:val="20"/>
              </w:rPr>
              <w:t>s</w:t>
            </w:r>
            <w:r w:rsidRPr="002A1C7F">
              <w:rPr>
                <w:rFonts w:cs="Arial"/>
                <w:b/>
                <w:i/>
                <w:sz w:val="20"/>
                <w:szCs w:val="20"/>
              </w:rPr>
              <w:t>i</w:t>
            </w:r>
            <w:r w:rsidRPr="002A1C7F">
              <w:rPr>
                <w:rFonts w:cs="Arial"/>
                <w:b/>
                <w:i/>
                <w:spacing w:val="-1"/>
                <w:sz w:val="20"/>
                <w:szCs w:val="20"/>
              </w:rPr>
              <w:t>s</w:t>
            </w:r>
            <w:r w:rsidRPr="002A1C7F">
              <w:rPr>
                <w:rFonts w:cs="Arial"/>
                <w:b/>
                <w:i/>
                <w:sz w:val="20"/>
                <w:szCs w:val="20"/>
              </w:rPr>
              <w:t>te</w:t>
            </w:r>
            <w:r w:rsidRPr="002A1C7F">
              <w:rPr>
                <w:rFonts w:cs="Arial"/>
                <w:b/>
                <w:i/>
                <w:spacing w:val="1"/>
                <w:sz w:val="20"/>
                <w:szCs w:val="20"/>
              </w:rPr>
              <w:t>n</w:t>
            </w:r>
            <w:r w:rsidRPr="002A1C7F">
              <w:rPr>
                <w:rFonts w:cs="Arial"/>
                <w:b/>
                <w:i/>
                <w:sz w:val="20"/>
                <w:szCs w:val="20"/>
              </w:rPr>
              <w:t>t</w:t>
            </w:r>
            <w:r w:rsidRPr="002A1C7F">
              <w:rPr>
                <w:rFonts w:cs="Arial"/>
                <w:b/>
                <w:i/>
                <w:spacing w:val="49"/>
                <w:sz w:val="20"/>
                <w:szCs w:val="20"/>
              </w:rPr>
              <w:t xml:space="preserve"> </w:t>
            </w:r>
            <w:r w:rsidRPr="002A1C7F">
              <w:rPr>
                <w:rFonts w:cs="Arial"/>
                <w:b/>
                <w:i/>
                <w:spacing w:val="-1"/>
                <w:sz w:val="20"/>
                <w:szCs w:val="20"/>
              </w:rPr>
              <w:t>w</w:t>
            </w:r>
            <w:r w:rsidRPr="002A1C7F">
              <w:rPr>
                <w:rFonts w:cs="Arial"/>
                <w:b/>
                <w:i/>
                <w:spacing w:val="2"/>
                <w:sz w:val="20"/>
                <w:szCs w:val="20"/>
              </w:rPr>
              <w:t>i</w:t>
            </w:r>
            <w:r w:rsidRPr="002A1C7F">
              <w:rPr>
                <w:rFonts w:cs="Arial"/>
                <w:b/>
                <w:i/>
                <w:sz w:val="20"/>
                <w:szCs w:val="20"/>
              </w:rPr>
              <w:t xml:space="preserve">th </w:t>
            </w:r>
            <w:r w:rsidRPr="002A1C7F">
              <w:rPr>
                <w:rFonts w:cs="Arial"/>
                <w:b/>
                <w:i/>
                <w:spacing w:val="3"/>
                <w:sz w:val="20"/>
                <w:szCs w:val="20"/>
              </w:rPr>
              <w:t xml:space="preserve"> A</w:t>
            </w:r>
            <w:r w:rsidRPr="002A1C7F">
              <w:rPr>
                <w:rFonts w:cs="Arial"/>
                <w:b/>
                <w:i/>
                <w:spacing w:val="-1"/>
                <w:sz w:val="20"/>
                <w:szCs w:val="20"/>
              </w:rPr>
              <w:t>r</w:t>
            </w:r>
            <w:r w:rsidRPr="002A1C7F">
              <w:rPr>
                <w:rFonts w:cs="Arial"/>
                <w:b/>
                <w:i/>
                <w:sz w:val="20"/>
                <w:szCs w:val="20"/>
              </w:rPr>
              <w:t xml:space="preserve">ticle </w:t>
            </w:r>
            <w:r w:rsidRPr="002A1C7F">
              <w:rPr>
                <w:rFonts w:cs="Arial"/>
                <w:b/>
                <w:i/>
                <w:spacing w:val="1"/>
                <w:sz w:val="20"/>
                <w:szCs w:val="20"/>
              </w:rPr>
              <w:t xml:space="preserve"> 1</w:t>
            </w:r>
            <w:r w:rsidRPr="002A1C7F">
              <w:rPr>
                <w:rFonts w:cs="Arial"/>
                <w:b/>
                <w:i/>
                <w:sz w:val="20"/>
                <w:szCs w:val="20"/>
              </w:rPr>
              <w:t xml:space="preserve">0 </w:t>
            </w:r>
            <w:r w:rsidRPr="002A1C7F">
              <w:rPr>
                <w:rFonts w:cs="Arial"/>
                <w:b/>
                <w:i/>
                <w:spacing w:val="4"/>
                <w:sz w:val="20"/>
                <w:szCs w:val="20"/>
              </w:rPr>
              <w:t xml:space="preserve"> </w:t>
            </w:r>
            <w:r w:rsidRPr="002A1C7F">
              <w:rPr>
                <w:rFonts w:cs="Arial"/>
                <w:b/>
                <w:i/>
                <w:spacing w:val="1"/>
                <w:sz w:val="20"/>
                <w:szCs w:val="20"/>
              </w:rPr>
              <w:t>o</w:t>
            </w:r>
            <w:r w:rsidRPr="002A1C7F">
              <w:rPr>
                <w:rFonts w:cs="Arial"/>
                <w:b/>
                <w:i/>
                <w:sz w:val="20"/>
                <w:szCs w:val="20"/>
              </w:rPr>
              <w:t>f Re</w:t>
            </w:r>
            <w:r w:rsidRPr="002A1C7F">
              <w:rPr>
                <w:rFonts w:cs="Arial"/>
                <w:b/>
                <w:i/>
                <w:spacing w:val="1"/>
                <w:sz w:val="20"/>
                <w:szCs w:val="20"/>
              </w:rPr>
              <w:t>gu</w:t>
            </w:r>
            <w:r w:rsidRPr="002A1C7F">
              <w:rPr>
                <w:rFonts w:cs="Arial"/>
                <w:b/>
                <w:i/>
                <w:sz w:val="20"/>
                <w:szCs w:val="20"/>
              </w:rPr>
              <w:t>l</w:t>
            </w:r>
            <w:r w:rsidRPr="002A1C7F">
              <w:rPr>
                <w:rFonts w:cs="Arial"/>
                <w:b/>
                <w:i/>
                <w:spacing w:val="1"/>
                <w:sz w:val="20"/>
                <w:szCs w:val="20"/>
              </w:rPr>
              <w:t>a</w:t>
            </w:r>
            <w:r w:rsidRPr="002A1C7F">
              <w:rPr>
                <w:rFonts w:cs="Arial"/>
                <w:b/>
                <w:i/>
                <w:sz w:val="20"/>
                <w:szCs w:val="20"/>
              </w:rPr>
              <w:t>ti</w:t>
            </w:r>
            <w:r w:rsidRPr="002A1C7F">
              <w:rPr>
                <w:rFonts w:cs="Arial"/>
                <w:b/>
                <w:i/>
                <w:spacing w:val="1"/>
                <w:sz w:val="20"/>
                <w:szCs w:val="20"/>
              </w:rPr>
              <w:t>o</w:t>
            </w:r>
            <w:r w:rsidRPr="002A1C7F">
              <w:rPr>
                <w:rFonts w:cs="Arial"/>
                <w:b/>
                <w:i/>
                <w:sz w:val="20"/>
                <w:szCs w:val="20"/>
              </w:rPr>
              <w:t>n</w:t>
            </w:r>
            <w:r w:rsidRPr="002A1C7F">
              <w:rPr>
                <w:rFonts w:cs="Arial"/>
                <w:b/>
                <w:i/>
                <w:spacing w:val="13"/>
                <w:sz w:val="20"/>
                <w:szCs w:val="20"/>
              </w:rPr>
              <w:t xml:space="preserve"> </w:t>
            </w:r>
            <w:r w:rsidRPr="002A1C7F">
              <w:rPr>
                <w:rFonts w:cs="Arial"/>
                <w:b/>
                <w:i/>
                <w:spacing w:val="-2"/>
                <w:sz w:val="20"/>
                <w:szCs w:val="20"/>
              </w:rPr>
              <w:t>(</w:t>
            </w:r>
            <w:r w:rsidRPr="002A1C7F">
              <w:rPr>
                <w:rFonts w:cs="Arial"/>
                <w:b/>
                <w:i/>
                <w:sz w:val="20"/>
                <w:szCs w:val="20"/>
              </w:rPr>
              <w:t>EU)</w:t>
            </w:r>
            <w:r w:rsidRPr="002A1C7F">
              <w:rPr>
                <w:rFonts w:cs="Arial"/>
                <w:b/>
                <w:i/>
                <w:spacing w:val="17"/>
                <w:sz w:val="20"/>
                <w:szCs w:val="20"/>
              </w:rPr>
              <w:t xml:space="preserve"> </w:t>
            </w:r>
            <w:r w:rsidRPr="002A1C7F">
              <w:rPr>
                <w:rFonts w:cs="Arial"/>
                <w:b/>
                <w:i/>
                <w:spacing w:val="-1"/>
                <w:sz w:val="20"/>
                <w:szCs w:val="20"/>
              </w:rPr>
              <w:t>N</w:t>
            </w:r>
            <w:r w:rsidRPr="002A1C7F">
              <w:rPr>
                <w:rFonts w:cs="Arial"/>
                <w:b/>
                <w:i/>
                <w:spacing w:val="1"/>
                <w:sz w:val="20"/>
                <w:szCs w:val="20"/>
              </w:rPr>
              <w:t>o1315</w:t>
            </w:r>
            <w:r w:rsidRPr="002A1C7F">
              <w:rPr>
                <w:rFonts w:cs="Arial"/>
                <w:b/>
                <w:i/>
                <w:sz w:val="20"/>
                <w:szCs w:val="20"/>
              </w:rPr>
              <w:t>/</w:t>
            </w:r>
            <w:r w:rsidRPr="002A1C7F">
              <w:rPr>
                <w:rFonts w:cs="Arial"/>
                <w:b/>
                <w:i/>
                <w:spacing w:val="-1"/>
                <w:sz w:val="20"/>
                <w:szCs w:val="20"/>
              </w:rPr>
              <w:t>2</w:t>
            </w:r>
            <w:r w:rsidRPr="002A1C7F">
              <w:rPr>
                <w:rFonts w:cs="Arial"/>
                <w:b/>
                <w:i/>
                <w:spacing w:val="1"/>
                <w:sz w:val="20"/>
                <w:szCs w:val="20"/>
              </w:rPr>
              <w:t>0</w:t>
            </w:r>
            <w:r w:rsidRPr="002A1C7F">
              <w:rPr>
                <w:rFonts w:cs="Arial"/>
                <w:b/>
                <w:i/>
                <w:spacing w:val="-1"/>
                <w:sz w:val="20"/>
                <w:szCs w:val="20"/>
              </w:rPr>
              <w:t>1</w:t>
            </w:r>
            <w:r w:rsidRPr="002A1C7F">
              <w:rPr>
                <w:rFonts w:cs="Arial"/>
                <w:b/>
                <w:i/>
                <w:sz w:val="20"/>
                <w:szCs w:val="20"/>
              </w:rPr>
              <w:t>3</w:t>
            </w:r>
            <w:r w:rsidRPr="002A1C7F">
              <w:rPr>
                <w:rFonts w:cs="Arial"/>
                <w:b/>
                <w:i/>
                <w:spacing w:val="9"/>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17"/>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8"/>
                <w:sz w:val="20"/>
                <w:szCs w:val="20"/>
              </w:rPr>
              <w:t xml:space="preserve"> </w:t>
            </w:r>
            <w:r w:rsidRPr="002A1C7F">
              <w:rPr>
                <w:rFonts w:cs="Arial"/>
                <w:b/>
                <w:i/>
                <w:sz w:val="20"/>
                <w:szCs w:val="20"/>
              </w:rPr>
              <w:t>E</w:t>
            </w:r>
            <w:r w:rsidRPr="002A1C7F">
              <w:rPr>
                <w:rFonts w:cs="Arial"/>
                <w:b/>
                <w:i/>
                <w:spacing w:val="1"/>
                <w:sz w:val="20"/>
                <w:szCs w:val="20"/>
              </w:rPr>
              <w:t>u</w:t>
            </w:r>
            <w:r w:rsidRPr="002A1C7F">
              <w:rPr>
                <w:rFonts w:cs="Arial"/>
                <w:b/>
                <w:i/>
                <w:spacing w:val="-1"/>
                <w:sz w:val="20"/>
                <w:szCs w:val="20"/>
              </w:rPr>
              <w:t>r</w:t>
            </w:r>
            <w:r w:rsidRPr="002A1C7F">
              <w:rPr>
                <w:rFonts w:cs="Arial"/>
                <w:b/>
                <w:i/>
                <w:spacing w:val="1"/>
                <w:sz w:val="20"/>
                <w:szCs w:val="20"/>
              </w:rPr>
              <w:t>op</w:t>
            </w:r>
            <w:r w:rsidRPr="002A1C7F">
              <w:rPr>
                <w:rFonts w:cs="Arial"/>
                <w:b/>
                <w:i/>
                <w:sz w:val="20"/>
                <w:szCs w:val="20"/>
              </w:rPr>
              <w:t>e</w:t>
            </w:r>
            <w:r w:rsidRPr="002A1C7F">
              <w:rPr>
                <w:rFonts w:cs="Arial"/>
                <w:b/>
                <w:i/>
                <w:spacing w:val="1"/>
                <w:sz w:val="20"/>
                <w:szCs w:val="20"/>
              </w:rPr>
              <w:t>a</w:t>
            </w:r>
            <w:r w:rsidRPr="002A1C7F">
              <w:rPr>
                <w:rFonts w:cs="Arial"/>
                <w:b/>
                <w:i/>
                <w:sz w:val="20"/>
                <w:szCs w:val="20"/>
              </w:rPr>
              <w:t>n</w:t>
            </w:r>
            <w:r w:rsidRPr="002A1C7F">
              <w:rPr>
                <w:rFonts w:cs="Arial"/>
                <w:b/>
                <w:i/>
                <w:spacing w:val="12"/>
                <w:sz w:val="20"/>
                <w:szCs w:val="20"/>
              </w:rPr>
              <w:t xml:space="preserve"> </w:t>
            </w:r>
            <w:r w:rsidRPr="002A1C7F">
              <w:rPr>
                <w:rFonts w:cs="Arial"/>
                <w:b/>
                <w:i/>
                <w:sz w:val="20"/>
                <w:szCs w:val="20"/>
              </w:rPr>
              <w:t>P</w:t>
            </w:r>
            <w:r w:rsidRPr="002A1C7F">
              <w:rPr>
                <w:rFonts w:cs="Arial"/>
                <w:b/>
                <w:i/>
                <w:spacing w:val="1"/>
                <w:sz w:val="20"/>
                <w:szCs w:val="20"/>
              </w:rPr>
              <w:t>a</w:t>
            </w:r>
            <w:r w:rsidRPr="002A1C7F">
              <w:rPr>
                <w:rFonts w:cs="Arial"/>
                <w:b/>
                <w:i/>
                <w:spacing w:val="-1"/>
                <w:sz w:val="20"/>
                <w:szCs w:val="20"/>
              </w:rPr>
              <w:t>r</w:t>
            </w:r>
            <w:r w:rsidRPr="002A1C7F">
              <w:rPr>
                <w:rFonts w:cs="Arial"/>
                <w:b/>
                <w:i/>
                <w:sz w:val="20"/>
                <w:szCs w:val="20"/>
              </w:rPr>
              <w:t>li</w:t>
            </w:r>
            <w:r w:rsidRPr="002A1C7F">
              <w:rPr>
                <w:rFonts w:cs="Arial"/>
                <w:b/>
                <w:i/>
                <w:spacing w:val="1"/>
                <w:sz w:val="20"/>
                <w:szCs w:val="20"/>
              </w:rPr>
              <w:t>a</w:t>
            </w:r>
            <w:r w:rsidRPr="002A1C7F">
              <w:rPr>
                <w:rFonts w:cs="Arial"/>
                <w:b/>
                <w:i/>
                <w:sz w:val="20"/>
                <w:szCs w:val="20"/>
              </w:rPr>
              <w:t>me</w:t>
            </w:r>
            <w:r w:rsidRPr="002A1C7F">
              <w:rPr>
                <w:rFonts w:cs="Arial"/>
                <w:b/>
                <w:i/>
                <w:spacing w:val="-1"/>
                <w:sz w:val="20"/>
                <w:szCs w:val="20"/>
              </w:rPr>
              <w:t>n</w:t>
            </w:r>
            <w:r w:rsidRPr="002A1C7F">
              <w:rPr>
                <w:rFonts w:cs="Arial"/>
                <w:b/>
                <w:i/>
                <w:sz w:val="20"/>
                <w:szCs w:val="20"/>
              </w:rPr>
              <w:t>t</w:t>
            </w:r>
            <w:r w:rsidRPr="002A1C7F">
              <w:rPr>
                <w:rFonts w:cs="Arial"/>
                <w:b/>
                <w:i/>
                <w:spacing w:val="10"/>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17"/>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17"/>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8"/>
                <w:sz w:val="20"/>
                <w:szCs w:val="20"/>
              </w:rPr>
              <w:t xml:space="preserve"> </w:t>
            </w:r>
            <w:r w:rsidRPr="002A1C7F">
              <w:rPr>
                <w:rFonts w:cs="Arial"/>
                <w:b/>
                <w:i/>
                <w:spacing w:val="-1"/>
                <w:sz w:val="20"/>
                <w:szCs w:val="20"/>
              </w:rPr>
              <w:t>C</w:t>
            </w:r>
            <w:r w:rsidRPr="002A1C7F">
              <w:rPr>
                <w:rFonts w:cs="Arial"/>
                <w:b/>
                <w:i/>
                <w:spacing w:val="1"/>
                <w:sz w:val="20"/>
                <w:szCs w:val="20"/>
              </w:rPr>
              <w:t>oun</w:t>
            </w:r>
            <w:r w:rsidRPr="002A1C7F">
              <w:rPr>
                <w:rFonts w:cs="Arial"/>
                <w:b/>
                <w:i/>
                <w:sz w:val="20"/>
                <w:szCs w:val="20"/>
              </w:rPr>
              <w:t>ci</w:t>
            </w:r>
            <w:r w:rsidRPr="002A1C7F">
              <w:rPr>
                <w:rFonts w:cs="Arial"/>
                <w:b/>
                <w:i/>
                <w:spacing w:val="7"/>
                <w:sz w:val="20"/>
                <w:szCs w:val="20"/>
              </w:rPr>
              <w:t>l</w:t>
            </w:r>
            <w:r w:rsidRPr="002A1C7F">
              <w:rPr>
                <w:rFonts w:cs="Arial"/>
                <w:b/>
                <w:i/>
                <w:sz w:val="20"/>
                <w:szCs w:val="20"/>
              </w:rPr>
              <w:t>,</w:t>
            </w:r>
            <w:r w:rsidRPr="002A1C7F">
              <w:rPr>
                <w:rFonts w:cs="Arial"/>
                <w:b/>
                <w:i/>
                <w:spacing w:val="13"/>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cl</w:t>
            </w:r>
            <w:r w:rsidRPr="002A1C7F">
              <w:rPr>
                <w:rFonts w:cs="Arial"/>
                <w:b/>
                <w:i/>
                <w:spacing w:val="1"/>
                <w:sz w:val="20"/>
                <w:szCs w:val="20"/>
              </w:rPr>
              <w:t>ud</w:t>
            </w:r>
            <w:r w:rsidRPr="002A1C7F">
              <w:rPr>
                <w:rFonts w:cs="Arial"/>
                <w:b/>
                <w:i/>
                <w:sz w:val="20"/>
                <w:szCs w:val="20"/>
              </w:rPr>
              <w:t>i</w:t>
            </w:r>
            <w:r w:rsidRPr="002A1C7F">
              <w:rPr>
                <w:rFonts w:cs="Arial"/>
                <w:b/>
                <w:i/>
                <w:spacing w:val="-1"/>
                <w:sz w:val="20"/>
                <w:szCs w:val="20"/>
              </w:rPr>
              <w:t>n</w:t>
            </w:r>
            <w:r w:rsidRPr="002A1C7F">
              <w:rPr>
                <w:rFonts w:cs="Arial"/>
                <w:b/>
                <w:i/>
                <w:sz w:val="20"/>
                <w:szCs w:val="20"/>
              </w:rPr>
              <w:t>g</w:t>
            </w:r>
            <w:r w:rsidRPr="002A1C7F">
              <w:rPr>
                <w:rFonts w:cs="Arial"/>
                <w:b/>
                <w:i/>
                <w:spacing w:val="12"/>
                <w:sz w:val="20"/>
                <w:szCs w:val="20"/>
              </w:rPr>
              <w:t xml:space="preserve"> </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i</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ities f</w:t>
            </w:r>
            <w:r w:rsidRPr="002A1C7F">
              <w:rPr>
                <w:rFonts w:cs="Arial"/>
                <w:b/>
                <w:i/>
                <w:spacing w:val="1"/>
                <w:sz w:val="20"/>
                <w:szCs w:val="20"/>
              </w:rPr>
              <w:t>o</w:t>
            </w:r>
            <w:r w:rsidRPr="002A1C7F">
              <w:rPr>
                <w:rFonts w:cs="Arial"/>
                <w:b/>
                <w:i/>
                <w:sz w:val="20"/>
                <w:szCs w:val="20"/>
              </w:rPr>
              <w:t>r</w:t>
            </w:r>
            <w:r w:rsidRPr="002A1C7F">
              <w:rPr>
                <w:rFonts w:cs="Arial"/>
                <w:b/>
                <w:i/>
                <w:spacing w:val="-2"/>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tme</w:t>
            </w:r>
            <w:r w:rsidRPr="002A1C7F">
              <w:rPr>
                <w:rFonts w:cs="Arial"/>
                <w:b/>
                <w:i/>
                <w:spacing w:val="1"/>
                <w:sz w:val="20"/>
                <w:szCs w:val="20"/>
              </w:rPr>
              <w:t>n</w:t>
            </w:r>
            <w:r w:rsidRPr="002A1C7F">
              <w:rPr>
                <w:rFonts w:cs="Arial"/>
                <w:b/>
                <w:i/>
                <w:sz w:val="20"/>
                <w:szCs w:val="20"/>
              </w:rPr>
              <w:t>ts</w:t>
            </w:r>
            <w:r w:rsidRPr="002A1C7F">
              <w:rPr>
                <w:rFonts w:cs="Arial"/>
                <w:b/>
                <w:i/>
                <w:spacing w:val="-7"/>
                <w:sz w:val="20"/>
                <w:szCs w:val="20"/>
              </w:rPr>
              <w:t xml:space="preserve"> </w:t>
            </w:r>
            <w:r w:rsidRPr="002A1C7F">
              <w:rPr>
                <w:rFonts w:cs="Arial"/>
                <w:b/>
                <w:i/>
                <w:sz w:val="20"/>
                <w:szCs w:val="20"/>
              </w:rPr>
              <w:t>in</w:t>
            </w:r>
            <w:r w:rsidRPr="002A1C7F">
              <w:rPr>
                <w:rFonts w:cs="Arial"/>
                <w:b/>
                <w:i/>
                <w:spacing w:val="-1"/>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T</w:t>
            </w:r>
            <w:r w:rsidRPr="002A1C7F">
              <w:rPr>
                <w:rFonts w:cs="Arial"/>
                <w:b/>
                <w:i/>
                <w:spacing w:val="3"/>
                <w:sz w:val="20"/>
                <w:szCs w:val="20"/>
              </w:rPr>
              <w:t>E</w:t>
            </w:r>
            <w:r w:rsidRPr="002A1C7F">
              <w:rPr>
                <w:rFonts w:cs="Arial"/>
                <w:b/>
                <w:i/>
                <w:spacing w:val="1"/>
                <w:sz w:val="20"/>
                <w:szCs w:val="20"/>
              </w:rPr>
              <w:t>N-</w:t>
            </w:r>
            <w:r w:rsidRPr="002A1C7F">
              <w:rPr>
                <w:rFonts w:cs="Arial"/>
                <w:b/>
                <w:i/>
                <w:sz w:val="20"/>
                <w:szCs w:val="20"/>
              </w:rPr>
              <w:t>T</w:t>
            </w:r>
            <w:r w:rsidRPr="002A1C7F">
              <w:rPr>
                <w:rFonts w:cs="Arial"/>
                <w:b/>
                <w:i/>
                <w:spacing w:val="-5"/>
                <w:sz w:val="20"/>
                <w:szCs w:val="20"/>
              </w:rPr>
              <w:t xml:space="preserve"> </w:t>
            </w:r>
            <w:r w:rsidRPr="002A1C7F">
              <w:rPr>
                <w:rFonts w:cs="Arial"/>
                <w:b/>
                <w:i/>
                <w:spacing w:val="1"/>
                <w:sz w:val="20"/>
                <w:szCs w:val="20"/>
              </w:rPr>
              <w:t>n</w:t>
            </w:r>
            <w:r w:rsidRPr="002A1C7F">
              <w:rPr>
                <w:rFonts w:cs="Arial"/>
                <w:b/>
                <w:i/>
                <w:sz w:val="20"/>
                <w:szCs w:val="20"/>
              </w:rPr>
              <w:t>et</w:t>
            </w:r>
            <w:r w:rsidRPr="002A1C7F">
              <w:rPr>
                <w:rFonts w:cs="Arial"/>
                <w:b/>
                <w:i/>
                <w:spacing w:val="-1"/>
                <w:sz w:val="20"/>
                <w:szCs w:val="20"/>
              </w:rPr>
              <w:t>w</w:t>
            </w:r>
            <w:r w:rsidRPr="002A1C7F">
              <w:rPr>
                <w:rFonts w:cs="Arial"/>
                <w:b/>
                <w:i/>
                <w:spacing w:val="3"/>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5"/>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2"/>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n</w:t>
            </w:r>
            <w:r w:rsidRPr="002A1C7F">
              <w:rPr>
                <w:rFonts w:cs="Arial"/>
                <w:b/>
                <w:i/>
                <w:spacing w:val="-1"/>
                <w:sz w:val="20"/>
                <w:szCs w:val="20"/>
              </w:rPr>
              <w:t>s</w:t>
            </w:r>
            <w:r w:rsidRPr="002A1C7F">
              <w:rPr>
                <w:rFonts w:cs="Arial"/>
                <w:b/>
                <w:i/>
                <w:sz w:val="20"/>
                <w:szCs w:val="20"/>
              </w:rPr>
              <w:t>ive</w:t>
            </w:r>
            <w:r w:rsidRPr="002A1C7F">
              <w:rPr>
                <w:rFonts w:cs="Arial"/>
                <w:b/>
                <w:i/>
                <w:spacing w:val="-11"/>
                <w:sz w:val="20"/>
                <w:szCs w:val="20"/>
              </w:rPr>
              <w:t xml:space="preserve"> </w:t>
            </w:r>
            <w:r w:rsidRPr="002A1C7F">
              <w:rPr>
                <w:rFonts w:cs="Arial"/>
                <w:b/>
                <w:i/>
                <w:spacing w:val="1"/>
                <w:sz w:val="20"/>
                <w:szCs w:val="20"/>
              </w:rPr>
              <w:t>n</w:t>
            </w:r>
            <w:r w:rsidRPr="002A1C7F">
              <w:rPr>
                <w:rFonts w:cs="Arial"/>
                <w:b/>
                <w:i/>
                <w:sz w:val="20"/>
                <w:szCs w:val="20"/>
              </w:rPr>
              <w:t>e</w:t>
            </w:r>
            <w:r w:rsidRPr="002A1C7F">
              <w:rPr>
                <w:rFonts w:cs="Arial"/>
                <w:b/>
                <w:i/>
                <w:spacing w:val="3"/>
                <w:sz w:val="20"/>
                <w:szCs w:val="20"/>
              </w:rPr>
              <w:t>t</w:t>
            </w:r>
            <w:r w:rsidRPr="002A1C7F">
              <w:rPr>
                <w:rFonts w:cs="Arial"/>
                <w:b/>
                <w:i/>
                <w:spacing w:val="-1"/>
                <w:sz w:val="20"/>
                <w:szCs w:val="20"/>
              </w:rPr>
              <w:t>w</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3"/>
                <w:sz w:val="20"/>
                <w:szCs w:val="20"/>
              </w:rPr>
              <w:t xml:space="preserve"> </w:t>
            </w:r>
            <w:r w:rsidRPr="002A1C7F">
              <w:rPr>
                <w:rFonts w:cs="Arial"/>
                <w:b/>
                <w:i/>
                <w:spacing w:val="-1"/>
                <w:sz w:val="20"/>
                <w:szCs w:val="20"/>
              </w:rPr>
              <w:t>w</w:t>
            </w:r>
            <w:r w:rsidRPr="002A1C7F">
              <w:rPr>
                <w:rFonts w:cs="Arial"/>
                <w:b/>
                <w:i/>
                <w:spacing w:val="1"/>
                <w:sz w:val="20"/>
                <w:szCs w:val="20"/>
              </w:rPr>
              <w:t>h</w:t>
            </w:r>
            <w:r w:rsidRPr="002A1C7F">
              <w:rPr>
                <w:rFonts w:cs="Arial"/>
                <w:b/>
                <w:i/>
                <w:sz w:val="20"/>
                <w:szCs w:val="20"/>
              </w:rPr>
              <w:t>ere</w:t>
            </w:r>
            <w:r w:rsidRPr="002A1C7F">
              <w:rPr>
                <w:rFonts w:cs="Arial"/>
                <w:b/>
                <w:i/>
                <w:spacing w:val="-2"/>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w:t>
            </w:r>
            <w:r w:rsidRPr="002A1C7F">
              <w:rPr>
                <w:rFonts w:cs="Arial"/>
                <w:b/>
                <w:i/>
                <w:spacing w:val="2"/>
                <w:sz w:val="20"/>
                <w:szCs w:val="20"/>
              </w:rPr>
              <w:t>m</w:t>
            </w:r>
            <w:r w:rsidRPr="002A1C7F">
              <w:rPr>
                <w:rFonts w:cs="Arial"/>
                <w:b/>
                <w:i/>
                <w:sz w:val="20"/>
                <w:szCs w:val="20"/>
              </w:rPr>
              <w:t>e</w:t>
            </w:r>
            <w:r w:rsidRPr="002A1C7F">
              <w:rPr>
                <w:rFonts w:cs="Arial"/>
                <w:b/>
                <w:i/>
                <w:spacing w:val="1"/>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fr</w:t>
            </w:r>
            <w:r w:rsidRPr="002A1C7F">
              <w:rPr>
                <w:rFonts w:cs="Arial"/>
                <w:b/>
                <w:i/>
                <w:spacing w:val="1"/>
                <w:sz w:val="20"/>
                <w:szCs w:val="20"/>
              </w:rPr>
              <w:t>o</w:t>
            </w:r>
            <w:r w:rsidRPr="002A1C7F">
              <w:rPr>
                <w:rFonts w:cs="Arial"/>
                <w:b/>
                <w:i/>
                <w:sz w:val="20"/>
                <w:szCs w:val="20"/>
              </w:rPr>
              <w:t>m</w:t>
            </w:r>
            <w:r w:rsidRPr="002A1C7F">
              <w:rPr>
                <w:rFonts w:cs="Arial"/>
                <w:b/>
                <w:i/>
                <w:spacing w:val="-4"/>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 ERDF</w:t>
            </w:r>
            <w:r w:rsidRPr="002A1C7F">
              <w:rPr>
                <w:rFonts w:cs="Arial"/>
                <w:b/>
                <w:i/>
                <w:spacing w:val="-4"/>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2"/>
                <w:sz w:val="20"/>
                <w:szCs w:val="20"/>
              </w:rPr>
              <w:t xml:space="preserve"> </w:t>
            </w:r>
            <w:r w:rsidRPr="002A1C7F">
              <w:rPr>
                <w:rFonts w:cs="Arial"/>
                <w:b/>
                <w:i/>
                <w:spacing w:val="-1"/>
                <w:sz w:val="20"/>
                <w:szCs w:val="20"/>
              </w:rPr>
              <w:t>C</w:t>
            </w:r>
            <w:r w:rsidRPr="002A1C7F">
              <w:rPr>
                <w:rFonts w:cs="Arial"/>
                <w:b/>
                <w:i/>
                <w:sz w:val="20"/>
                <w:szCs w:val="20"/>
              </w:rPr>
              <w:t>F</w:t>
            </w:r>
            <w:r w:rsidRPr="002A1C7F">
              <w:rPr>
                <w:rFonts w:cs="Arial"/>
                <w:b/>
                <w:i/>
                <w:spacing w:val="-2"/>
                <w:sz w:val="20"/>
                <w:szCs w:val="20"/>
              </w:rPr>
              <w:t xml:space="preserve"> </w:t>
            </w:r>
            <w:r w:rsidRPr="002A1C7F">
              <w:rPr>
                <w:rFonts w:cs="Arial"/>
                <w:b/>
                <w:i/>
                <w:sz w:val="20"/>
                <w:szCs w:val="20"/>
              </w:rPr>
              <w:t>is</w:t>
            </w:r>
            <w:r w:rsidRPr="002A1C7F">
              <w:rPr>
                <w:rFonts w:cs="Arial"/>
                <w:b/>
                <w:i/>
                <w:spacing w:val="-2"/>
                <w:sz w:val="20"/>
                <w:szCs w:val="20"/>
              </w:rPr>
              <w:t xml:space="preserve"> </w:t>
            </w:r>
            <w:r w:rsidRPr="002A1C7F">
              <w:rPr>
                <w:rFonts w:cs="Arial"/>
                <w:b/>
                <w:i/>
                <w:sz w:val="20"/>
                <w:szCs w:val="20"/>
              </w:rPr>
              <w:t>e</w:t>
            </w:r>
            <w:r w:rsidRPr="002A1C7F">
              <w:rPr>
                <w:rFonts w:cs="Arial"/>
                <w:b/>
                <w:i/>
                <w:spacing w:val="1"/>
                <w:sz w:val="20"/>
                <w:szCs w:val="20"/>
              </w:rPr>
              <w:t>n</w:t>
            </w:r>
            <w:r w:rsidRPr="002A1C7F">
              <w:rPr>
                <w:rFonts w:cs="Arial"/>
                <w:b/>
                <w:i/>
                <w:sz w:val="20"/>
                <w:szCs w:val="20"/>
              </w:rPr>
              <w:t>visa</w:t>
            </w:r>
            <w:r w:rsidRPr="002A1C7F">
              <w:rPr>
                <w:rFonts w:cs="Arial"/>
                <w:b/>
                <w:i/>
                <w:spacing w:val="1"/>
                <w:sz w:val="20"/>
                <w:szCs w:val="20"/>
              </w:rPr>
              <w:t>g</w:t>
            </w:r>
            <w:r w:rsidRPr="002A1C7F">
              <w:rPr>
                <w:rFonts w:cs="Arial"/>
                <w:b/>
                <w:i/>
                <w:sz w:val="20"/>
                <w:szCs w:val="20"/>
              </w:rPr>
              <w:t>e</w:t>
            </w:r>
            <w:r w:rsidRPr="002A1C7F">
              <w:rPr>
                <w:rFonts w:cs="Arial"/>
                <w:b/>
                <w:i/>
                <w:spacing w:val="-1"/>
                <w:sz w:val="20"/>
                <w:szCs w:val="20"/>
              </w:rPr>
              <w:t>d</w:t>
            </w:r>
            <w:r w:rsidRPr="002A1C7F">
              <w:rPr>
                <w:rFonts w:cs="Arial"/>
                <w:b/>
                <w:i/>
                <w:sz w:val="20"/>
                <w:szCs w:val="20"/>
              </w:rPr>
              <w:t>;</w:t>
            </w:r>
            <w:r w:rsidRPr="002A1C7F">
              <w:rPr>
                <w:rFonts w:cs="Arial"/>
                <w:b/>
                <w:i/>
                <w:spacing w:val="-8"/>
                <w:sz w:val="20"/>
                <w:szCs w:val="20"/>
              </w:rPr>
              <w:t xml:space="preserve"> </w:t>
            </w:r>
            <w:r w:rsidRPr="002A1C7F">
              <w:rPr>
                <w:rFonts w:cs="Arial"/>
                <w:b/>
                <w:i/>
                <w:spacing w:val="-1"/>
                <w:sz w:val="20"/>
                <w:szCs w:val="20"/>
              </w:rPr>
              <w:t>a</w:t>
            </w:r>
            <w:r w:rsidRPr="002A1C7F">
              <w:rPr>
                <w:rFonts w:cs="Arial"/>
                <w:b/>
                <w:i/>
                <w:spacing w:val="1"/>
                <w:sz w:val="20"/>
                <w:szCs w:val="20"/>
              </w:rPr>
              <w:t>n</w:t>
            </w:r>
            <w:r w:rsidRPr="002A1C7F">
              <w:rPr>
                <w:rFonts w:cs="Arial"/>
                <w:b/>
                <w:i/>
                <w:sz w:val="20"/>
                <w:szCs w:val="20"/>
              </w:rPr>
              <w:t>d</w:t>
            </w:r>
            <w:r w:rsidRPr="002A1C7F">
              <w:rPr>
                <w:rFonts w:cs="Arial"/>
                <w:b/>
                <w:i/>
                <w:spacing w:val="-2"/>
                <w:sz w:val="20"/>
                <w:szCs w:val="20"/>
              </w:rPr>
              <w:t xml:space="preserve"> </w:t>
            </w:r>
            <w:r w:rsidRPr="002A1C7F">
              <w:rPr>
                <w:rFonts w:cs="Arial"/>
                <w:b/>
                <w:i/>
                <w:spacing w:val="-1"/>
                <w:sz w:val="20"/>
                <w:szCs w:val="20"/>
              </w:rPr>
              <w:t>s</w:t>
            </w:r>
            <w:r w:rsidRPr="002A1C7F">
              <w:rPr>
                <w:rFonts w:cs="Arial"/>
                <w:b/>
                <w:i/>
                <w:sz w:val="20"/>
                <w:szCs w:val="20"/>
              </w:rPr>
              <w:t>e</w:t>
            </w:r>
            <w:r w:rsidRPr="002A1C7F">
              <w:rPr>
                <w:rFonts w:cs="Arial"/>
                <w:b/>
                <w:i/>
                <w:spacing w:val="1"/>
                <w:sz w:val="20"/>
                <w:szCs w:val="20"/>
              </w:rPr>
              <w:t>con</w:t>
            </w:r>
            <w:r w:rsidRPr="002A1C7F">
              <w:rPr>
                <w:rFonts w:cs="Arial"/>
                <w:b/>
                <w:i/>
                <w:spacing w:val="-1"/>
                <w:sz w:val="20"/>
                <w:szCs w:val="20"/>
              </w:rPr>
              <w:t>d</w:t>
            </w:r>
            <w:r w:rsidRPr="002A1C7F">
              <w:rPr>
                <w:rFonts w:cs="Arial"/>
                <w:b/>
                <w:i/>
                <w:spacing w:val="1"/>
                <w:sz w:val="20"/>
                <w:szCs w:val="20"/>
              </w:rPr>
              <w:t>a</w:t>
            </w:r>
            <w:r w:rsidRPr="002A1C7F">
              <w:rPr>
                <w:rFonts w:cs="Arial"/>
                <w:b/>
                <w:i/>
                <w:spacing w:val="-1"/>
                <w:sz w:val="20"/>
                <w:szCs w:val="20"/>
              </w:rPr>
              <w:t>r</w:t>
            </w:r>
            <w:r w:rsidRPr="002A1C7F">
              <w:rPr>
                <w:rFonts w:cs="Arial"/>
                <w:b/>
                <w:i/>
                <w:sz w:val="20"/>
                <w:szCs w:val="20"/>
              </w:rPr>
              <w:t>y</w:t>
            </w:r>
            <w:r w:rsidRPr="002A1C7F">
              <w:rPr>
                <w:rFonts w:cs="Arial"/>
                <w:b/>
                <w:i/>
                <w:spacing w:val="-7"/>
                <w:sz w:val="20"/>
                <w:szCs w:val="20"/>
              </w:rPr>
              <w:t xml:space="preserve"> </w:t>
            </w:r>
            <w:r w:rsidRPr="002A1C7F">
              <w:rPr>
                <w:rFonts w:cs="Arial"/>
                <w:b/>
                <w:i/>
                <w:sz w:val="20"/>
                <w:szCs w:val="20"/>
              </w:rPr>
              <w:t>c</w:t>
            </w:r>
            <w:r w:rsidRPr="002A1C7F">
              <w:rPr>
                <w:rFonts w:cs="Arial"/>
                <w:b/>
                <w:i/>
                <w:spacing w:val="1"/>
                <w:sz w:val="20"/>
                <w:szCs w:val="20"/>
              </w:rPr>
              <w:t>onn</w:t>
            </w:r>
            <w:r w:rsidRPr="002A1C7F">
              <w:rPr>
                <w:rFonts w:cs="Arial"/>
                <w:b/>
                <w:i/>
                <w:sz w:val="20"/>
                <w:szCs w:val="20"/>
              </w:rPr>
              <w:t>e</w:t>
            </w:r>
            <w:r w:rsidRPr="002A1C7F">
              <w:rPr>
                <w:rFonts w:cs="Arial"/>
                <w:b/>
                <w:i/>
                <w:spacing w:val="1"/>
                <w:sz w:val="20"/>
                <w:szCs w:val="20"/>
              </w:rPr>
              <w:t>c</w:t>
            </w:r>
            <w:r w:rsidRPr="002A1C7F">
              <w:rPr>
                <w:rFonts w:cs="Arial"/>
                <w:b/>
                <w:i/>
                <w:sz w:val="20"/>
                <w:szCs w:val="20"/>
              </w:rPr>
              <w:t>tivity.</w:t>
            </w:r>
          </w:p>
        </w:tc>
        <w:tc>
          <w:tcPr>
            <w:tcW w:w="364" w:type="pct"/>
            <w:vAlign w:val="center"/>
          </w:tcPr>
          <w:p w:rsidR="00361223" w:rsidRPr="002A1C7F" w:rsidRDefault="00361223" w:rsidP="00DE269D">
            <w:pPr>
              <w:tabs>
                <w:tab w:val="left" w:pos="460"/>
              </w:tabs>
              <w:spacing w:line="225" w:lineRule="exact"/>
              <w:jc w:val="center"/>
              <w:rPr>
                <w:rFonts w:cs="Arial"/>
                <w:b/>
                <w:sz w:val="20"/>
                <w:szCs w:val="20"/>
              </w:rPr>
            </w:pPr>
            <w:r w:rsidRPr="002A1C7F">
              <w:rPr>
                <w:rFonts w:cs="Arial"/>
                <w:b/>
                <w:sz w:val="20"/>
                <w:szCs w:val="20"/>
              </w:rPr>
              <w:t>YES</w:t>
            </w:r>
          </w:p>
        </w:tc>
        <w:tc>
          <w:tcPr>
            <w:tcW w:w="1589" w:type="pct"/>
            <w:vAlign w:val="center"/>
          </w:tcPr>
          <w:p w:rsidR="00361223" w:rsidRPr="002A1C7F" w:rsidRDefault="00361223" w:rsidP="00DE269D">
            <w:pPr>
              <w:tabs>
                <w:tab w:val="left" w:pos="460"/>
              </w:tabs>
              <w:spacing w:line="225" w:lineRule="exact"/>
              <w:rPr>
                <w:rFonts w:cs="Arial"/>
                <w:b/>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5"/>
              </w:numPr>
              <w:tabs>
                <w:tab w:val="left" w:pos="800"/>
              </w:tabs>
              <w:spacing w:before="60" w:line="240" w:lineRule="auto"/>
              <w:contextualSpacing/>
              <w:jc w:val="left"/>
            </w:pPr>
            <w:r w:rsidRPr="002742DE">
              <w:rPr>
                <w:spacing w:val="3"/>
              </w:rPr>
              <w:t>T</w:t>
            </w:r>
            <w:r w:rsidRPr="002742DE">
              <w:rPr>
                <w:spacing w:val="-1"/>
              </w:rPr>
              <w:t>h</w:t>
            </w:r>
            <w:r w:rsidRPr="002742DE">
              <w:t>e</w:t>
            </w:r>
            <w:r w:rsidRPr="002742DE">
              <w:rPr>
                <w:spacing w:val="2"/>
              </w:rPr>
              <w:t xml:space="preserve"> </w:t>
            </w:r>
            <w:r w:rsidRPr="002742DE">
              <w:t>i</w:t>
            </w:r>
            <w:r w:rsidRPr="002742DE">
              <w:rPr>
                <w:spacing w:val="-1"/>
              </w:rPr>
              <w:t>nv</w:t>
            </w:r>
            <w:r w:rsidRPr="002742DE">
              <w:t>es</w:t>
            </w:r>
            <w:r w:rsidRPr="002742DE">
              <w:rPr>
                <w:spacing w:val="2"/>
              </w:rPr>
              <w:t>t</w:t>
            </w:r>
            <w:r w:rsidRPr="002742DE">
              <w:rPr>
                <w:spacing w:val="-1"/>
              </w:rPr>
              <w:t>m</w:t>
            </w:r>
            <w:r w:rsidRPr="002742DE">
              <w:rPr>
                <w:spacing w:val="3"/>
              </w:rPr>
              <w:t>e</w:t>
            </w:r>
            <w:r w:rsidRPr="002742DE">
              <w:rPr>
                <w:spacing w:val="-1"/>
              </w:rPr>
              <w:t>n</w:t>
            </w:r>
            <w:r w:rsidRPr="002742DE">
              <w:t>t</w:t>
            </w:r>
            <w:r w:rsidRPr="002742DE">
              <w:rPr>
                <w:spacing w:val="-4"/>
              </w:rPr>
              <w:t xml:space="preserve"> </w:t>
            </w:r>
            <w:r w:rsidRPr="002742DE">
              <w:rPr>
                <w:spacing w:val="1"/>
              </w:rPr>
              <w:t>pr</w:t>
            </w:r>
            <w:r w:rsidRPr="002742DE">
              <w:t>i</w:t>
            </w:r>
            <w:r w:rsidRPr="002742DE">
              <w:rPr>
                <w:spacing w:val="1"/>
              </w:rPr>
              <w:t>or</w:t>
            </w:r>
            <w:r w:rsidRPr="002742DE">
              <w:t>ities</w:t>
            </w:r>
            <w:r w:rsidRPr="002742DE">
              <w:rPr>
                <w:spacing w:val="-3"/>
              </w:rPr>
              <w:t xml:space="preserve"> </w:t>
            </w:r>
            <w:r w:rsidRPr="002742DE">
              <w:t>i</w:t>
            </w:r>
            <w:r w:rsidRPr="002742DE">
              <w:rPr>
                <w:spacing w:val="-1"/>
              </w:rPr>
              <w:t>n</w:t>
            </w:r>
            <w:r w:rsidRPr="002742DE">
              <w:t>c</w:t>
            </w:r>
            <w:r w:rsidRPr="002742DE">
              <w:rPr>
                <w:spacing w:val="2"/>
              </w:rPr>
              <w:t>l</w:t>
            </w:r>
            <w:r w:rsidRPr="002742DE">
              <w:rPr>
                <w:spacing w:val="-1"/>
              </w:rPr>
              <w:t>u</w:t>
            </w:r>
            <w:r w:rsidRPr="002742DE">
              <w:rPr>
                <w:spacing w:val="1"/>
              </w:rPr>
              <w:t>d</w:t>
            </w:r>
            <w:r w:rsidRPr="002742DE">
              <w:t>ed</w:t>
            </w:r>
            <w:r w:rsidRPr="002742DE">
              <w:rPr>
                <w:spacing w:val="-1"/>
              </w:rPr>
              <w:t xml:space="preserve"> </w:t>
            </w:r>
            <w:r w:rsidRPr="002742DE">
              <w:t>in</w:t>
            </w:r>
            <w:r w:rsidRPr="002742DE">
              <w:rPr>
                <w:spacing w:val="2"/>
              </w:rPr>
              <w:t xml:space="preserve"> </w:t>
            </w:r>
            <w:r w:rsidRPr="002742DE">
              <w:t>t</w:t>
            </w:r>
            <w:r w:rsidRPr="002742DE">
              <w:rPr>
                <w:spacing w:val="-1"/>
              </w:rPr>
              <w:t>h</w:t>
            </w:r>
            <w:r w:rsidRPr="002742DE">
              <w:t>e</w:t>
            </w:r>
            <w:r w:rsidRPr="002742DE">
              <w:rPr>
                <w:spacing w:val="3"/>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7"/>
              </w:rPr>
              <w:t xml:space="preserve"> </w:t>
            </w:r>
            <w:r w:rsidRPr="002742DE">
              <w:t>tra</w:t>
            </w:r>
            <w:r w:rsidRPr="002742DE">
              <w:rPr>
                <w:spacing w:val="-1"/>
              </w:rPr>
              <w:t>ns</w:t>
            </w:r>
            <w:r w:rsidRPr="002742DE">
              <w:rPr>
                <w:spacing w:val="1"/>
              </w:rPr>
              <w:t>por</w:t>
            </w:r>
            <w:r w:rsidRPr="002742DE">
              <w:t>t</w:t>
            </w:r>
            <w:r w:rsidRPr="002742DE">
              <w:rPr>
                <w:spacing w:val="-2"/>
              </w:rPr>
              <w:t xml:space="preserve"> </w:t>
            </w:r>
            <w:r w:rsidRPr="002742DE">
              <w:rPr>
                <w:spacing w:val="1"/>
              </w:rPr>
              <w:t>p</w:t>
            </w:r>
            <w:r w:rsidRPr="002742DE">
              <w:t>lan</w:t>
            </w:r>
            <w:r w:rsidRPr="002742DE">
              <w:rPr>
                <w:spacing w:val="8"/>
              </w:rPr>
              <w:t xml:space="preserve"> </w:t>
            </w:r>
            <w:r w:rsidRPr="002742DE">
              <w:rPr>
                <w:spacing w:val="1"/>
              </w:rPr>
              <w:t>o</w:t>
            </w:r>
            <w:r w:rsidRPr="002742DE">
              <w:t>r</w:t>
            </w:r>
            <w:r w:rsidRPr="002742DE">
              <w:rPr>
                <w:spacing w:val="4"/>
              </w:rPr>
              <w:t xml:space="preserve"> </w:t>
            </w:r>
            <w:proofErr w:type="gramStart"/>
            <w:r w:rsidRPr="002742DE">
              <w:rPr>
                <w:spacing w:val="-2"/>
              </w:rPr>
              <w:t>f</w:t>
            </w:r>
            <w:r w:rsidRPr="002742DE">
              <w:rPr>
                <w:spacing w:val="1"/>
              </w:rPr>
              <w:t>r</w:t>
            </w:r>
            <w:r w:rsidRPr="002742DE">
              <w:t>a</w:t>
            </w:r>
            <w:r w:rsidRPr="002742DE">
              <w:rPr>
                <w:spacing w:val="-3"/>
              </w:rPr>
              <w:t>m</w:t>
            </w:r>
            <w:r w:rsidRPr="002742DE">
              <w:rPr>
                <w:spacing w:val="3"/>
              </w:rPr>
              <w:t>e</w:t>
            </w:r>
            <w:r w:rsidRPr="002742DE">
              <w:rPr>
                <w:spacing w:val="-2"/>
              </w:rPr>
              <w:t>w</w:t>
            </w:r>
            <w:r w:rsidRPr="002742DE">
              <w:rPr>
                <w:spacing w:val="1"/>
              </w:rPr>
              <w:t>o</w:t>
            </w:r>
            <w:r w:rsidRPr="002742DE">
              <w:rPr>
                <w:spacing w:val="3"/>
              </w:rPr>
              <w:t>r</w:t>
            </w:r>
            <w:r w:rsidRPr="002742DE">
              <w:t>k</w:t>
            </w:r>
            <w:r w:rsidRPr="002742DE">
              <w:rPr>
                <w:spacing w:val="-5"/>
              </w:rPr>
              <w:t xml:space="preserve"> </w:t>
            </w:r>
            <w:r w:rsidRPr="002742DE">
              <w:t>c</w:t>
            </w:r>
            <w:r w:rsidRPr="002742DE">
              <w:rPr>
                <w:spacing w:val="1"/>
              </w:rPr>
              <w:t>o</w:t>
            </w:r>
            <w:r w:rsidRPr="002742DE">
              <w:rPr>
                <w:spacing w:val="-1"/>
              </w:rPr>
              <w:t>nn</w:t>
            </w:r>
            <w:r w:rsidRPr="002742DE">
              <w:t>e</w:t>
            </w:r>
            <w:r w:rsidRPr="002742DE">
              <w:rPr>
                <w:spacing w:val="1"/>
              </w:rPr>
              <w:t>c</w:t>
            </w:r>
            <w:r w:rsidRPr="002742DE">
              <w:t>t</w:t>
            </w:r>
            <w:proofErr w:type="gramEnd"/>
            <w:r w:rsidRPr="002742DE">
              <w:rPr>
                <w:spacing w:val="1"/>
              </w:rPr>
              <w:t xml:space="preserve"> </w:t>
            </w:r>
            <w:r w:rsidRPr="002742DE">
              <w:t>t</w:t>
            </w:r>
            <w:r w:rsidRPr="002742DE">
              <w:rPr>
                <w:spacing w:val="1"/>
              </w:rPr>
              <w:t>h</w:t>
            </w:r>
            <w:r w:rsidRPr="002742DE">
              <w:t>e i</w:t>
            </w:r>
            <w:r w:rsidRPr="002742DE">
              <w:rPr>
                <w:spacing w:val="1"/>
              </w:rPr>
              <w:t>d</w:t>
            </w:r>
            <w:r w:rsidRPr="002742DE">
              <w:t>e</w:t>
            </w:r>
            <w:r w:rsidRPr="002742DE">
              <w:rPr>
                <w:spacing w:val="-1"/>
              </w:rPr>
              <w:t>n</w:t>
            </w:r>
            <w:r w:rsidRPr="002742DE">
              <w:t>t</w:t>
            </w:r>
            <w:r w:rsidRPr="002742DE">
              <w:rPr>
                <w:spacing w:val="2"/>
              </w:rPr>
              <w:t>i</w:t>
            </w:r>
            <w:r w:rsidRPr="002742DE">
              <w:rPr>
                <w:spacing w:val="-2"/>
              </w:rPr>
              <w:t>f</w:t>
            </w:r>
            <w:r w:rsidRPr="002742DE">
              <w:t>ied</w:t>
            </w:r>
            <w:r w:rsidRPr="002742DE">
              <w:rPr>
                <w:spacing w:val="37"/>
              </w:rPr>
              <w:t xml:space="preserve"> </w:t>
            </w:r>
            <w:r w:rsidRPr="002742DE">
              <w:rPr>
                <w:spacing w:val="-4"/>
              </w:rPr>
              <w:t>m</w:t>
            </w:r>
            <w:r w:rsidRPr="002742DE">
              <w:t>a</w:t>
            </w:r>
            <w:r w:rsidRPr="002742DE">
              <w:rPr>
                <w:spacing w:val="2"/>
              </w:rPr>
              <w:t>i</w:t>
            </w:r>
            <w:r w:rsidRPr="002742DE">
              <w:t>n</w:t>
            </w:r>
            <w:r w:rsidRPr="002742DE">
              <w:rPr>
                <w:spacing w:val="36"/>
              </w:rPr>
              <w:t xml:space="preserve"> </w:t>
            </w:r>
            <w:r w:rsidRPr="002742DE">
              <w:rPr>
                <w:spacing w:val="-1"/>
              </w:rPr>
              <w:t>n</w:t>
            </w:r>
            <w:r w:rsidRPr="002742DE">
              <w:rPr>
                <w:spacing w:val="1"/>
              </w:rPr>
              <w:t>od</w:t>
            </w:r>
            <w:r w:rsidRPr="002742DE">
              <w:t>es</w:t>
            </w:r>
            <w:r w:rsidRPr="002742DE">
              <w:rPr>
                <w:spacing w:val="36"/>
              </w:rPr>
              <w:t xml:space="preserve"> </w:t>
            </w:r>
            <w:r w:rsidRPr="002742DE">
              <w:rPr>
                <w:spacing w:val="1"/>
              </w:rPr>
              <w:t>(</w:t>
            </w:r>
            <w:r w:rsidRPr="002742DE">
              <w:rPr>
                <w:spacing w:val="-1"/>
              </w:rPr>
              <w:t>s</w:t>
            </w:r>
            <w:r w:rsidRPr="002742DE">
              <w:t>ee</w:t>
            </w:r>
            <w:r w:rsidRPr="002742DE">
              <w:rPr>
                <w:spacing w:val="39"/>
              </w:rPr>
              <w:t xml:space="preserve"> </w:t>
            </w:r>
            <w:r w:rsidRPr="002742DE">
              <w:t>t</w:t>
            </w:r>
            <w:r w:rsidRPr="002742DE">
              <w:rPr>
                <w:spacing w:val="-1"/>
              </w:rPr>
              <w:t>h</w:t>
            </w:r>
            <w:r w:rsidRPr="002742DE">
              <w:t>e</w:t>
            </w:r>
            <w:r w:rsidRPr="002742DE">
              <w:rPr>
                <w:spacing w:val="39"/>
              </w:rPr>
              <w:t xml:space="preserve"> </w:t>
            </w:r>
            <w:r w:rsidRPr="002742DE">
              <w:t>li</w:t>
            </w:r>
            <w:r w:rsidRPr="002742DE">
              <w:rPr>
                <w:spacing w:val="-1"/>
              </w:rPr>
              <w:t>s</w:t>
            </w:r>
            <w:r w:rsidRPr="002742DE">
              <w:t>t</w:t>
            </w:r>
            <w:r w:rsidRPr="002742DE">
              <w:rPr>
                <w:spacing w:val="39"/>
              </w:rPr>
              <w:t xml:space="preserve"> </w:t>
            </w:r>
            <w:r w:rsidRPr="002742DE">
              <w:t>in</w:t>
            </w:r>
            <w:r w:rsidRPr="002742DE">
              <w:rPr>
                <w:spacing w:val="38"/>
              </w:rPr>
              <w:t xml:space="preserve"> </w:t>
            </w:r>
            <w:r w:rsidRPr="002742DE">
              <w:rPr>
                <w:spacing w:val="3"/>
              </w:rPr>
              <w:t>a</w:t>
            </w:r>
            <w:r w:rsidRPr="002742DE">
              <w:rPr>
                <w:spacing w:val="-1"/>
              </w:rPr>
              <w:t>nn</w:t>
            </w:r>
            <w:r w:rsidRPr="002742DE">
              <w:rPr>
                <w:spacing w:val="3"/>
              </w:rPr>
              <w:t>e</w:t>
            </w:r>
            <w:r w:rsidRPr="002742DE">
              <w:rPr>
                <w:spacing w:val="-1"/>
              </w:rPr>
              <w:t>x</w:t>
            </w:r>
            <w:r w:rsidRPr="002742DE">
              <w:t>)</w:t>
            </w:r>
            <w:r w:rsidRPr="002742DE">
              <w:rPr>
                <w:spacing w:val="37"/>
              </w:rPr>
              <w:t xml:space="preserve"> </w:t>
            </w:r>
            <w:r w:rsidRPr="002742DE">
              <w:t>a</w:t>
            </w:r>
            <w:r w:rsidRPr="002742DE">
              <w:rPr>
                <w:spacing w:val="-1"/>
              </w:rPr>
              <w:t>n</w:t>
            </w:r>
            <w:r w:rsidRPr="002742DE">
              <w:t>d</w:t>
            </w:r>
            <w:r w:rsidRPr="002742DE">
              <w:rPr>
                <w:spacing w:val="39"/>
              </w:rPr>
              <w:t xml:space="preserve"> </w:t>
            </w:r>
            <w:r w:rsidRPr="002742DE">
              <w:rPr>
                <w:spacing w:val="1"/>
              </w:rPr>
              <w:t>pro</w:t>
            </w:r>
            <w:r w:rsidRPr="002742DE">
              <w:rPr>
                <w:spacing w:val="-1"/>
              </w:rPr>
              <w:t>v</w:t>
            </w:r>
            <w:r w:rsidRPr="002742DE">
              <w:t>i</w:t>
            </w:r>
            <w:r w:rsidRPr="002742DE">
              <w:rPr>
                <w:spacing w:val="1"/>
              </w:rPr>
              <w:t>d</w:t>
            </w:r>
            <w:r w:rsidRPr="002742DE">
              <w:t>e</w:t>
            </w:r>
            <w:r w:rsidRPr="002742DE">
              <w:rPr>
                <w:spacing w:val="35"/>
              </w:rPr>
              <w:t xml:space="preserve"> </w:t>
            </w:r>
            <w:r w:rsidRPr="002742DE">
              <w:rPr>
                <w:spacing w:val="-2"/>
              </w:rPr>
              <w:t>f</w:t>
            </w:r>
            <w:r w:rsidRPr="002742DE">
              <w:rPr>
                <w:spacing w:val="1"/>
              </w:rPr>
              <w:t>o</w:t>
            </w:r>
            <w:r w:rsidRPr="002742DE">
              <w:t>r</w:t>
            </w:r>
            <w:r w:rsidRPr="002742DE">
              <w:rPr>
                <w:spacing w:val="40"/>
              </w:rPr>
              <w:t xml:space="preserve"> </w:t>
            </w:r>
            <w:r w:rsidRPr="002742DE">
              <w:t>c</w:t>
            </w:r>
            <w:r w:rsidRPr="002742DE">
              <w:rPr>
                <w:spacing w:val="1"/>
              </w:rPr>
              <w:t>o</w:t>
            </w:r>
            <w:r w:rsidRPr="002742DE">
              <w:rPr>
                <w:spacing w:val="-1"/>
              </w:rPr>
              <w:t>nn</w:t>
            </w:r>
            <w:r w:rsidRPr="002742DE">
              <w:t>e</w:t>
            </w:r>
            <w:r w:rsidRPr="002742DE">
              <w:rPr>
                <w:spacing w:val="1"/>
              </w:rPr>
              <w:t>c</w:t>
            </w:r>
            <w:r w:rsidRPr="002742DE">
              <w:t>ti</w:t>
            </w:r>
            <w:r w:rsidRPr="002742DE">
              <w:rPr>
                <w:spacing w:val="1"/>
              </w:rPr>
              <w:t>o</w:t>
            </w:r>
            <w:r w:rsidRPr="002742DE">
              <w:rPr>
                <w:spacing w:val="-1"/>
              </w:rPr>
              <w:t>n</w:t>
            </w:r>
            <w:r w:rsidRPr="002742DE">
              <w:t>s</w:t>
            </w:r>
            <w:r w:rsidRPr="002742DE">
              <w:rPr>
                <w:spacing w:val="33"/>
              </w:rPr>
              <w:t xml:space="preserve"> </w:t>
            </w:r>
            <w:r w:rsidRPr="002742DE">
              <w:rPr>
                <w:spacing w:val="5"/>
              </w:rPr>
              <w:t>w</w:t>
            </w:r>
            <w:r w:rsidRPr="002742DE">
              <w:t>i</w:t>
            </w:r>
            <w:r w:rsidRPr="002742DE">
              <w:rPr>
                <w:spacing w:val="2"/>
              </w:rPr>
              <w:t>t</w:t>
            </w:r>
            <w:r w:rsidRPr="002742DE">
              <w:t>h</w:t>
            </w:r>
            <w:r w:rsidRPr="002742DE">
              <w:rPr>
                <w:spacing w:val="36"/>
              </w:rPr>
              <w:t xml:space="preserve"> </w:t>
            </w:r>
            <w:r w:rsidRPr="002742DE">
              <w:rPr>
                <w:spacing w:val="-1"/>
              </w:rPr>
              <w:t>n</w:t>
            </w:r>
            <w:r w:rsidRPr="002742DE">
              <w:t>e</w:t>
            </w:r>
            <w:r w:rsidRPr="002742DE">
              <w:rPr>
                <w:spacing w:val="2"/>
              </w:rPr>
              <w:t>i</w:t>
            </w:r>
            <w:r w:rsidRPr="002742DE">
              <w:rPr>
                <w:spacing w:val="1"/>
              </w:rPr>
              <w:t>ghbo</w:t>
            </w:r>
            <w:r w:rsidRPr="002742DE">
              <w:rPr>
                <w:spacing w:val="-1"/>
              </w:rPr>
              <w:t>u</w:t>
            </w:r>
            <w:r w:rsidRPr="002742DE">
              <w:rPr>
                <w:spacing w:val="1"/>
              </w:rPr>
              <w:t>r</w:t>
            </w:r>
            <w:r w:rsidRPr="002742DE">
              <w:t>i</w:t>
            </w:r>
            <w:r w:rsidRPr="002742DE">
              <w:rPr>
                <w:spacing w:val="-1"/>
              </w:rPr>
              <w:t>n</w:t>
            </w:r>
            <w:r w:rsidRPr="002742DE">
              <w:t>g c</w:t>
            </w:r>
            <w:r w:rsidRPr="002742DE">
              <w:rPr>
                <w:spacing w:val="1"/>
              </w:rPr>
              <w:t>o</w:t>
            </w:r>
            <w:r w:rsidRPr="002742DE">
              <w:rPr>
                <w:spacing w:val="-1"/>
              </w:rPr>
              <w:t>un</w:t>
            </w:r>
            <w:r w:rsidRPr="002742DE">
              <w:t>trie</w:t>
            </w:r>
            <w:r w:rsidRPr="002742DE">
              <w:rPr>
                <w:spacing w:val="2"/>
              </w:rPr>
              <w:t>s</w:t>
            </w:r>
            <w:r w:rsidRPr="002742DE">
              <w:t>'</w:t>
            </w:r>
            <w:r w:rsidRPr="002742DE">
              <w:rPr>
                <w:spacing w:val="21"/>
              </w:rPr>
              <w:t xml:space="preserve"> </w:t>
            </w:r>
            <w:r w:rsidRPr="002742DE">
              <w:t>tr</w:t>
            </w:r>
            <w:r w:rsidRPr="002742DE">
              <w:rPr>
                <w:spacing w:val="3"/>
              </w:rPr>
              <w:t>a</w:t>
            </w:r>
            <w:r w:rsidRPr="002742DE">
              <w:rPr>
                <w:spacing w:val="-1"/>
              </w:rPr>
              <w:t>ns</w:t>
            </w:r>
            <w:r w:rsidRPr="002742DE">
              <w:rPr>
                <w:spacing w:val="1"/>
              </w:rPr>
              <w:t>por</w:t>
            </w:r>
            <w:r w:rsidRPr="002742DE">
              <w:t>t</w:t>
            </w:r>
            <w:r w:rsidRPr="002742DE">
              <w:rPr>
                <w:spacing w:val="24"/>
              </w:rPr>
              <w:t xml:space="preserve"> </w:t>
            </w:r>
            <w:r w:rsidRPr="002742DE">
              <w:t>i</w:t>
            </w:r>
            <w:r w:rsidRPr="002742DE">
              <w:rPr>
                <w:spacing w:val="-1"/>
              </w:rPr>
              <w:t>n</w:t>
            </w:r>
            <w:r w:rsidRPr="002742DE">
              <w:rPr>
                <w:spacing w:val="-2"/>
              </w:rPr>
              <w:t>f</w:t>
            </w:r>
            <w:r w:rsidRPr="002742DE">
              <w:rPr>
                <w:spacing w:val="1"/>
              </w:rPr>
              <w:t>r</w:t>
            </w:r>
            <w:r w:rsidRPr="002742DE">
              <w:rPr>
                <w:spacing w:val="3"/>
              </w:rPr>
              <w:t>a</w:t>
            </w:r>
            <w:r w:rsidRPr="002742DE">
              <w:rPr>
                <w:spacing w:val="-1"/>
              </w:rPr>
              <w:t>s</w:t>
            </w:r>
            <w:r w:rsidRPr="002742DE">
              <w:t>tr</w:t>
            </w:r>
            <w:r w:rsidRPr="002742DE">
              <w:rPr>
                <w:spacing w:val="-1"/>
              </w:rPr>
              <w:t>u</w:t>
            </w:r>
            <w:r w:rsidRPr="002742DE">
              <w:rPr>
                <w:spacing w:val="3"/>
              </w:rPr>
              <w:t>c</w:t>
            </w:r>
            <w:r w:rsidRPr="002742DE">
              <w:t>t</w:t>
            </w:r>
            <w:r w:rsidRPr="002742DE">
              <w:rPr>
                <w:spacing w:val="-1"/>
              </w:rPr>
              <w:t>u</w:t>
            </w:r>
            <w:r w:rsidRPr="002742DE">
              <w:rPr>
                <w:spacing w:val="1"/>
              </w:rPr>
              <w:t>r</w:t>
            </w:r>
            <w:r w:rsidRPr="002742DE">
              <w:t>e</w:t>
            </w:r>
            <w:r w:rsidRPr="002742DE">
              <w:rPr>
                <w:spacing w:val="21"/>
              </w:rPr>
              <w:t xml:space="preserve"> </w:t>
            </w:r>
            <w:r w:rsidRPr="002742DE">
              <w:rPr>
                <w:spacing w:val="-1"/>
              </w:rPr>
              <w:t>n</w:t>
            </w:r>
            <w:r w:rsidRPr="002742DE">
              <w:t>e</w:t>
            </w:r>
            <w:r w:rsidRPr="002742DE">
              <w:rPr>
                <w:spacing w:val="2"/>
              </w:rPr>
              <w:t>t</w:t>
            </w:r>
            <w:r w:rsidRPr="002742DE">
              <w:rPr>
                <w:spacing w:val="-2"/>
              </w:rPr>
              <w:t>w</w:t>
            </w:r>
            <w:r w:rsidRPr="002742DE">
              <w:rPr>
                <w:spacing w:val="1"/>
              </w:rPr>
              <w:t>ork</w:t>
            </w:r>
            <w:r w:rsidRPr="002742DE">
              <w:rPr>
                <w:spacing w:val="-1"/>
              </w:rPr>
              <w:t>s</w:t>
            </w:r>
            <w:r w:rsidRPr="002742DE">
              <w:t>.</w:t>
            </w:r>
            <w:r w:rsidRPr="002742DE">
              <w:rPr>
                <w:spacing w:val="24"/>
              </w:rPr>
              <w:t xml:space="preserve"> </w:t>
            </w:r>
            <w:r w:rsidRPr="002742DE">
              <w:rPr>
                <w:spacing w:val="3"/>
              </w:rPr>
              <w:t>T</w:t>
            </w:r>
            <w:r w:rsidRPr="002742DE">
              <w:rPr>
                <w:spacing w:val="-1"/>
              </w:rPr>
              <w:t>h</w:t>
            </w:r>
            <w:r w:rsidRPr="002742DE">
              <w:t>e</w:t>
            </w:r>
            <w:r w:rsidRPr="002742DE">
              <w:rPr>
                <w:spacing w:val="29"/>
              </w:rPr>
              <w:t xml:space="preserve"> </w:t>
            </w:r>
            <w:r w:rsidRPr="002742DE">
              <w:t>M</w:t>
            </w:r>
            <w:r w:rsidRPr="002742DE">
              <w:rPr>
                <w:spacing w:val="1"/>
              </w:rPr>
              <w:t>e</w:t>
            </w:r>
            <w:r w:rsidRPr="002742DE">
              <w:rPr>
                <w:spacing w:val="-4"/>
              </w:rPr>
              <w:t>m</w:t>
            </w:r>
            <w:r w:rsidRPr="002742DE">
              <w:rPr>
                <w:spacing w:val="1"/>
              </w:rPr>
              <w:t>b</w:t>
            </w:r>
            <w:r w:rsidRPr="002742DE">
              <w:t>er</w:t>
            </w:r>
            <w:r w:rsidRPr="002742DE">
              <w:rPr>
                <w:spacing w:val="25"/>
              </w:rPr>
              <w:t xml:space="preserve"> </w:t>
            </w:r>
            <w:r w:rsidRPr="002742DE">
              <w:t>State</w:t>
            </w:r>
            <w:r w:rsidRPr="002742DE">
              <w:rPr>
                <w:spacing w:val="27"/>
              </w:rPr>
              <w:t xml:space="preserve"> </w:t>
            </w:r>
            <w:r w:rsidRPr="002742DE">
              <w:rPr>
                <w:spacing w:val="-1"/>
              </w:rPr>
              <w:t>sh</w:t>
            </w:r>
            <w:r w:rsidRPr="002742DE">
              <w:t>a</w:t>
            </w:r>
            <w:r w:rsidRPr="002742DE">
              <w:rPr>
                <w:spacing w:val="2"/>
              </w:rPr>
              <w:t>l</w:t>
            </w:r>
            <w:r w:rsidRPr="002742DE">
              <w:t>l</w:t>
            </w:r>
            <w:r w:rsidRPr="002742DE">
              <w:rPr>
                <w:spacing w:val="27"/>
              </w:rPr>
              <w:t xml:space="preserve"> </w:t>
            </w:r>
            <w:r w:rsidRPr="002742DE">
              <w:t>also</w:t>
            </w:r>
            <w:r w:rsidRPr="002742DE">
              <w:rPr>
                <w:spacing w:val="29"/>
              </w:rPr>
              <w:t xml:space="preserve"> </w:t>
            </w:r>
            <w:r w:rsidRPr="002742DE">
              <w:rPr>
                <w:spacing w:val="1"/>
              </w:rPr>
              <w:t>d</w:t>
            </w:r>
            <w:r w:rsidRPr="002742DE">
              <w:t>e</w:t>
            </w:r>
            <w:r w:rsidRPr="002742DE">
              <w:rPr>
                <w:spacing w:val="-3"/>
              </w:rPr>
              <w:t>m</w:t>
            </w:r>
            <w:r w:rsidRPr="002742DE">
              <w:rPr>
                <w:spacing w:val="3"/>
              </w:rPr>
              <w:t>o</w:t>
            </w:r>
            <w:r w:rsidRPr="002742DE">
              <w:rPr>
                <w:spacing w:val="-1"/>
              </w:rPr>
              <w:t>ns</w:t>
            </w:r>
            <w:r w:rsidRPr="002742DE">
              <w:t>trate</w:t>
            </w:r>
            <w:r w:rsidRPr="002742DE">
              <w:rPr>
                <w:spacing w:val="24"/>
              </w:rPr>
              <w:t xml:space="preserve"> </w:t>
            </w:r>
            <w:r w:rsidRPr="002742DE">
              <w:rPr>
                <w:spacing w:val="-1"/>
              </w:rPr>
              <w:t>h</w:t>
            </w:r>
            <w:r w:rsidRPr="002742DE">
              <w:rPr>
                <w:spacing w:val="3"/>
              </w:rPr>
              <w:t>o</w:t>
            </w:r>
            <w:r w:rsidRPr="002742DE">
              <w:t>w</w:t>
            </w:r>
            <w:r w:rsidRPr="002742DE">
              <w:rPr>
                <w:spacing w:val="24"/>
              </w:rPr>
              <w:t xml:space="preserve"> </w:t>
            </w:r>
            <w:r w:rsidRPr="002742DE">
              <w:t>i</w:t>
            </w:r>
            <w:r w:rsidRPr="002742DE">
              <w:rPr>
                <w:spacing w:val="2"/>
              </w:rPr>
              <w:t>t</w:t>
            </w:r>
            <w:r w:rsidRPr="002742DE">
              <w:t>s i</w:t>
            </w:r>
            <w:r w:rsidRPr="002742DE">
              <w:rPr>
                <w:spacing w:val="-1"/>
              </w:rPr>
              <w:t>nv</w:t>
            </w:r>
            <w:r w:rsidRPr="002742DE">
              <w:rPr>
                <w:spacing w:val="3"/>
              </w:rPr>
              <w:t>e</w:t>
            </w:r>
            <w:r w:rsidRPr="002742DE">
              <w:rPr>
                <w:spacing w:val="-1"/>
              </w:rPr>
              <w:t>s</w:t>
            </w:r>
            <w:r w:rsidRPr="002742DE">
              <w:rPr>
                <w:spacing w:val="2"/>
              </w:rPr>
              <w:t>t</w:t>
            </w:r>
            <w:r w:rsidRPr="002742DE">
              <w:rPr>
                <w:spacing w:val="-1"/>
              </w:rPr>
              <w:t>m</w:t>
            </w:r>
            <w:r w:rsidRPr="002742DE">
              <w:rPr>
                <w:spacing w:val="3"/>
              </w:rPr>
              <w:t>e</w:t>
            </w:r>
            <w:r w:rsidRPr="002742DE">
              <w:rPr>
                <w:spacing w:val="-1"/>
              </w:rPr>
              <w:t>n</w:t>
            </w:r>
            <w:r w:rsidRPr="002742DE">
              <w:t>ts</w:t>
            </w:r>
            <w:r w:rsidRPr="002742DE">
              <w:rPr>
                <w:spacing w:val="-11"/>
              </w:rPr>
              <w:t xml:space="preserve"> </w:t>
            </w:r>
            <w:r w:rsidRPr="002742DE">
              <w:rPr>
                <w:spacing w:val="2"/>
              </w:rPr>
              <w:t>i</w:t>
            </w:r>
            <w:r w:rsidRPr="002742DE">
              <w:t>n</w:t>
            </w:r>
            <w:r w:rsidRPr="002742DE">
              <w:rPr>
                <w:spacing w:val="-2"/>
              </w:rPr>
              <w:t xml:space="preserve"> </w:t>
            </w:r>
            <w:r w:rsidRPr="002742DE">
              <w:rPr>
                <w:spacing w:val="-1"/>
              </w:rPr>
              <w:t>s</w:t>
            </w:r>
            <w:r w:rsidRPr="002742DE">
              <w:t>e</w:t>
            </w:r>
            <w:r w:rsidRPr="002742DE">
              <w:rPr>
                <w:spacing w:val="1"/>
              </w:rPr>
              <w:t>co</w:t>
            </w:r>
            <w:r w:rsidRPr="002742DE">
              <w:rPr>
                <w:spacing w:val="-1"/>
              </w:rPr>
              <w:t>n</w:t>
            </w:r>
            <w:r w:rsidRPr="002742DE">
              <w:rPr>
                <w:spacing w:val="1"/>
              </w:rPr>
              <w:t>d</w:t>
            </w:r>
            <w:r w:rsidRPr="002742DE">
              <w:t>a</w:t>
            </w:r>
            <w:r w:rsidRPr="002742DE">
              <w:rPr>
                <w:spacing w:val="3"/>
              </w:rPr>
              <w:t>r</w:t>
            </w:r>
            <w:r w:rsidRPr="002742DE">
              <w:t>y</w:t>
            </w:r>
            <w:r w:rsidRPr="002742DE">
              <w:rPr>
                <w:spacing w:val="-11"/>
              </w:rPr>
              <w:t xml:space="preserve"> </w:t>
            </w:r>
            <w:r w:rsidRPr="002742DE">
              <w:t>c</w:t>
            </w:r>
            <w:r w:rsidRPr="002742DE">
              <w:rPr>
                <w:spacing w:val="4"/>
              </w:rPr>
              <w:t>o</w:t>
            </w:r>
            <w:r w:rsidRPr="002742DE">
              <w:rPr>
                <w:spacing w:val="1"/>
              </w:rPr>
              <w:t>n</w:t>
            </w:r>
            <w:r w:rsidRPr="002742DE">
              <w:rPr>
                <w:spacing w:val="-1"/>
              </w:rPr>
              <w:t>n</w:t>
            </w:r>
            <w:r w:rsidRPr="002742DE">
              <w:t>e</w:t>
            </w:r>
            <w:r w:rsidRPr="002742DE">
              <w:rPr>
                <w:spacing w:val="1"/>
              </w:rPr>
              <w:t>c</w:t>
            </w:r>
            <w:r w:rsidRPr="002742DE">
              <w:t>t</w:t>
            </w:r>
            <w:r w:rsidRPr="002742DE">
              <w:rPr>
                <w:spacing w:val="2"/>
              </w:rPr>
              <w:t>i</w:t>
            </w:r>
            <w:r w:rsidRPr="002742DE">
              <w:rPr>
                <w:spacing w:val="-1"/>
              </w:rPr>
              <w:t>v</w:t>
            </w:r>
            <w:r w:rsidRPr="002742DE">
              <w:t>i</w:t>
            </w:r>
            <w:r w:rsidRPr="002742DE">
              <w:rPr>
                <w:spacing w:val="2"/>
              </w:rPr>
              <w:t>t</w:t>
            </w:r>
            <w:r w:rsidRPr="002742DE">
              <w:t>y</w:t>
            </w:r>
            <w:r w:rsidRPr="002742DE">
              <w:rPr>
                <w:spacing w:val="-9"/>
              </w:rPr>
              <w:t xml:space="preserve"> </w:t>
            </w:r>
            <w:r w:rsidRPr="002742DE">
              <w:rPr>
                <w:spacing w:val="-2"/>
              </w:rPr>
              <w:t>w</w:t>
            </w:r>
            <w:r w:rsidRPr="002742DE">
              <w:t>ill</w:t>
            </w:r>
            <w:r w:rsidRPr="002742DE">
              <w:rPr>
                <w:spacing w:val="-3"/>
              </w:rPr>
              <w:t xml:space="preserve"> </w:t>
            </w:r>
            <w:r w:rsidRPr="002742DE">
              <w:t>c</w:t>
            </w:r>
            <w:r w:rsidRPr="002742DE">
              <w:rPr>
                <w:spacing w:val="1"/>
              </w:rPr>
              <w:t>o</w:t>
            </w:r>
            <w:r w:rsidRPr="002742DE">
              <w:rPr>
                <w:spacing w:val="-1"/>
              </w:rPr>
              <w:t>n</w:t>
            </w:r>
            <w:r w:rsidRPr="002742DE">
              <w:t>tri</w:t>
            </w:r>
            <w:r w:rsidRPr="002742DE">
              <w:rPr>
                <w:spacing w:val="3"/>
              </w:rPr>
              <w:t>b</w:t>
            </w:r>
            <w:r w:rsidRPr="002742DE">
              <w:rPr>
                <w:spacing w:val="-1"/>
              </w:rPr>
              <w:t>u</w:t>
            </w:r>
            <w:r w:rsidRPr="002742DE">
              <w:t>te</w:t>
            </w:r>
            <w:r w:rsidRPr="002742DE">
              <w:rPr>
                <w:spacing w:val="-8"/>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s</w:t>
            </w:r>
            <w:r w:rsidRPr="002742DE">
              <w:t>i</w:t>
            </w:r>
            <w:r w:rsidRPr="002742DE">
              <w:rPr>
                <w:spacing w:val="1"/>
              </w:rPr>
              <w:t>n</w:t>
            </w:r>
            <w:r w:rsidRPr="002742DE">
              <w:rPr>
                <w:spacing w:val="-1"/>
              </w:rPr>
              <w:t>g</w:t>
            </w:r>
            <w:r w:rsidRPr="002742DE">
              <w:t>le</w:t>
            </w:r>
            <w:r w:rsidRPr="002742DE">
              <w:rPr>
                <w:spacing w:val="-5"/>
              </w:rPr>
              <w:t xml:space="preserve"> </w:t>
            </w:r>
            <w:r w:rsidRPr="002742DE">
              <w:t>E</w:t>
            </w:r>
            <w:r w:rsidRPr="002742DE">
              <w:rPr>
                <w:spacing w:val="-1"/>
              </w:rPr>
              <w:t>u</w:t>
            </w:r>
            <w:r w:rsidRPr="002742DE">
              <w:rPr>
                <w:spacing w:val="1"/>
              </w:rPr>
              <w:t>rop</w:t>
            </w:r>
            <w:r w:rsidRPr="002742DE">
              <w:t>e</w:t>
            </w:r>
            <w:r w:rsidRPr="002742DE">
              <w:rPr>
                <w:spacing w:val="1"/>
              </w:rPr>
              <w:t>a</w:t>
            </w:r>
            <w:r w:rsidRPr="002742DE">
              <w:t>n</w:t>
            </w:r>
            <w:r w:rsidRPr="002742DE">
              <w:rPr>
                <w:spacing w:val="-9"/>
              </w:rPr>
              <w:t xml:space="preserve"> </w:t>
            </w:r>
            <w:r w:rsidRPr="002742DE">
              <w:rPr>
                <w:spacing w:val="3"/>
              </w:rPr>
              <w:t>T</w:t>
            </w:r>
            <w:r w:rsidRPr="002742DE">
              <w:rPr>
                <w:spacing w:val="1"/>
              </w:rPr>
              <w:t>r</w:t>
            </w:r>
            <w:r w:rsidRPr="002742DE">
              <w:t>a</w:t>
            </w:r>
            <w:r w:rsidRPr="002742DE">
              <w:rPr>
                <w:spacing w:val="-1"/>
              </w:rPr>
              <w:t>ns</w:t>
            </w:r>
            <w:r w:rsidRPr="002742DE">
              <w:rPr>
                <w:spacing w:val="1"/>
              </w:rPr>
              <w:t>por</w:t>
            </w:r>
            <w:r w:rsidRPr="002742DE">
              <w:t>t</w:t>
            </w:r>
            <w:r w:rsidRPr="002742DE">
              <w:rPr>
                <w:spacing w:val="-8"/>
              </w:rPr>
              <w:t xml:space="preserve"> </w:t>
            </w:r>
            <w:r w:rsidRPr="002742DE">
              <w:rPr>
                <w:spacing w:val="-2"/>
              </w:rPr>
              <w:t>A</w:t>
            </w:r>
            <w:r w:rsidRPr="002742DE">
              <w:rPr>
                <w:spacing w:val="3"/>
              </w:rPr>
              <w:t>r</w:t>
            </w:r>
            <w:r w:rsidRPr="002742DE">
              <w:t>e</w:t>
            </w:r>
            <w:r w:rsidRPr="002742DE">
              <w:rPr>
                <w:spacing w:val="8"/>
              </w:rPr>
              <w:t>a</w:t>
            </w:r>
            <w:r w:rsidRPr="002742DE">
              <w:rPr>
                <w:position w:val="9"/>
              </w:rPr>
              <w:t>57</w:t>
            </w:r>
            <w:r w:rsidRPr="002742DE">
              <w:t>.</w:t>
            </w:r>
          </w:p>
        </w:tc>
        <w:tc>
          <w:tcPr>
            <w:tcW w:w="364" w:type="pct"/>
            <w:vAlign w:val="center"/>
          </w:tcPr>
          <w:p w:rsidR="00361223" w:rsidRPr="002742DE" w:rsidRDefault="00361223" w:rsidP="00DE269D">
            <w:pPr>
              <w:tabs>
                <w:tab w:val="left" w:pos="800"/>
              </w:tabs>
              <w:spacing w:before="60"/>
              <w:jc w:val="center"/>
              <w:rPr>
                <w:rFonts w:eastAsia="Wingdings" w:cs="Arial"/>
                <w:sz w:val="20"/>
                <w:szCs w:val="20"/>
              </w:rPr>
            </w:pPr>
            <w:r>
              <w:rPr>
                <w:rFonts w:eastAsia="Wingdings" w:cs="Arial"/>
                <w:sz w:val="20"/>
                <w:szCs w:val="20"/>
              </w:rPr>
              <w:t>YES</w:t>
            </w:r>
          </w:p>
        </w:tc>
        <w:tc>
          <w:tcPr>
            <w:tcW w:w="1589" w:type="pct"/>
            <w:vAlign w:val="center"/>
          </w:tcPr>
          <w:p w:rsidR="00361223" w:rsidRPr="002742DE" w:rsidRDefault="00361223" w:rsidP="00DE269D">
            <w:pPr>
              <w:tabs>
                <w:tab w:val="left" w:pos="800"/>
              </w:tabs>
              <w:spacing w:before="60"/>
              <w:rPr>
                <w:rFonts w:eastAsia="Wingdings" w:cs="Arial"/>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5"/>
              </w:numPr>
              <w:tabs>
                <w:tab w:val="left" w:pos="820"/>
              </w:tabs>
              <w:spacing w:before="57" w:line="240" w:lineRule="auto"/>
              <w:contextualSpacing/>
              <w:jc w:val="left"/>
            </w:pPr>
            <w:r w:rsidRPr="002742DE">
              <w:rPr>
                <w:spacing w:val="3"/>
              </w:rPr>
              <w:t>T</w:t>
            </w:r>
            <w:r w:rsidRPr="002742DE">
              <w:rPr>
                <w:spacing w:val="-1"/>
              </w:rPr>
              <w:t>h</w:t>
            </w:r>
            <w:r w:rsidRPr="002742DE">
              <w:t>e</w:t>
            </w:r>
            <w:r w:rsidRPr="002742DE">
              <w:rPr>
                <w:spacing w:val="-2"/>
              </w:rPr>
              <w:t xml:space="preserve"> </w:t>
            </w:r>
            <w:r w:rsidRPr="002742DE">
              <w:t>c</w:t>
            </w:r>
            <w:r w:rsidRPr="002742DE">
              <w:rPr>
                <w:spacing w:val="1"/>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11"/>
              </w:rPr>
              <w:t xml:space="preserve"> </w:t>
            </w:r>
            <w:r w:rsidRPr="002742DE">
              <w:t>tra</w:t>
            </w:r>
            <w:r w:rsidRPr="002742DE">
              <w:rPr>
                <w:spacing w:val="1"/>
              </w:rPr>
              <w:t>n</w:t>
            </w:r>
            <w:r w:rsidRPr="002742DE">
              <w:rPr>
                <w:spacing w:val="-1"/>
              </w:rPr>
              <w:t>s</w:t>
            </w:r>
            <w:r w:rsidRPr="002742DE">
              <w:rPr>
                <w:spacing w:val="1"/>
              </w:rPr>
              <w:t>por</w:t>
            </w:r>
            <w:r w:rsidRPr="002742DE">
              <w:t>t</w:t>
            </w:r>
            <w:r w:rsidRPr="002742DE">
              <w:rPr>
                <w:spacing w:val="-7"/>
              </w:rPr>
              <w:t xml:space="preserve"> </w:t>
            </w:r>
            <w:r w:rsidRPr="002742DE">
              <w:rPr>
                <w:spacing w:val="1"/>
              </w:rPr>
              <w:t>p</w:t>
            </w:r>
            <w:r w:rsidRPr="002742DE">
              <w:t>lan</w:t>
            </w:r>
            <w:r w:rsidRPr="002742DE">
              <w:rPr>
                <w:spacing w:val="-1"/>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k</w:t>
            </w:r>
            <w:r w:rsidRPr="002742DE">
              <w:rPr>
                <w:spacing w:val="-8"/>
              </w:rPr>
              <w:t xml:space="preserve"> </w:t>
            </w:r>
            <w:r w:rsidRPr="002742DE">
              <w:rPr>
                <w:spacing w:val="2"/>
              </w:rPr>
              <w:t>i</w:t>
            </w:r>
            <w:r w:rsidRPr="002742DE">
              <w:rPr>
                <w:spacing w:val="-1"/>
              </w:rPr>
              <w:t>n</w:t>
            </w:r>
            <w:r w:rsidRPr="002742DE">
              <w:t>c</w:t>
            </w:r>
            <w:r w:rsidRPr="002742DE">
              <w:rPr>
                <w:spacing w:val="2"/>
              </w:rPr>
              <w:t>l</w:t>
            </w:r>
            <w:r w:rsidRPr="002742DE">
              <w:rPr>
                <w:spacing w:val="-1"/>
              </w:rPr>
              <w:t>u</w:t>
            </w:r>
            <w:r w:rsidRPr="002742DE">
              <w:rPr>
                <w:spacing w:val="1"/>
              </w:rPr>
              <w:t>d</w:t>
            </w:r>
            <w:r w:rsidRPr="002742DE">
              <w:t>es</w:t>
            </w:r>
            <w:r w:rsidRPr="002742DE">
              <w:rPr>
                <w:spacing w:val="-5"/>
              </w:rPr>
              <w:t xml:space="preserve"> </w:t>
            </w:r>
            <w:r w:rsidRPr="002742DE">
              <w:rPr>
                <w:spacing w:val="-1"/>
              </w:rPr>
              <w:t>m</w:t>
            </w:r>
            <w:r w:rsidRPr="002742DE">
              <w:t>e</w:t>
            </w:r>
            <w:r w:rsidRPr="002742DE">
              <w:rPr>
                <w:spacing w:val="1"/>
              </w:rPr>
              <w:t>a</w:t>
            </w:r>
            <w:r w:rsidRPr="002742DE">
              <w:rPr>
                <w:spacing w:val="-1"/>
              </w:rPr>
              <w:t>su</w:t>
            </w:r>
            <w:r w:rsidRPr="002742DE">
              <w:rPr>
                <w:spacing w:val="1"/>
              </w:rPr>
              <w:t>r</w:t>
            </w:r>
            <w:r w:rsidRPr="002742DE">
              <w:t>es</w:t>
            </w:r>
            <w:r w:rsidRPr="002742DE">
              <w:rPr>
                <w:spacing w:val="-7"/>
              </w:rPr>
              <w:t xml:space="preserve"> </w:t>
            </w:r>
            <w:r w:rsidRPr="002742DE">
              <w:rPr>
                <w:spacing w:val="2"/>
              </w:rPr>
              <w:t>t</w:t>
            </w:r>
            <w:r w:rsidRPr="002742DE">
              <w:rPr>
                <w:spacing w:val="-1"/>
              </w:rPr>
              <w:t>h</w:t>
            </w:r>
            <w:r w:rsidRPr="002742DE">
              <w:t>at</w:t>
            </w:r>
            <w:r w:rsidRPr="002742DE">
              <w:rPr>
                <w:spacing w:val="-3"/>
              </w:rPr>
              <w:t xml:space="preserve"> </w:t>
            </w:r>
            <w:r w:rsidRPr="002742DE">
              <w:t>a</w:t>
            </w:r>
            <w:r w:rsidRPr="002742DE">
              <w:rPr>
                <w:spacing w:val="1"/>
              </w:rPr>
              <w:t>r</w:t>
            </w:r>
            <w:r w:rsidRPr="002742DE">
              <w:t>e</w:t>
            </w:r>
            <w:r w:rsidRPr="002742DE">
              <w:rPr>
                <w:spacing w:val="-1"/>
              </w:rPr>
              <w:t xml:space="preserve"> n</w:t>
            </w:r>
            <w:r w:rsidRPr="002742DE">
              <w:t>e</w:t>
            </w:r>
            <w:r w:rsidRPr="002742DE">
              <w:rPr>
                <w:spacing w:val="1"/>
              </w:rPr>
              <w:t>c</w:t>
            </w:r>
            <w:r w:rsidRPr="002742DE">
              <w:rPr>
                <w:spacing w:val="3"/>
              </w:rPr>
              <w:t>e</w:t>
            </w:r>
            <w:r w:rsidRPr="002742DE">
              <w:rPr>
                <w:spacing w:val="-1"/>
              </w:rPr>
              <w:t>ss</w:t>
            </w:r>
            <w:r w:rsidRPr="002742DE">
              <w:t>a</w:t>
            </w:r>
            <w:r w:rsidRPr="002742DE">
              <w:rPr>
                <w:spacing w:val="3"/>
              </w:rPr>
              <w:t>r</w:t>
            </w:r>
            <w:r w:rsidRPr="002742DE">
              <w:t>y</w:t>
            </w:r>
            <w:r w:rsidRPr="002742DE">
              <w:rPr>
                <w:spacing w:val="-9"/>
              </w:rPr>
              <w:t xml:space="preserve"> </w:t>
            </w:r>
            <w:r w:rsidRPr="002742DE">
              <w:rPr>
                <w:spacing w:val="-2"/>
              </w:rPr>
              <w:t>f</w:t>
            </w:r>
            <w:r w:rsidRPr="002742DE">
              <w:rPr>
                <w:spacing w:val="1"/>
              </w:rPr>
              <w:t>or</w:t>
            </w:r>
            <w:r w:rsidRPr="002742DE">
              <w:t>:</w:t>
            </w:r>
          </w:p>
        </w:tc>
        <w:tc>
          <w:tcPr>
            <w:tcW w:w="364" w:type="pct"/>
            <w:vAlign w:val="center"/>
          </w:tcPr>
          <w:p w:rsidR="00361223" w:rsidRPr="002742DE" w:rsidRDefault="00361223" w:rsidP="00DE269D">
            <w:pPr>
              <w:tabs>
                <w:tab w:val="left" w:pos="820"/>
              </w:tabs>
              <w:spacing w:before="57"/>
              <w:jc w:val="center"/>
              <w:rPr>
                <w:rFonts w:eastAsia="Wingdings" w:cs="Arial"/>
                <w:sz w:val="20"/>
                <w:szCs w:val="20"/>
              </w:rPr>
            </w:pPr>
          </w:p>
        </w:tc>
        <w:tc>
          <w:tcPr>
            <w:tcW w:w="1589" w:type="pct"/>
            <w:vAlign w:val="center"/>
          </w:tcPr>
          <w:p w:rsidR="00361223" w:rsidRPr="002742DE" w:rsidRDefault="00361223" w:rsidP="00DE269D">
            <w:pPr>
              <w:tabs>
                <w:tab w:val="left" w:pos="820"/>
              </w:tabs>
              <w:spacing w:before="57"/>
              <w:rPr>
                <w:rFonts w:eastAsia="Wingding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ensuring enhanced accessibility and connectivity for all regions of the Union while taking into consideration the specific case of islands, isolated networks and sparsely populated, remote and outermost regions;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ensuring optimal integration of the transport modes and interoperability within transport modes;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bridging missing links and removing bottlenecks, in particular in cross-border sections;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promoting the efficient and sustainable use of the infrastructure and, where necessary, increase the capacity;</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improving or  maintaining the  quality of infrastructure in  terms of safety, security, efficiency, climate and where appropriate disaster resilience, environmental performances, social conditions, accessibility for all users, including elderly people, persons with reduced mobility and disabled passengers, as well as the quality of services and continuity of traffic flows;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sidRPr="002742DE">
              <w:rPr>
                <w:rFonts w:cs="Arial"/>
                <w:sz w:val="20"/>
                <w:szCs w:val="20"/>
              </w:rPr>
              <w:tab/>
              <w:t>implementing and deploying telematic applications as well as promoting innovative technological development;</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85264B">
            <w:pPr>
              <w:pStyle w:val="ListParagraph"/>
              <w:widowControl w:val="0"/>
              <w:numPr>
                <w:ilvl w:val="0"/>
                <w:numId w:val="66"/>
              </w:numPr>
              <w:tabs>
                <w:tab w:val="left" w:pos="820"/>
              </w:tabs>
              <w:spacing w:before="57" w:line="240" w:lineRule="auto"/>
              <w:contextualSpacing/>
              <w:jc w:val="left"/>
            </w:pPr>
            <w:r w:rsidRPr="002742DE">
              <w:rPr>
                <w:spacing w:val="2"/>
              </w:rPr>
              <w:t>P</w:t>
            </w:r>
            <w:r w:rsidRPr="002742DE">
              <w:t>a</w:t>
            </w:r>
            <w:r w:rsidRPr="002742DE">
              <w:rPr>
                <w:spacing w:val="1"/>
              </w:rPr>
              <w:t>r</w:t>
            </w:r>
            <w:r w:rsidRPr="002742DE">
              <w:t>tic</w:t>
            </w:r>
            <w:r w:rsidRPr="002742DE">
              <w:rPr>
                <w:spacing w:val="-1"/>
              </w:rPr>
              <w:t>u</w:t>
            </w:r>
            <w:r w:rsidRPr="002742DE">
              <w:t>lar</w:t>
            </w:r>
            <w:r w:rsidRPr="002742DE">
              <w:rPr>
                <w:spacing w:val="3"/>
              </w:rPr>
              <w:t xml:space="preserve"> </w:t>
            </w:r>
            <w:r w:rsidRPr="002742DE">
              <w:t>c</w:t>
            </w:r>
            <w:r w:rsidRPr="002742DE">
              <w:rPr>
                <w:spacing w:val="1"/>
              </w:rPr>
              <w:t>o</w:t>
            </w:r>
            <w:r w:rsidRPr="002742DE">
              <w:rPr>
                <w:spacing w:val="-1"/>
              </w:rPr>
              <w:t>ns</w:t>
            </w:r>
            <w:r w:rsidRPr="002742DE">
              <w:t>i</w:t>
            </w:r>
            <w:r w:rsidRPr="002742DE">
              <w:rPr>
                <w:spacing w:val="1"/>
              </w:rPr>
              <w:t>d</w:t>
            </w:r>
            <w:r w:rsidRPr="002742DE">
              <w:t>e</w:t>
            </w:r>
            <w:r w:rsidRPr="002742DE">
              <w:rPr>
                <w:spacing w:val="1"/>
              </w:rPr>
              <w:t>r</w:t>
            </w:r>
            <w:r w:rsidRPr="002742DE">
              <w:t>ati</w:t>
            </w:r>
            <w:r w:rsidRPr="002742DE">
              <w:rPr>
                <w:spacing w:val="1"/>
              </w:rPr>
              <w:t>o</w:t>
            </w:r>
            <w:r w:rsidRPr="002742DE">
              <w:t>n</w:t>
            </w:r>
            <w:r w:rsidRPr="002742DE">
              <w:rPr>
                <w:spacing w:val="-2"/>
              </w:rPr>
              <w:t xml:space="preserve"> </w:t>
            </w:r>
            <w:r w:rsidRPr="002742DE">
              <w:rPr>
                <w:spacing w:val="-1"/>
              </w:rPr>
              <w:t>sh</w:t>
            </w:r>
            <w:r w:rsidRPr="002742DE">
              <w:t>all</w:t>
            </w:r>
            <w:r w:rsidRPr="002742DE">
              <w:rPr>
                <w:spacing w:val="8"/>
              </w:rPr>
              <w:t xml:space="preserve"> </w:t>
            </w:r>
            <w:r w:rsidRPr="002742DE">
              <w:t>also</w:t>
            </w:r>
            <w:r w:rsidRPr="002742DE">
              <w:rPr>
                <w:spacing w:val="7"/>
              </w:rPr>
              <w:t xml:space="preserve"> </w:t>
            </w:r>
            <w:r w:rsidRPr="002742DE">
              <w:rPr>
                <w:spacing w:val="1"/>
              </w:rPr>
              <w:t>b</w:t>
            </w:r>
            <w:r w:rsidRPr="002742DE">
              <w:t>e</w:t>
            </w:r>
            <w:r w:rsidRPr="002742DE">
              <w:rPr>
                <w:spacing w:val="8"/>
              </w:rPr>
              <w:t xml:space="preserve"> </w:t>
            </w:r>
            <w:r w:rsidRPr="002742DE">
              <w:rPr>
                <w:spacing w:val="-1"/>
              </w:rPr>
              <w:t>g</w:t>
            </w:r>
            <w:r w:rsidRPr="002742DE">
              <w:t>i</w:t>
            </w:r>
            <w:r w:rsidRPr="002742DE">
              <w:rPr>
                <w:spacing w:val="-1"/>
              </w:rPr>
              <w:t>v</w:t>
            </w:r>
            <w:r w:rsidRPr="002742DE">
              <w:t>en</w:t>
            </w:r>
            <w:r w:rsidRPr="002742DE">
              <w:rPr>
                <w:spacing w:val="5"/>
              </w:rPr>
              <w:t xml:space="preserve"> </w:t>
            </w:r>
            <w:r w:rsidRPr="002742DE">
              <w:rPr>
                <w:spacing w:val="2"/>
              </w:rPr>
              <w:t>i</w:t>
            </w:r>
            <w:r w:rsidRPr="002742DE">
              <w:t>n</w:t>
            </w:r>
            <w:r w:rsidRPr="002742DE">
              <w:rPr>
                <w:spacing w:val="7"/>
              </w:rPr>
              <w:t xml:space="preserve"> </w:t>
            </w:r>
            <w:r w:rsidRPr="002742DE">
              <w:t>t</w:t>
            </w:r>
            <w:r w:rsidRPr="002742DE">
              <w:rPr>
                <w:spacing w:val="-1"/>
              </w:rPr>
              <w:t>h</w:t>
            </w:r>
            <w:r w:rsidRPr="002742DE">
              <w:t>e</w:t>
            </w:r>
            <w:r w:rsidRPr="002742DE">
              <w:rPr>
                <w:spacing w:val="8"/>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2"/>
              </w:rPr>
              <w:t xml:space="preserve"> </w:t>
            </w:r>
            <w:r w:rsidRPr="002742DE">
              <w:t>tra</w:t>
            </w:r>
            <w:r w:rsidRPr="002742DE">
              <w:rPr>
                <w:spacing w:val="-1"/>
              </w:rPr>
              <w:t>ns</w:t>
            </w:r>
            <w:r w:rsidRPr="002742DE">
              <w:rPr>
                <w:spacing w:val="1"/>
              </w:rPr>
              <w:t>por</w:t>
            </w:r>
            <w:r w:rsidRPr="002742DE">
              <w:t>t</w:t>
            </w:r>
            <w:r w:rsidRPr="002742DE">
              <w:rPr>
                <w:spacing w:val="3"/>
              </w:rPr>
              <w:t xml:space="preserve"> </w:t>
            </w:r>
            <w:r w:rsidRPr="002742DE">
              <w:rPr>
                <w:spacing w:val="1"/>
              </w:rPr>
              <w:t>p</w:t>
            </w:r>
            <w:r w:rsidRPr="002742DE">
              <w:t>lan</w:t>
            </w:r>
            <w:r w:rsidRPr="002742DE">
              <w:rPr>
                <w:spacing w:val="6"/>
              </w:rPr>
              <w:t xml:space="preserve"> </w:t>
            </w:r>
            <w:r w:rsidRPr="002742DE">
              <w:rPr>
                <w:spacing w:val="1"/>
              </w:rPr>
              <w:t>o</w:t>
            </w:r>
            <w:r w:rsidRPr="002742DE">
              <w:t>r</w:t>
            </w:r>
            <w:r w:rsidRPr="002742DE">
              <w:rPr>
                <w:spacing w:val="8"/>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 xml:space="preserve">k to </w:t>
            </w:r>
            <w:r w:rsidRPr="002742DE">
              <w:rPr>
                <w:spacing w:val="-1"/>
              </w:rPr>
              <w:t>m</w:t>
            </w:r>
            <w:r w:rsidRPr="002742DE">
              <w:t>e</w:t>
            </w:r>
            <w:r w:rsidRPr="002742DE">
              <w:rPr>
                <w:spacing w:val="1"/>
              </w:rPr>
              <w:t>a</w:t>
            </w:r>
            <w:r w:rsidRPr="002742DE">
              <w:rPr>
                <w:spacing w:val="2"/>
              </w:rPr>
              <w:t>s</w:t>
            </w:r>
            <w:r w:rsidRPr="002742DE">
              <w:rPr>
                <w:spacing w:val="-1"/>
              </w:rPr>
              <w:t>u</w:t>
            </w:r>
            <w:r w:rsidRPr="002742DE">
              <w:rPr>
                <w:spacing w:val="1"/>
              </w:rPr>
              <w:t>r</w:t>
            </w:r>
            <w:r w:rsidRPr="002742DE">
              <w:t>es</w:t>
            </w:r>
            <w:r w:rsidRPr="002742DE">
              <w:rPr>
                <w:spacing w:val="-7"/>
              </w:rPr>
              <w:t xml:space="preserve"> </w:t>
            </w:r>
            <w:r w:rsidRPr="002742DE">
              <w:rPr>
                <w:spacing w:val="2"/>
              </w:rPr>
              <w:t>t</w:t>
            </w:r>
            <w:r w:rsidRPr="002742DE">
              <w:rPr>
                <w:spacing w:val="-1"/>
              </w:rPr>
              <w:t>h</w:t>
            </w:r>
            <w:r w:rsidRPr="002742DE">
              <w:t>at</w:t>
            </w:r>
            <w:r w:rsidRPr="002742DE">
              <w:rPr>
                <w:spacing w:val="-3"/>
              </w:rPr>
              <w:t xml:space="preserve"> </w:t>
            </w:r>
            <w:r w:rsidRPr="002742DE">
              <w:t>a</w:t>
            </w:r>
            <w:r w:rsidRPr="002742DE">
              <w:rPr>
                <w:spacing w:val="1"/>
              </w:rPr>
              <w:t>r</w:t>
            </w:r>
            <w:r w:rsidRPr="002742DE">
              <w:t>e</w:t>
            </w:r>
            <w:r w:rsidRPr="002742DE">
              <w:rPr>
                <w:spacing w:val="-1"/>
              </w:rPr>
              <w:t xml:space="preserve"> n</w:t>
            </w:r>
            <w:r w:rsidRPr="002742DE">
              <w:t>e</w:t>
            </w:r>
            <w:r w:rsidRPr="002742DE">
              <w:rPr>
                <w:spacing w:val="1"/>
              </w:rPr>
              <w:t>c</w:t>
            </w:r>
            <w:r w:rsidRPr="002742DE">
              <w:t>e</w:t>
            </w:r>
            <w:r w:rsidRPr="002742DE">
              <w:rPr>
                <w:spacing w:val="2"/>
              </w:rPr>
              <w:t>s</w:t>
            </w:r>
            <w:r w:rsidRPr="002742DE">
              <w:rPr>
                <w:spacing w:val="-1"/>
              </w:rPr>
              <w:t>s</w:t>
            </w:r>
            <w:r w:rsidRPr="002742DE">
              <w:t>a</w:t>
            </w:r>
            <w:r w:rsidRPr="002742DE">
              <w:rPr>
                <w:spacing w:val="3"/>
              </w:rPr>
              <w:t>r</w:t>
            </w:r>
            <w:r w:rsidRPr="002742DE">
              <w:t>y</w:t>
            </w:r>
            <w:r w:rsidRPr="002742DE">
              <w:rPr>
                <w:spacing w:val="-9"/>
              </w:rPr>
              <w:t xml:space="preserve"> </w:t>
            </w:r>
            <w:r w:rsidRPr="002742DE">
              <w:rPr>
                <w:spacing w:val="-2"/>
              </w:rPr>
              <w:t>f</w:t>
            </w:r>
            <w:r w:rsidRPr="002742DE">
              <w:rPr>
                <w:spacing w:val="1"/>
              </w:rPr>
              <w:t>or</w:t>
            </w:r>
            <w:r w:rsidRPr="002742DE">
              <w:t>:</w:t>
            </w:r>
          </w:p>
        </w:tc>
        <w:tc>
          <w:tcPr>
            <w:tcW w:w="364" w:type="pct"/>
            <w:vAlign w:val="center"/>
          </w:tcPr>
          <w:p w:rsidR="00361223" w:rsidRPr="002742DE" w:rsidRDefault="00361223" w:rsidP="00DE269D">
            <w:pPr>
              <w:tabs>
                <w:tab w:val="left" w:pos="820"/>
              </w:tabs>
              <w:spacing w:before="57"/>
              <w:jc w:val="center"/>
              <w:rPr>
                <w:rFonts w:eastAsia="Wingdings" w:cs="Arial"/>
                <w:sz w:val="20"/>
                <w:szCs w:val="20"/>
              </w:rPr>
            </w:pPr>
          </w:p>
        </w:tc>
        <w:tc>
          <w:tcPr>
            <w:tcW w:w="1589" w:type="pct"/>
            <w:vAlign w:val="center"/>
          </w:tcPr>
          <w:p w:rsidR="00361223" w:rsidRPr="002742DE" w:rsidRDefault="00361223" w:rsidP="00DE269D">
            <w:pPr>
              <w:tabs>
                <w:tab w:val="left" w:pos="820"/>
              </w:tabs>
              <w:spacing w:before="57"/>
              <w:rPr>
                <w:rFonts w:eastAsia="Wingding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Pr>
                <w:rFonts w:cs="Arial"/>
                <w:sz w:val="20"/>
                <w:szCs w:val="20"/>
              </w:rPr>
              <w:tab/>
            </w:r>
            <w:r w:rsidRPr="002742DE">
              <w:rPr>
                <w:rFonts w:cs="Arial"/>
                <w:sz w:val="20"/>
                <w:szCs w:val="20"/>
              </w:rPr>
              <w:t>ensuring fuel security through increased energy efficiency and promoting the use of alternative and in particular low or zero carbon energy sources and propulsion systems;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Pr>
                <w:rFonts w:cs="Arial"/>
                <w:sz w:val="20"/>
                <w:szCs w:val="20"/>
              </w:rPr>
              <w:tab/>
            </w:r>
            <w:r w:rsidRPr="002742DE">
              <w:rPr>
                <w:rFonts w:cs="Arial"/>
                <w:sz w:val="20"/>
                <w:szCs w:val="20"/>
              </w:rPr>
              <w:t>mitigating  exposure  of  urban  areas  to  negative  effects  of  transiting  rail  and  road transport;</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vAlign w:val="center"/>
          </w:tcPr>
          <w:p w:rsidR="00361223" w:rsidRPr="002742DE" w:rsidRDefault="00361223" w:rsidP="00DE269D">
            <w:pPr>
              <w:tabs>
                <w:tab w:val="left" w:pos="1120"/>
              </w:tabs>
              <w:spacing w:before="60"/>
              <w:rPr>
                <w:rFonts w:cs="Arial"/>
                <w:sz w:val="20"/>
                <w:szCs w:val="20"/>
              </w:rPr>
            </w:pPr>
            <w:r>
              <w:rPr>
                <w:rFonts w:cs="Arial"/>
                <w:sz w:val="20"/>
                <w:szCs w:val="20"/>
              </w:rPr>
              <w:tab/>
            </w:r>
            <w:proofErr w:type="gramStart"/>
            <w:r w:rsidRPr="002742DE">
              <w:rPr>
                <w:rFonts w:cs="Arial"/>
                <w:sz w:val="20"/>
                <w:szCs w:val="20"/>
              </w:rPr>
              <w:t>removing</w:t>
            </w:r>
            <w:proofErr w:type="gramEnd"/>
            <w:r w:rsidRPr="002742DE">
              <w:rPr>
                <w:rFonts w:cs="Arial"/>
                <w:sz w:val="20"/>
                <w:szCs w:val="20"/>
              </w:rPr>
              <w:t xml:space="preserve"> administrative and technical barriers, in particular to the interoperability of the trans-European transport network and to competition.</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A1C7F" w:rsidTr="00EF7388">
        <w:tc>
          <w:tcPr>
            <w:tcW w:w="3048" w:type="pct"/>
          </w:tcPr>
          <w:p w:rsidR="00361223" w:rsidRPr="002A1C7F" w:rsidRDefault="00361223" w:rsidP="0085264B">
            <w:pPr>
              <w:pStyle w:val="ListParagraph"/>
              <w:widowControl w:val="0"/>
              <w:numPr>
                <w:ilvl w:val="0"/>
                <w:numId w:val="67"/>
              </w:numPr>
              <w:tabs>
                <w:tab w:val="left" w:pos="1120"/>
              </w:tabs>
              <w:spacing w:before="60" w:line="240" w:lineRule="auto"/>
              <w:contextualSpacing/>
              <w:jc w:val="left"/>
              <w:rPr>
                <w:b/>
                <w:i/>
              </w:rPr>
            </w:pPr>
            <w:r w:rsidRPr="002A1C7F">
              <w:rPr>
                <w:b/>
                <w:i/>
              </w:rPr>
              <w:t xml:space="preserve">sets </w:t>
            </w:r>
            <w:r>
              <w:rPr>
                <w:b/>
                <w:i/>
              </w:rPr>
              <w:t>out a realistic and mature pipel</w:t>
            </w:r>
            <w:r w:rsidRPr="002A1C7F">
              <w:rPr>
                <w:b/>
                <w:i/>
              </w:rPr>
              <w:t>ine for projects envisaged for support from the ERDF and CF</w:t>
            </w:r>
          </w:p>
        </w:tc>
        <w:tc>
          <w:tcPr>
            <w:tcW w:w="364" w:type="pct"/>
            <w:vAlign w:val="center"/>
          </w:tcPr>
          <w:p w:rsidR="00361223" w:rsidRPr="002A1C7F" w:rsidRDefault="00361223" w:rsidP="00DE269D">
            <w:pPr>
              <w:tabs>
                <w:tab w:val="left" w:pos="1120"/>
              </w:tabs>
              <w:spacing w:before="60"/>
              <w:jc w:val="center"/>
              <w:rPr>
                <w:rFonts w:cs="Arial"/>
                <w:b/>
                <w:sz w:val="20"/>
                <w:szCs w:val="20"/>
              </w:rPr>
            </w:pPr>
          </w:p>
        </w:tc>
        <w:tc>
          <w:tcPr>
            <w:tcW w:w="1589" w:type="pct"/>
            <w:vAlign w:val="center"/>
          </w:tcPr>
          <w:p w:rsidR="00361223" w:rsidRPr="002A1C7F" w:rsidRDefault="00361223" w:rsidP="00DE269D">
            <w:pPr>
              <w:tabs>
                <w:tab w:val="left" w:pos="1120"/>
              </w:tabs>
              <w:spacing w:before="60"/>
              <w:rPr>
                <w:rFonts w:cs="Arial"/>
                <w:b/>
                <w:sz w:val="20"/>
                <w:szCs w:val="20"/>
              </w:rPr>
            </w:pPr>
          </w:p>
        </w:tc>
      </w:tr>
      <w:tr w:rsidR="00361223" w:rsidRPr="002742DE" w:rsidTr="00EF7388">
        <w:tc>
          <w:tcPr>
            <w:tcW w:w="3048" w:type="pct"/>
          </w:tcPr>
          <w:p w:rsidR="00361223" w:rsidRPr="00174877" w:rsidRDefault="00361223" w:rsidP="0085264B">
            <w:pPr>
              <w:pStyle w:val="ListParagraph"/>
              <w:widowControl w:val="0"/>
              <w:numPr>
                <w:ilvl w:val="0"/>
                <w:numId w:val="67"/>
              </w:numPr>
              <w:tabs>
                <w:tab w:val="left" w:pos="1120"/>
              </w:tabs>
              <w:spacing w:before="60" w:line="240" w:lineRule="auto"/>
              <w:contextualSpacing/>
              <w:jc w:val="left"/>
            </w:pPr>
            <w:r w:rsidRPr="00174877">
              <w:t>The plan or framework for transport investments includes a table containing :</w:t>
            </w:r>
          </w:p>
        </w:tc>
        <w:tc>
          <w:tcPr>
            <w:tcW w:w="364" w:type="pct"/>
            <w:vAlign w:val="center"/>
          </w:tcPr>
          <w:p w:rsidR="00361223" w:rsidRPr="002742DE" w:rsidRDefault="00361223" w:rsidP="00DE269D">
            <w:pPr>
              <w:tabs>
                <w:tab w:val="left" w:pos="1120"/>
              </w:tabs>
              <w:spacing w:before="60"/>
              <w:jc w:val="center"/>
              <w:rPr>
                <w:rFonts w:cs="Arial"/>
                <w:sz w:val="20"/>
                <w:szCs w:val="20"/>
              </w:rPr>
            </w:pP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a list of prioritised projects (studies, upgrading or works) that the Member State envisages launching over the period and asking for support from the ERDF and CF.</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the name of the authorities and stakeholders involved in the lead of these projects, the foreseen expenditures and a financing plan,</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a realistic timetable for delivery of the projects identified indicating dates for feasibility studies, a Cost Benefit Analysis, EIA procedure58, an implementation timetable including procurement and permission procedures, and for potential state aid notification (per phase for bigger projects).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361223" w:rsidRPr="002A1C7F" w:rsidTr="00EF7388">
        <w:tc>
          <w:tcPr>
            <w:tcW w:w="3048" w:type="pct"/>
          </w:tcPr>
          <w:p w:rsidR="00361223" w:rsidRPr="002A1C7F" w:rsidRDefault="00361223" w:rsidP="0085264B">
            <w:pPr>
              <w:pStyle w:val="ListParagraph"/>
              <w:widowControl w:val="0"/>
              <w:numPr>
                <w:ilvl w:val="0"/>
                <w:numId w:val="67"/>
              </w:numPr>
              <w:tabs>
                <w:tab w:val="left" w:pos="1120"/>
              </w:tabs>
              <w:spacing w:before="60" w:line="240" w:lineRule="auto"/>
              <w:contextualSpacing/>
              <w:jc w:val="left"/>
              <w:rPr>
                <w:b/>
                <w:i/>
              </w:rPr>
            </w:pPr>
            <w:r w:rsidRPr="002A1C7F">
              <w:rPr>
                <w:b/>
                <w:i/>
              </w:rPr>
              <w:t>Measures to ensure the capacity of intermediary bodies and beneficiaries to deliver the project pipeline.</w:t>
            </w:r>
          </w:p>
        </w:tc>
        <w:tc>
          <w:tcPr>
            <w:tcW w:w="364" w:type="pct"/>
            <w:vAlign w:val="center"/>
          </w:tcPr>
          <w:p w:rsidR="00361223" w:rsidRPr="002A1C7F" w:rsidRDefault="00361223" w:rsidP="00DE269D">
            <w:pPr>
              <w:tabs>
                <w:tab w:val="left" w:pos="1120"/>
              </w:tabs>
              <w:spacing w:before="60"/>
              <w:jc w:val="center"/>
              <w:rPr>
                <w:rFonts w:cs="Arial"/>
                <w:b/>
                <w:sz w:val="20"/>
                <w:szCs w:val="20"/>
              </w:rPr>
            </w:pPr>
          </w:p>
        </w:tc>
        <w:tc>
          <w:tcPr>
            <w:tcW w:w="1589" w:type="pct"/>
            <w:vAlign w:val="center"/>
          </w:tcPr>
          <w:p w:rsidR="00361223" w:rsidRPr="002A1C7F" w:rsidRDefault="00361223" w:rsidP="00DE269D">
            <w:pPr>
              <w:tabs>
                <w:tab w:val="left" w:pos="1120"/>
              </w:tabs>
              <w:spacing w:before="60"/>
              <w:rPr>
                <w:rFonts w:cs="Arial"/>
                <w:b/>
                <w:sz w:val="20"/>
                <w:szCs w:val="20"/>
              </w:rPr>
            </w:pPr>
          </w:p>
        </w:tc>
      </w:tr>
      <w:tr w:rsidR="00361223" w:rsidRPr="002742DE" w:rsidTr="00EF7388">
        <w:tc>
          <w:tcPr>
            <w:tcW w:w="3048" w:type="pct"/>
          </w:tcPr>
          <w:p w:rsidR="00361223" w:rsidRPr="00174877" w:rsidRDefault="00361223" w:rsidP="0085264B">
            <w:pPr>
              <w:pStyle w:val="ListParagraph"/>
              <w:widowControl w:val="0"/>
              <w:numPr>
                <w:ilvl w:val="0"/>
                <w:numId w:val="67"/>
              </w:numPr>
              <w:tabs>
                <w:tab w:val="left" w:pos="1120"/>
              </w:tabs>
              <w:spacing w:before="60" w:line="240" w:lineRule="auto"/>
              <w:contextualSpacing/>
              <w:jc w:val="left"/>
            </w:pPr>
            <w:r w:rsidRPr="00174877">
              <w:t>The Member State has provided an adequate description of the measures already in place to ensure the capacity of intermediary bodies and beneficiaries to deliver the project pipeline:</w:t>
            </w:r>
          </w:p>
        </w:tc>
        <w:tc>
          <w:tcPr>
            <w:tcW w:w="364" w:type="pct"/>
            <w:vAlign w:val="center"/>
          </w:tcPr>
          <w:p w:rsidR="00361223" w:rsidRPr="002742DE" w:rsidRDefault="00361223" w:rsidP="00DE269D">
            <w:pPr>
              <w:tabs>
                <w:tab w:val="left" w:pos="1120"/>
              </w:tabs>
              <w:spacing w:before="60"/>
              <w:jc w:val="center"/>
              <w:rPr>
                <w:rFonts w:cs="Arial"/>
                <w:sz w:val="20"/>
                <w:szCs w:val="20"/>
              </w:rPr>
            </w:pP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These measures are based on the analysis of both the bottlenecks and of the weaknesses of intermediary bodies and beneficiaries to deliver timely the project pipeline, as</w:t>
            </w:r>
            <w:r>
              <w:rPr>
                <w:rFonts w:cs="Arial"/>
                <w:sz w:val="20"/>
                <w:szCs w:val="20"/>
              </w:rPr>
              <w:t xml:space="preserve"> regards:</w:t>
            </w:r>
          </w:p>
        </w:tc>
        <w:tc>
          <w:tcPr>
            <w:tcW w:w="364" w:type="pct"/>
            <w:vAlign w:val="center"/>
          </w:tcPr>
          <w:p w:rsidR="00361223" w:rsidRPr="002742DE" w:rsidRDefault="00361223" w:rsidP="00DE269D">
            <w:pPr>
              <w:tabs>
                <w:tab w:val="left" w:pos="1120"/>
              </w:tabs>
              <w:spacing w:before="60"/>
              <w:jc w:val="center"/>
              <w:rPr>
                <w:rFonts w:cs="Arial"/>
                <w:sz w:val="20"/>
                <w:szCs w:val="20"/>
              </w:rPr>
            </w:pP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DE7B7A">
            <w:pPr>
              <w:tabs>
                <w:tab w:val="left" w:pos="1120"/>
              </w:tabs>
              <w:spacing w:before="60"/>
              <w:rPr>
                <w:rFonts w:cs="Arial"/>
                <w:sz w:val="20"/>
                <w:szCs w:val="20"/>
              </w:rPr>
            </w:pPr>
            <w:r>
              <w:rPr>
                <w:rFonts w:cs="Arial"/>
                <w:sz w:val="20"/>
                <w:szCs w:val="20"/>
              </w:rPr>
              <w:tab/>
            </w:r>
            <w:r w:rsidR="00361223">
              <w:rPr>
                <w:rFonts w:cs="Arial"/>
                <w:sz w:val="20"/>
                <w:szCs w:val="20"/>
              </w:rPr>
              <w:tab/>
            </w:r>
            <w:r w:rsidR="00361223">
              <w:rPr>
                <w:rFonts w:cs="Arial"/>
                <w:sz w:val="20"/>
                <w:szCs w:val="20"/>
              </w:rPr>
              <w:tab/>
            </w:r>
            <w:r w:rsidR="00361223" w:rsidRPr="00174877">
              <w:rPr>
                <w:rFonts w:cs="Arial"/>
                <w:sz w:val="20"/>
                <w:szCs w:val="20"/>
              </w:rPr>
              <w:t>tendering (including tenders without competition, irregularities)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the Final version of the Master Plan</w:t>
            </w: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sidR="00DE7B7A">
              <w:rPr>
                <w:rFonts w:cs="Arial"/>
                <w:sz w:val="20"/>
                <w:szCs w:val="20"/>
              </w:rPr>
              <w:tab/>
            </w:r>
            <w:r>
              <w:rPr>
                <w:rFonts w:cs="Arial"/>
                <w:sz w:val="20"/>
                <w:szCs w:val="20"/>
              </w:rPr>
              <w:tab/>
            </w:r>
            <w:r w:rsidRPr="00174877">
              <w:rPr>
                <w:rFonts w:cs="Arial"/>
                <w:sz w:val="20"/>
                <w:szCs w:val="20"/>
              </w:rPr>
              <w:t>implemen</w:t>
            </w:r>
            <w:r>
              <w:rPr>
                <w:rFonts w:cs="Arial"/>
                <w:sz w:val="20"/>
                <w:szCs w:val="20"/>
              </w:rPr>
              <w:t>t</w:t>
            </w:r>
            <w:r w:rsidRPr="00174877">
              <w:rPr>
                <w:rFonts w:cs="Arial"/>
                <w:sz w:val="20"/>
                <w:szCs w:val="20"/>
              </w:rPr>
              <w:t>ing environmental requirements,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the Final version of the Master Plan</w:t>
            </w: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sidR="00DE7B7A">
              <w:rPr>
                <w:rFonts w:cs="Arial"/>
                <w:sz w:val="20"/>
                <w:szCs w:val="20"/>
              </w:rPr>
              <w:tab/>
            </w:r>
            <w:r>
              <w:rPr>
                <w:rFonts w:cs="Arial"/>
                <w:sz w:val="20"/>
                <w:szCs w:val="20"/>
              </w:rPr>
              <w:tab/>
            </w:r>
            <w:r w:rsidRPr="00174877">
              <w:rPr>
                <w:rFonts w:cs="Arial"/>
                <w:sz w:val="20"/>
                <w:szCs w:val="20"/>
              </w:rPr>
              <w:t>developing and prioritising a mature project pipeline,</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sidR="00DE7B7A">
              <w:rPr>
                <w:rFonts w:cs="Arial"/>
                <w:sz w:val="20"/>
                <w:szCs w:val="20"/>
              </w:rPr>
              <w:tab/>
            </w:r>
            <w:r>
              <w:rPr>
                <w:rFonts w:cs="Arial"/>
                <w:sz w:val="20"/>
                <w:szCs w:val="20"/>
              </w:rPr>
              <w:tab/>
            </w:r>
            <w:r w:rsidRPr="00174877">
              <w:rPr>
                <w:rFonts w:cs="Arial"/>
                <w:sz w:val="20"/>
                <w:szCs w:val="20"/>
              </w:rPr>
              <w:t>financial project management,</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the Final version of the Master Plan</w:t>
            </w: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sidR="00DE7B7A">
              <w:rPr>
                <w:rFonts w:cs="Arial"/>
                <w:sz w:val="20"/>
                <w:szCs w:val="20"/>
              </w:rPr>
              <w:tab/>
            </w:r>
            <w:r>
              <w:rPr>
                <w:rFonts w:cs="Arial"/>
                <w:sz w:val="20"/>
                <w:szCs w:val="20"/>
              </w:rPr>
              <w:tab/>
            </w:r>
            <w:r w:rsidRPr="00174877">
              <w:rPr>
                <w:rFonts w:cs="Arial"/>
                <w:sz w:val="20"/>
                <w:szCs w:val="20"/>
              </w:rPr>
              <w:t>funding for maintenance and operations,</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Pr>
                <w:rFonts w:cs="Arial"/>
                <w:sz w:val="20"/>
                <w:szCs w:val="20"/>
              </w:rPr>
              <w:tab/>
            </w:r>
            <w:r w:rsidR="00DE7B7A">
              <w:rPr>
                <w:rFonts w:cs="Arial"/>
                <w:sz w:val="20"/>
                <w:szCs w:val="20"/>
              </w:rPr>
              <w:tab/>
            </w:r>
            <w:r w:rsidRPr="00174877">
              <w:rPr>
                <w:rFonts w:cs="Arial"/>
                <w:sz w:val="20"/>
                <w:szCs w:val="20"/>
              </w:rPr>
              <w:t>administrative burden and red tape,</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To be included in the Final version of the Master Plan</w:t>
            </w:r>
          </w:p>
        </w:tc>
      </w:tr>
      <w:tr w:rsidR="00361223" w:rsidRPr="002742DE" w:rsidTr="00EF7388">
        <w:tc>
          <w:tcPr>
            <w:tcW w:w="3048" w:type="pct"/>
          </w:tcPr>
          <w:p w:rsidR="00361223" w:rsidRPr="00174877" w:rsidRDefault="00361223">
            <w:pPr>
              <w:tabs>
                <w:tab w:val="left" w:pos="1120"/>
              </w:tabs>
              <w:spacing w:before="60"/>
              <w:rPr>
                <w:rFonts w:cs="Arial"/>
                <w:sz w:val="20"/>
                <w:szCs w:val="20"/>
              </w:rPr>
            </w:pPr>
            <w:r>
              <w:rPr>
                <w:rFonts w:cs="Arial"/>
                <w:sz w:val="20"/>
                <w:szCs w:val="20"/>
              </w:rPr>
              <w:tab/>
            </w:r>
            <w:r>
              <w:rPr>
                <w:rFonts w:cs="Arial"/>
                <w:sz w:val="20"/>
                <w:szCs w:val="20"/>
              </w:rPr>
              <w:tab/>
            </w:r>
            <w:r w:rsidR="00DE7B7A">
              <w:rPr>
                <w:rFonts w:cs="Arial"/>
                <w:sz w:val="20"/>
                <w:szCs w:val="20"/>
              </w:rPr>
              <w:tab/>
            </w:r>
            <w:proofErr w:type="gramStart"/>
            <w:r w:rsidRPr="00174877">
              <w:rPr>
                <w:rFonts w:cs="Arial"/>
                <w:sz w:val="20"/>
                <w:szCs w:val="20"/>
              </w:rPr>
              <w:t>managing</w:t>
            </w:r>
            <w:proofErr w:type="gramEnd"/>
            <w:r w:rsidRPr="00174877">
              <w:rPr>
                <w:rFonts w:cs="Arial"/>
                <w:sz w:val="20"/>
                <w:szCs w:val="20"/>
              </w:rPr>
              <w:t xml:space="preserve"> complex systems (ITS such as ETCS-ERTMS, VTMIS, RIS, emaritime services and air traffic management system).</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361223" w:rsidRPr="002742DE" w:rsidRDefault="00361223" w:rsidP="00DE269D">
            <w:pPr>
              <w:tabs>
                <w:tab w:val="left" w:pos="1120"/>
              </w:tabs>
              <w:spacing w:before="60"/>
              <w:rPr>
                <w:rFonts w:cs="Arial"/>
                <w:sz w:val="20"/>
                <w:szCs w:val="20"/>
              </w:rPr>
            </w:pP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They include training and appropriate internal procedures to monitor and identifiy potential delays and to ensure a smooth and effective procurement;</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361223" w:rsidRPr="002742DE" w:rsidRDefault="00361223" w:rsidP="00DE269D">
            <w:pPr>
              <w:tabs>
                <w:tab w:val="left" w:pos="1120"/>
              </w:tabs>
              <w:spacing w:before="60"/>
              <w:rPr>
                <w:rFonts w:cs="Arial"/>
                <w:sz w:val="20"/>
                <w:szCs w:val="20"/>
              </w:rPr>
            </w:pPr>
            <w:r>
              <w:rPr>
                <w:rFonts w:cs="Arial"/>
                <w:sz w:val="20"/>
                <w:szCs w:val="20"/>
              </w:rPr>
              <w:t>MT are still in the process of establishing new organizational structures</w:t>
            </w:r>
          </w:p>
        </w:tc>
      </w:tr>
      <w:tr w:rsidR="00361223" w:rsidRPr="002742DE" w:rsidTr="00EF7388">
        <w:tc>
          <w:tcPr>
            <w:tcW w:w="3048" w:type="pct"/>
          </w:tcPr>
          <w:p w:rsidR="00361223" w:rsidRPr="00174877"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A early warning system is in place to identify and solve any difficulties rising from intermediary bodies and beneficiairies when delivering the project pipeline;</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tcPr>
          <w:p w:rsidR="00361223" w:rsidRPr="002742DE" w:rsidRDefault="00361223" w:rsidP="00DE269D">
            <w:pPr>
              <w:tabs>
                <w:tab w:val="left" w:pos="1120"/>
              </w:tabs>
              <w:spacing w:before="60"/>
              <w:rPr>
                <w:rFonts w:cs="Arial"/>
                <w:sz w:val="20"/>
                <w:szCs w:val="20"/>
              </w:rPr>
            </w:pPr>
            <w:r w:rsidRPr="00D31E41">
              <w:rPr>
                <w:rFonts w:cs="Arial"/>
                <w:sz w:val="20"/>
                <w:szCs w:val="20"/>
              </w:rPr>
              <w:t>MT are still in the process of establishing new organizational structures</w:t>
            </w:r>
          </w:p>
        </w:tc>
      </w:tr>
      <w:tr w:rsidR="00361223" w:rsidRPr="002742DE" w:rsidTr="00EF7388">
        <w:tc>
          <w:tcPr>
            <w:tcW w:w="3048" w:type="pct"/>
          </w:tcPr>
          <w:p w:rsidR="00361223" w:rsidRPr="00B51601" w:rsidRDefault="00361223" w:rsidP="00DE269D">
            <w:pPr>
              <w:tabs>
                <w:tab w:val="left" w:pos="1120"/>
              </w:tabs>
              <w:spacing w:before="60"/>
              <w:rPr>
                <w:rFonts w:cs="Arial"/>
                <w:sz w:val="20"/>
                <w:szCs w:val="20"/>
              </w:rPr>
            </w:pPr>
            <w:r>
              <w:rPr>
                <w:rFonts w:cs="Arial"/>
                <w:sz w:val="20"/>
                <w:szCs w:val="20"/>
              </w:rPr>
              <w:tab/>
            </w:r>
            <w:r w:rsidRPr="00174877">
              <w:rPr>
                <w:rFonts w:cs="Arial"/>
                <w:sz w:val="20"/>
                <w:szCs w:val="20"/>
              </w:rPr>
              <w:t xml:space="preserve">Adequate assistance schemes are in </w:t>
            </w:r>
            <w:r w:rsidRPr="00B51601">
              <w:rPr>
                <w:rFonts w:cs="Arial"/>
                <w:sz w:val="20"/>
                <w:szCs w:val="20"/>
              </w:rPr>
              <w:t>place to help beneficiaries during procedure and</w:t>
            </w:r>
          </w:p>
          <w:p w:rsidR="00361223" w:rsidRPr="00174877" w:rsidRDefault="00361223" w:rsidP="00DE269D">
            <w:pPr>
              <w:tabs>
                <w:tab w:val="left" w:pos="1120"/>
              </w:tabs>
              <w:spacing w:before="60"/>
              <w:rPr>
                <w:rFonts w:cs="Arial"/>
                <w:sz w:val="20"/>
                <w:szCs w:val="20"/>
              </w:rPr>
            </w:pPr>
            <w:proofErr w:type="gramStart"/>
            <w:r w:rsidRPr="00B51601">
              <w:rPr>
                <w:rFonts w:cs="Arial"/>
                <w:sz w:val="20"/>
                <w:szCs w:val="20"/>
              </w:rPr>
              <w:t>implementation</w:t>
            </w:r>
            <w:proofErr w:type="gramEnd"/>
            <w:r w:rsidRPr="00B51601">
              <w:rPr>
                <w:rFonts w:cs="Arial"/>
                <w:sz w:val="20"/>
                <w:szCs w:val="20"/>
              </w:rPr>
              <w:t xml:space="preserve"> to be able to replace projects quickly when implementation is blocked.</w:t>
            </w:r>
          </w:p>
        </w:tc>
        <w:tc>
          <w:tcPr>
            <w:tcW w:w="364" w:type="pct"/>
            <w:vAlign w:val="center"/>
          </w:tcPr>
          <w:p w:rsidR="00361223" w:rsidRPr="002742DE" w:rsidRDefault="00361223" w:rsidP="00DE269D">
            <w:pPr>
              <w:tabs>
                <w:tab w:val="left" w:pos="1120"/>
              </w:tabs>
              <w:spacing w:before="60"/>
              <w:jc w:val="center"/>
              <w:rPr>
                <w:rFonts w:cs="Arial"/>
                <w:sz w:val="20"/>
                <w:szCs w:val="20"/>
              </w:rPr>
            </w:pPr>
            <w:r>
              <w:rPr>
                <w:rFonts w:cs="Arial"/>
                <w:sz w:val="20"/>
                <w:szCs w:val="20"/>
              </w:rPr>
              <w:t>NO</w:t>
            </w:r>
          </w:p>
        </w:tc>
        <w:tc>
          <w:tcPr>
            <w:tcW w:w="1589" w:type="pct"/>
          </w:tcPr>
          <w:p w:rsidR="00361223" w:rsidRPr="002742DE" w:rsidRDefault="00361223" w:rsidP="00DE269D">
            <w:pPr>
              <w:tabs>
                <w:tab w:val="left" w:pos="1120"/>
              </w:tabs>
              <w:spacing w:before="60"/>
              <w:rPr>
                <w:rFonts w:cs="Arial"/>
                <w:sz w:val="20"/>
                <w:szCs w:val="20"/>
              </w:rPr>
            </w:pPr>
            <w:r w:rsidRPr="00D31E41">
              <w:rPr>
                <w:rFonts w:cs="Arial"/>
                <w:sz w:val="20"/>
                <w:szCs w:val="20"/>
              </w:rPr>
              <w:t>MT are still in the process of establishing new organizational structures</w:t>
            </w:r>
          </w:p>
        </w:tc>
      </w:tr>
    </w:tbl>
    <w:p w:rsidR="0059217C" w:rsidRDefault="0059217C">
      <w:pPr>
        <w:rPr>
          <w:lang w:val="ro-RO"/>
        </w:rPr>
      </w:pPr>
    </w:p>
    <w:p w:rsidR="005B79D7" w:rsidRDefault="005B79D7" w:rsidP="005B79D7">
      <w:pPr>
        <w:rPr>
          <w:caps/>
          <w:sz w:val="21"/>
          <w:szCs w:val="21"/>
          <w:lang w:val="ro-RO"/>
        </w:rPr>
      </w:pPr>
    </w:p>
    <w:p w:rsidR="005B79D7" w:rsidRPr="00B909C0" w:rsidRDefault="005B79D7" w:rsidP="005B79D7">
      <w:pPr>
        <w:rPr>
          <w:caps/>
          <w:sz w:val="21"/>
          <w:szCs w:val="21"/>
          <w:lang w:val="ro-RO"/>
        </w:rPr>
        <w:sectPr w:rsidR="005B79D7" w:rsidRPr="00B909C0" w:rsidSect="005B79D7">
          <w:pgSz w:w="16840" w:h="11907" w:orient="landscape" w:code="9"/>
          <w:pgMar w:top="907" w:right="1134" w:bottom="709" w:left="1134" w:header="357" w:footer="567" w:gutter="0"/>
          <w:pgBorders w:offsetFrom="page">
            <w:top w:val="single" w:sz="4" w:space="24" w:color="auto"/>
            <w:left w:val="single" w:sz="4" w:space="24" w:color="auto"/>
            <w:bottom w:val="single" w:sz="4" w:space="24" w:color="auto"/>
            <w:right w:val="single" w:sz="4" w:space="24" w:color="auto"/>
          </w:pgBorders>
          <w:cols w:space="187"/>
          <w:docGrid w:linePitch="360"/>
        </w:sectPr>
      </w:pPr>
    </w:p>
    <w:p w:rsidR="005B79D7" w:rsidRDefault="005B79D7" w:rsidP="00A63B03">
      <w:pPr>
        <w:tabs>
          <w:tab w:val="left" w:pos="2070"/>
        </w:tabs>
      </w:pPr>
    </w:p>
    <w:p w:rsidR="005B79D7" w:rsidRPr="00C8675F" w:rsidRDefault="005B79D7" w:rsidP="00EF7388">
      <w:pPr>
        <w:pStyle w:val="Hdg1noTOC"/>
        <w:framePr w:h="961" w:wrap="notBeside" w:hAnchor="page" w:x="961" w:y="2941"/>
        <w:rPr>
          <w:color w:val="9E0880"/>
          <w:sz w:val="36"/>
          <w:szCs w:val="36"/>
        </w:rPr>
      </w:pPr>
      <w:r w:rsidRPr="00604286">
        <w:rPr>
          <w:color w:val="9E0880"/>
          <w:sz w:val="36"/>
          <w:szCs w:val="36"/>
        </w:rPr>
        <w:t>Table of Contents</w:t>
      </w:r>
    </w:p>
    <w:p w:rsidR="005B79D7" w:rsidRDefault="005B79D7" w:rsidP="00A63B03">
      <w:pPr>
        <w:tabs>
          <w:tab w:val="left" w:pos="2070"/>
        </w:tabs>
      </w:pPr>
    </w:p>
    <w:p w:rsidR="005B79D7" w:rsidRPr="00C8675F" w:rsidRDefault="005B79D7" w:rsidP="00A63B03">
      <w:pPr>
        <w:tabs>
          <w:tab w:val="left" w:pos="2070"/>
        </w:tabs>
        <w:sectPr w:rsidR="005B79D7" w:rsidRPr="00C8675F" w:rsidSect="00B12539">
          <w:headerReference w:type="default" r:id="rId24"/>
          <w:pgSz w:w="11907" w:h="16840" w:code="9"/>
          <w:pgMar w:top="-3640" w:right="709" w:bottom="1729" w:left="907" w:header="357" w:footer="567" w:gutter="0"/>
          <w:cols w:space="720"/>
          <w:vAlign w:val="bottom"/>
          <w:docGrid w:linePitch="360"/>
        </w:sectPr>
      </w:pPr>
    </w:p>
    <w:p w:rsidR="00336277" w:rsidRDefault="00AD41C6">
      <w:pPr>
        <w:pStyle w:val="TOC1"/>
        <w:rPr>
          <w:rFonts w:asciiTheme="minorHAnsi" w:eastAsiaTheme="minorEastAsia" w:hAnsiTheme="minorHAnsi" w:cstheme="minorBidi"/>
          <w:b w:val="0"/>
          <w:noProof/>
          <w:sz w:val="22"/>
          <w:szCs w:val="22"/>
          <w:lang w:val="en-US"/>
        </w:rPr>
      </w:pPr>
      <w:r>
        <w:rPr>
          <w:caps/>
          <w:color w:val="5F497A" w:themeColor="accent4" w:themeShade="BF"/>
        </w:rPr>
        <w:fldChar w:fldCharType="begin"/>
      </w:r>
      <w:r w:rsidR="0049129B">
        <w:rPr>
          <w:caps/>
          <w:color w:val="5F497A" w:themeColor="accent4" w:themeShade="BF"/>
        </w:rPr>
        <w:instrText xml:space="preserve"> TOC \o "1-2" \h \z \u </w:instrText>
      </w:r>
      <w:r>
        <w:rPr>
          <w:caps/>
          <w:color w:val="5F497A" w:themeColor="accent4" w:themeShade="BF"/>
        </w:rPr>
        <w:fldChar w:fldCharType="separate"/>
      </w:r>
      <w:hyperlink w:anchor="_Toc413056025" w:history="1">
        <w:r w:rsidR="00336277" w:rsidRPr="00B57459">
          <w:rPr>
            <w:rStyle w:val="Hyperlink"/>
            <w:noProof/>
          </w:rPr>
          <w:t>Glossary and Terminology</w:t>
        </w:r>
        <w:r w:rsidR="00336277">
          <w:rPr>
            <w:noProof/>
            <w:webHidden/>
          </w:rPr>
          <w:tab/>
        </w:r>
        <w:r w:rsidR="00336277">
          <w:rPr>
            <w:noProof/>
            <w:webHidden/>
          </w:rPr>
          <w:fldChar w:fldCharType="begin"/>
        </w:r>
        <w:r w:rsidR="00336277">
          <w:rPr>
            <w:noProof/>
            <w:webHidden/>
          </w:rPr>
          <w:instrText xml:space="preserve"> PAGEREF _Toc413056025 \h </w:instrText>
        </w:r>
        <w:r w:rsidR="00336277">
          <w:rPr>
            <w:noProof/>
            <w:webHidden/>
          </w:rPr>
        </w:r>
        <w:r w:rsidR="00336277">
          <w:rPr>
            <w:noProof/>
            <w:webHidden/>
          </w:rPr>
          <w:fldChar w:fldCharType="separate"/>
        </w:r>
        <w:r w:rsidR="00336277">
          <w:rPr>
            <w:noProof/>
            <w:webHidden/>
          </w:rPr>
          <w:t>11</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26" w:history="1">
        <w:r w:rsidR="00336277" w:rsidRPr="00B57459">
          <w:rPr>
            <w:rStyle w:val="Hyperlink"/>
            <w:noProof/>
          </w:rPr>
          <w:t>1</w:t>
        </w:r>
        <w:r w:rsidR="00336277">
          <w:rPr>
            <w:rFonts w:asciiTheme="minorHAnsi" w:eastAsiaTheme="minorEastAsia" w:hAnsiTheme="minorHAnsi" w:cstheme="minorBidi"/>
            <w:b w:val="0"/>
            <w:noProof/>
            <w:sz w:val="22"/>
            <w:szCs w:val="22"/>
            <w:lang w:val="en-US"/>
          </w:rPr>
          <w:tab/>
        </w:r>
        <w:r w:rsidR="00336277" w:rsidRPr="00B57459">
          <w:rPr>
            <w:rStyle w:val="Hyperlink"/>
            <w:noProof/>
          </w:rPr>
          <w:t>Introduction</w:t>
        </w:r>
        <w:r w:rsidR="00336277">
          <w:rPr>
            <w:noProof/>
            <w:webHidden/>
          </w:rPr>
          <w:tab/>
        </w:r>
        <w:r w:rsidR="00336277">
          <w:rPr>
            <w:noProof/>
            <w:webHidden/>
          </w:rPr>
          <w:fldChar w:fldCharType="begin"/>
        </w:r>
        <w:r w:rsidR="00336277">
          <w:rPr>
            <w:noProof/>
            <w:webHidden/>
          </w:rPr>
          <w:instrText xml:space="preserve"> PAGEREF _Toc413056026 \h </w:instrText>
        </w:r>
        <w:r w:rsidR="00336277">
          <w:rPr>
            <w:noProof/>
            <w:webHidden/>
          </w:rPr>
        </w:r>
        <w:r w:rsidR="00336277">
          <w:rPr>
            <w:noProof/>
            <w:webHidden/>
          </w:rPr>
          <w:fldChar w:fldCharType="separate"/>
        </w:r>
        <w:r w:rsidR="00336277">
          <w:rPr>
            <w:noProof/>
            <w:webHidden/>
          </w:rPr>
          <w:t>13</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27" w:history="1">
        <w:r w:rsidR="00336277" w:rsidRPr="00B57459">
          <w:rPr>
            <w:rStyle w:val="Hyperlink"/>
            <w:noProof/>
          </w:rPr>
          <w:t>2</w:t>
        </w:r>
        <w:r w:rsidR="00336277">
          <w:rPr>
            <w:rFonts w:asciiTheme="minorHAnsi" w:eastAsiaTheme="minorEastAsia" w:hAnsiTheme="minorHAnsi" w:cstheme="minorBidi"/>
            <w:b w:val="0"/>
            <w:noProof/>
            <w:sz w:val="22"/>
            <w:szCs w:val="22"/>
            <w:lang w:val="en-US"/>
          </w:rPr>
          <w:tab/>
        </w:r>
        <w:r w:rsidR="00336277" w:rsidRPr="00B57459">
          <w:rPr>
            <w:rStyle w:val="Hyperlink"/>
            <w:noProof/>
          </w:rPr>
          <w:t>Methodology</w:t>
        </w:r>
        <w:r w:rsidR="00336277">
          <w:rPr>
            <w:noProof/>
            <w:webHidden/>
          </w:rPr>
          <w:tab/>
        </w:r>
        <w:r w:rsidR="00336277">
          <w:rPr>
            <w:noProof/>
            <w:webHidden/>
          </w:rPr>
          <w:fldChar w:fldCharType="begin"/>
        </w:r>
        <w:r w:rsidR="00336277">
          <w:rPr>
            <w:noProof/>
            <w:webHidden/>
          </w:rPr>
          <w:instrText xml:space="preserve"> PAGEREF _Toc413056027 \h </w:instrText>
        </w:r>
        <w:r w:rsidR="00336277">
          <w:rPr>
            <w:noProof/>
            <w:webHidden/>
          </w:rPr>
        </w:r>
        <w:r w:rsidR="00336277">
          <w:rPr>
            <w:noProof/>
            <w:webHidden/>
          </w:rPr>
          <w:fldChar w:fldCharType="separate"/>
        </w:r>
        <w:r w:rsidR="00336277">
          <w:rPr>
            <w:noProof/>
            <w:webHidden/>
          </w:rPr>
          <w:t>16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28" w:history="1">
        <w:r w:rsidR="00336277" w:rsidRPr="00B57459">
          <w:rPr>
            <w:rStyle w:val="Hyperlink"/>
            <w:noProof/>
          </w:rPr>
          <w:t>2.1</w:t>
        </w:r>
        <w:r w:rsidR="00336277">
          <w:rPr>
            <w:rFonts w:asciiTheme="minorHAnsi" w:eastAsiaTheme="minorEastAsia" w:hAnsiTheme="minorHAnsi" w:cstheme="minorBidi"/>
            <w:noProof/>
            <w:sz w:val="22"/>
            <w:szCs w:val="22"/>
            <w:lang w:val="en-US"/>
          </w:rPr>
          <w:tab/>
        </w:r>
        <w:r w:rsidR="00336277" w:rsidRPr="00B57459">
          <w:rPr>
            <w:rStyle w:val="Hyperlink"/>
            <w:noProof/>
          </w:rPr>
          <w:t>Overall Methodology</w:t>
        </w:r>
        <w:r w:rsidR="00336277">
          <w:rPr>
            <w:noProof/>
            <w:webHidden/>
          </w:rPr>
          <w:tab/>
        </w:r>
        <w:r w:rsidR="00336277">
          <w:rPr>
            <w:noProof/>
            <w:webHidden/>
          </w:rPr>
          <w:fldChar w:fldCharType="begin"/>
        </w:r>
        <w:r w:rsidR="00336277">
          <w:rPr>
            <w:noProof/>
            <w:webHidden/>
          </w:rPr>
          <w:instrText xml:space="preserve"> PAGEREF _Toc413056028 \h </w:instrText>
        </w:r>
        <w:r w:rsidR="00336277">
          <w:rPr>
            <w:noProof/>
            <w:webHidden/>
          </w:rPr>
        </w:r>
        <w:r w:rsidR="00336277">
          <w:rPr>
            <w:noProof/>
            <w:webHidden/>
          </w:rPr>
          <w:fldChar w:fldCharType="separate"/>
        </w:r>
        <w:r w:rsidR="00336277">
          <w:rPr>
            <w:noProof/>
            <w:webHidden/>
          </w:rPr>
          <w:t>16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29" w:history="1">
        <w:r w:rsidR="00336277" w:rsidRPr="00B57459">
          <w:rPr>
            <w:rStyle w:val="Hyperlink"/>
            <w:noProof/>
          </w:rPr>
          <w:t>2.2</w:t>
        </w:r>
        <w:r w:rsidR="00336277">
          <w:rPr>
            <w:rFonts w:asciiTheme="minorHAnsi" w:eastAsiaTheme="minorEastAsia" w:hAnsiTheme="minorHAnsi" w:cstheme="minorBidi"/>
            <w:noProof/>
            <w:sz w:val="22"/>
            <w:szCs w:val="22"/>
            <w:lang w:val="en-US"/>
          </w:rPr>
          <w:tab/>
        </w:r>
        <w:r w:rsidR="00336277" w:rsidRPr="00B57459">
          <w:rPr>
            <w:rStyle w:val="Hyperlink"/>
            <w:noProof/>
          </w:rPr>
          <w:t>Objective setting</w:t>
        </w:r>
        <w:r w:rsidR="00336277">
          <w:rPr>
            <w:noProof/>
            <w:webHidden/>
          </w:rPr>
          <w:tab/>
        </w:r>
        <w:r w:rsidR="00336277">
          <w:rPr>
            <w:noProof/>
            <w:webHidden/>
          </w:rPr>
          <w:fldChar w:fldCharType="begin"/>
        </w:r>
        <w:r w:rsidR="00336277">
          <w:rPr>
            <w:noProof/>
            <w:webHidden/>
          </w:rPr>
          <w:instrText xml:space="preserve"> PAGEREF _Toc413056029 \h </w:instrText>
        </w:r>
        <w:r w:rsidR="00336277">
          <w:rPr>
            <w:noProof/>
            <w:webHidden/>
          </w:rPr>
        </w:r>
        <w:r w:rsidR="00336277">
          <w:rPr>
            <w:noProof/>
            <w:webHidden/>
          </w:rPr>
          <w:fldChar w:fldCharType="separate"/>
        </w:r>
        <w:r w:rsidR="00336277">
          <w:rPr>
            <w:noProof/>
            <w:webHidden/>
          </w:rPr>
          <w:t>17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0" w:history="1">
        <w:r w:rsidR="00336277" w:rsidRPr="00B57459">
          <w:rPr>
            <w:rStyle w:val="Hyperlink"/>
            <w:noProof/>
          </w:rPr>
          <w:t>2.3</w:t>
        </w:r>
        <w:r w:rsidR="00336277">
          <w:rPr>
            <w:rFonts w:asciiTheme="minorHAnsi" w:eastAsiaTheme="minorEastAsia" w:hAnsiTheme="minorHAnsi" w:cstheme="minorBidi"/>
            <w:noProof/>
            <w:sz w:val="22"/>
            <w:szCs w:val="22"/>
            <w:lang w:val="en-US"/>
          </w:rPr>
          <w:tab/>
        </w:r>
        <w:r w:rsidR="00336277" w:rsidRPr="00B57459">
          <w:rPr>
            <w:rStyle w:val="Hyperlink"/>
            <w:noProof/>
          </w:rPr>
          <w:t>Identifying the Problems and Defining the Interventions</w:t>
        </w:r>
        <w:r w:rsidR="00336277">
          <w:rPr>
            <w:noProof/>
            <w:webHidden/>
          </w:rPr>
          <w:tab/>
        </w:r>
        <w:r w:rsidR="00336277">
          <w:rPr>
            <w:noProof/>
            <w:webHidden/>
          </w:rPr>
          <w:fldChar w:fldCharType="begin"/>
        </w:r>
        <w:r w:rsidR="00336277">
          <w:rPr>
            <w:noProof/>
            <w:webHidden/>
          </w:rPr>
          <w:instrText xml:space="preserve"> PAGEREF _Toc413056030 \h </w:instrText>
        </w:r>
        <w:r w:rsidR="00336277">
          <w:rPr>
            <w:noProof/>
            <w:webHidden/>
          </w:rPr>
        </w:r>
        <w:r w:rsidR="00336277">
          <w:rPr>
            <w:noProof/>
            <w:webHidden/>
          </w:rPr>
          <w:fldChar w:fldCharType="separate"/>
        </w:r>
        <w:r w:rsidR="00336277">
          <w:rPr>
            <w:noProof/>
            <w:webHidden/>
          </w:rPr>
          <w:t>23</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1" w:history="1">
        <w:r w:rsidR="00336277" w:rsidRPr="00B57459">
          <w:rPr>
            <w:rStyle w:val="Hyperlink"/>
            <w:noProof/>
          </w:rPr>
          <w:t>2.4</w:t>
        </w:r>
        <w:r w:rsidR="00336277">
          <w:rPr>
            <w:rFonts w:asciiTheme="minorHAnsi" w:eastAsiaTheme="minorEastAsia" w:hAnsiTheme="minorHAnsi" w:cstheme="minorBidi"/>
            <w:noProof/>
            <w:sz w:val="22"/>
            <w:szCs w:val="22"/>
            <w:lang w:val="en-US"/>
          </w:rPr>
          <w:tab/>
        </w:r>
        <w:r w:rsidR="00336277" w:rsidRPr="00B57459">
          <w:rPr>
            <w:rStyle w:val="Hyperlink"/>
            <w:noProof/>
          </w:rPr>
          <w:t>The National Transport Model</w:t>
        </w:r>
        <w:r w:rsidR="00336277">
          <w:rPr>
            <w:noProof/>
            <w:webHidden/>
          </w:rPr>
          <w:tab/>
        </w:r>
        <w:r w:rsidR="00336277">
          <w:rPr>
            <w:noProof/>
            <w:webHidden/>
          </w:rPr>
          <w:fldChar w:fldCharType="begin"/>
        </w:r>
        <w:r w:rsidR="00336277">
          <w:rPr>
            <w:noProof/>
            <w:webHidden/>
          </w:rPr>
          <w:instrText xml:space="preserve"> PAGEREF _Toc413056031 \h </w:instrText>
        </w:r>
        <w:r w:rsidR="00336277">
          <w:rPr>
            <w:noProof/>
            <w:webHidden/>
          </w:rPr>
        </w:r>
        <w:r w:rsidR="00336277">
          <w:rPr>
            <w:noProof/>
            <w:webHidden/>
          </w:rPr>
          <w:fldChar w:fldCharType="separate"/>
        </w:r>
        <w:r w:rsidR="00336277">
          <w:rPr>
            <w:noProof/>
            <w:webHidden/>
          </w:rPr>
          <w:t>26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2" w:history="1">
        <w:r w:rsidR="00336277" w:rsidRPr="00B57459">
          <w:rPr>
            <w:rStyle w:val="Hyperlink"/>
            <w:noProof/>
          </w:rPr>
          <w:t>2.5</w:t>
        </w:r>
        <w:r w:rsidR="00336277">
          <w:rPr>
            <w:rFonts w:asciiTheme="minorHAnsi" w:eastAsiaTheme="minorEastAsia" w:hAnsiTheme="minorHAnsi" w:cstheme="minorBidi"/>
            <w:noProof/>
            <w:sz w:val="22"/>
            <w:szCs w:val="22"/>
            <w:lang w:val="en-US"/>
          </w:rPr>
          <w:tab/>
        </w:r>
        <w:r w:rsidR="00336277" w:rsidRPr="00B57459">
          <w:rPr>
            <w:rStyle w:val="Hyperlink"/>
            <w:noProof/>
          </w:rPr>
          <w:t>Cost-Benefit Analysis</w:t>
        </w:r>
        <w:r w:rsidR="00336277">
          <w:rPr>
            <w:noProof/>
            <w:webHidden/>
          </w:rPr>
          <w:tab/>
        </w:r>
        <w:r w:rsidR="00336277">
          <w:rPr>
            <w:noProof/>
            <w:webHidden/>
          </w:rPr>
          <w:fldChar w:fldCharType="begin"/>
        </w:r>
        <w:r w:rsidR="00336277">
          <w:rPr>
            <w:noProof/>
            <w:webHidden/>
          </w:rPr>
          <w:instrText xml:space="preserve"> PAGEREF _Toc413056032 \h </w:instrText>
        </w:r>
        <w:r w:rsidR="00336277">
          <w:rPr>
            <w:noProof/>
            <w:webHidden/>
          </w:rPr>
        </w:r>
        <w:r w:rsidR="00336277">
          <w:rPr>
            <w:noProof/>
            <w:webHidden/>
          </w:rPr>
          <w:fldChar w:fldCharType="separate"/>
        </w:r>
        <w:r w:rsidR="00336277">
          <w:rPr>
            <w:noProof/>
            <w:webHidden/>
          </w:rPr>
          <w:t>49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3" w:history="1">
        <w:r w:rsidR="00336277" w:rsidRPr="00B57459">
          <w:rPr>
            <w:rStyle w:val="Hyperlink"/>
            <w:noProof/>
          </w:rPr>
          <w:t>2.6</w:t>
        </w:r>
        <w:r w:rsidR="00336277">
          <w:rPr>
            <w:rFonts w:asciiTheme="minorHAnsi" w:eastAsiaTheme="minorEastAsia" w:hAnsiTheme="minorHAnsi" w:cstheme="minorBidi"/>
            <w:noProof/>
            <w:sz w:val="22"/>
            <w:szCs w:val="22"/>
            <w:lang w:val="en-US"/>
          </w:rPr>
          <w:tab/>
        </w:r>
        <w:r w:rsidR="00336277" w:rsidRPr="00B57459">
          <w:rPr>
            <w:rStyle w:val="Hyperlink"/>
            <w:noProof/>
          </w:rPr>
          <w:t>Prioritisation of Projects</w:t>
        </w:r>
        <w:r w:rsidR="00336277">
          <w:rPr>
            <w:noProof/>
            <w:webHidden/>
          </w:rPr>
          <w:tab/>
        </w:r>
        <w:r w:rsidR="00336277">
          <w:rPr>
            <w:noProof/>
            <w:webHidden/>
          </w:rPr>
          <w:fldChar w:fldCharType="begin"/>
        </w:r>
        <w:r w:rsidR="00336277">
          <w:rPr>
            <w:noProof/>
            <w:webHidden/>
          </w:rPr>
          <w:instrText xml:space="preserve"> PAGEREF _Toc413056033 \h </w:instrText>
        </w:r>
        <w:r w:rsidR="00336277">
          <w:rPr>
            <w:noProof/>
            <w:webHidden/>
          </w:rPr>
        </w:r>
        <w:r w:rsidR="00336277">
          <w:rPr>
            <w:noProof/>
            <w:webHidden/>
          </w:rPr>
          <w:fldChar w:fldCharType="separate"/>
        </w:r>
        <w:r w:rsidR="00336277">
          <w:rPr>
            <w:noProof/>
            <w:webHidden/>
          </w:rPr>
          <w:t>54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4" w:history="1">
        <w:r w:rsidR="00336277" w:rsidRPr="00B57459">
          <w:rPr>
            <w:rStyle w:val="Hyperlink"/>
            <w:noProof/>
          </w:rPr>
          <w:t>2.7</w:t>
        </w:r>
        <w:r w:rsidR="00336277">
          <w:rPr>
            <w:rFonts w:asciiTheme="minorHAnsi" w:eastAsiaTheme="minorEastAsia" w:hAnsiTheme="minorHAnsi" w:cstheme="minorBidi"/>
            <w:noProof/>
            <w:sz w:val="22"/>
            <w:szCs w:val="22"/>
            <w:lang w:val="en-US"/>
          </w:rPr>
          <w:tab/>
        </w:r>
        <w:r w:rsidR="00336277" w:rsidRPr="00B57459">
          <w:rPr>
            <w:rStyle w:val="Hyperlink"/>
            <w:noProof/>
          </w:rPr>
          <w:t>Ex-Ante Conditionalities</w:t>
        </w:r>
        <w:r w:rsidR="00336277">
          <w:rPr>
            <w:noProof/>
            <w:webHidden/>
          </w:rPr>
          <w:tab/>
        </w:r>
        <w:r w:rsidR="00336277">
          <w:rPr>
            <w:noProof/>
            <w:webHidden/>
          </w:rPr>
          <w:fldChar w:fldCharType="begin"/>
        </w:r>
        <w:r w:rsidR="00336277">
          <w:rPr>
            <w:noProof/>
            <w:webHidden/>
          </w:rPr>
          <w:instrText xml:space="preserve"> PAGEREF _Toc413056034 \h </w:instrText>
        </w:r>
        <w:r w:rsidR="00336277">
          <w:rPr>
            <w:noProof/>
            <w:webHidden/>
          </w:rPr>
        </w:r>
        <w:r w:rsidR="00336277">
          <w:rPr>
            <w:noProof/>
            <w:webHidden/>
          </w:rPr>
          <w:fldChar w:fldCharType="separate"/>
        </w:r>
        <w:r w:rsidR="00336277">
          <w:rPr>
            <w:noProof/>
            <w:webHidden/>
          </w:rPr>
          <w:t>60</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35" w:history="1">
        <w:r w:rsidR="00336277" w:rsidRPr="00B57459">
          <w:rPr>
            <w:rStyle w:val="Hyperlink"/>
            <w:noProof/>
          </w:rPr>
          <w:t>3</w:t>
        </w:r>
        <w:r w:rsidR="00336277">
          <w:rPr>
            <w:rFonts w:asciiTheme="minorHAnsi" w:eastAsiaTheme="minorEastAsia" w:hAnsiTheme="minorHAnsi" w:cstheme="minorBidi"/>
            <w:b w:val="0"/>
            <w:noProof/>
            <w:sz w:val="22"/>
            <w:szCs w:val="22"/>
            <w:lang w:val="en-US"/>
          </w:rPr>
          <w:tab/>
        </w:r>
        <w:r w:rsidR="00336277" w:rsidRPr="00B57459">
          <w:rPr>
            <w:rStyle w:val="Hyperlink"/>
            <w:noProof/>
          </w:rPr>
          <w:t>Existing Situation and Recent Transport Trends in Romania and Europe</w:t>
        </w:r>
        <w:r w:rsidR="00336277">
          <w:rPr>
            <w:noProof/>
            <w:webHidden/>
          </w:rPr>
          <w:tab/>
        </w:r>
        <w:r w:rsidR="00336277">
          <w:rPr>
            <w:noProof/>
            <w:webHidden/>
          </w:rPr>
          <w:fldChar w:fldCharType="begin"/>
        </w:r>
        <w:r w:rsidR="00336277">
          <w:rPr>
            <w:noProof/>
            <w:webHidden/>
          </w:rPr>
          <w:instrText xml:space="preserve"> PAGEREF _Toc413056035 \h </w:instrText>
        </w:r>
        <w:r w:rsidR="00336277">
          <w:rPr>
            <w:noProof/>
            <w:webHidden/>
          </w:rPr>
        </w:r>
        <w:r w:rsidR="00336277">
          <w:rPr>
            <w:noProof/>
            <w:webHidden/>
          </w:rPr>
          <w:fldChar w:fldCharType="separate"/>
        </w:r>
        <w:r w:rsidR="00336277">
          <w:rPr>
            <w:noProof/>
            <w:webHidden/>
          </w:rPr>
          <w:t>66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6" w:history="1">
        <w:r w:rsidR="00336277" w:rsidRPr="00B57459">
          <w:rPr>
            <w:rStyle w:val="Hyperlink"/>
            <w:noProof/>
          </w:rPr>
          <w:t>3.1</w:t>
        </w:r>
        <w:r w:rsidR="00336277">
          <w:rPr>
            <w:rFonts w:asciiTheme="minorHAnsi" w:eastAsiaTheme="minorEastAsia" w:hAnsiTheme="minorHAnsi" w:cstheme="minorBidi"/>
            <w:noProof/>
            <w:sz w:val="22"/>
            <w:szCs w:val="22"/>
            <w:lang w:val="en-US"/>
          </w:rPr>
          <w:tab/>
        </w:r>
        <w:r w:rsidR="00336277" w:rsidRPr="00B57459">
          <w:rPr>
            <w:rStyle w:val="Hyperlink"/>
            <w:noProof/>
          </w:rPr>
          <w:t>GTMP Relation with the Relevant EU Transport Policy Documents</w:t>
        </w:r>
        <w:r w:rsidR="00336277">
          <w:rPr>
            <w:noProof/>
            <w:webHidden/>
          </w:rPr>
          <w:tab/>
        </w:r>
        <w:r w:rsidR="00336277">
          <w:rPr>
            <w:noProof/>
            <w:webHidden/>
          </w:rPr>
          <w:fldChar w:fldCharType="begin"/>
        </w:r>
        <w:r w:rsidR="00336277">
          <w:rPr>
            <w:noProof/>
            <w:webHidden/>
          </w:rPr>
          <w:instrText xml:space="preserve"> PAGEREF _Toc413056036 \h </w:instrText>
        </w:r>
        <w:r w:rsidR="00336277">
          <w:rPr>
            <w:noProof/>
            <w:webHidden/>
          </w:rPr>
        </w:r>
        <w:r w:rsidR="00336277">
          <w:rPr>
            <w:noProof/>
            <w:webHidden/>
          </w:rPr>
          <w:fldChar w:fldCharType="separate"/>
        </w:r>
        <w:r w:rsidR="00336277">
          <w:rPr>
            <w:noProof/>
            <w:webHidden/>
          </w:rPr>
          <w:t>66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7" w:history="1">
        <w:r w:rsidR="00336277" w:rsidRPr="00B57459">
          <w:rPr>
            <w:rStyle w:val="Hyperlink"/>
            <w:noProof/>
          </w:rPr>
          <w:t>3.2</w:t>
        </w:r>
        <w:r w:rsidR="00336277">
          <w:rPr>
            <w:rFonts w:asciiTheme="minorHAnsi" w:eastAsiaTheme="minorEastAsia" w:hAnsiTheme="minorHAnsi" w:cstheme="minorBidi"/>
            <w:noProof/>
            <w:sz w:val="22"/>
            <w:szCs w:val="22"/>
            <w:lang w:val="en-US"/>
          </w:rPr>
          <w:tab/>
        </w:r>
        <w:r w:rsidR="00336277" w:rsidRPr="00B57459">
          <w:rPr>
            <w:rStyle w:val="Hyperlink"/>
            <w:noProof/>
          </w:rPr>
          <w:t>Road Transport Trends in European Context</w:t>
        </w:r>
        <w:r w:rsidR="00336277">
          <w:rPr>
            <w:noProof/>
            <w:webHidden/>
          </w:rPr>
          <w:tab/>
        </w:r>
        <w:r w:rsidR="00336277">
          <w:rPr>
            <w:noProof/>
            <w:webHidden/>
          </w:rPr>
          <w:fldChar w:fldCharType="begin"/>
        </w:r>
        <w:r w:rsidR="00336277">
          <w:rPr>
            <w:noProof/>
            <w:webHidden/>
          </w:rPr>
          <w:instrText xml:space="preserve"> PAGEREF _Toc413056037 \h </w:instrText>
        </w:r>
        <w:r w:rsidR="00336277">
          <w:rPr>
            <w:noProof/>
            <w:webHidden/>
          </w:rPr>
        </w:r>
        <w:r w:rsidR="00336277">
          <w:rPr>
            <w:noProof/>
            <w:webHidden/>
          </w:rPr>
          <w:fldChar w:fldCharType="separate"/>
        </w:r>
        <w:r w:rsidR="00336277">
          <w:rPr>
            <w:noProof/>
            <w:webHidden/>
          </w:rPr>
          <w:t>74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8" w:history="1">
        <w:r w:rsidR="00336277" w:rsidRPr="00B57459">
          <w:rPr>
            <w:rStyle w:val="Hyperlink"/>
            <w:noProof/>
          </w:rPr>
          <w:t>3.3</w:t>
        </w:r>
        <w:r w:rsidR="00336277">
          <w:rPr>
            <w:rFonts w:asciiTheme="minorHAnsi" w:eastAsiaTheme="minorEastAsia" w:hAnsiTheme="minorHAnsi" w:cstheme="minorBidi"/>
            <w:noProof/>
            <w:sz w:val="22"/>
            <w:szCs w:val="22"/>
            <w:lang w:val="en-US"/>
          </w:rPr>
          <w:tab/>
        </w:r>
        <w:r w:rsidR="00336277" w:rsidRPr="00B57459">
          <w:rPr>
            <w:rStyle w:val="Hyperlink"/>
            <w:noProof/>
          </w:rPr>
          <w:t>Rail Transport Trends in European Context</w:t>
        </w:r>
        <w:r w:rsidR="00336277">
          <w:rPr>
            <w:noProof/>
            <w:webHidden/>
          </w:rPr>
          <w:tab/>
        </w:r>
        <w:r w:rsidR="00336277">
          <w:rPr>
            <w:noProof/>
            <w:webHidden/>
          </w:rPr>
          <w:fldChar w:fldCharType="begin"/>
        </w:r>
        <w:r w:rsidR="00336277">
          <w:rPr>
            <w:noProof/>
            <w:webHidden/>
          </w:rPr>
          <w:instrText xml:space="preserve"> PAGEREF _Toc413056038 \h </w:instrText>
        </w:r>
        <w:r w:rsidR="00336277">
          <w:rPr>
            <w:noProof/>
            <w:webHidden/>
          </w:rPr>
        </w:r>
        <w:r w:rsidR="00336277">
          <w:rPr>
            <w:noProof/>
            <w:webHidden/>
          </w:rPr>
          <w:fldChar w:fldCharType="separate"/>
        </w:r>
        <w:r w:rsidR="00336277">
          <w:rPr>
            <w:noProof/>
            <w:webHidden/>
          </w:rPr>
          <w:t>79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39" w:history="1">
        <w:r w:rsidR="00336277" w:rsidRPr="00B57459">
          <w:rPr>
            <w:rStyle w:val="Hyperlink"/>
            <w:noProof/>
          </w:rPr>
          <w:t>3.4</w:t>
        </w:r>
        <w:r w:rsidR="00336277">
          <w:rPr>
            <w:rFonts w:asciiTheme="minorHAnsi" w:eastAsiaTheme="minorEastAsia" w:hAnsiTheme="minorHAnsi" w:cstheme="minorBidi"/>
            <w:noProof/>
            <w:sz w:val="22"/>
            <w:szCs w:val="22"/>
            <w:lang w:val="en-US"/>
          </w:rPr>
          <w:tab/>
        </w:r>
        <w:r w:rsidR="00336277" w:rsidRPr="00B57459">
          <w:rPr>
            <w:rStyle w:val="Hyperlink"/>
            <w:noProof/>
          </w:rPr>
          <w:t>Ports and Waterways Trends in European Context</w:t>
        </w:r>
        <w:r w:rsidR="00336277">
          <w:rPr>
            <w:noProof/>
            <w:webHidden/>
          </w:rPr>
          <w:tab/>
        </w:r>
        <w:r w:rsidR="00336277">
          <w:rPr>
            <w:noProof/>
            <w:webHidden/>
          </w:rPr>
          <w:fldChar w:fldCharType="begin"/>
        </w:r>
        <w:r w:rsidR="00336277">
          <w:rPr>
            <w:noProof/>
            <w:webHidden/>
          </w:rPr>
          <w:instrText xml:space="preserve"> PAGEREF _Toc413056039 \h </w:instrText>
        </w:r>
        <w:r w:rsidR="00336277">
          <w:rPr>
            <w:noProof/>
            <w:webHidden/>
          </w:rPr>
        </w:r>
        <w:r w:rsidR="00336277">
          <w:rPr>
            <w:noProof/>
            <w:webHidden/>
          </w:rPr>
          <w:fldChar w:fldCharType="separate"/>
        </w:r>
        <w:r w:rsidR="00336277">
          <w:rPr>
            <w:noProof/>
            <w:webHidden/>
          </w:rPr>
          <w:t>85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0" w:history="1">
        <w:r w:rsidR="00336277" w:rsidRPr="00B57459">
          <w:rPr>
            <w:rStyle w:val="Hyperlink"/>
            <w:noProof/>
          </w:rPr>
          <w:t>3.5</w:t>
        </w:r>
        <w:r w:rsidR="00336277">
          <w:rPr>
            <w:rFonts w:asciiTheme="minorHAnsi" w:eastAsiaTheme="minorEastAsia" w:hAnsiTheme="minorHAnsi" w:cstheme="minorBidi"/>
            <w:noProof/>
            <w:sz w:val="22"/>
            <w:szCs w:val="22"/>
            <w:lang w:val="en-US"/>
          </w:rPr>
          <w:tab/>
        </w:r>
        <w:r w:rsidR="00336277" w:rsidRPr="00B57459">
          <w:rPr>
            <w:rStyle w:val="Hyperlink"/>
            <w:noProof/>
          </w:rPr>
          <w:t>Aviation Trends in European Context</w:t>
        </w:r>
        <w:r w:rsidR="00336277">
          <w:rPr>
            <w:noProof/>
            <w:webHidden/>
          </w:rPr>
          <w:tab/>
        </w:r>
        <w:r w:rsidR="00336277">
          <w:rPr>
            <w:noProof/>
            <w:webHidden/>
          </w:rPr>
          <w:fldChar w:fldCharType="begin"/>
        </w:r>
        <w:r w:rsidR="00336277">
          <w:rPr>
            <w:noProof/>
            <w:webHidden/>
          </w:rPr>
          <w:instrText xml:space="preserve"> PAGEREF _Toc413056040 \h </w:instrText>
        </w:r>
        <w:r w:rsidR="00336277">
          <w:rPr>
            <w:noProof/>
            <w:webHidden/>
          </w:rPr>
        </w:r>
        <w:r w:rsidR="00336277">
          <w:rPr>
            <w:noProof/>
            <w:webHidden/>
          </w:rPr>
          <w:fldChar w:fldCharType="separate"/>
        </w:r>
        <w:r w:rsidR="00336277">
          <w:rPr>
            <w:noProof/>
            <w:webHidden/>
          </w:rPr>
          <w:t>88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1" w:history="1">
        <w:r w:rsidR="00336277" w:rsidRPr="00B57459">
          <w:rPr>
            <w:rStyle w:val="Hyperlink"/>
            <w:noProof/>
          </w:rPr>
          <w:t>3.6</w:t>
        </w:r>
        <w:r w:rsidR="00336277">
          <w:rPr>
            <w:rFonts w:asciiTheme="minorHAnsi" w:eastAsiaTheme="minorEastAsia" w:hAnsiTheme="minorHAnsi" w:cstheme="minorBidi"/>
            <w:noProof/>
            <w:sz w:val="22"/>
            <w:szCs w:val="22"/>
            <w:lang w:val="en-US"/>
          </w:rPr>
          <w:tab/>
        </w:r>
        <w:r w:rsidR="00336277" w:rsidRPr="00B57459">
          <w:rPr>
            <w:rStyle w:val="Hyperlink"/>
            <w:noProof/>
          </w:rPr>
          <w:t>Transport and Economic Development</w:t>
        </w:r>
        <w:r w:rsidR="00336277">
          <w:rPr>
            <w:noProof/>
            <w:webHidden/>
          </w:rPr>
          <w:tab/>
        </w:r>
        <w:r w:rsidR="00336277">
          <w:rPr>
            <w:noProof/>
            <w:webHidden/>
          </w:rPr>
          <w:fldChar w:fldCharType="begin"/>
        </w:r>
        <w:r w:rsidR="00336277">
          <w:rPr>
            <w:noProof/>
            <w:webHidden/>
          </w:rPr>
          <w:instrText xml:space="preserve"> PAGEREF _Toc413056041 \h </w:instrText>
        </w:r>
        <w:r w:rsidR="00336277">
          <w:rPr>
            <w:noProof/>
            <w:webHidden/>
          </w:rPr>
        </w:r>
        <w:r w:rsidR="00336277">
          <w:rPr>
            <w:noProof/>
            <w:webHidden/>
          </w:rPr>
          <w:fldChar w:fldCharType="separate"/>
        </w:r>
        <w:r w:rsidR="00336277">
          <w:rPr>
            <w:noProof/>
            <w:webHidden/>
          </w:rPr>
          <w:t>90</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42" w:history="1">
        <w:r w:rsidR="00336277" w:rsidRPr="00B57459">
          <w:rPr>
            <w:rStyle w:val="Hyperlink"/>
            <w:noProof/>
          </w:rPr>
          <w:t>4</w:t>
        </w:r>
        <w:r w:rsidR="00336277">
          <w:rPr>
            <w:rFonts w:asciiTheme="minorHAnsi" w:eastAsiaTheme="minorEastAsia" w:hAnsiTheme="minorHAnsi" w:cstheme="minorBidi"/>
            <w:b w:val="0"/>
            <w:noProof/>
            <w:sz w:val="22"/>
            <w:szCs w:val="22"/>
            <w:lang w:val="en-US"/>
          </w:rPr>
          <w:tab/>
        </w:r>
        <w:r w:rsidR="00336277" w:rsidRPr="00B57459">
          <w:rPr>
            <w:rStyle w:val="Hyperlink"/>
            <w:noProof/>
          </w:rPr>
          <w:t>Road Transport</w:t>
        </w:r>
        <w:r w:rsidR="00336277">
          <w:rPr>
            <w:noProof/>
            <w:webHidden/>
          </w:rPr>
          <w:tab/>
        </w:r>
        <w:r w:rsidR="00336277">
          <w:rPr>
            <w:noProof/>
            <w:webHidden/>
          </w:rPr>
          <w:fldChar w:fldCharType="begin"/>
        </w:r>
        <w:r w:rsidR="00336277">
          <w:rPr>
            <w:noProof/>
            <w:webHidden/>
          </w:rPr>
          <w:instrText xml:space="preserve"> PAGEREF _Toc413056042 \h </w:instrText>
        </w:r>
        <w:r w:rsidR="00336277">
          <w:rPr>
            <w:noProof/>
            <w:webHidden/>
          </w:rPr>
        </w:r>
        <w:r w:rsidR="00336277">
          <w:rPr>
            <w:noProof/>
            <w:webHidden/>
          </w:rPr>
          <w:fldChar w:fldCharType="separate"/>
        </w:r>
        <w:r w:rsidR="00336277">
          <w:rPr>
            <w:noProof/>
            <w:webHidden/>
          </w:rPr>
          <w:t>92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3" w:history="1">
        <w:r w:rsidR="00336277" w:rsidRPr="00B57459">
          <w:rPr>
            <w:rStyle w:val="Hyperlink"/>
            <w:noProof/>
          </w:rPr>
          <w:t>4.1</w:t>
        </w:r>
        <w:r w:rsidR="00336277">
          <w:rPr>
            <w:rFonts w:asciiTheme="minorHAnsi" w:eastAsiaTheme="minorEastAsia" w:hAnsiTheme="minorHAnsi" w:cstheme="minorBidi"/>
            <w:noProof/>
            <w:sz w:val="22"/>
            <w:szCs w:val="22"/>
            <w:lang w:val="en-US"/>
          </w:rPr>
          <w:tab/>
        </w:r>
        <w:r w:rsidR="00336277" w:rsidRPr="00B57459">
          <w:rPr>
            <w:rStyle w:val="Hyperlink"/>
            <w:noProof/>
          </w:rPr>
          <w:t>Structure of this Chapter</w:t>
        </w:r>
        <w:r w:rsidR="00336277">
          <w:rPr>
            <w:noProof/>
            <w:webHidden/>
          </w:rPr>
          <w:tab/>
        </w:r>
        <w:r w:rsidR="00336277">
          <w:rPr>
            <w:noProof/>
            <w:webHidden/>
          </w:rPr>
          <w:fldChar w:fldCharType="begin"/>
        </w:r>
        <w:r w:rsidR="00336277">
          <w:rPr>
            <w:noProof/>
            <w:webHidden/>
          </w:rPr>
          <w:instrText xml:space="preserve"> PAGEREF _Toc413056043 \h </w:instrText>
        </w:r>
        <w:r w:rsidR="00336277">
          <w:rPr>
            <w:noProof/>
            <w:webHidden/>
          </w:rPr>
        </w:r>
        <w:r w:rsidR="00336277">
          <w:rPr>
            <w:noProof/>
            <w:webHidden/>
          </w:rPr>
          <w:fldChar w:fldCharType="separate"/>
        </w:r>
        <w:r w:rsidR="00336277">
          <w:rPr>
            <w:noProof/>
            <w:webHidden/>
          </w:rPr>
          <w:t>92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4" w:history="1">
        <w:r w:rsidR="00336277" w:rsidRPr="00B57459">
          <w:rPr>
            <w:rStyle w:val="Hyperlink"/>
            <w:noProof/>
          </w:rPr>
          <w:t>4.2</w:t>
        </w:r>
        <w:r w:rsidR="00336277">
          <w:rPr>
            <w:rFonts w:asciiTheme="minorHAnsi" w:eastAsiaTheme="minorEastAsia" w:hAnsiTheme="minorHAnsi" w:cstheme="minorBidi"/>
            <w:noProof/>
            <w:sz w:val="22"/>
            <w:szCs w:val="22"/>
            <w:lang w:val="en-US"/>
          </w:rPr>
          <w:tab/>
        </w:r>
        <w:r w:rsidR="00336277" w:rsidRPr="00B57459">
          <w:rPr>
            <w:rStyle w:val="Hyperlink"/>
            <w:noProof/>
          </w:rPr>
          <w:t>Current Situation</w:t>
        </w:r>
        <w:r w:rsidR="00336277">
          <w:rPr>
            <w:noProof/>
            <w:webHidden/>
          </w:rPr>
          <w:tab/>
        </w:r>
        <w:r w:rsidR="00336277">
          <w:rPr>
            <w:noProof/>
            <w:webHidden/>
          </w:rPr>
          <w:fldChar w:fldCharType="begin"/>
        </w:r>
        <w:r w:rsidR="00336277">
          <w:rPr>
            <w:noProof/>
            <w:webHidden/>
          </w:rPr>
          <w:instrText xml:space="preserve"> PAGEREF _Toc413056044 \h </w:instrText>
        </w:r>
        <w:r w:rsidR="00336277">
          <w:rPr>
            <w:noProof/>
            <w:webHidden/>
          </w:rPr>
        </w:r>
        <w:r w:rsidR="00336277">
          <w:rPr>
            <w:noProof/>
            <w:webHidden/>
          </w:rPr>
          <w:fldChar w:fldCharType="separate"/>
        </w:r>
        <w:r w:rsidR="00336277">
          <w:rPr>
            <w:noProof/>
            <w:webHidden/>
          </w:rPr>
          <w:t>92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5" w:history="1">
        <w:r w:rsidR="00336277" w:rsidRPr="00B57459">
          <w:rPr>
            <w:rStyle w:val="Hyperlink"/>
            <w:noProof/>
          </w:rPr>
          <w:t>4.3</w:t>
        </w:r>
        <w:r w:rsidR="00336277">
          <w:rPr>
            <w:rFonts w:asciiTheme="minorHAnsi" w:eastAsiaTheme="minorEastAsia" w:hAnsiTheme="minorHAnsi" w:cstheme="minorBidi"/>
            <w:noProof/>
            <w:sz w:val="22"/>
            <w:szCs w:val="22"/>
            <w:lang w:val="en-US"/>
          </w:rPr>
          <w:tab/>
        </w:r>
        <w:r w:rsidR="00336277" w:rsidRPr="00B57459">
          <w:rPr>
            <w:rStyle w:val="Hyperlink"/>
            <w:noProof/>
          </w:rPr>
          <w:t>Strategic Objectives</w:t>
        </w:r>
        <w:r w:rsidR="00336277">
          <w:rPr>
            <w:noProof/>
            <w:webHidden/>
          </w:rPr>
          <w:tab/>
        </w:r>
        <w:r w:rsidR="00336277">
          <w:rPr>
            <w:noProof/>
            <w:webHidden/>
          </w:rPr>
          <w:fldChar w:fldCharType="begin"/>
        </w:r>
        <w:r w:rsidR="00336277">
          <w:rPr>
            <w:noProof/>
            <w:webHidden/>
          </w:rPr>
          <w:instrText xml:space="preserve"> PAGEREF _Toc413056045 \h </w:instrText>
        </w:r>
        <w:r w:rsidR="00336277">
          <w:rPr>
            <w:noProof/>
            <w:webHidden/>
          </w:rPr>
        </w:r>
        <w:r w:rsidR="00336277">
          <w:rPr>
            <w:noProof/>
            <w:webHidden/>
          </w:rPr>
          <w:fldChar w:fldCharType="separate"/>
        </w:r>
        <w:r w:rsidR="00336277">
          <w:rPr>
            <w:noProof/>
            <w:webHidden/>
          </w:rPr>
          <w:t>108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6" w:history="1">
        <w:r w:rsidR="00336277" w:rsidRPr="00B57459">
          <w:rPr>
            <w:rStyle w:val="Hyperlink"/>
            <w:noProof/>
          </w:rPr>
          <w:t>4.4</w:t>
        </w:r>
        <w:r w:rsidR="00336277">
          <w:rPr>
            <w:rFonts w:asciiTheme="minorHAnsi" w:eastAsiaTheme="minorEastAsia" w:hAnsiTheme="minorHAnsi" w:cstheme="minorBidi"/>
            <w:noProof/>
            <w:sz w:val="22"/>
            <w:szCs w:val="22"/>
            <w:lang w:val="en-US"/>
          </w:rPr>
          <w:tab/>
        </w:r>
        <w:r w:rsidR="00336277" w:rsidRPr="00B57459">
          <w:rPr>
            <w:rStyle w:val="Hyperlink"/>
            <w:noProof/>
          </w:rPr>
          <w:t>Operational Objectives</w:t>
        </w:r>
        <w:r w:rsidR="00336277">
          <w:rPr>
            <w:noProof/>
            <w:webHidden/>
          </w:rPr>
          <w:tab/>
        </w:r>
        <w:r w:rsidR="00336277">
          <w:rPr>
            <w:noProof/>
            <w:webHidden/>
          </w:rPr>
          <w:fldChar w:fldCharType="begin"/>
        </w:r>
        <w:r w:rsidR="00336277">
          <w:rPr>
            <w:noProof/>
            <w:webHidden/>
          </w:rPr>
          <w:instrText xml:space="preserve"> PAGEREF _Toc413056046 \h </w:instrText>
        </w:r>
        <w:r w:rsidR="00336277">
          <w:rPr>
            <w:noProof/>
            <w:webHidden/>
          </w:rPr>
        </w:r>
        <w:r w:rsidR="00336277">
          <w:rPr>
            <w:noProof/>
            <w:webHidden/>
          </w:rPr>
          <w:fldChar w:fldCharType="separate"/>
        </w:r>
        <w:r w:rsidR="00336277">
          <w:rPr>
            <w:noProof/>
            <w:webHidden/>
          </w:rPr>
          <w:t>113</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7" w:history="1">
        <w:r w:rsidR="00336277" w:rsidRPr="00B57459">
          <w:rPr>
            <w:rStyle w:val="Hyperlink"/>
            <w:noProof/>
          </w:rPr>
          <w:t>4.5</w:t>
        </w:r>
        <w:r w:rsidR="00336277">
          <w:rPr>
            <w:rFonts w:asciiTheme="minorHAnsi" w:eastAsiaTheme="minorEastAsia" w:hAnsiTheme="minorHAnsi" w:cstheme="minorBidi"/>
            <w:noProof/>
            <w:sz w:val="22"/>
            <w:szCs w:val="22"/>
            <w:lang w:val="en-US"/>
          </w:rPr>
          <w:tab/>
        </w:r>
        <w:r w:rsidR="00336277" w:rsidRPr="00B57459">
          <w:rPr>
            <w:rStyle w:val="Hyperlink"/>
            <w:noProof/>
          </w:rPr>
          <w:t>Cost-Benefit Analysis</w:t>
        </w:r>
        <w:r w:rsidR="00336277">
          <w:rPr>
            <w:noProof/>
            <w:webHidden/>
          </w:rPr>
          <w:tab/>
        </w:r>
        <w:r w:rsidR="00336277">
          <w:rPr>
            <w:noProof/>
            <w:webHidden/>
          </w:rPr>
          <w:fldChar w:fldCharType="begin"/>
        </w:r>
        <w:r w:rsidR="00336277">
          <w:rPr>
            <w:noProof/>
            <w:webHidden/>
          </w:rPr>
          <w:instrText xml:space="preserve"> PAGEREF _Toc413056047 \h </w:instrText>
        </w:r>
        <w:r w:rsidR="00336277">
          <w:rPr>
            <w:noProof/>
            <w:webHidden/>
          </w:rPr>
        </w:r>
        <w:r w:rsidR="00336277">
          <w:rPr>
            <w:noProof/>
            <w:webHidden/>
          </w:rPr>
          <w:fldChar w:fldCharType="separate"/>
        </w:r>
        <w:r w:rsidR="00336277">
          <w:rPr>
            <w:noProof/>
            <w:webHidden/>
          </w:rPr>
          <w:t>136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8" w:history="1">
        <w:r w:rsidR="00336277" w:rsidRPr="00B57459">
          <w:rPr>
            <w:rStyle w:val="Hyperlink"/>
            <w:noProof/>
          </w:rPr>
          <w:t>4.6</w:t>
        </w:r>
        <w:r w:rsidR="00336277">
          <w:rPr>
            <w:rFonts w:asciiTheme="minorHAnsi" w:eastAsiaTheme="minorEastAsia" w:hAnsiTheme="minorHAnsi" w:cstheme="minorBidi"/>
            <w:noProof/>
            <w:sz w:val="22"/>
            <w:szCs w:val="22"/>
            <w:lang w:val="en-US"/>
          </w:rPr>
          <w:tab/>
        </w:r>
        <w:r w:rsidR="00336277" w:rsidRPr="00B57459">
          <w:rPr>
            <w:rStyle w:val="Hyperlink"/>
            <w:noProof/>
          </w:rPr>
          <w:t>MCA Analysis</w:t>
        </w:r>
        <w:r w:rsidR="00336277">
          <w:rPr>
            <w:noProof/>
            <w:webHidden/>
          </w:rPr>
          <w:tab/>
        </w:r>
        <w:r w:rsidR="00336277">
          <w:rPr>
            <w:noProof/>
            <w:webHidden/>
          </w:rPr>
          <w:fldChar w:fldCharType="begin"/>
        </w:r>
        <w:r w:rsidR="00336277">
          <w:rPr>
            <w:noProof/>
            <w:webHidden/>
          </w:rPr>
          <w:instrText xml:space="preserve"> PAGEREF _Toc413056048 \h </w:instrText>
        </w:r>
        <w:r w:rsidR="00336277">
          <w:rPr>
            <w:noProof/>
            <w:webHidden/>
          </w:rPr>
        </w:r>
        <w:r w:rsidR="00336277">
          <w:rPr>
            <w:noProof/>
            <w:webHidden/>
          </w:rPr>
          <w:fldChar w:fldCharType="separate"/>
        </w:r>
        <w:r w:rsidR="00336277">
          <w:rPr>
            <w:noProof/>
            <w:webHidden/>
          </w:rPr>
          <w:t>180</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49" w:history="1">
        <w:r w:rsidR="00336277" w:rsidRPr="00B57459">
          <w:rPr>
            <w:rStyle w:val="Hyperlink"/>
            <w:noProof/>
          </w:rPr>
          <w:t>4.7</w:t>
        </w:r>
        <w:r w:rsidR="00336277">
          <w:rPr>
            <w:rFonts w:asciiTheme="minorHAnsi" w:eastAsiaTheme="minorEastAsia" w:hAnsiTheme="minorHAnsi" w:cstheme="minorBidi"/>
            <w:noProof/>
            <w:sz w:val="22"/>
            <w:szCs w:val="22"/>
            <w:lang w:val="en-US"/>
          </w:rPr>
          <w:tab/>
        </w:r>
        <w:r w:rsidR="00336277" w:rsidRPr="00B57459">
          <w:rPr>
            <w:rStyle w:val="Hyperlink"/>
            <w:noProof/>
          </w:rPr>
          <w:t>Summary of Interventions</w:t>
        </w:r>
        <w:r w:rsidR="00336277">
          <w:rPr>
            <w:noProof/>
            <w:webHidden/>
          </w:rPr>
          <w:tab/>
        </w:r>
        <w:r w:rsidR="00336277">
          <w:rPr>
            <w:noProof/>
            <w:webHidden/>
          </w:rPr>
          <w:fldChar w:fldCharType="begin"/>
        </w:r>
        <w:r w:rsidR="00336277">
          <w:rPr>
            <w:noProof/>
            <w:webHidden/>
          </w:rPr>
          <w:instrText xml:space="preserve"> PAGEREF _Toc413056049 \h </w:instrText>
        </w:r>
        <w:r w:rsidR="00336277">
          <w:rPr>
            <w:noProof/>
            <w:webHidden/>
          </w:rPr>
        </w:r>
        <w:r w:rsidR="00336277">
          <w:rPr>
            <w:noProof/>
            <w:webHidden/>
          </w:rPr>
          <w:fldChar w:fldCharType="separate"/>
        </w:r>
        <w:r w:rsidR="00336277">
          <w:rPr>
            <w:noProof/>
            <w:webHidden/>
          </w:rPr>
          <w:t>191</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50" w:history="1">
        <w:r w:rsidR="00336277" w:rsidRPr="00B57459">
          <w:rPr>
            <w:rStyle w:val="Hyperlink"/>
            <w:noProof/>
          </w:rPr>
          <w:t>5</w:t>
        </w:r>
        <w:r w:rsidR="00336277">
          <w:rPr>
            <w:rFonts w:asciiTheme="minorHAnsi" w:eastAsiaTheme="minorEastAsia" w:hAnsiTheme="minorHAnsi" w:cstheme="minorBidi"/>
            <w:b w:val="0"/>
            <w:noProof/>
            <w:sz w:val="22"/>
            <w:szCs w:val="22"/>
            <w:lang w:val="en-US"/>
          </w:rPr>
          <w:tab/>
        </w:r>
        <w:r w:rsidR="00336277" w:rsidRPr="00B57459">
          <w:rPr>
            <w:rStyle w:val="Hyperlink"/>
            <w:noProof/>
          </w:rPr>
          <w:t>Rail Transport</w:t>
        </w:r>
        <w:r w:rsidR="00336277">
          <w:rPr>
            <w:noProof/>
            <w:webHidden/>
          </w:rPr>
          <w:tab/>
        </w:r>
        <w:r w:rsidR="00336277">
          <w:rPr>
            <w:noProof/>
            <w:webHidden/>
          </w:rPr>
          <w:fldChar w:fldCharType="begin"/>
        </w:r>
        <w:r w:rsidR="00336277">
          <w:rPr>
            <w:noProof/>
            <w:webHidden/>
          </w:rPr>
          <w:instrText xml:space="preserve"> PAGEREF _Toc413056050 \h </w:instrText>
        </w:r>
        <w:r w:rsidR="00336277">
          <w:rPr>
            <w:noProof/>
            <w:webHidden/>
          </w:rPr>
        </w:r>
        <w:r w:rsidR="00336277">
          <w:rPr>
            <w:noProof/>
            <w:webHidden/>
          </w:rPr>
          <w:fldChar w:fldCharType="separate"/>
        </w:r>
        <w:r w:rsidR="00336277">
          <w:rPr>
            <w:noProof/>
            <w:webHidden/>
          </w:rPr>
          <w:t>195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1" w:history="1">
        <w:r w:rsidR="00336277" w:rsidRPr="00B57459">
          <w:rPr>
            <w:rStyle w:val="Hyperlink"/>
            <w:noProof/>
          </w:rPr>
          <w:t>5.1</w:t>
        </w:r>
        <w:r w:rsidR="00336277">
          <w:rPr>
            <w:rFonts w:asciiTheme="minorHAnsi" w:eastAsiaTheme="minorEastAsia" w:hAnsiTheme="minorHAnsi" w:cstheme="minorBidi"/>
            <w:noProof/>
            <w:sz w:val="22"/>
            <w:szCs w:val="22"/>
            <w:lang w:val="en-US"/>
          </w:rPr>
          <w:tab/>
        </w:r>
        <w:r w:rsidR="00336277" w:rsidRPr="00B57459">
          <w:rPr>
            <w:rStyle w:val="Hyperlink"/>
            <w:noProof/>
          </w:rPr>
          <w:t>Existing Situation and Historic Trends</w:t>
        </w:r>
        <w:r w:rsidR="00336277">
          <w:rPr>
            <w:noProof/>
            <w:webHidden/>
          </w:rPr>
          <w:tab/>
        </w:r>
        <w:r w:rsidR="00336277">
          <w:rPr>
            <w:noProof/>
            <w:webHidden/>
          </w:rPr>
          <w:fldChar w:fldCharType="begin"/>
        </w:r>
        <w:r w:rsidR="00336277">
          <w:rPr>
            <w:noProof/>
            <w:webHidden/>
          </w:rPr>
          <w:instrText xml:space="preserve"> PAGEREF _Toc413056051 \h </w:instrText>
        </w:r>
        <w:r w:rsidR="00336277">
          <w:rPr>
            <w:noProof/>
            <w:webHidden/>
          </w:rPr>
        </w:r>
        <w:r w:rsidR="00336277">
          <w:rPr>
            <w:noProof/>
            <w:webHidden/>
          </w:rPr>
          <w:fldChar w:fldCharType="separate"/>
        </w:r>
        <w:r w:rsidR="00336277">
          <w:rPr>
            <w:noProof/>
            <w:webHidden/>
          </w:rPr>
          <w:t>195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2" w:history="1">
        <w:r w:rsidR="00336277" w:rsidRPr="00B57459">
          <w:rPr>
            <w:rStyle w:val="Hyperlink"/>
            <w:noProof/>
          </w:rPr>
          <w:t>5.2</w:t>
        </w:r>
        <w:r w:rsidR="00336277">
          <w:rPr>
            <w:rFonts w:asciiTheme="minorHAnsi" w:eastAsiaTheme="minorEastAsia" w:hAnsiTheme="minorHAnsi" w:cstheme="minorBidi"/>
            <w:noProof/>
            <w:sz w:val="22"/>
            <w:szCs w:val="22"/>
            <w:lang w:val="en-US"/>
          </w:rPr>
          <w:tab/>
        </w:r>
        <w:r w:rsidR="00336277" w:rsidRPr="00B57459">
          <w:rPr>
            <w:rStyle w:val="Hyperlink"/>
            <w:noProof/>
          </w:rPr>
          <w:t>Road Competition</w:t>
        </w:r>
        <w:r w:rsidR="00336277">
          <w:rPr>
            <w:noProof/>
            <w:webHidden/>
          </w:rPr>
          <w:tab/>
        </w:r>
        <w:r w:rsidR="00336277">
          <w:rPr>
            <w:noProof/>
            <w:webHidden/>
          </w:rPr>
          <w:fldChar w:fldCharType="begin"/>
        </w:r>
        <w:r w:rsidR="00336277">
          <w:rPr>
            <w:noProof/>
            <w:webHidden/>
          </w:rPr>
          <w:instrText xml:space="preserve"> PAGEREF _Toc413056052 \h </w:instrText>
        </w:r>
        <w:r w:rsidR="00336277">
          <w:rPr>
            <w:noProof/>
            <w:webHidden/>
          </w:rPr>
        </w:r>
        <w:r w:rsidR="00336277">
          <w:rPr>
            <w:noProof/>
            <w:webHidden/>
          </w:rPr>
          <w:fldChar w:fldCharType="separate"/>
        </w:r>
        <w:r w:rsidR="00336277">
          <w:rPr>
            <w:noProof/>
            <w:webHidden/>
          </w:rPr>
          <w:t>218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3" w:history="1">
        <w:r w:rsidR="00336277" w:rsidRPr="00B57459">
          <w:rPr>
            <w:rStyle w:val="Hyperlink"/>
            <w:noProof/>
          </w:rPr>
          <w:t>5.3</w:t>
        </w:r>
        <w:r w:rsidR="00336277">
          <w:rPr>
            <w:rFonts w:asciiTheme="minorHAnsi" w:eastAsiaTheme="minorEastAsia" w:hAnsiTheme="minorHAnsi" w:cstheme="minorBidi"/>
            <w:noProof/>
            <w:sz w:val="22"/>
            <w:szCs w:val="22"/>
            <w:lang w:val="en-US"/>
          </w:rPr>
          <w:tab/>
        </w:r>
        <w:r w:rsidR="00336277" w:rsidRPr="00B57459">
          <w:rPr>
            <w:rStyle w:val="Hyperlink"/>
            <w:noProof/>
          </w:rPr>
          <w:t>Strategic objectives</w:t>
        </w:r>
        <w:r w:rsidR="00336277">
          <w:rPr>
            <w:noProof/>
            <w:webHidden/>
          </w:rPr>
          <w:tab/>
        </w:r>
        <w:r w:rsidR="00336277">
          <w:rPr>
            <w:noProof/>
            <w:webHidden/>
          </w:rPr>
          <w:fldChar w:fldCharType="begin"/>
        </w:r>
        <w:r w:rsidR="00336277">
          <w:rPr>
            <w:noProof/>
            <w:webHidden/>
          </w:rPr>
          <w:instrText xml:space="preserve"> PAGEREF _Toc413056053 \h </w:instrText>
        </w:r>
        <w:r w:rsidR="00336277">
          <w:rPr>
            <w:noProof/>
            <w:webHidden/>
          </w:rPr>
        </w:r>
        <w:r w:rsidR="00336277">
          <w:rPr>
            <w:noProof/>
            <w:webHidden/>
          </w:rPr>
          <w:fldChar w:fldCharType="separate"/>
        </w:r>
        <w:r w:rsidR="00336277">
          <w:rPr>
            <w:noProof/>
            <w:webHidden/>
          </w:rPr>
          <w:t>221</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4" w:history="1">
        <w:r w:rsidR="00336277" w:rsidRPr="00B57459">
          <w:rPr>
            <w:rStyle w:val="Hyperlink"/>
            <w:noProof/>
          </w:rPr>
          <w:t>5.4</w:t>
        </w:r>
        <w:r w:rsidR="00336277">
          <w:rPr>
            <w:rFonts w:asciiTheme="minorHAnsi" w:eastAsiaTheme="minorEastAsia" w:hAnsiTheme="minorHAnsi" w:cstheme="minorBidi"/>
            <w:noProof/>
            <w:sz w:val="22"/>
            <w:szCs w:val="22"/>
            <w:lang w:val="en-US"/>
          </w:rPr>
          <w:tab/>
        </w:r>
        <w:r w:rsidR="00336277" w:rsidRPr="00B57459">
          <w:rPr>
            <w:rStyle w:val="Hyperlink"/>
            <w:noProof/>
          </w:rPr>
          <w:t>Proposed Improvements</w:t>
        </w:r>
        <w:r w:rsidR="00336277">
          <w:rPr>
            <w:noProof/>
            <w:webHidden/>
          </w:rPr>
          <w:tab/>
        </w:r>
        <w:r w:rsidR="00336277">
          <w:rPr>
            <w:noProof/>
            <w:webHidden/>
          </w:rPr>
          <w:fldChar w:fldCharType="begin"/>
        </w:r>
        <w:r w:rsidR="00336277">
          <w:rPr>
            <w:noProof/>
            <w:webHidden/>
          </w:rPr>
          <w:instrText xml:space="preserve"> PAGEREF _Toc413056054 \h </w:instrText>
        </w:r>
        <w:r w:rsidR="00336277">
          <w:rPr>
            <w:noProof/>
            <w:webHidden/>
          </w:rPr>
        </w:r>
        <w:r w:rsidR="00336277">
          <w:rPr>
            <w:noProof/>
            <w:webHidden/>
          </w:rPr>
          <w:fldChar w:fldCharType="separate"/>
        </w:r>
        <w:r w:rsidR="00336277">
          <w:rPr>
            <w:noProof/>
            <w:webHidden/>
          </w:rPr>
          <w:t>231</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5" w:history="1">
        <w:r w:rsidR="00336277" w:rsidRPr="00B57459">
          <w:rPr>
            <w:rStyle w:val="Hyperlink"/>
            <w:noProof/>
          </w:rPr>
          <w:t>5.5</w:t>
        </w:r>
        <w:r w:rsidR="00336277">
          <w:rPr>
            <w:rFonts w:asciiTheme="minorHAnsi" w:eastAsiaTheme="minorEastAsia" w:hAnsiTheme="minorHAnsi" w:cstheme="minorBidi"/>
            <w:noProof/>
            <w:sz w:val="22"/>
            <w:szCs w:val="22"/>
            <w:lang w:val="en-US"/>
          </w:rPr>
          <w:tab/>
        </w:r>
        <w:r w:rsidR="00336277" w:rsidRPr="00B57459">
          <w:rPr>
            <w:rStyle w:val="Hyperlink"/>
            <w:noProof/>
          </w:rPr>
          <w:t>Description of the Proposals</w:t>
        </w:r>
        <w:r w:rsidR="00336277">
          <w:rPr>
            <w:noProof/>
            <w:webHidden/>
          </w:rPr>
          <w:tab/>
        </w:r>
        <w:r w:rsidR="00336277">
          <w:rPr>
            <w:noProof/>
            <w:webHidden/>
          </w:rPr>
          <w:fldChar w:fldCharType="begin"/>
        </w:r>
        <w:r w:rsidR="00336277">
          <w:rPr>
            <w:noProof/>
            <w:webHidden/>
          </w:rPr>
          <w:instrText xml:space="preserve"> PAGEREF _Toc413056055 \h </w:instrText>
        </w:r>
        <w:r w:rsidR="00336277">
          <w:rPr>
            <w:noProof/>
            <w:webHidden/>
          </w:rPr>
        </w:r>
        <w:r w:rsidR="00336277">
          <w:rPr>
            <w:noProof/>
            <w:webHidden/>
          </w:rPr>
          <w:fldChar w:fldCharType="separate"/>
        </w:r>
        <w:r w:rsidR="00336277">
          <w:rPr>
            <w:noProof/>
            <w:webHidden/>
          </w:rPr>
          <w:t>232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6" w:history="1">
        <w:r w:rsidR="00336277" w:rsidRPr="00B57459">
          <w:rPr>
            <w:rStyle w:val="Hyperlink"/>
            <w:noProof/>
          </w:rPr>
          <w:t>5.6</w:t>
        </w:r>
        <w:r w:rsidR="00336277">
          <w:rPr>
            <w:rFonts w:asciiTheme="minorHAnsi" w:eastAsiaTheme="minorEastAsia" w:hAnsiTheme="minorHAnsi" w:cstheme="minorBidi"/>
            <w:noProof/>
            <w:sz w:val="22"/>
            <w:szCs w:val="22"/>
            <w:lang w:val="en-US"/>
          </w:rPr>
          <w:tab/>
        </w:r>
        <w:r w:rsidR="00336277" w:rsidRPr="00B57459">
          <w:rPr>
            <w:rStyle w:val="Hyperlink"/>
            <w:noProof/>
          </w:rPr>
          <w:t>Testing Rail Service Options</w:t>
        </w:r>
        <w:r w:rsidR="00336277">
          <w:rPr>
            <w:noProof/>
            <w:webHidden/>
          </w:rPr>
          <w:tab/>
        </w:r>
        <w:r w:rsidR="00336277">
          <w:rPr>
            <w:noProof/>
            <w:webHidden/>
          </w:rPr>
          <w:fldChar w:fldCharType="begin"/>
        </w:r>
        <w:r w:rsidR="00336277">
          <w:rPr>
            <w:noProof/>
            <w:webHidden/>
          </w:rPr>
          <w:instrText xml:space="preserve"> PAGEREF _Toc413056056 \h </w:instrText>
        </w:r>
        <w:r w:rsidR="00336277">
          <w:rPr>
            <w:noProof/>
            <w:webHidden/>
          </w:rPr>
        </w:r>
        <w:r w:rsidR="00336277">
          <w:rPr>
            <w:noProof/>
            <w:webHidden/>
          </w:rPr>
          <w:fldChar w:fldCharType="separate"/>
        </w:r>
        <w:r w:rsidR="00336277">
          <w:rPr>
            <w:noProof/>
            <w:webHidden/>
          </w:rPr>
          <w:t>248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7" w:history="1">
        <w:r w:rsidR="00336277" w:rsidRPr="00B57459">
          <w:rPr>
            <w:rStyle w:val="Hyperlink"/>
            <w:noProof/>
          </w:rPr>
          <w:t>5.7</w:t>
        </w:r>
        <w:r w:rsidR="00336277">
          <w:rPr>
            <w:rFonts w:asciiTheme="minorHAnsi" w:eastAsiaTheme="minorEastAsia" w:hAnsiTheme="minorHAnsi" w:cstheme="minorBidi"/>
            <w:noProof/>
            <w:sz w:val="22"/>
            <w:szCs w:val="22"/>
            <w:lang w:val="en-US"/>
          </w:rPr>
          <w:tab/>
        </w:r>
        <w:r w:rsidR="00336277" w:rsidRPr="00B57459">
          <w:rPr>
            <w:rStyle w:val="Hyperlink"/>
            <w:noProof/>
          </w:rPr>
          <w:t>Summary of Interventions</w:t>
        </w:r>
        <w:r w:rsidR="00336277">
          <w:rPr>
            <w:noProof/>
            <w:webHidden/>
          </w:rPr>
          <w:tab/>
        </w:r>
        <w:r w:rsidR="00336277">
          <w:rPr>
            <w:noProof/>
            <w:webHidden/>
          </w:rPr>
          <w:fldChar w:fldCharType="begin"/>
        </w:r>
        <w:r w:rsidR="00336277">
          <w:rPr>
            <w:noProof/>
            <w:webHidden/>
          </w:rPr>
          <w:instrText xml:space="preserve"> PAGEREF _Toc413056057 \h </w:instrText>
        </w:r>
        <w:r w:rsidR="00336277">
          <w:rPr>
            <w:noProof/>
            <w:webHidden/>
          </w:rPr>
        </w:r>
        <w:r w:rsidR="00336277">
          <w:rPr>
            <w:noProof/>
            <w:webHidden/>
          </w:rPr>
          <w:fldChar w:fldCharType="separate"/>
        </w:r>
        <w:r w:rsidR="00336277">
          <w:rPr>
            <w:noProof/>
            <w:webHidden/>
          </w:rPr>
          <w:t>348</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58" w:history="1">
        <w:r w:rsidR="00336277" w:rsidRPr="00B57459">
          <w:rPr>
            <w:rStyle w:val="Hyperlink"/>
            <w:noProof/>
          </w:rPr>
          <w:t>6</w:t>
        </w:r>
        <w:r w:rsidR="00336277">
          <w:rPr>
            <w:rFonts w:asciiTheme="minorHAnsi" w:eastAsiaTheme="minorEastAsia" w:hAnsiTheme="minorHAnsi" w:cstheme="minorBidi"/>
            <w:b w:val="0"/>
            <w:noProof/>
            <w:sz w:val="22"/>
            <w:szCs w:val="22"/>
            <w:lang w:val="en-US"/>
          </w:rPr>
          <w:tab/>
        </w:r>
        <w:r w:rsidR="00336277" w:rsidRPr="00B57459">
          <w:rPr>
            <w:rStyle w:val="Hyperlink"/>
            <w:noProof/>
          </w:rPr>
          <w:t>Ports and Waterways</w:t>
        </w:r>
        <w:r w:rsidR="00336277">
          <w:rPr>
            <w:noProof/>
            <w:webHidden/>
          </w:rPr>
          <w:tab/>
        </w:r>
        <w:r w:rsidR="00336277">
          <w:rPr>
            <w:noProof/>
            <w:webHidden/>
          </w:rPr>
          <w:fldChar w:fldCharType="begin"/>
        </w:r>
        <w:r w:rsidR="00336277">
          <w:rPr>
            <w:noProof/>
            <w:webHidden/>
          </w:rPr>
          <w:instrText xml:space="preserve"> PAGEREF _Toc413056058 \h </w:instrText>
        </w:r>
        <w:r w:rsidR="00336277">
          <w:rPr>
            <w:noProof/>
            <w:webHidden/>
          </w:rPr>
        </w:r>
        <w:r w:rsidR="00336277">
          <w:rPr>
            <w:noProof/>
            <w:webHidden/>
          </w:rPr>
          <w:fldChar w:fldCharType="separate"/>
        </w:r>
        <w:r w:rsidR="00336277">
          <w:rPr>
            <w:noProof/>
            <w:webHidden/>
          </w:rPr>
          <w:t>351</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59" w:history="1">
        <w:r w:rsidR="00336277" w:rsidRPr="00B57459">
          <w:rPr>
            <w:rStyle w:val="Hyperlink"/>
            <w:noProof/>
          </w:rPr>
          <w:t>6.1</w:t>
        </w:r>
        <w:r w:rsidR="00336277">
          <w:rPr>
            <w:rFonts w:asciiTheme="minorHAnsi" w:eastAsiaTheme="minorEastAsia" w:hAnsiTheme="minorHAnsi" w:cstheme="minorBidi"/>
            <w:noProof/>
            <w:sz w:val="22"/>
            <w:szCs w:val="22"/>
            <w:lang w:val="en-US"/>
          </w:rPr>
          <w:tab/>
        </w:r>
        <w:r w:rsidR="00336277" w:rsidRPr="00B57459">
          <w:rPr>
            <w:rStyle w:val="Hyperlink"/>
            <w:noProof/>
          </w:rPr>
          <w:t>Existing Conditions</w:t>
        </w:r>
        <w:r w:rsidR="00336277">
          <w:rPr>
            <w:noProof/>
            <w:webHidden/>
          </w:rPr>
          <w:tab/>
        </w:r>
        <w:r w:rsidR="00336277">
          <w:rPr>
            <w:noProof/>
            <w:webHidden/>
          </w:rPr>
          <w:fldChar w:fldCharType="begin"/>
        </w:r>
        <w:r w:rsidR="00336277">
          <w:rPr>
            <w:noProof/>
            <w:webHidden/>
          </w:rPr>
          <w:instrText xml:space="preserve"> PAGEREF _Toc413056059 \h </w:instrText>
        </w:r>
        <w:r w:rsidR="00336277">
          <w:rPr>
            <w:noProof/>
            <w:webHidden/>
          </w:rPr>
        </w:r>
        <w:r w:rsidR="00336277">
          <w:rPr>
            <w:noProof/>
            <w:webHidden/>
          </w:rPr>
          <w:fldChar w:fldCharType="separate"/>
        </w:r>
        <w:r w:rsidR="00336277">
          <w:rPr>
            <w:noProof/>
            <w:webHidden/>
          </w:rPr>
          <w:t>351</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0" w:history="1">
        <w:r w:rsidR="00336277" w:rsidRPr="00B57459">
          <w:rPr>
            <w:rStyle w:val="Hyperlink"/>
            <w:noProof/>
          </w:rPr>
          <w:t>6.2</w:t>
        </w:r>
        <w:r w:rsidR="00336277">
          <w:rPr>
            <w:rFonts w:asciiTheme="minorHAnsi" w:eastAsiaTheme="minorEastAsia" w:hAnsiTheme="minorHAnsi" w:cstheme="minorBidi"/>
            <w:noProof/>
            <w:sz w:val="22"/>
            <w:szCs w:val="22"/>
            <w:lang w:val="en-US"/>
          </w:rPr>
          <w:tab/>
        </w:r>
        <w:r w:rsidR="00336277" w:rsidRPr="00B57459">
          <w:rPr>
            <w:rStyle w:val="Hyperlink"/>
            <w:noProof/>
          </w:rPr>
          <w:t>Strategic Objectives</w:t>
        </w:r>
        <w:r w:rsidR="00336277">
          <w:rPr>
            <w:noProof/>
            <w:webHidden/>
          </w:rPr>
          <w:tab/>
        </w:r>
        <w:r w:rsidR="00336277">
          <w:rPr>
            <w:noProof/>
            <w:webHidden/>
          </w:rPr>
          <w:fldChar w:fldCharType="begin"/>
        </w:r>
        <w:r w:rsidR="00336277">
          <w:rPr>
            <w:noProof/>
            <w:webHidden/>
          </w:rPr>
          <w:instrText xml:space="preserve"> PAGEREF _Toc413056060 \h </w:instrText>
        </w:r>
        <w:r w:rsidR="00336277">
          <w:rPr>
            <w:noProof/>
            <w:webHidden/>
          </w:rPr>
        </w:r>
        <w:r w:rsidR="00336277">
          <w:rPr>
            <w:noProof/>
            <w:webHidden/>
          </w:rPr>
          <w:fldChar w:fldCharType="separate"/>
        </w:r>
        <w:r w:rsidR="00336277">
          <w:rPr>
            <w:noProof/>
            <w:webHidden/>
          </w:rPr>
          <w:t>387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1" w:history="1">
        <w:r w:rsidR="00336277" w:rsidRPr="00B57459">
          <w:rPr>
            <w:rStyle w:val="Hyperlink"/>
            <w:noProof/>
          </w:rPr>
          <w:t>6.3</w:t>
        </w:r>
        <w:r w:rsidR="00336277">
          <w:rPr>
            <w:rFonts w:asciiTheme="minorHAnsi" w:eastAsiaTheme="minorEastAsia" w:hAnsiTheme="minorHAnsi" w:cstheme="minorBidi"/>
            <w:noProof/>
            <w:sz w:val="22"/>
            <w:szCs w:val="22"/>
            <w:lang w:val="en-US"/>
          </w:rPr>
          <w:tab/>
        </w:r>
        <w:r w:rsidR="00336277" w:rsidRPr="00B57459">
          <w:rPr>
            <w:rStyle w:val="Hyperlink"/>
            <w:noProof/>
          </w:rPr>
          <w:t>Operational Objectives</w:t>
        </w:r>
        <w:r w:rsidR="00336277">
          <w:rPr>
            <w:noProof/>
            <w:webHidden/>
          </w:rPr>
          <w:tab/>
        </w:r>
        <w:r w:rsidR="00336277">
          <w:rPr>
            <w:noProof/>
            <w:webHidden/>
          </w:rPr>
          <w:fldChar w:fldCharType="begin"/>
        </w:r>
        <w:r w:rsidR="00336277">
          <w:rPr>
            <w:noProof/>
            <w:webHidden/>
          </w:rPr>
          <w:instrText xml:space="preserve"> PAGEREF _Toc413056061 \h </w:instrText>
        </w:r>
        <w:r w:rsidR="00336277">
          <w:rPr>
            <w:noProof/>
            <w:webHidden/>
          </w:rPr>
        </w:r>
        <w:r w:rsidR="00336277">
          <w:rPr>
            <w:noProof/>
            <w:webHidden/>
          </w:rPr>
          <w:fldChar w:fldCharType="separate"/>
        </w:r>
        <w:r w:rsidR="00336277">
          <w:rPr>
            <w:noProof/>
            <w:webHidden/>
          </w:rPr>
          <w:t>388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2" w:history="1">
        <w:r w:rsidR="00336277" w:rsidRPr="00B57459">
          <w:rPr>
            <w:rStyle w:val="Hyperlink"/>
            <w:noProof/>
          </w:rPr>
          <w:t>6.4</w:t>
        </w:r>
        <w:r w:rsidR="00336277">
          <w:rPr>
            <w:rFonts w:asciiTheme="minorHAnsi" w:eastAsiaTheme="minorEastAsia" w:hAnsiTheme="minorHAnsi" w:cstheme="minorBidi"/>
            <w:noProof/>
            <w:sz w:val="22"/>
            <w:szCs w:val="22"/>
            <w:lang w:val="en-US"/>
          </w:rPr>
          <w:tab/>
        </w:r>
        <w:r w:rsidR="00336277" w:rsidRPr="00B57459">
          <w:rPr>
            <w:rStyle w:val="Hyperlink"/>
            <w:noProof/>
          </w:rPr>
          <w:t>Testing Interventions</w:t>
        </w:r>
        <w:r w:rsidR="00336277">
          <w:rPr>
            <w:noProof/>
            <w:webHidden/>
          </w:rPr>
          <w:tab/>
        </w:r>
        <w:r w:rsidR="00336277">
          <w:rPr>
            <w:noProof/>
            <w:webHidden/>
          </w:rPr>
          <w:fldChar w:fldCharType="begin"/>
        </w:r>
        <w:r w:rsidR="00336277">
          <w:rPr>
            <w:noProof/>
            <w:webHidden/>
          </w:rPr>
          <w:instrText xml:space="preserve"> PAGEREF _Toc413056062 \h </w:instrText>
        </w:r>
        <w:r w:rsidR="00336277">
          <w:rPr>
            <w:noProof/>
            <w:webHidden/>
          </w:rPr>
        </w:r>
        <w:r w:rsidR="00336277">
          <w:rPr>
            <w:noProof/>
            <w:webHidden/>
          </w:rPr>
          <w:fldChar w:fldCharType="separate"/>
        </w:r>
        <w:r w:rsidR="00336277">
          <w:rPr>
            <w:noProof/>
            <w:webHidden/>
          </w:rPr>
          <w:t>388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3" w:history="1">
        <w:r w:rsidR="00336277" w:rsidRPr="00B57459">
          <w:rPr>
            <w:rStyle w:val="Hyperlink"/>
            <w:noProof/>
          </w:rPr>
          <w:t>6.5</w:t>
        </w:r>
        <w:r w:rsidR="00336277">
          <w:rPr>
            <w:rFonts w:asciiTheme="minorHAnsi" w:eastAsiaTheme="minorEastAsia" w:hAnsiTheme="minorHAnsi" w:cstheme="minorBidi"/>
            <w:noProof/>
            <w:sz w:val="22"/>
            <w:szCs w:val="22"/>
            <w:lang w:val="en-US"/>
          </w:rPr>
          <w:tab/>
        </w:r>
        <w:r w:rsidR="00336277" w:rsidRPr="00B57459">
          <w:rPr>
            <w:rStyle w:val="Hyperlink"/>
            <w:noProof/>
          </w:rPr>
          <w:t>Institutional Reform</w:t>
        </w:r>
        <w:r w:rsidR="00336277">
          <w:rPr>
            <w:noProof/>
            <w:webHidden/>
          </w:rPr>
          <w:tab/>
        </w:r>
        <w:r w:rsidR="00336277">
          <w:rPr>
            <w:noProof/>
            <w:webHidden/>
          </w:rPr>
          <w:fldChar w:fldCharType="begin"/>
        </w:r>
        <w:r w:rsidR="00336277">
          <w:rPr>
            <w:noProof/>
            <w:webHidden/>
          </w:rPr>
          <w:instrText xml:space="preserve"> PAGEREF _Toc413056063 \h </w:instrText>
        </w:r>
        <w:r w:rsidR="00336277">
          <w:rPr>
            <w:noProof/>
            <w:webHidden/>
          </w:rPr>
        </w:r>
        <w:r w:rsidR="00336277">
          <w:rPr>
            <w:noProof/>
            <w:webHidden/>
          </w:rPr>
          <w:fldChar w:fldCharType="separate"/>
        </w:r>
        <w:r w:rsidR="00336277">
          <w:rPr>
            <w:noProof/>
            <w:webHidden/>
          </w:rPr>
          <w:t>435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4" w:history="1">
        <w:r w:rsidR="00336277" w:rsidRPr="00B57459">
          <w:rPr>
            <w:rStyle w:val="Hyperlink"/>
            <w:noProof/>
          </w:rPr>
          <w:t>6.6</w:t>
        </w:r>
        <w:r w:rsidR="00336277">
          <w:rPr>
            <w:rFonts w:asciiTheme="minorHAnsi" w:eastAsiaTheme="minorEastAsia" w:hAnsiTheme="minorHAnsi" w:cstheme="minorBidi"/>
            <w:noProof/>
            <w:sz w:val="22"/>
            <w:szCs w:val="22"/>
            <w:lang w:val="en-US"/>
          </w:rPr>
          <w:tab/>
        </w:r>
        <w:r w:rsidR="00336277" w:rsidRPr="00B57459">
          <w:rPr>
            <w:rStyle w:val="Hyperlink"/>
            <w:noProof/>
          </w:rPr>
          <w:t>Summary of Interventions</w:t>
        </w:r>
        <w:r w:rsidR="00336277">
          <w:rPr>
            <w:noProof/>
            <w:webHidden/>
          </w:rPr>
          <w:tab/>
        </w:r>
        <w:r w:rsidR="00336277">
          <w:rPr>
            <w:noProof/>
            <w:webHidden/>
          </w:rPr>
          <w:fldChar w:fldCharType="begin"/>
        </w:r>
        <w:r w:rsidR="00336277">
          <w:rPr>
            <w:noProof/>
            <w:webHidden/>
          </w:rPr>
          <w:instrText xml:space="preserve"> PAGEREF _Toc413056064 \h </w:instrText>
        </w:r>
        <w:r w:rsidR="00336277">
          <w:rPr>
            <w:noProof/>
            <w:webHidden/>
          </w:rPr>
        </w:r>
        <w:r w:rsidR="00336277">
          <w:rPr>
            <w:noProof/>
            <w:webHidden/>
          </w:rPr>
          <w:fldChar w:fldCharType="separate"/>
        </w:r>
        <w:r w:rsidR="00336277">
          <w:rPr>
            <w:noProof/>
            <w:webHidden/>
          </w:rPr>
          <w:t>439</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65" w:history="1">
        <w:r w:rsidR="00336277" w:rsidRPr="00B57459">
          <w:rPr>
            <w:rStyle w:val="Hyperlink"/>
            <w:noProof/>
          </w:rPr>
          <w:t>7</w:t>
        </w:r>
        <w:r w:rsidR="00336277">
          <w:rPr>
            <w:rFonts w:asciiTheme="minorHAnsi" w:eastAsiaTheme="minorEastAsia" w:hAnsiTheme="minorHAnsi" w:cstheme="minorBidi"/>
            <w:b w:val="0"/>
            <w:noProof/>
            <w:sz w:val="22"/>
            <w:szCs w:val="22"/>
            <w:lang w:val="en-US"/>
          </w:rPr>
          <w:tab/>
        </w:r>
        <w:r w:rsidR="00336277" w:rsidRPr="00B57459">
          <w:rPr>
            <w:rStyle w:val="Hyperlink"/>
            <w:noProof/>
          </w:rPr>
          <w:t>Aviation</w:t>
        </w:r>
        <w:r w:rsidR="00336277">
          <w:rPr>
            <w:noProof/>
            <w:webHidden/>
          </w:rPr>
          <w:tab/>
        </w:r>
        <w:r w:rsidR="00336277">
          <w:rPr>
            <w:noProof/>
            <w:webHidden/>
          </w:rPr>
          <w:fldChar w:fldCharType="begin"/>
        </w:r>
        <w:r w:rsidR="00336277">
          <w:rPr>
            <w:noProof/>
            <w:webHidden/>
          </w:rPr>
          <w:instrText xml:space="preserve"> PAGEREF _Toc413056065 \h </w:instrText>
        </w:r>
        <w:r w:rsidR="00336277">
          <w:rPr>
            <w:noProof/>
            <w:webHidden/>
          </w:rPr>
        </w:r>
        <w:r w:rsidR="00336277">
          <w:rPr>
            <w:noProof/>
            <w:webHidden/>
          </w:rPr>
          <w:fldChar w:fldCharType="separate"/>
        </w:r>
        <w:r w:rsidR="00336277">
          <w:rPr>
            <w:noProof/>
            <w:webHidden/>
          </w:rPr>
          <w:t>446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6" w:history="1">
        <w:r w:rsidR="00336277" w:rsidRPr="00B57459">
          <w:rPr>
            <w:rStyle w:val="Hyperlink"/>
            <w:noProof/>
          </w:rPr>
          <w:t>7.1</w:t>
        </w:r>
        <w:r w:rsidR="00336277">
          <w:rPr>
            <w:rFonts w:asciiTheme="minorHAnsi" w:eastAsiaTheme="minorEastAsia" w:hAnsiTheme="minorHAnsi" w:cstheme="minorBidi"/>
            <w:noProof/>
            <w:sz w:val="22"/>
            <w:szCs w:val="22"/>
            <w:lang w:val="en-US"/>
          </w:rPr>
          <w:tab/>
        </w:r>
        <w:r w:rsidR="00336277" w:rsidRPr="00B57459">
          <w:rPr>
            <w:rStyle w:val="Hyperlink"/>
            <w:noProof/>
          </w:rPr>
          <w:t>Introduction</w:t>
        </w:r>
        <w:r w:rsidR="00336277">
          <w:rPr>
            <w:noProof/>
            <w:webHidden/>
          </w:rPr>
          <w:tab/>
        </w:r>
        <w:r w:rsidR="00336277">
          <w:rPr>
            <w:noProof/>
            <w:webHidden/>
          </w:rPr>
          <w:fldChar w:fldCharType="begin"/>
        </w:r>
        <w:r w:rsidR="00336277">
          <w:rPr>
            <w:noProof/>
            <w:webHidden/>
          </w:rPr>
          <w:instrText xml:space="preserve"> PAGEREF _Toc413056066 \h </w:instrText>
        </w:r>
        <w:r w:rsidR="00336277">
          <w:rPr>
            <w:noProof/>
            <w:webHidden/>
          </w:rPr>
        </w:r>
        <w:r w:rsidR="00336277">
          <w:rPr>
            <w:noProof/>
            <w:webHidden/>
          </w:rPr>
          <w:fldChar w:fldCharType="separate"/>
        </w:r>
        <w:r w:rsidR="00336277">
          <w:rPr>
            <w:noProof/>
            <w:webHidden/>
          </w:rPr>
          <w:t>446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7" w:history="1">
        <w:r w:rsidR="00336277" w:rsidRPr="00B57459">
          <w:rPr>
            <w:rStyle w:val="Hyperlink"/>
            <w:noProof/>
          </w:rPr>
          <w:t>7.2</w:t>
        </w:r>
        <w:r w:rsidR="00336277">
          <w:rPr>
            <w:rFonts w:asciiTheme="minorHAnsi" w:eastAsiaTheme="minorEastAsia" w:hAnsiTheme="minorHAnsi" w:cstheme="minorBidi"/>
            <w:noProof/>
            <w:sz w:val="22"/>
            <w:szCs w:val="22"/>
            <w:lang w:val="en-US"/>
          </w:rPr>
          <w:tab/>
        </w:r>
        <w:r w:rsidR="00336277" w:rsidRPr="00B57459">
          <w:rPr>
            <w:rStyle w:val="Hyperlink"/>
            <w:noProof/>
          </w:rPr>
          <w:t>Existing Conditions</w:t>
        </w:r>
        <w:r w:rsidR="00336277">
          <w:rPr>
            <w:noProof/>
            <w:webHidden/>
          </w:rPr>
          <w:tab/>
        </w:r>
        <w:r w:rsidR="00336277">
          <w:rPr>
            <w:noProof/>
            <w:webHidden/>
          </w:rPr>
          <w:fldChar w:fldCharType="begin"/>
        </w:r>
        <w:r w:rsidR="00336277">
          <w:rPr>
            <w:noProof/>
            <w:webHidden/>
          </w:rPr>
          <w:instrText xml:space="preserve"> PAGEREF _Toc413056067 \h </w:instrText>
        </w:r>
        <w:r w:rsidR="00336277">
          <w:rPr>
            <w:noProof/>
            <w:webHidden/>
          </w:rPr>
        </w:r>
        <w:r w:rsidR="00336277">
          <w:rPr>
            <w:noProof/>
            <w:webHidden/>
          </w:rPr>
          <w:fldChar w:fldCharType="separate"/>
        </w:r>
        <w:r w:rsidR="00336277">
          <w:rPr>
            <w:noProof/>
            <w:webHidden/>
          </w:rPr>
          <w:t>446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8" w:history="1">
        <w:r w:rsidR="00336277" w:rsidRPr="00B57459">
          <w:rPr>
            <w:rStyle w:val="Hyperlink"/>
            <w:noProof/>
          </w:rPr>
          <w:t>7.3</w:t>
        </w:r>
        <w:r w:rsidR="00336277">
          <w:rPr>
            <w:rFonts w:asciiTheme="minorHAnsi" w:eastAsiaTheme="minorEastAsia" w:hAnsiTheme="minorHAnsi" w:cstheme="minorBidi"/>
            <w:noProof/>
            <w:sz w:val="22"/>
            <w:szCs w:val="22"/>
            <w:lang w:val="en-US"/>
          </w:rPr>
          <w:tab/>
        </w:r>
        <w:r w:rsidR="00336277" w:rsidRPr="00B57459">
          <w:rPr>
            <w:rStyle w:val="Hyperlink"/>
            <w:noProof/>
          </w:rPr>
          <w:t>Strategic Objectives</w:t>
        </w:r>
        <w:r w:rsidR="00336277">
          <w:rPr>
            <w:noProof/>
            <w:webHidden/>
          </w:rPr>
          <w:tab/>
        </w:r>
        <w:r w:rsidR="00336277">
          <w:rPr>
            <w:noProof/>
            <w:webHidden/>
          </w:rPr>
          <w:fldChar w:fldCharType="begin"/>
        </w:r>
        <w:r w:rsidR="00336277">
          <w:rPr>
            <w:noProof/>
            <w:webHidden/>
          </w:rPr>
          <w:instrText xml:space="preserve"> PAGEREF _Toc413056068 \h </w:instrText>
        </w:r>
        <w:r w:rsidR="00336277">
          <w:rPr>
            <w:noProof/>
            <w:webHidden/>
          </w:rPr>
        </w:r>
        <w:r w:rsidR="00336277">
          <w:rPr>
            <w:noProof/>
            <w:webHidden/>
          </w:rPr>
          <w:fldChar w:fldCharType="separate"/>
        </w:r>
        <w:r w:rsidR="00336277">
          <w:rPr>
            <w:noProof/>
            <w:webHidden/>
          </w:rPr>
          <w:t>464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69" w:history="1">
        <w:r w:rsidR="00336277" w:rsidRPr="00B57459">
          <w:rPr>
            <w:rStyle w:val="Hyperlink"/>
            <w:noProof/>
          </w:rPr>
          <w:t>7.4</w:t>
        </w:r>
        <w:r w:rsidR="00336277">
          <w:rPr>
            <w:rFonts w:asciiTheme="minorHAnsi" w:eastAsiaTheme="minorEastAsia" w:hAnsiTheme="minorHAnsi" w:cstheme="minorBidi"/>
            <w:noProof/>
            <w:sz w:val="22"/>
            <w:szCs w:val="22"/>
            <w:lang w:val="en-US"/>
          </w:rPr>
          <w:tab/>
        </w:r>
        <w:r w:rsidR="00336277" w:rsidRPr="00B57459">
          <w:rPr>
            <w:rStyle w:val="Hyperlink"/>
            <w:noProof/>
          </w:rPr>
          <w:t>Operational Objectives</w:t>
        </w:r>
        <w:r w:rsidR="00336277">
          <w:rPr>
            <w:noProof/>
            <w:webHidden/>
          </w:rPr>
          <w:tab/>
        </w:r>
        <w:r w:rsidR="00336277">
          <w:rPr>
            <w:noProof/>
            <w:webHidden/>
          </w:rPr>
          <w:fldChar w:fldCharType="begin"/>
        </w:r>
        <w:r w:rsidR="00336277">
          <w:rPr>
            <w:noProof/>
            <w:webHidden/>
          </w:rPr>
          <w:instrText xml:space="preserve"> PAGEREF _Toc413056069 \h </w:instrText>
        </w:r>
        <w:r w:rsidR="00336277">
          <w:rPr>
            <w:noProof/>
            <w:webHidden/>
          </w:rPr>
        </w:r>
        <w:r w:rsidR="00336277">
          <w:rPr>
            <w:noProof/>
            <w:webHidden/>
          </w:rPr>
          <w:fldChar w:fldCharType="separate"/>
        </w:r>
        <w:r w:rsidR="00336277">
          <w:rPr>
            <w:noProof/>
            <w:webHidden/>
          </w:rPr>
          <w:t>464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0" w:history="1">
        <w:r w:rsidR="00336277" w:rsidRPr="00B57459">
          <w:rPr>
            <w:rStyle w:val="Hyperlink"/>
            <w:noProof/>
          </w:rPr>
          <w:t>7.5</w:t>
        </w:r>
        <w:r w:rsidR="00336277">
          <w:rPr>
            <w:rFonts w:asciiTheme="minorHAnsi" w:eastAsiaTheme="minorEastAsia" w:hAnsiTheme="minorHAnsi" w:cstheme="minorBidi"/>
            <w:noProof/>
            <w:sz w:val="22"/>
            <w:szCs w:val="22"/>
            <w:lang w:val="en-US"/>
          </w:rPr>
          <w:tab/>
        </w:r>
        <w:r w:rsidR="00336277" w:rsidRPr="00B57459">
          <w:rPr>
            <w:rStyle w:val="Hyperlink"/>
            <w:noProof/>
          </w:rPr>
          <w:t>Interventions</w:t>
        </w:r>
        <w:r w:rsidR="00336277">
          <w:rPr>
            <w:noProof/>
            <w:webHidden/>
          </w:rPr>
          <w:tab/>
        </w:r>
        <w:r w:rsidR="00336277">
          <w:rPr>
            <w:noProof/>
            <w:webHidden/>
          </w:rPr>
          <w:fldChar w:fldCharType="begin"/>
        </w:r>
        <w:r w:rsidR="00336277">
          <w:rPr>
            <w:noProof/>
            <w:webHidden/>
          </w:rPr>
          <w:instrText xml:space="preserve"> PAGEREF _Toc413056070 \h </w:instrText>
        </w:r>
        <w:r w:rsidR="00336277">
          <w:rPr>
            <w:noProof/>
            <w:webHidden/>
          </w:rPr>
        </w:r>
        <w:r w:rsidR="00336277">
          <w:rPr>
            <w:noProof/>
            <w:webHidden/>
          </w:rPr>
          <w:fldChar w:fldCharType="separate"/>
        </w:r>
        <w:r w:rsidR="00336277">
          <w:rPr>
            <w:noProof/>
            <w:webHidden/>
          </w:rPr>
          <w:t>465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1" w:history="1">
        <w:r w:rsidR="00336277" w:rsidRPr="00B57459">
          <w:rPr>
            <w:rStyle w:val="Hyperlink"/>
            <w:noProof/>
          </w:rPr>
          <w:t>7.6</w:t>
        </w:r>
        <w:r w:rsidR="00336277">
          <w:rPr>
            <w:rFonts w:asciiTheme="minorHAnsi" w:eastAsiaTheme="minorEastAsia" w:hAnsiTheme="minorHAnsi" w:cstheme="minorBidi"/>
            <w:noProof/>
            <w:sz w:val="22"/>
            <w:szCs w:val="22"/>
            <w:lang w:val="en-US"/>
          </w:rPr>
          <w:tab/>
        </w:r>
        <w:r w:rsidR="00336277" w:rsidRPr="00B57459">
          <w:rPr>
            <w:rStyle w:val="Hyperlink"/>
            <w:noProof/>
          </w:rPr>
          <w:t>Results of Testing</w:t>
        </w:r>
        <w:r w:rsidR="00336277">
          <w:rPr>
            <w:noProof/>
            <w:webHidden/>
          </w:rPr>
          <w:tab/>
        </w:r>
        <w:r w:rsidR="00336277">
          <w:rPr>
            <w:noProof/>
            <w:webHidden/>
          </w:rPr>
          <w:fldChar w:fldCharType="begin"/>
        </w:r>
        <w:r w:rsidR="00336277">
          <w:rPr>
            <w:noProof/>
            <w:webHidden/>
          </w:rPr>
          <w:instrText xml:space="preserve"> PAGEREF _Toc413056071 \h </w:instrText>
        </w:r>
        <w:r w:rsidR="00336277">
          <w:rPr>
            <w:noProof/>
            <w:webHidden/>
          </w:rPr>
        </w:r>
        <w:r w:rsidR="00336277">
          <w:rPr>
            <w:noProof/>
            <w:webHidden/>
          </w:rPr>
          <w:fldChar w:fldCharType="separate"/>
        </w:r>
        <w:r w:rsidR="00336277">
          <w:rPr>
            <w:noProof/>
            <w:webHidden/>
          </w:rPr>
          <w:t>491</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72" w:history="1">
        <w:r w:rsidR="00336277" w:rsidRPr="00B57459">
          <w:rPr>
            <w:rStyle w:val="Hyperlink"/>
            <w:noProof/>
          </w:rPr>
          <w:t>8</w:t>
        </w:r>
        <w:r w:rsidR="00336277">
          <w:rPr>
            <w:rFonts w:asciiTheme="minorHAnsi" w:eastAsiaTheme="minorEastAsia" w:hAnsiTheme="minorHAnsi" w:cstheme="minorBidi"/>
            <w:b w:val="0"/>
            <w:noProof/>
            <w:sz w:val="22"/>
            <w:szCs w:val="22"/>
            <w:lang w:val="en-US"/>
          </w:rPr>
          <w:tab/>
        </w:r>
        <w:r w:rsidR="00336277" w:rsidRPr="00B57459">
          <w:rPr>
            <w:rStyle w:val="Hyperlink"/>
            <w:noProof/>
          </w:rPr>
          <w:t>Intermodal Transport</w:t>
        </w:r>
        <w:r w:rsidR="00336277">
          <w:rPr>
            <w:noProof/>
            <w:webHidden/>
          </w:rPr>
          <w:tab/>
        </w:r>
        <w:r w:rsidR="00336277">
          <w:rPr>
            <w:noProof/>
            <w:webHidden/>
          </w:rPr>
          <w:fldChar w:fldCharType="begin"/>
        </w:r>
        <w:r w:rsidR="00336277">
          <w:rPr>
            <w:noProof/>
            <w:webHidden/>
          </w:rPr>
          <w:instrText xml:space="preserve"> PAGEREF _Toc413056072 \h </w:instrText>
        </w:r>
        <w:r w:rsidR="00336277">
          <w:rPr>
            <w:noProof/>
            <w:webHidden/>
          </w:rPr>
        </w:r>
        <w:r w:rsidR="00336277">
          <w:rPr>
            <w:noProof/>
            <w:webHidden/>
          </w:rPr>
          <w:fldChar w:fldCharType="separate"/>
        </w:r>
        <w:r w:rsidR="00336277">
          <w:rPr>
            <w:noProof/>
            <w:webHidden/>
          </w:rPr>
          <w:t>494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3" w:history="1">
        <w:r w:rsidR="00336277" w:rsidRPr="00B57459">
          <w:rPr>
            <w:rStyle w:val="Hyperlink"/>
            <w:noProof/>
          </w:rPr>
          <w:t>8.1</w:t>
        </w:r>
        <w:r w:rsidR="00336277">
          <w:rPr>
            <w:rFonts w:asciiTheme="minorHAnsi" w:eastAsiaTheme="minorEastAsia" w:hAnsiTheme="minorHAnsi" w:cstheme="minorBidi"/>
            <w:noProof/>
            <w:sz w:val="22"/>
            <w:szCs w:val="22"/>
            <w:lang w:val="en-US"/>
          </w:rPr>
          <w:tab/>
        </w:r>
        <w:r w:rsidR="00336277" w:rsidRPr="00B57459">
          <w:rPr>
            <w:rStyle w:val="Hyperlink"/>
            <w:noProof/>
          </w:rPr>
          <w:t>Existing Conditions</w:t>
        </w:r>
        <w:r w:rsidR="00336277">
          <w:rPr>
            <w:noProof/>
            <w:webHidden/>
          </w:rPr>
          <w:tab/>
        </w:r>
        <w:r w:rsidR="00336277">
          <w:rPr>
            <w:noProof/>
            <w:webHidden/>
          </w:rPr>
          <w:fldChar w:fldCharType="begin"/>
        </w:r>
        <w:r w:rsidR="00336277">
          <w:rPr>
            <w:noProof/>
            <w:webHidden/>
          </w:rPr>
          <w:instrText xml:space="preserve"> PAGEREF _Toc413056073 \h </w:instrText>
        </w:r>
        <w:r w:rsidR="00336277">
          <w:rPr>
            <w:noProof/>
            <w:webHidden/>
          </w:rPr>
        </w:r>
        <w:r w:rsidR="00336277">
          <w:rPr>
            <w:noProof/>
            <w:webHidden/>
          </w:rPr>
          <w:fldChar w:fldCharType="separate"/>
        </w:r>
        <w:r w:rsidR="00336277">
          <w:rPr>
            <w:noProof/>
            <w:webHidden/>
          </w:rPr>
          <w:t>494</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4" w:history="1">
        <w:r w:rsidR="00336277" w:rsidRPr="00B57459">
          <w:rPr>
            <w:rStyle w:val="Hyperlink"/>
            <w:noProof/>
          </w:rPr>
          <w:t>8.2</w:t>
        </w:r>
        <w:r w:rsidR="00336277">
          <w:rPr>
            <w:rFonts w:asciiTheme="minorHAnsi" w:eastAsiaTheme="minorEastAsia" w:hAnsiTheme="minorHAnsi" w:cstheme="minorBidi"/>
            <w:noProof/>
            <w:sz w:val="22"/>
            <w:szCs w:val="22"/>
            <w:lang w:val="en-US"/>
          </w:rPr>
          <w:tab/>
        </w:r>
        <w:r w:rsidR="00336277" w:rsidRPr="00B57459">
          <w:rPr>
            <w:rStyle w:val="Hyperlink"/>
            <w:noProof/>
          </w:rPr>
          <w:t>Operational Objectives</w:t>
        </w:r>
        <w:r w:rsidR="00336277">
          <w:rPr>
            <w:noProof/>
            <w:webHidden/>
          </w:rPr>
          <w:tab/>
        </w:r>
        <w:r w:rsidR="00336277">
          <w:rPr>
            <w:noProof/>
            <w:webHidden/>
          </w:rPr>
          <w:fldChar w:fldCharType="begin"/>
        </w:r>
        <w:r w:rsidR="00336277">
          <w:rPr>
            <w:noProof/>
            <w:webHidden/>
          </w:rPr>
          <w:instrText xml:space="preserve"> PAGEREF _Toc413056074 \h </w:instrText>
        </w:r>
        <w:r w:rsidR="00336277">
          <w:rPr>
            <w:noProof/>
            <w:webHidden/>
          </w:rPr>
        </w:r>
        <w:r w:rsidR="00336277">
          <w:rPr>
            <w:noProof/>
            <w:webHidden/>
          </w:rPr>
          <w:fldChar w:fldCharType="separate"/>
        </w:r>
        <w:r w:rsidR="00336277">
          <w:rPr>
            <w:noProof/>
            <w:webHidden/>
          </w:rPr>
          <w:t>515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5" w:history="1">
        <w:r w:rsidR="00336277" w:rsidRPr="00B57459">
          <w:rPr>
            <w:rStyle w:val="Hyperlink"/>
            <w:noProof/>
          </w:rPr>
          <w:t>8.3</w:t>
        </w:r>
        <w:r w:rsidR="00336277">
          <w:rPr>
            <w:rFonts w:asciiTheme="minorHAnsi" w:eastAsiaTheme="minorEastAsia" w:hAnsiTheme="minorHAnsi" w:cstheme="minorBidi"/>
            <w:noProof/>
            <w:sz w:val="22"/>
            <w:szCs w:val="22"/>
            <w:lang w:val="en-US"/>
          </w:rPr>
          <w:tab/>
        </w:r>
        <w:r w:rsidR="00336277" w:rsidRPr="00B57459">
          <w:rPr>
            <w:rStyle w:val="Hyperlink"/>
            <w:noProof/>
          </w:rPr>
          <w:t>Interventions</w:t>
        </w:r>
        <w:r w:rsidR="00336277">
          <w:rPr>
            <w:noProof/>
            <w:webHidden/>
          </w:rPr>
          <w:tab/>
        </w:r>
        <w:r w:rsidR="00336277">
          <w:rPr>
            <w:noProof/>
            <w:webHidden/>
          </w:rPr>
          <w:fldChar w:fldCharType="begin"/>
        </w:r>
        <w:r w:rsidR="00336277">
          <w:rPr>
            <w:noProof/>
            <w:webHidden/>
          </w:rPr>
          <w:instrText xml:space="preserve"> PAGEREF _Toc413056075 \h </w:instrText>
        </w:r>
        <w:r w:rsidR="00336277">
          <w:rPr>
            <w:noProof/>
            <w:webHidden/>
          </w:rPr>
        </w:r>
        <w:r w:rsidR="00336277">
          <w:rPr>
            <w:noProof/>
            <w:webHidden/>
          </w:rPr>
          <w:fldChar w:fldCharType="separate"/>
        </w:r>
        <w:r w:rsidR="00336277">
          <w:rPr>
            <w:noProof/>
            <w:webHidden/>
          </w:rPr>
          <w:t>516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6" w:history="1">
        <w:r w:rsidR="00336277" w:rsidRPr="00B57459">
          <w:rPr>
            <w:rStyle w:val="Hyperlink"/>
            <w:noProof/>
          </w:rPr>
          <w:t>8.4</w:t>
        </w:r>
        <w:r w:rsidR="00336277">
          <w:rPr>
            <w:rFonts w:asciiTheme="minorHAnsi" w:eastAsiaTheme="minorEastAsia" w:hAnsiTheme="minorHAnsi" w:cstheme="minorBidi"/>
            <w:noProof/>
            <w:sz w:val="22"/>
            <w:szCs w:val="22"/>
            <w:lang w:val="en-US"/>
          </w:rPr>
          <w:tab/>
        </w:r>
        <w:r w:rsidR="00336277" w:rsidRPr="00B57459">
          <w:rPr>
            <w:rStyle w:val="Hyperlink"/>
            <w:noProof/>
          </w:rPr>
          <w:t>Testing interventions</w:t>
        </w:r>
        <w:r w:rsidR="00336277">
          <w:rPr>
            <w:noProof/>
            <w:webHidden/>
          </w:rPr>
          <w:tab/>
        </w:r>
        <w:r w:rsidR="00336277">
          <w:rPr>
            <w:noProof/>
            <w:webHidden/>
          </w:rPr>
          <w:fldChar w:fldCharType="begin"/>
        </w:r>
        <w:r w:rsidR="00336277">
          <w:rPr>
            <w:noProof/>
            <w:webHidden/>
          </w:rPr>
          <w:instrText xml:space="preserve"> PAGEREF _Toc413056076 \h </w:instrText>
        </w:r>
        <w:r w:rsidR="00336277">
          <w:rPr>
            <w:noProof/>
            <w:webHidden/>
          </w:rPr>
        </w:r>
        <w:r w:rsidR="00336277">
          <w:rPr>
            <w:noProof/>
            <w:webHidden/>
          </w:rPr>
          <w:fldChar w:fldCharType="separate"/>
        </w:r>
        <w:r w:rsidR="00336277">
          <w:rPr>
            <w:noProof/>
            <w:webHidden/>
          </w:rPr>
          <w:t>523</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7" w:history="1">
        <w:r w:rsidR="00336277" w:rsidRPr="00B57459">
          <w:rPr>
            <w:rStyle w:val="Hyperlink"/>
            <w:i/>
            <w:noProof/>
          </w:rPr>
          <w:t>8.5</w:t>
        </w:r>
        <w:r w:rsidR="00336277">
          <w:rPr>
            <w:rFonts w:asciiTheme="minorHAnsi" w:eastAsiaTheme="minorEastAsia" w:hAnsiTheme="minorHAnsi" w:cstheme="minorBidi"/>
            <w:noProof/>
            <w:sz w:val="22"/>
            <w:szCs w:val="22"/>
            <w:lang w:val="en-US"/>
          </w:rPr>
          <w:tab/>
        </w:r>
        <w:r w:rsidR="00336277" w:rsidRPr="00B57459">
          <w:rPr>
            <w:rStyle w:val="Hyperlink"/>
            <w:noProof/>
          </w:rPr>
          <w:t>Summary of Interventions for Intermodal</w:t>
        </w:r>
        <w:r w:rsidR="00336277">
          <w:rPr>
            <w:noProof/>
            <w:webHidden/>
          </w:rPr>
          <w:tab/>
        </w:r>
        <w:r w:rsidR="00336277">
          <w:rPr>
            <w:noProof/>
            <w:webHidden/>
          </w:rPr>
          <w:fldChar w:fldCharType="begin"/>
        </w:r>
        <w:r w:rsidR="00336277">
          <w:rPr>
            <w:noProof/>
            <w:webHidden/>
          </w:rPr>
          <w:instrText xml:space="preserve"> PAGEREF _Toc413056077 \h </w:instrText>
        </w:r>
        <w:r w:rsidR="00336277">
          <w:rPr>
            <w:noProof/>
            <w:webHidden/>
          </w:rPr>
        </w:r>
        <w:r w:rsidR="00336277">
          <w:rPr>
            <w:noProof/>
            <w:webHidden/>
          </w:rPr>
          <w:fldChar w:fldCharType="separate"/>
        </w:r>
        <w:r w:rsidR="00336277">
          <w:rPr>
            <w:noProof/>
            <w:webHidden/>
          </w:rPr>
          <w:t>544</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78" w:history="1">
        <w:r w:rsidR="00336277" w:rsidRPr="00B57459">
          <w:rPr>
            <w:rStyle w:val="Hyperlink"/>
            <w:noProof/>
          </w:rPr>
          <w:t>9</w:t>
        </w:r>
        <w:r w:rsidR="00336277">
          <w:rPr>
            <w:rFonts w:asciiTheme="minorHAnsi" w:eastAsiaTheme="minorEastAsia" w:hAnsiTheme="minorHAnsi" w:cstheme="minorBidi"/>
            <w:b w:val="0"/>
            <w:noProof/>
            <w:sz w:val="22"/>
            <w:szCs w:val="22"/>
            <w:lang w:val="en-US"/>
          </w:rPr>
          <w:tab/>
        </w:r>
        <w:r w:rsidR="00336277" w:rsidRPr="00B57459">
          <w:rPr>
            <w:rStyle w:val="Hyperlink"/>
            <w:noProof/>
          </w:rPr>
          <w:t>Funding Analysis</w:t>
        </w:r>
        <w:r w:rsidR="00336277">
          <w:rPr>
            <w:noProof/>
            <w:webHidden/>
          </w:rPr>
          <w:tab/>
        </w:r>
        <w:r w:rsidR="00336277">
          <w:rPr>
            <w:noProof/>
            <w:webHidden/>
          </w:rPr>
          <w:fldChar w:fldCharType="begin"/>
        </w:r>
        <w:r w:rsidR="00336277">
          <w:rPr>
            <w:noProof/>
            <w:webHidden/>
          </w:rPr>
          <w:instrText xml:space="preserve"> PAGEREF _Toc413056078 \h </w:instrText>
        </w:r>
        <w:r w:rsidR="00336277">
          <w:rPr>
            <w:noProof/>
            <w:webHidden/>
          </w:rPr>
        </w:r>
        <w:r w:rsidR="00336277">
          <w:rPr>
            <w:noProof/>
            <w:webHidden/>
          </w:rPr>
          <w:fldChar w:fldCharType="separate"/>
        </w:r>
        <w:r w:rsidR="00336277">
          <w:rPr>
            <w:noProof/>
            <w:webHidden/>
          </w:rPr>
          <w:t>549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79" w:history="1">
        <w:r w:rsidR="00336277" w:rsidRPr="00B57459">
          <w:rPr>
            <w:rStyle w:val="Hyperlink"/>
            <w:noProof/>
          </w:rPr>
          <w:t>9.1</w:t>
        </w:r>
        <w:r w:rsidR="00336277">
          <w:rPr>
            <w:rFonts w:asciiTheme="minorHAnsi" w:eastAsiaTheme="minorEastAsia" w:hAnsiTheme="minorHAnsi" w:cstheme="minorBidi"/>
            <w:noProof/>
            <w:sz w:val="22"/>
            <w:szCs w:val="22"/>
            <w:lang w:val="en-US"/>
          </w:rPr>
          <w:tab/>
        </w:r>
        <w:r w:rsidR="00336277" w:rsidRPr="00B57459">
          <w:rPr>
            <w:rStyle w:val="Hyperlink"/>
            <w:noProof/>
          </w:rPr>
          <w:t>Basic Assumptions</w:t>
        </w:r>
        <w:r w:rsidR="00336277">
          <w:rPr>
            <w:noProof/>
            <w:webHidden/>
          </w:rPr>
          <w:tab/>
        </w:r>
        <w:r w:rsidR="00336277">
          <w:rPr>
            <w:noProof/>
            <w:webHidden/>
          </w:rPr>
          <w:fldChar w:fldCharType="begin"/>
        </w:r>
        <w:r w:rsidR="00336277">
          <w:rPr>
            <w:noProof/>
            <w:webHidden/>
          </w:rPr>
          <w:instrText xml:space="preserve"> PAGEREF _Toc413056079 \h </w:instrText>
        </w:r>
        <w:r w:rsidR="00336277">
          <w:rPr>
            <w:noProof/>
            <w:webHidden/>
          </w:rPr>
        </w:r>
        <w:r w:rsidR="00336277">
          <w:rPr>
            <w:noProof/>
            <w:webHidden/>
          </w:rPr>
          <w:fldChar w:fldCharType="separate"/>
        </w:r>
        <w:r w:rsidR="00336277">
          <w:rPr>
            <w:noProof/>
            <w:webHidden/>
          </w:rPr>
          <w:t>549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0" w:history="1">
        <w:r w:rsidR="00336277" w:rsidRPr="00B57459">
          <w:rPr>
            <w:rStyle w:val="Hyperlink"/>
            <w:noProof/>
          </w:rPr>
          <w:t>9.2</w:t>
        </w:r>
        <w:r w:rsidR="00336277">
          <w:rPr>
            <w:rFonts w:asciiTheme="minorHAnsi" w:eastAsiaTheme="minorEastAsia" w:hAnsiTheme="minorHAnsi" w:cstheme="minorBidi"/>
            <w:noProof/>
            <w:sz w:val="22"/>
            <w:szCs w:val="22"/>
            <w:lang w:val="en-US"/>
          </w:rPr>
          <w:tab/>
        </w:r>
        <w:r w:rsidR="00336277" w:rsidRPr="00B57459">
          <w:rPr>
            <w:rStyle w:val="Hyperlink"/>
            <w:noProof/>
          </w:rPr>
          <w:t>Mandated Expenditure for Maintenance and Renewals</w:t>
        </w:r>
        <w:r w:rsidR="00336277">
          <w:rPr>
            <w:noProof/>
            <w:webHidden/>
          </w:rPr>
          <w:tab/>
        </w:r>
        <w:r w:rsidR="00336277">
          <w:rPr>
            <w:noProof/>
            <w:webHidden/>
          </w:rPr>
          <w:fldChar w:fldCharType="begin"/>
        </w:r>
        <w:r w:rsidR="00336277">
          <w:rPr>
            <w:noProof/>
            <w:webHidden/>
          </w:rPr>
          <w:instrText xml:space="preserve"> PAGEREF _Toc413056080 \h </w:instrText>
        </w:r>
        <w:r w:rsidR="00336277">
          <w:rPr>
            <w:noProof/>
            <w:webHidden/>
          </w:rPr>
        </w:r>
        <w:r w:rsidR="00336277">
          <w:rPr>
            <w:noProof/>
            <w:webHidden/>
          </w:rPr>
          <w:fldChar w:fldCharType="separate"/>
        </w:r>
        <w:r w:rsidR="00336277">
          <w:rPr>
            <w:noProof/>
            <w:webHidden/>
          </w:rPr>
          <w:t>552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1" w:history="1">
        <w:r w:rsidR="00336277" w:rsidRPr="00B57459">
          <w:rPr>
            <w:rStyle w:val="Hyperlink"/>
            <w:noProof/>
          </w:rPr>
          <w:t>9.3</w:t>
        </w:r>
        <w:r w:rsidR="00336277">
          <w:rPr>
            <w:rFonts w:asciiTheme="minorHAnsi" w:eastAsiaTheme="minorEastAsia" w:hAnsiTheme="minorHAnsi" w:cstheme="minorBidi"/>
            <w:noProof/>
            <w:sz w:val="22"/>
            <w:szCs w:val="22"/>
            <w:lang w:val="en-US"/>
          </w:rPr>
          <w:tab/>
        </w:r>
        <w:r w:rsidR="00336277" w:rsidRPr="00B57459">
          <w:rPr>
            <w:rStyle w:val="Hyperlink"/>
            <w:noProof/>
          </w:rPr>
          <w:t>Available Expenditure for Investment</w:t>
        </w:r>
        <w:r w:rsidR="00336277">
          <w:rPr>
            <w:noProof/>
            <w:webHidden/>
          </w:rPr>
          <w:tab/>
        </w:r>
        <w:r w:rsidR="00336277">
          <w:rPr>
            <w:noProof/>
            <w:webHidden/>
          </w:rPr>
          <w:fldChar w:fldCharType="begin"/>
        </w:r>
        <w:r w:rsidR="00336277">
          <w:rPr>
            <w:noProof/>
            <w:webHidden/>
          </w:rPr>
          <w:instrText xml:space="preserve"> PAGEREF _Toc413056081 \h </w:instrText>
        </w:r>
        <w:r w:rsidR="00336277">
          <w:rPr>
            <w:noProof/>
            <w:webHidden/>
          </w:rPr>
        </w:r>
        <w:r w:rsidR="00336277">
          <w:rPr>
            <w:noProof/>
            <w:webHidden/>
          </w:rPr>
          <w:fldChar w:fldCharType="separate"/>
        </w:r>
        <w:r w:rsidR="00336277">
          <w:rPr>
            <w:noProof/>
            <w:webHidden/>
          </w:rPr>
          <w:t>553</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82" w:history="1">
        <w:r w:rsidR="00336277" w:rsidRPr="00B57459">
          <w:rPr>
            <w:rStyle w:val="Hyperlink"/>
            <w:noProof/>
          </w:rPr>
          <w:t>10</w:t>
        </w:r>
        <w:r w:rsidR="00336277">
          <w:rPr>
            <w:rFonts w:asciiTheme="minorHAnsi" w:eastAsiaTheme="minorEastAsia" w:hAnsiTheme="minorHAnsi" w:cstheme="minorBidi"/>
            <w:b w:val="0"/>
            <w:noProof/>
            <w:sz w:val="22"/>
            <w:szCs w:val="22"/>
            <w:lang w:val="en-US"/>
          </w:rPr>
          <w:tab/>
        </w:r>
        <w:r w:rsidR="00336277" w:rsidRPr="00B57459">
          <w:rPr>
            <w:rStyle w:val="Hyperlink"/>
            <w:noProof/>
          </w:rPr>
          <w:t>Overall Strategy, 2020 and 2030</w:t>
        </w:r>
        <w:r w:rsidR="00336277">
          <w:rPr>
            <w:noProof/>
            <w:webHidden/>
          </w:rPr>
          <w:tab/>
        </w:r>
        <w:r w:rsidR="00336277">
          <w:rPr>
            <w:noProof/>
            <w:webHidden/>
          </w:rPr>
          <w:fldChar w:fldCharType="begin"/>
        </w:r>
        <w:r w:rsidR="00336277">
          <w:rPr>
            <w:noProof/>
            <w:webHidden/>
          </w:rPr>
          <w:instrText xml:space="preserve"> PAGEREF _Toc413056082 \h </w:instrText>
        </w:r>
        <w:r w:rsidR="00336277">
          <w:rPr>
            <w:noProof/>
            <w:webHidden/>
          </w:rPr>
        </w:r>
        <w:r w:rsidR="00336277">
          <w:rPr>
            <w:noProof/>
            <w:webHidden/>
          </w:rPr>
          <w:fldChar w:fldCharType="separate"/>
        </w:r>
        <w:r w:rsidR="00336277">
          <w:rPr>
            <w:noProof/>
            <w:webHidden/>
          </w:rPr>
          <w:t>557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3" w:history="1">
        <w:r w:rsidR="00336277" w:rsidRPr="00B57459">
          <w:rPr>
            <w:rStyle w:val="Hyperlink"/>
            <w:noProof/>
          </w:rPr>
          <w:t>10.1</w:t>
        </w:r>
        <w:r w:rsidR="00336277">
          <w:rPr>
            <w:rFonts w:asciiTheme="minorHAnsi" w:eastAsiaTheme="minorEastAsia" w:hAnsiTheme="minorHAnsi" w:cstheme="minorBidi"/>
            <w:noProof/>
            <w:sz w:val="22"/>
            <w:szCs w:val="22"/>
            <w:lang w:val="en-US"/>
          </w:rPr>
          <w:tab/>
        </w:r>
        <w:r w:rsidR="00336277" w:rsidRPr="00B57459">
          <w:rPr>
            <w:rStyle w:val="Hyperlink"/>
            <w:noProof/>
          </w:rPr>
          <w:t>Introduction</w:t>
        </w:r>
        <w:r w:rsidR="00336277">
          <w:rPr>
            <w:noProof/>
            <w:webHidden/>
          </w:rPr>
          <w:tab/>
        </w:r>
        <w:r w:rsidR="00336277">
          <w:rPr>
            <w:noProof/>
            <w:webHidden/>
          </w:rPr>
          <w:fldChar w:fldCharType="begin"/>
        </w:r>
        <w:r w:rsidR="00336277">
          <w:rPr>
            <w:noProof/>
            <w:webHidden/>
          </w:rPr>
          <w:instrText xml:space="preserve"> PAGEREF _Toc413056083 \h </w:instrText>
        </w:r>
        <w:r w:rsidR="00336277">
          <w:rPr>
            <w:noProof/>
            <w:webHidden/>
          </w:rPr>
        </w:r>
        <w:r w:rsidR="00336277">
          <w:rPr>
            <w:noProof/>
            <w:webHidden/>
          </w:rPr>
          <w:fldChar w:fldCharType="separate"/>
        </w:r>
        <w:r w:rsidR="00336277">
          <w:rPr>
            <w:noProof/>
            <w:webHidden/>
          </w:rPr>
          <w:t>557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4" w:history="1">
        <w:r w:rsidR="00336277" w:rsidRPr="00B57459">
          <w:rPr>
            <w:rStyle w:val="Hyperlink"/>
            <w:noProof/>
          </w:rPr>
          <w:t>10.2</w:t>
        </w:r>
        <w:r w:rsidR="00336277">
          <w:rPr>
            <w:rFonts w:asciiTheme="minorHAnsi" w:eastAsiaTheme="minorEastAsia" w:hAnsiTheme="minorHAnsi" w:cstheme="minorBidi"/>
            <w:noProof/>
            <w:sz w:val="22"/>
            <w:szCs w:val="22"/>
            <w:lang w:val="en-US"/>
          </w:rPr>
          <w:tab/>
        </w:r>
        <w:r w:rsidR="00336277" w:rsidRPr="00B57459">
          <w:rPr>
            <w:rStyle w:val="Hyperlink"/>
            <w:noProof/>
          </w:rPr>
          <w:t>Existing Situation</w:t>
        </w:r>
        <w:r w:rsidR="00336277">
          <w:rPr>
            <w:noProof/>
            <w:webHidden/>
          </w:rPr>
          <w:tab/>
        </w:r>
        <w:r w:rsidR="00336277">
          <w:rPr>
            <w:noProof/>
            <w:webHidden/>
          </w:rPr>
          <w:fldChar w:fldCharType="begin"/>
        </w:r>
        <w:r w:rsidR="00336277">
          <w:rPr>
            <w:noProof/>
            <w:webHidden/>
          </w:rPr>
          <w:instrText xml:space="preserve"> PAGEREF _Toc413056084 \h </w:instrText>
        </w:r>
        <w:r w:rsidR="00336277">
          <w:rPr>
            <w:noProof/>
            <w:webHidden/>
          </w:rPr>
        </w:r>
        <w:r w:rsidR="00336277">
          <w:rPr>
            <w:noProof/>
            <w:webHidden/>
          </w:rPr>
          <w:fldChar w:fldCharType="separate"/>
        </w:r>
        <w:r w:rsidR="00336277">
          <w:rPr>
            <w:noProof/>
            <w:webHidden/>
          </w:rPr>
          <w:t>559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5" w:history="1">
        <w:r w:rsidR="00336277" w:rsidRPr="00B57459">
          <w:rPr>
            <w:rStyle w:val="Hyperlink"/>
            <w:noProof/>
          </w:rPr>
          <w:t>10.3</w:t>
        </w:r>
        <w:r w:rsidR="00336277">
          <w:rPr>
            <w:rFonts w:asciiTheme="minorHAnsi" w:eastAsiaTheme="minorEastAsia" w:hAnsiTheme="minorHAnsi" w:cstheme="minorBidi"/>
            <w:noProof/>
            <w:sz w:val="22"/>
            <w:szCs w:val="22"/>
            <w:lang w:val="en-US"/>
          </w:rPr>
          <w:tab/>
        </w:r>
        <w:r w:rsidR="00336277" w:rsidRPr="00B57459">
          <w:rPr>
            <w:rStyle w:val="Hyperlink"/>
            <w:noProof/>
          </w:rPr>
          <w:t>Overall Objectives</w:t>
        </w:r>
        <w:r w:rsidR="00336277">
          <w:rPr>
            <w:noProof/>
            <w:webHidden/>
          </w:rPr>
          <w:tab/>
        </w:r>
        <w:r w:rsidR="00336277">
          <w:rPr>
            <w:noProof/>
            <w:webHidden/>
          </w:rPr>
          <w:fldChar w:fldCharType="begin"/>
        </w:r>
        <w:r w:rsidR="00336277">
          <w:rPr>
            <w:noProof/>
            <w:webHidden/>
          </w:rPr>
          <w:instrText xml:space="preserve"> PAGEREF _Toc413056085 \h </w:instrText>
        </w:r>
        <w:r w:rsidR="00336277">
          <w:rPr>
            <w:noProof/>
            <w:webHidden/>
          </w:rPr>
        </w:r>
        <w:r w:rsidR="00336277">
          <w:rPr>
            <w:noProof/>
            <w:webHidden/>
          </w:rPr>
          <w:fldChar w:fldCharType="separate"/>
        </w:r>
        <w:r w:rsidR="00336277">
          <w:rPr>
            <w:noProof/>
            <w:webHidden/>
          </w:rPr>
          <w:t>565</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6" w:history="1">
        <w:r w:rsidR="00336277" w:rsidRPr="00B57459">
          <w:rPr>
            <w:rStyle w:val="Hyperlink"/>
            <w:noProof/>
          </w:rPr>
          <w:t>10.4</w:t>
        </w:r>
        <w:r w:rsidR="00336277">
          <w:rPr>
            <w:rFonts w:asciiTheme="minorHAnsi" w:eastAsiaTheme="minorEastAsia" w:hAnsiTheme="minorHAnsi" w:cstheme="minorBidi"/>
            <w:noProof/>
            <w:sz w:val="22"/>
            <w:szCs w:val="22"/>
            <w:lang w:val="en-US"/>
          </w:rPr>
          <w:tab/>
        </w:r>
        <w:r w:rsidR="00336277" w:rsidRPr="00B57459">
          <w:rPr>
            <w:rStyle w:val="Hyperlink"/>
            <w:noProof/>
          </w:rPr>
          <w:t>Interventions</w:t>
        </w:r>
        <w:r w:rsidR="00336277">
          <w:rPr>
            <w:noProof/>
            <w:webHidden/>
          </w:rPr>
          <w:tab/>
        </w:r>
        <w:r w:rsidR="00336277">
          <w:rPr>
            <w:noProof/>
            <w:webHidden/>
          </w:rPr>
          <w:fldChar w:fldCharType="begin"/>
        </w:r>
        <w:r w:rsidR="00336277">
          <w:rPr>
            <w:noProof/>
            <w:webHidden/>
          </w:rPr>
          <w:instrText xml:space="preserve"> PAGEREF _Toc413056086 \h </w:instrText>
        </w:r>
        <w:r w:rsidR="00336277">
          <w:rPr>
            <w:noProof/>
            <w:webHidden/>
          </w:rPr>
        </w:r>
        <w:r w:rsidR="00336277">
          <w:rPr>
            <w:noProof/>
            <w:webHidden/>
          </w:rPr>
          <w:fldChar w:fldCharType="separate"/>
        </w:r>
        <w:r w:rsidR="00336277">
          <w:rPr>
            <w:noProof/>
            <w:webHidden/>
          </w:rPr>
          <w:t>567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7" w:history="1">
        <w:r w:rsidR="00336277" w:rsidRPr="00B57459">
          <w:rPr>
            <w:rStyle w:val="Hyperlink"/>
            <w:noProof/>
          </w:rPr>
          <w:t>10.5</w:t>
        </w:r>
        <w:r w:rsidR="00336277">
          <w:rPr>
            <w:rFonts w:asciiTheme="minorHAnsi" w:eastAsiaTheme="minorEastAsia" w:hAnsiTheme="minorHAnsi" w:cstheme="minorBidi"/>
            <w:noProof/>
            <w:sz w:val="22"/>
            <w:szCs w:val="22"/>
            <w:lang w:val="en-US"/>
          </w:rPr>
          <w:tab/>
        </w:r>
        <w:r w:rsidR="00336277" w:rsidRPr="00B57459">
          <w:rPr>
            <w:rStyle w:val="Hyperlink"/>
            <w:noProof/>
          </w:rPr>
          <w:t>Testing Projects</w:t>
        </w:r>
        <w:r w:rsidR="00336277">
          <w:rPr>
            <w:noProof/>
            <w:webHidden/>
          </w:rPr>
          <w:tab/>
        </w:r>
        <w:r w:rsidR="00336277">
          <w:rPr>
            <w:noProof/>
            <w:webHidden/>
          </w:rPr>
          <w:fldChar w:fldCharType="begin"/>
        </w:r>
        <w:r w:rsidR="00336277">
          <w:rPr>
            <w:noProof/>
            <w:webHidden/>
          </w:rPr>
          <w:instrText xml:space="preserve"> PAGEREF _Toc413056087 \h </w:instrText>
        </w:r>
        <w:r w:rsidR="00336277">
          <w:rPr>
            <w:noProof/>
            <w:webHidden/>
          </w:rPr>
        </w:r>
        <w:r w:rsidR="00336277">
          <w:rPr>
            <w:noProof/>
            <w:webHidden/>
          </w:rPr>
          <w:fldChar w:fldCharType="separate"/>
        </w:r>
        <w:r w:rsidR="00336277">
          <w:rPr>
            <w:noProof/>
            <w:webHidden/>
          </w:rPr>
          <w:t>567</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8" w:history="1">
        <w:r w:rsidR="00336277" w:rsidRPr="00B57459">
          <w:rPr>
            <w:rStyle w:val="Hyperlink"/>
            <w:noProof/>
          </w:rPr>
          <w:t>10.6</w:t>
        </w:r>
        <w:r w:rsidR="00336277">
          <w:rPr>
            <w:rFonts w:asciiTheme="minorHAnsi" w:eastAsiaTheme="minorEastAsia" w:hAnsiTheme="minorHAnsi" w:cstheme="minorBidi"/>
            <w:noProof/>
            <w:sz w:val="22"/>
            <w:szCs w:val="22"/>
            <w:lang w:val="en-US"/>
          </w:rPr>
          <w:tab/>
        </w:r>
        <w:r w:rsidR="00336277" w:rsidRPr="00B57459">
          <w:rPr>
            <w:rStyle w:val="Hyperlink"/>
            <w:noProof/>
          </w:rPr>
          <w:t>Project Appraisal – Role of CBA and MCA</w:t>
        </w:r>
        <w:r w:rsidR="00336277">
          <w:rPr>
            <w:noProof/>
            <w:webHidden/>
          </w:rPr>
          <w:tab/>
        </w:r>
        <w:r w:rsidR="00336277">
          <w:rPr>
            <w:noProof/>
            <w:webHidden/>
          </w:rPr>
          <w:fldChar w:fldCharType="begin"/>
        </w:r>
        <w:r w:rsidR="00336277">
          <w:rPr>
            <w:noProof/>
            <w:webHidden/>
          </w:rPr>
          <w:instrText xml:space="preserve"> PAGEREF _Toc413056088 \h </w:instrText>
        </w:r>
        <w:r w:rsidR="00336277">
          <w:rPr>
            <w:noProof/>
            <w:webHidden/>
          </w:rPr>
        </w:r>
        <w:r w:rsidR="00336277">
          <w:rPr>
            <w:noProof/>
            <w:webHidden/>
          </w:rPr>
          <w:fldChar w:fldCharType="separate"/>
        </w:r>
        <w:r w:rsidR="00336277">
          <w:rPr>
            <w:noProof/>
            <w:webHidden/>
          </w:rPr>
          <w:t>569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89" w:history="1">
        <w:r w:rsidR="00336277" w:rsidRPr="00B57459">
          <w:rPr>
            <w:rStyle w:val="Hyperlink"/>
            <w:noProof/>
          </w:rPr>
          <w:t>10.7</w:t>
        </w:r>
        <w:r w:rsidR="00336277">
          <w:rPr>
            <w:rFonts w:asciiTheme="minorHAnsi" w:eastAsiaTheme="minorEastAsia" w:hAnsiTheme="minorHAnsi" w:cstheme="minorBidi"/>
            <w:noProof/>
            <w:sz w:val="22"/>
            <w:szCs w:val="22"/>
            <w:lang w:val="en-US"/>
          </w:rPr>
          <w:tab/>
        </w:r>
        <w:r w:rsidR="00336277" w:rsidRPr="00B57459">
          <w:rPr>
            <w:rStyle w:val="Hyperlink"/>
            <w:noProof/>
          </w:rPr>
          <w:t>ES and EES Scenarios</w:t>
        </w:r>
        <w:r w:rsidR="00336277">
          <w:rPr>
            <w:noProof/>
            <w:webHidden/>
          </w:rPr>
          <w:tab/>
        </w:r>
        <w:r w:rsidR="00336277">
          <w:rPr>
            <w:noProof/>
            <w:webHidden/>
          </w:rPr>
          <w:fldChar w:fldCharType="begin"/>
        </w:r>
        <w:r w:rsidR="00336277">
          <w:rPr>
            <w:noProof/>
            <w:webHidden/>
          </w:rPr>
          <w:instrText xml:space="preserve"> PAGEREF _Toc413056089 \h </w:instrText>
        </w:r>
        <w:r w:rsidR="00336277">
          <w:rPr>
            <w:noProof/>
            <w:webHidden/>
          </w:rPr>
        </w:r>
        <w:r w:rsidR="00336277">
          <w:rPr>
            <w:noProof/>
            <w:webHidden/>
          </w:rPr>
          <w:fldChar w:fldCharType="separate"/>
        </w:r>
        <w:r w:rsidR="00336277">
          <w:rPr>
            <w:noProof/>
            <w:webHidden/>
          </w:rPr>
          <w:t>572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0" w:history="1">
        <w:r w:rsidR="00336277" w:rsidRPr="00B57459">
          <w:rPr>
            <w:rStyle w:val="Hyperlink"/>
            <w:noProof/>
          </w:rPr>
          <w:t>10.8</w:t>
        </w:r>
        <w:r w:rsidR="00336277">
          <w:rPr>
            <w:rFonts w:asciiTheme="minorHAnsi" w:eastAsiaTheme="minorEastAsia" w:hAnsiTheme="minorHAnsi" w:cstheme="minorBidi"/>
            <w:noProof/>
            <w:sz w:val="22"/>
            <w:szCs w:val="22"/>
            <w:lang w:val="en-US"/>
          </w:rPr>
          <w:tab/>
        </w:r>
        <w:r w:rsidR="00336277" w:rsidRPr="00B57459">
          <w:rPr>
            <w:rStyle w:val="Hyperlink"/>
            <w:noProof/>
          </w:rPr>
          <w:t>Funding Analysis</w:t>
        </w:r>
        <w:r w:rsidR="00336277">
          <w:rPr>
            <w:noProof/>
            <w:webHidden/>
          </w:rPr>
          <w:tab/>
        </w:r>
        <w:r w:rsidR="00336277">
          <w:rPr>
            <w:noProof/>
            <w:webHidden/>
          </w:rPr>
          <w:fldChar w:fldCharType="begin"/>
        </w:r>
        <w:r w:rsidR="00336277">
          <w:rPr>
            <w:noProof/>
            <w:webHidden/>
          </w:rPr>
          <w:instrText xml:space="preserve"> PAGEREF _Toc413056090 \h </w:instrText>
        </w:r>
        <w:r w:rsidR="00336277">
          <w:rPr>
            <w:noProof/>
            <w:webHidden/>
          </w:rPr>
        </w:r>
        <w:r w:rsidR="00336277">
          <w:rPr>
            <w:noProof/>
            <w:webHidden/>
          </w:rPr>
          <w:fldChar w:fldCharType="separate"/>
        </w:r>
        <w:r w:rsidR="00336277">
          <w:rPr>
            <w:noProof/>
            <w:webHidden/>
          </w:rPr>
          <w:t>583</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1" w:history="1">
        <w:r w:rsidR="00336277" w:rsidRPr="00B57459">
          <w:rPr>
            <w:rStyle w:val="Hyperlink"/>
            <w:noProof/>
          </w:rPr>
          <w:t>10.9</w:t>
        </w:r>
        <w:r w:rsidR="00336277">
          <w:rPr>
            <w:rFonts w:asciiTheme="minorHAnsi" w:eastAsiaTheme="minorEastAsia" w:hAnsiTheme="minorHAnsi" w:cstheme="minorBidi"/>
            <w:noProof/>
            <w:sz w:val="22"/>
            <w:szCs w:val="22"/>
            <w:lang w:val="en-US"/>
          </w:rPr>
          <w:tab/>
        </w:r>
        <w:r w:rsidR="00336277" w:rsidRPr="00B57459">
          <w:rPr>
            <w:rStyle w:val="Hyperlink"/>
            <w:noProof/>
          </w:rPr>
          <w:t>Public Consultation</w:t>
        </w:r>
        <w:r w:rsidR="00336277">
          <w:rPr>
            <w:noProof/>
            <w:webHidden/>
          </w:rPr>
          <w:tab/>
        </w:r>
        <w:r w:rsidR="00336277">
          <w:rPr>
            <w:noProof/>
            <w:webHidden/>
          </w:rPr>
          <w:fldChar w:fldCharType="begin"/>
        </w:r>
        <w:r w:rsidR="00336277">
          <w:rPr>
            <w:noProof/>
            <w:webHidden/>
          </w:rPr>
          <w:instrText xml:space="preserve"> PAGEREF _Toc413056091 \h </w:instrText>
        </w:r>
        <w:r w:rsidR="00336277">
          <w:rPr>
            <w:noProof/>
            <w:webHidden/>
          </w:rPr>
        </w:r>
        <w:r w:rsidR="00336277">
          <w:rPr>
            <w:noProof/>
            <w:webHidden/>
          </w:rPr>
          <w:fldChar w:fldCharType="separate"/>
        </w:r>
        <w:r w:rsidR="00336277">
          <w:rPr>
            <w:noProof/>
            <w:webHidden/>
          </w:rPr>
          <w:t>586</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2" w:history="1">
        <w:r w:rsidR="00336277" w:rsidRPr="00B57459">
          <w:rPr>
            <w:rStyle w:val="Hyperlink"/>
            <w:noProof/>
          </w:rPr>
          <w:t>10.10</w:t>
        </w:r>
        <w:r w:rsidR="00336277">
          <w:rPr>
            <w:rFonts w:asciiTheme="minorHAnsi" w:eastAsiaTheme="minorEastAsia" w:hAnsiTheme="minorHAnsi" w:cstheme="minorBidi"/>
            <w:noProof/>
            <w:sz w:val="22"/>
            <w:szCs w:val="22"/>
            <w:lang w:val="en-US"/>
          </w:rPr>
          <w:tab/>
        </w:r>
        <w:r w:rsidR="00336277" w:rsidRPr="00B57459">
          <w:rPr>
            <w:rStyle w:val="Hyperlink"/>
            <w:noProof/>
          </w:rPr>
          <w:t>Cross-Sectoral Issues</w:t>
        </w:r>
        <w:r w:rsidR="00336277">
          <w:rPr>
            <w:noProof/>
            <w:webHidden/>
          </w:rPr>
          <w:tab/>
        </w:r>
        <w:r w:rsidR="00336277">
          <w:rPr>
            <w:noProof/>
            <w:webHidden/>
          </w:rPr>
          <w:fldChar w:fldCharType="begin"/>
        </w:r>
        <w:r w:rsidR="00336277">
          <w:rPr>
            <w:noProof/>
            <w:webHidden/>
          </w:rPr>
          <w:instrText xml:space="preserve"> PAGEREF _Toc413056092 \h </w:instrText>
        </w:r>
        <w:r w:rsidR="00336277">
          <w:rPr>
            <w:noProof/>
            <w:webHidden/>
          </w:rPr>
        </w:r>
        <w:r w:rsidR="00336277">
          <w:rPr>
            <w:noProof/>
            <w:webHidden/>
          </w:rPr>
          <w:fldChar w:fldCharType="separate"/>
        </w:r>
        <w:r w:rsidR="00336277">
          <w:rPr>
            <w:noProof/>
            <w:webHidden/>
          </w:rPr>
          <w:t>586</w:t>
        </w:r>
        <w:r w:rsidR="00336277">
          <w:rPr>
            <w:noProof/>
            <w:webHidden/>
          </w:rPr>
          <w:fldChar w:fldCharType="end"/>
        </w:r>
      </w:hyperlink>
    </w:p>
    <w:p w:rsidR="00336277" w:rsidRDefault="00583DCC">
      <w:pPr>
        <w:pStyle w:val="TOC1"/>
        <w:rPr>
          <w:rFonts w:asciiTheme="minorHAnsi" w:eastAsiaTheme="minorEastAsia" w:hAnsiTheme="minorHAnsi" w:cstheme="minorBidi"/>
          <w:b w:val="0"/>
          <w:noProof/>
          <w:sz w:val="22"/>
          <w:szCs w:val="22"/>
          <w:lang w:val="en-US"/>
        </w:rPr>
      </w:pPr>
      <w:hyperlink w:anchor="_Toc413056093" w:history="1">
        <w:r w:rsidR="00336277" w:rsidRPr="00B57459">
          <w:rPr>
            <w:rStyle w:val="Hyperlink"/>
            <w:noProof/>
          </w:rPr>
          <w:t>11</w:t>
        </w:r>
        <w:r w:rsidR="00336277">
          <w:rPr>
            <w:rFonts w:asciiTheme="minorHAnsi" w:eastAsiaTheme="minorEastAsia" w:hAnsiTheme="minorHAnsi" w:cstheme="minorBidi"/>
            <w:b w:val="0"/>
            <w:noProof/>
            <w:sz w:val="22"/>
            <w:szCs w:val="22"/>
            <w:lang w:val="en-US"/>
          </w:rPr>
          <w:tab/>
        </w:r>
        <w:r w:rsidR="00336277" w:rsidRPr="00B57459">
          <w:rPr>
            <w:rStyle w:val="Hyperlink"/>
            <w:noProof/>
          </w:rPr>
          <w:t>Appendices</w:t>
        </w:r>
        <w:r w:rsidR="00336277">
          <w:rPr>
            <w:noProof/>
            <w:webHidden/>
          </w:rPr>
          <w:tab/>
        </w:r>
        <w:r w:rsidR="00336277">
          <w:rPr>
            <w:noProof/>
            <w:webHidden/>
          </w:rPr>
          <w:fldChar w:fldCharType="begin"/>
        </w:r>
        <w:r w:rsidR="00336277">
          <w:rPr>
            <w:noProof/>
            <w:webHidden/>
          </w:rPr>
          <w:instrText xml:space="preserve"> PAGEREF _Toc413056093 \h </w:instrText>
        </w:r>
        <w:r w:rsidR="00336277">
          <w:rPr>
            <w:noProof/>
            <w:webHidden/>
          </w:rPr>
        </w:r>
        <w:r w:rsidR="00336277">
          <w:rPr>
            <w:noProof/>
            <w:webHidden/>
          </w:rPr>
          <w:fldChar w:fldCharType="separate"/>
        </w:r>
        <w:r w:rsidR="00336277">
          <w:rPr>
            <w:noProof/>
            <w:webHidden/>
          </w:rPr>
          <w:t>598</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4" w:history="1">
        <w:r w:rsidR="00336277" w:rsidRPr="00B57459">
          <w:rPr>
            <w:rStyle w:val="Hyperlink"/>
            <w:noProof/>
          </w:rPr>
          <w:t>11.1</w:t>
        </w:r>
        <w:r w:rsidR="00336277">
          <w:rPr>
            <w:rFonts w:asciiTheme="minorHAnsi" w:eastAsiaTheme="minorEastAsia" w:hAnsiTheme="minorHAnsi" w:cstheme="minorBidi"/>
            <w:noProof/>
            <w:sz w:val="22"/>
            <w:szCs w:val="22"/>
            <w:lang w:val="en-US"/>
          </w:rPr>
          <w:tab/>
        </w:r>
        <w:r w:rsidR="00336277" w:rsidRPr="00B57459">
          <w:rPr>
            <w:rStyle w:val="Hyperlink"/>
            <w:noProof/>
          </w:rPr>
          <w:t>Appendix A. GTMP Financial Plan</w:t>
        </w:r>
        <w:r w:rsidR="00336277">
          <w:rPr>
            <w:noProof/>
            <w:webHidden/>
          </w:rPr>
          <w:tab/>
        </w:r>
        <w:r w:rsidR="00336277">
          <w:rPr>
            <w:noProof/>
            <w:webHidden/>
          </w:rPr>
          <w:fldChar w:fldCharType="begin"/>
        </w:r>
        <w:r w:rsidR="00336277">
          <w:rPr>
            <w:noProof/>
            <w:webHidden/>
          </w:rPr>
          <w:instrText xml:space="preserve"> PAGEREF _Toc413056094 \h </w:instrText>
        </w:r>
        <w:r w:rsidR="00336277">
          <w:rPr>
            <w:noProof/>
            <w:webHidden/>
          </w:rPr>
        </w:r>
        <w:r w:rsidR="00336277">
          <w:rPr>
            <w:noProof/>
            <w:webHidden/>
          </w:rPr>
          <w:fldChar w:fldCharType="separate"/>
        </w:r>
        <w:r w:rsidR="00336277">
          <w:rPr>
            <w:noProof/>
            <w:webHidden/>
          </w:rPr>
          <w:t>599</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5" w:history="1">
        <w:r w:rsidR="00336277" w:rsidRPr="00B57459">
          <w:rPr>
            <w:rStyle w:val="Hyperlink"/>
            <w:noProof/>
          </w:rPr>
          <w:t>11.2</w:t>
        </w:r>
        <w:r w:rsidR="00336277">
          <w:rPr>
            <w:rFonts w:asciiTheme="minorHAnsi" w:eastAsiaTheme="minorEastAsia" w:hAnsiTheme="minorHAnsi" w:cstheme="minorBidi"/>
            <w:noProof/>
            <w:sz w:val="22"/>
            <w:szCs w:val="22"/>
            <w:lang w:val="en-US"/>
          </w:rPr>
          <w:tab/>
        </w:r>
        <w:r w:rsidR="00336277" w:rsidRPr="00B57459">
          <w:rPr>
            <w:rStyle w:val="Hyperlink"/>
            <w:noProof/>
          </w:rPr>
          <w:t>Appendix B. TEN-T Maps for Romania</w:t>
        </w:r>
        <w:r w:rsidR="00336277">
          <w:rPr>
            <w:noProof/>
            <w:webHidden/>
          </w:rPr>
          <w:tab/>
        </w:r>
        <w:r w:rsidR="00336277">
          <w:rPr>
            <w:noProof/>
            <w:webHidden/>
          </w:rPr>
          <w:fldChar w:fldCharType="begin"/>
        </w:r>
        <w:r w:rsidR="00336277">
          <w:rPr>
            <w:noProof/>
            <w:webHidden/>
          </w:rPr>
          <w:instrText xml:space="preserve"> PAGEREF _Toc413056095 \h </w:instrText>
        </w:r>
        <w:r w:rsidR="00336277">
          <w:rPr>
            <w:noProof/>
            <w:webHidden/>
          </w:rPr>
        </w:r>
        <w:r w:rsidR="00336277">
          <w:rPr>
            <w:noProof/>
            <w:webHidden/>
          </w:rPr>
          <w:fldChar w:fldCharType="separate"/>
        </w:r>
        <w:r w:rsidR="00336277">
          <w:rPr>
            <w:noProof/>
            <w:webHidden/>
          </w:rPr>
          <w:t>600</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6" w:history="1">
        <w:r w:rsidR="00336277" w:rsidRPr="00B57459">
          <w:rPr>
            <w:rStyle w:val="Hyperlink"/>
            <w:noProof/>
          </w:rPr>
          <w:t>11.3</w:t>
        </w:r>
        <w:r w:rsidR="00336277">
          <w:rPr>
            <w:rFonts w:asciiTheme="minorHAnsi" w:eastAsiaTheme="minorEastAsia" w:hAnsiTheme="minorHAnsi" w:cstheme="minorBidi"/>
            <w:noProof/>
            <w:sz w:val="22"/>
            <w:szCs w:val="22"/>
            <w:lang w:val="en-US"/>
          </w:rPr>
          <w:tab/>
        </w:r>
        <w:r w:rsidR="00336277" w:rsidRPr="00B57459">
          <w:rPr>
            <w:rStyle w:val="Hyperlink"/>
            <w:noProof/>
          </w:rPr>
          <w:t>Appendix D. Potential Electrification Schemes</w:t>
        </w:r>
        <w:r w:rsidR="00336277">
          <w:rPr>
            <w:noProof/>
            <w:webHidden/>
          </w:rPr>
          <w:tab/>
        </w:r>
        <w:r w:rsidR="00336277">
          <w:rPr>
            <w:noProof/>
            <w:webHidden/>
          </w:rPr>
          <w:fldChar w:fldCharType="begin"/>
        </w:r>
        <w:r w:rsidR="00336277">
          <w:rPr>
            <w:noProof/>
            <w:webHidden/>
          </w:rPr>
          <w:instrText xml:space="preserve"> PAGEREF _Toc413056096 \h </w:instrText>
        </w:r>
        <w:r w:rsidR="00336277">
          <w:rPr>
            <w:noProof/>
            <w:webHidden/>
          </w:rPr>
        </w:r>
        <w:r w:rsidR="00336277">
          <w:rPr>
            <w:noProof/>
            <w:webHidden/>
          </w:rPr>
          <w:fldChar w:fldCharType="separate"/>
        </w:r>
        <w:r w:rsidR="00336277">
          <w:rPr>
            <w:noProof/>
            <w:webHidden/>
          </w:rPr>
          <w:t>602</w:t>
        </w:r>
        <w:r w:rsidR="00336277">
          <w:rPr>
            <w:noProof/>
            <w:webHidden/>
          </w:rPr>
          <w:fldChar w:fldCharType="end"/>
        </w:r>
      </w:hyperlink>
    </w:p>
    <w:p w:rsidR="00336277" w:rsidRDefault="00583DCC">
      <w:pPr>
        <w:pStyle w:val="TOC2"/>
        <w:tabs>
          <w:tab w:val="left" w:pos="1360"/>
        </w:tabs>
        <w:rPr>
          <w:rFonts w:asciiTheme="minorHAnsi" w:eastAsiaTheme="minorEastAsia" w:hAnsiTheme="minorHAnsi" w:cstheme="minorBidi"/>
          <w:noProof/>
          <w:sz w:val="22"/>
          <w:szCs w:val="22"/>
          <w:lang w:val="en-US"/>
        </w:rPr>
      </w:pPr>
      <w:hyperlink w:anchor="_Toc413056097" w:history="1">
        <w:r w:rsidR="00336277" w:rsidRPr="00B57459">
          <w:rPr>
            <w:rStyle w:val="Hyperlink"/>
            <w:noProof/>
          </w:rPr>
          <w:t>11.4</w:t>
        </w:r>
        <w:r w:rsidR="00336277">
          <w:rPr>
            <w:rFonts w:asciiTheme="minorHAnsi" w:eastAsiaTheme="minorEastAsia" w:hAnsiTheme="minorHAnsi" w:cstheme="minorBidi"/>
            <w:noProof/>
            <w:sz w:val="22"/>
            <w:szCs w:val="22"/>
            <w:lang w:val="en-US"/>
          </w:rPr>
          <w:tab/>
        </w:r>
        <w:r w:rsidR="00336277" w:rsidRPr="00B57459">
          <w:rPr>
            <w:rStyle w:val="Hyperlink"/>
            <w:noProof/>
          </w:rPr>
          <w:t>Appendix E. List of Reference Case Projects</w:t>
        </w:r>
        <w:r w:rsidR="00336277">
          <w:rPr>
            <w:noProof/>
            <w:webHidden/>
          </w:rPr>
          <w:tab/>
        </w:r>
        <w:r w:rsidR="00336277">
          <w:rPr>
            <w:noProof/>
            <w:webHidden/>
          </w:rPr>
          <w:fldChar w:fldCharType="begin"/>
        </w:r>
        <w:r w:rsidR="00336277">
          <w:rPr>
            <w:noProof/>
            <w:webHidden/>
          </w:rPr>
          <w:instrText xml:space="preserve"> PAGEREF _Toc413056097 \h </w:instrText>
        </w:r>
        <w:r w:rsidR="00336277">
          <w:rPr>
            <w:noProof/>
            <w:webHidden/>
          </w:rPr>
        </w:r>
        <w:r w:rsidR="00336277">
          <w:rPr>
            <w:noProof/>
            <w:webHidden/>
          </w:rPr>
          <w:fldChar w:fldCharType="separate"/>
        </w:r>
        <w:r w:rsidR="00336277">
          <w:rPr>
            <w:noProof/>
            <w:webHidden/>
          </w:rPr>
          <w:t>603</w:t>
        </w:r>
        <w:r w:rsidR="00336277">
          <w:rPr>
            <w:noProof/>
            <w:webHidden/>
          </w:rPr>
          <w:fldChar w:fldCharType="end"/>
        </w:r>
      </w:hyperlink>
    </w:p>
    <w:p w:rsidR="005B3AA8" w:rsidRPr="00C8675F" w:rsidRDefault="00AD41C6" w:rsidP="00A63B03">
      <w:pPr>
        <w:tabs>
          <w:tab w:val="left" w:pos="2070"/>
        </w:tabs>
      </w:pPr>
      <w:r>
        <w:rPr>
          <w:caps/>
          <w:color w:val="5F497A" w:themeColor="accent4" w:themeShade="BF"/>
        </w:rPr>
        <w:fldChar w:fldCharType="end"/>
      </w:r>
    </w:p>
    <w:p w:rsidR="00A63B03" w:rsidRPr="00C8675F" w:rsidRDefault="00604286" w:rsidP="00A63B03">
      <w:pPr>
        <w:tabs>
          <w:tab w:val="left" w:pos="2070"/>
        </w:tabs>
        <w:rPr>
          <w:vanish/>
        </w:rPr>
      </w:pPr>
      <w:r w:rsidRPr="00604286">
        <w:rPr>
          <w:vanish/>
        </w:rPr>
        <w:t>Do not delete the line below as you will remove the Bookmark TOA (Table of Appendices)</w:t>
      </w:r>
    </w:p>
    <w:p w:rsidR="00A63B03" w:rsidRPr="00C8675F" w:rsidRDefault="00604286" w:rsidP="00A63B03">
      <w:pPr>
        <w:tabs>
          <w:tab w:val="left" w:pos="2070"/>
        </w:tabs>
        <w:rPr>
          <w:vanish/>
        </w:rPr>
      </w:pPr>
      <w:r w:rsidRPr="00604286">
        <w:rPr>
          <w:vanish/>
        </w:rPr>
        <w:t>Do not delete the line below as you will remove the Bookmark TOT (Table of Tables)</w:t>
      </w:r>
    </w:p>
    <w:p w:rsidR="00A63B03" w:rsidRPr="00C8675F" w:rsidRDefault="00604286" w:rsidP="00A63B03">
      <w:pPr>
        <w:tabs>
          <w:tab w:val="left" w:pos="2070"/>
        </w:tabs>
        <w:rPr>
          <w:vanish/>
        </w:rPr>
      </w:pPr>
      <w:r w:rsidRPr="00604286">
        <w:rPr>
          <w:vanish/>
        </w:rPr>
        <w:t>Do not delete the line below as you will remove the Bookmark TOF (Table of Figures)</w:t>
      </w:r>
    </w:p>
    <w:p w:rsidR="00A63B03" w:rsidRPr="00C8675F" w:rsidRDefault="00604286" w:rsidP="00A63B03">
      <w:pPr>
        <w:tabs>
          <w:tab w:val="left" w:pos="2070"/>
        </w:tabs>
        <w:rPr>
          <w:vanish/>
        </w:rPr>
      </w:pPr>
      <w:r w:rsidRPr="00604286">
        <w:rPr>
          <w:vanish/>
        </w:rPr>
        <w:t>Do not delete the line below as you will remove the Bookmark TOP (Table of Photographs)</w:t>
      </w:r>
    </w:p>
    <w:bookmarkEnd w:id="0"/>
    <w:p w:rsidR="001C6C5F" w:rsidRDefault="001C6C5F" w:rsidP="0071651C">
      <w:pPr>
        <w:pStyle w:val="Body"/>
      </w:pPr>
    </w:p>
    <w:p w:rsidR="001C6C5F" w:rsidRPr="00C8675F" w:rsidRDefault="001C6C5F" w:rsidP="0071651C">
      <w:pPr>
        <w:pStyle w:val="Body"/>
        <w:sectPr w:rsidR="001C6C5F" w:rsidRPr="00C8675F" w:rsidSect="00E37C9E">
          <w:type w:val="continuous"/>
          <w:pgSz w:w="11907" w:h="16840" w:code="9"/>
          <w:pgMar w:top="-3640" w:right="709" w:bottom="1729" w:left="907" w:header="357" w:footer="567" w:gutter="0"/>
          <w:cols w:space="187"/>
          <w:docGrid w:linePitch="360"/>
        </w:sectPr>
      </w:pPr>
    </w:p>
    <w:p w:rsidR="00225120" w:rsidRPr="00C8675F" w:rsidRDefault="00604286" w:rsidP="001C6C79">
      <w:pPr>
        <w:pStyle w:val="Hdg1"/>
        <w:framePr w:wrap="notBeside"/>
        <w:numPr>
          <w:ilvl w:val="0"/>
          <w:numId w:val="0"/>
        </w:numPr>
        <w:ind w:left="851" w:hanging="851"/>
      </w:pPr>
      <w:bookmarkStart w:id="2" w:name="_Toc413056025"/>
      <w:r w:rsidRPr="00604286">
        <w:t>Glossary and Terminology</w:t>
      </w:r>
      <w:bookmarkEnd w:id="2"/>
    </w:p>
    <w:p w:rsidR="00231E93" w:rsidRDefault="00231E93">
      <w:pPr>
        <w:rPr>
          <w:b/>
          <w:sz w:val="20"/>
          <w:szCs w:val="20"/>
        </w:rPr>
      </w:pPr>
      <w:bookmarkStart w:id="3" w:name="_Toc327965369"/>
      <w:bookmarkStart w:id="4" w:name="_Toc327965462"/>
      <w:bookmarkStart w:id="5" w:name="_Toc327965490"/>
      <w:bookmarkStart w:id="6" w:name="_Toc327965559"/>
      <w:bookmarkStart w:id="7" w:name="_Toc327965605"/>
    </w:p>
    <w:p w:rsidR="0016213E" w:rsidRPr="00C8675F" w:rsidRDefault="0016213E" w:rsidP="003B6DBC">
      <w:pPr>
        <w:rPr>
          <w:b/>
          <w:sz w:val="20"/>
          <w:szCs w:val="20"/>
        </w:rPr>
      </w:pPr>
    </w:p>
    <w:tbl>
      <w:tblPr>
        <w:tblW w:w="5000" w:type="pct"/>
        <w:tblLook w:val="04A0" w:firstRow="1" w:lastRow="0" w:firstColumn="1" w:lastColumn="0" w:noHBand="0" w:noVBand="1"/>
      </w:tblPr>
      <w:tblGrid>
        <w:gridCol w:w="1950"/>
        <w:gridCol w:w="8557"/>
      </w:tblGrid>
      <w:tr w:rsidR="008D2B31" w:rsidRPr="00C8675F" w:rsidTr="00F608FE">
        <w:tc>
          <w:tcPr>
            <w:tcW w:w="928" w:type="pct"/>
          </w:tcPr>
          <w:p w:rsidR="008D2B31" w:rsidRPr="00C8675F" w:rsidRDefault="00604286" w:rsidP="008D2B31">
            <w:pPr>
              <w:rPr>
                <w:b/>
                <w:sz w:val="22"/>
                <w:szCs w:val="22"/>
              </w:rPr>
            </w:pPr>
            <w:r w:rsidRPr="00604286">
              <w:rPr>
                <w:b/>
                <w:sz w:val="22"/>
                <w:szCs w:val="22"/>
              </w:rPr>
              <w:t>ACN</w:t>
            </w:r>
          </w:p>
        </w:tc>
        <w:tc>
          <w:tcPr>
            <w:tcW w:w="4072" w:type="pct"/>
          </w:tcPr>
          <w:p w:rsidR="008D2B31" w:rsidRPr="00C8675F" w:rsidRDefault="00604286" w:rsidP="008D2B31">
            <w:pPr>
              <w:rPr>
                <w:sz w:val="22"/>
                <w:szCs w:val="22"/>
              </w:rPr>
            </w:pPr>
            <w:r w:rsidRPr="00604286">
              <w:rPr>
                <w:sz w:val="22"/>
                <w:szCs w:val="22"/>
              </w:rPr>
              <w:t>The Administration of Navigable Channels in Romania</w:t>
            </w:r>
          </w:p>
        </w:tc>
      </w:tr>
      <w:tr w:rsidR="00CD62A3" w:rsidRPr="00C8675F" w:rsidTr="00F608FE">
        <w:tc>
          <w:tcPr>
            <w:tcW w:w="928" w:type="pct"/>
          </w:tcPr>
          <w:p w:rsidR="00CD62A3" w:rsidRDefault="00CD62A3" w:rsidP="00CD62A3">
            <w:pPr>
              <w:rPr>
                <w:b/>
                <w:sz w:val="22"/>
                <w:szCs w:val="22"/>
              </w:rPr>
            </w:pPr>
            <w:r w:rsidRPr="00FE1CD9">
              <w:rPr>
                <w:b/>
                <w:sz w:val="22"/>
                <w:szCs w:val="22"/>
              </w:rPr>
              <w:t>AIS</w:t>
            </w:r>
          </w:p>
          <w:p w:rsidR="00CD62A3" w:rsidRPr="00FE1CD9" w:rsidRDefault="00CD62A3" w:rsidP="00CD62A3">
            <w:pPr>
              <w:rPr>
                <w:b/>
                <w:sz w:val="22"/>
                <w:szCs w:val="22"/>
              </w:rPr>
            </w:pPr>
            <w:r>
              <w:rPr>
                <w:b/>
                <w:sz w:val="22"/>
                <w:szCs w:val="22"/>
              </w:rPr>
              <w:t>AFDJ</w:t>
            </w:r>
          </w:p>
        </w:tc>
        <w:tc>
          <w:tcPr>
            <w:tcW w:w="4072" w:type="pct"/>
          </w:tcPr>
          <w:p w:rsidR="00CD62A3" w:rsidRDefault="00CD62A3" w:rsidP="00CD62A3">
            <w:pPr>
              <w:rPr>
                <w:sz w:val="22"/>
                <w:szCs w:val="22"/>
              </w:rPr>
            </w:pPr>
            <w:r w:rsidRPr="00FE1CD9">
              <w:rPr>
                <w:sz w:val="22"/>
                <w:szCs w:val="22"/>
              </w:rPr>
              <w:t>Automatic Information System to track ships</w:t>
            </w:r>
          </w:p>
          <w:p w:rsidR="00CD62A3" w:rsidRPr="00FE1CD9" w:rsidRDefault="00CD62A3" w:rsidP="00CD62A3">
            <w:pPr>
              <w:rPr>
                <w:sz w:val="22"/>
                <w:szCs w:val="22"/>
              </w:rPr>
            </w:pPr>
            <w:r>
              <w:rPr>
                <w:sz w:val="22"/>
                <w:szCs w:val="22"/>
              </w:rPr>
              <w:t>The River Administration of the Lower Danube, located in Galati</w:t>
            </w:r>
          </w:p>
        </w:tc>
      </w:tr>
      <w:tr w:rsidR="00CD62A3" w:rsidRPr="00C8675F" w:rsidTr="00F608FE">
        <w:tc>
          <w:tcPr>
            <w:tcW w:w="928" w:type="pct"/>
          </w:tcPr>
          <w:p w:rsidR="00CD62A3" w:rsidRDefault="00CD62A3" w:rsidP="00CD62A3">
            <w:pPr>
              <w:rPr>
                <w:b/>
                <w:sz w:val="22"/>
                <w:szCs w:val="22"/>
              </w:rPr>
            </w:pPr>
            <w:r w:rsidRPr="00FE1CD9">
              <w:rPr>
                <w:b/>
                <w:sz w:val="22"/>
                <w:szCs w:val="22"/>
              </w:rPr>
              <w:t>APDF</w:t>
            </w:r>
          </w:p>
          <w:p w:rsidR="00CD62A3" w:rsidRPr="00FE1CD9" w:rsidRDefault="00CD62A3" w:rsidP="00CD62A3">
            <w:pPr>
              <w:rPr>
                <w:b/>
                <w:sz w:val="22"/>
                <w:szCs w:val="22"/>
              </w:rPr>
            </w:pPr>
            <w:r>
              <w:rPr>
                <w:b/>
                <w:sz w:val="22"/>
                <w:szCs w:val="22"/>
              </w:rPr>
              <w:t>APDM</w:t>
            </w:r>
          </w:p>
        </w:tc>
        <w:tc>
          <w:tcPr>
            <w:tcW w:w="4072" w:type="pct"/>
          </w:tcPr>
          <w:p w:rsidR="00CD62A3" w:rsidRDefault="00CD62A3" w:rsidP="00CD62A3">
            <w:pPr>
              <w:rPr>
                <w:sz w:val="22"/>
                <w:szCs w:val="22"/>
              </w:rPr>
            </w:pPr>
            <w:r w:rsidRPr="00FE1CD9">
              <w:rPr>
                <w:sz w:val="22"/>
                <w:szCs w:val="22"/>
              </w:rPr>
              <w:t>The Administration of the River Ports in Romania, located in Giurgiu</w:t>
            </w:r>
          </w:p>
          <w:p w:rsidR="00CD62A3" w:rsidRPr="00FE1CD9" w:rsidRDefault="00CD62A3" w:rsidP="00CD62A3">
            <w:pPr>
              <w:rPr>
                <w:sz w:val="22"/>
                <w:szCs w:val="22"/>
              </w:rPr>
            </w:pPr>
            <w:r w:rsidRPr="00674058">
              <w:rPr>
                <w:rStyle w:val="st"/>
                <w:rFonts w:cs="Arial"/>
                <w:sz w:val="22"/>
                <w:szCs w:val="22"/>
              </w:rPr>
              <w:t>The Administration of Maritime Danube Ports,</w:t>
            </w:r>
            <w:r>
              <w:rPr>
                <w:rStyle w:val="st"/>
                <w:rFonts w:cs="Arial"/>
              </w:rPr>
              <w:t xml:space="preserve"> </w:t>
            </w:r>
            <w:r w:rsidRPr="00FE1CD9">
              <w:rPr>
                <w:sz w:val="22"/>
                <w:szCs w:val="22"/>
              </w:rPr>
              <w:t>located in</w:t>
            </w:r>
            <w:r>
              <w:rPr>
                <w:sz w:val="22"/>
                <w:szCs w:val="22"/>
              </w:rPr>
              <w:t xml:space="preserve"> Galati</w:t>
            </w:r>
            <w:r>
              <w:rPr>
                <w:rStyle w:val="st"/>
                <w:rFonts w:cs="Arial"/>
              </w:rPr>
              <w:t xml:space="preserve"> </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Base Year</w:t>
            </w:r>
          </w:p>
        </w:tc>
        <w:tc>
          <w:tcPr>
            <w:tcW w:w="4072" w:type="pct"/>
          </w:tcPr>
          <w:p w:rsidR="008D2B31" w:rsidRPr="00C8675F" w:rsidRDefault="00604286" w:rsidP="008D2B31">
            <w:pPr>
              <w:rPr>
                <w:sz w:val="22"/>
                <w:szCs w:val="22"/>
              </w:rPr>
            </w:pPr>
            <w:r w:rsidRPr="00604286">
              <w:rPr>
                <w:sz w:val="22"/>
                <w:szCs w:val="22"/>
              </w:rPr>
              <w:t>2011, the year for which the National Transport Model was calibrated.</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CESTRIN</w:t>
            </w:r>
          </w:p>
        </w:tc>
        <w:tc>
          <w:tcPr>
            <w:tcW w:w="4072" w:type="pct"/>
          </w:tcPr>
          <w:p w:rsidR="008D2B31" w:rsidRPr="00C8675F" w:rsidRDefault="00604286" w:rsidP="008D2B31">
            <w:pPr>
              <w:rPr>
                <w:sz w:val="22"/>
                <w:szCs w:val="22"/>
              </w:rPr>
            </w:pPr>
            <w:r w:rsidRPr="00604286">
              <w:rPr>
                <w:sz w:val="22"/>
                <w:szCs w:val="22"/>
              </w:rPr>
              <w:t>The Centre of Research and Road Technical Studies in Romania, part of CNADNR</w:t>
            </w:r>
          </w:p>
        </w:tc>
      </w:tr>
      <w:tr w:rsidR="008D2B31" w:rsidRPr="00C8675F" w:rsidTr="00BD6C66">
        <w:trPr>
          <w:trHeight w:val="344"/>
        </w:trPr>
        <w:tc>
          <w:tcPr>
            <w:tcW w:w="928" w:type="pct"/>
          </w:tcPr>
          <w:p w:rsidR="008D2B31" w:rsidRPr="00C8675F" w:rsidRDefault="00604286" w:rsidP="008D2B31">
            <w:pPr>
              <w:rPr>
                <w:b/>
                <w:sz w:val="22"/>
                <w:szCs w:val="22"/>
              </w:rPr>
            </w:pPr>
            <w:r w:rsidRPr="00604286">
              <w:rPr>
                <w:b/>
                <w:sz w:val="22"/>
                <w:szCs w:val="22"/>
              </w:rPr>
              <w:t>CFR Calatori</w:t>
            </w:r>
          </w:p>
        </w:tc>
        <w:tc>
          <w:tcPr>
            <w:tcW w:w="4072" w:type="pct"/>
          </w:tcPr>
          <w:p w:rsidR="008D2B31" w:rsidRPr="00C8675F" w:rsidRDefault="00604286" w:rsidP="008D2B31">
            <w:pPr>
              <w:rPr>
                <w:sz w:val="22"/>
                <w:szCs w:val="22"/>
              </w:rPr>
            </w:pPr>
            <w:r w:rsidRPr="00604286">
              <w:rPr>
                <w:sz w:val="22"/>
                <w:szCs w:val="22"/>
              </w:rPr>
              <w:t>The publicly-owned passenger train operating company</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CFR Infrastructure (also CFR SA)</w:t>
            </w:r>
          </w:p>
        </w:tc>
        <w:tc>
          <w:tcPr>
            <w:tcW w:w="4072" w:type="pct"/>
          </w:tcPr>
          <w:p w:rsidR="008D2B31" w:rsidRPr="00C8675F" w:rsidRDefault="00604286" w:rsidP="008D2B31">
            <w:pPr>
              <w:rPr>
                <w:sz w:val="22"/>
                <w:szCs w:val="22"/>
              </w:rPr>
            </w:pPr>
            <w:r w:rsidRPr="00604286">
              <w:rPr>
                <w:sz w:val="22"/>
                <w:szCs w:val="22"/>
              </w:rPr>
              <w:t>The publicly-owned rail infrastructure company</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CFR Marfa</w:t>
            </w:r>
          </w:p>
        </w:tc>
        <w:tc>
          <w:tcPr>
            <w:tcW w:w="4072" w:type="pct"/>
          </w:tcPr>
          <w:p w:rsidR="008D2B31" w:rsidRPr="00C8675F" w:rsidRDefault="00604286" w:rsidP="008D2B31">
            <w:pPr>
              <w:rPr>
                <w:sz w:val="22"/>
                <w:szCs w:val="22"/>
              </w:rPr>
            </w:pPr>
            <w:r w:rsidRPr="00604286">
              <w:rPr>
                <w:sz w:val="22"/>
                <w:szCs w:val="22"/>
              </w:rPr>
              <w:t>The publicly-owned freight train operating company</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CNADNR</w:t>
            </w:r>
          </w:p>
        </w:tc>
        <w:tc>
          <w:tcPr>
            <w:tcW w:w="4072" w:type="pct"/>
          </w:tcPr>
          <w:p w:rsidR="008D2B31" w:rsidRPr="00C8675F" w:rsidRDefault="00604286" w:rsidP="008D2B31">
            <w:pPr>
              <w:rPr>
                <w:sz w:val="22"/>
                <w:szCs w:val="22"/>
              </w:rPr>
            </w:pPr>
            <w:r w:rsidRPr="00604286">
              <w:rPr>
                <w:sz w:val="22"/>
                <w:szCs w:val="22"/>
              </w:rPr>
              <w:t>The Administration of National Roads and Motorways in Romania</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Desiro Train</w:t>
            </w:r>
          </w:p>
        </w:tc>
        <w:tc>
          <w:tcPr>
            <w:tcW w:w="4072" w:type="pct"/>
          </w:tcPr>
          <w:p w:rsidR="008D2B31" w:rsidRPr="00C8675F" w:rsidRDefault="00604286" w:rsidP="008D2B31">
            <w:pPr>
              <w:rPr>
                <w:sz w:val="22"/>
                <w:szCs w:val="22"/>
              </w:rPr>
            </w:pPr>
            <w:r w:rsidRPr="00604286">
              <w:rPr>
                <w:sz w:val="22"/>
                <w:szCs w:val="22"/>
              </w:rPr>
              <w:t>A modern diesel multiple unit train</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DMU</w:t>
            </w:r>
          </w:p>
        </w:tc>
        <w:tc>
          <w:tcPr>
            <w:tcW w:w="4072" w:type="pct"/>
          </w:tcPr>
          <w:p w:rsidR="008D2B31" w:rsidRPr="00C8675F" w:rsidRDefault="00604286" w:rsidP="008D2B31">
            <w:pPr>
              <w:rPr>
                <w:sz w:val="22"/>
                <w:szCs w:val="22"/>
              </w:rPr>
            </w:pPr>
            <w:r w:rsidRPr="00604286">
              <w:rPr>
                <w:sz w:val="22"/>
                <w:szCs w:val="22"/>
              </w:rPr>
              <w:t xml:space="preserve">Diesel multiple </w:t>
            </w:r>
            <w:proofErr w:type="gramStart"/>
            <w:r w:rsidRPr="00604286">
              <w:rPr>
                <w:sz w:val="22"/>
                <w:szCs w:val="22"/>
              </w:rPr>
              <w:t>unit</w:t>
            </w:r>
            <w:proofErr w:type="gramEnd"/>
            <w:r w:rsidRPr="00604286">
              <w:rPr>
                <w:sz w:val="22"/>
                <w:szCs w:val="22"/>
              </w:rPr>
              <w:t>: typically a 2 or 4 car set that can be coupled together and can be driven from either end.</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ECR</w:t>
            </w:r>
          </w:p>
        </w:tc>
        <w:tc>
          <w:tcPr>
            <w:tcW w:w="4072" w:type="pct"/>
          </w:tcPr>
          <w:p w:rsidR="008D2B31" w:rsidRPr="00C8675F" w:rsidRDefault="00604286" w:rsidP="008D2B31">
            <w:pPr>
              <w:rPr>
                <w:sz w:val="22"/>
                <w:szCs w:val="22"/>
              </w:rPr>
            </w:pPr>
            <w:r w:rsidRPr="00604286">
              <w:rPr>
                <w:sz w:val="22"/>
                <w:szCs w:val="22"/>
              </w:rPr>
              <w:t>AECOM Existing Conditions Report</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EMU</w:t>
            </w:r>
          </w:p>
        </w:tc>
        <w:tc>
          <w:tcPr>
            <w:tcW w:w="4072" w:type="pct"/>
          </w:tcPr>
          <w:p w:rsidR="008D2B31" w:rsidRPr="00C8675F" w:rsidRDefault="00604286" w:rsidP="008D2B31">
            <w:pPr>
              <w:rPr>
                <w:sz w:val="22"/>
                <w:szCs w:val="22"/>
              </w:rPr>
            </w:pPr>
            <w:r w:rsidRPr="00604286">
              <w:rPr>
                <w:sz w:val="22"/>
                <w:szCs w:val="22"/>
              </w:rPr>
              <w:t>Electric multiple unit</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Euro RAP</w:t>
            </w:r>
          </w:p>
        </w:tc>
        <w:tc>
          <w:tcPr>
            <w:tcW w:w="4072" w:type="pct"/>
          </w:tcPr>
          <w:p w:rsidR="008D2B31" w:rsidRPr="00C8675F" w:rsidRDefault="00604286" w:rsidP="008D2B31">
            <w:pPr>
              <w:rPr>
                <w:sz w:val="22"/>
                <w:szCs w:val="22"/>
              </w:rPr>
            </w:pPr>
            <w:r w:rsidRPr="00604286">
              <w:rPr>
                <w:sz w:val="22"/>
                <w:szCs w:val="22"/>
              </w:rPr>
              <w:t>European Road Assessment Programme, an international organisation dealing with road safety</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Fairway</w:t>
            </w:r>
          </w:p>
        </w:tc>
        <w:tc>
          <w:tcPr>
            <w:tcW w:w="4072" w:type="pct"/>
          </w:tcPr>
          <w:p w:rsidR="008D2B31" w:rsidRPr="00C8675F" w:rsidRDefault="00604286" w:rsidP="008D2B31">
            <w:pPr>
              <w:rPr>
                <w:sz w:val="22"/>
                <w:szCs w:val="22"/>
              </w:rPr>
            </w:pPr>
            <w:r w:rsidRPr="00604286">
              <w:rPr>
                <w:sz w:val="22"/>
                <w:szCs w:val="22"/>
              </w:rPr>
              <w:t>The navigable part of the River Danube</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GDP</w:t>
            </w:r>
          </w:p>
        </w:tc>
        <w:tc>
          <w:tcPr>
            <w:tcW w:w="4072" w:type="pct"/>
          </w:tcPr>
          <w:p w:rsidR="008D2B31" w:rsidRPr="00C8675F" w:rsidRDefault="00604286" w:rsidP="008D2B31">
            <w:pPr>
              <w:rPr>
                <w:sz w:val="22"/>
                <w:szCs w:val="22"/>
              </w:rPr>
            </w:pPr>
            <w:r w:rsidRPr="00604286">
              <w:rPr>
                <w:sz w:val="22"/>
                <w:szCs w:val="22"/>
              </w:rPr>
              <w:t>Gross Domestic Product</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GJT</w:t>
            </w:r>
          </w:p>
        </w:tc>
        <w:tc>
          <w:tcPr>
            <w:tcW w:w="4072" w:type="pct"/>
          </w:tcPr>
          <w:p w:rsidR="008D2B31" w:rsidRPr="00C8675F" w:rsidRDefault="00604286" w:rsidP="008D2B31">
            <w:pPr>
              <w:rPr>
                <w:sz w:val="22"/>
                <w:szCs w:val="22"/>
              </w:rPr>
            </w:pPr>
            <w:r w:rsidRPr="00604286">
              <w:rPr>
                <w:sz w:val="22"/>
                <w:szCs w:val="22"/>
              </w:rPr>
              <w:t>Generalised Journey Time. It includes waiting, access time and fares (converted to time equivalents)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GTMP</w:t>
            </w:r>
          </w:p>
        </w:tc>
        <w:tc>
          <w:tcPr>
            <w:tcW w:w="4072" w:type="pct"/>
          </w:tcPr>
          <w:p w:rsidR="008D2B31" w:rsidRPr="00C8675F" w:rsidRDefault="00604286" w:rsidP="008D2B31">
            <w:pPr>
              <w:rPr>
                <w:sz w:val="22"/>
                <w:szCs w:val="22"/>
              </w:rPr>
            </w:pPr>
            <w:r w:rsidRPr="00604286">
              <w:rPr>
                <w:sz w:val="22"/>
                <w:szCs w:val="22"/>
              </w:rPr>
              <w:t>General Transport Master Plan</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ILS</w:t>
            </w:r>
          </w:p>
        </w:tc>
        <w:tc>
          <w:tcPr>
            <w:tcW w:w="4072" w:type="pct"/>
          </w:tcPr>
          <w:p w:rsidR="008D2B31" w:rsidRPr="00C8675F" w:rsidRDefault="00604286" w:rsidP="008D2B31">
            <w:pPr>
              <w:rPr>
                <w:sz w:val="22"/>
                <w:szCs w:val="22"/>
              </w:rPr>
            </w:pPr>
            <w:r w:rsidRPr="00604286">
              <w:rPr>
                <w:sz w:val="22"/>
                <w:szCs w:val="22"/>
              </w:rPr>
              <w:t>Instrument Landing System</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Intermodal Transport</w:t>
            </w:r>
          </w:p>
        </w:tc>
        <w:tc>
          <w:tcPr>
            <w:tcW w:w="4072" w:type="pct"/>
          </w:tcPr>
          <w:p w:rsidR="008D2B31" w:rsidRPr="00C8675F" w:rsidRDefault="00604286" w:rsidP="008D2B31">
            <w:pPr>
              <w:rPr>
                <w:sz w:val="22"/>
                <w:szCs w:val="22"/>
              </w:rPr>
            </w:pPr>
            <w:r w:rsidRPr="00604286">
              <w:rPr>
                <w:sz w:val="22"/>
                <w:szCs w:val="22"/>
              </w:rPr>
              <w:t>Transport that uses two or more modes, for example road and rail, or water and road.</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Inter-Regio</w:t>
            </w:r>
          </w:p>
        </w:tc>
        <w:tc>
          <w:tcPr>
            <w:tcW w:w="4072" w:type="pct"/>
          </w:tcPr>
          <w:p w:rsidR="008D2B31" w:rsidRPr="00C8675F" w:rsidRDefault="00604286" w:rsidP="008D2B31">
            <w:pPr>
              <w:rPr>
                <w:sz w:val="22"/>
                <w:szCs w:val="22"/>
              </w:rPr>
            </w:pPr>
            <w:r w:rsidRPr="00604286">
              <w:rPr>
                <w:sz w:val="22"/>
                <w:szCs w:val="22"/>
              </w:rPr>
              <w:t>Limited stop passenger rail services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NAPA</w:t>
            </w:r>
          </w:p>
        </w:tc>
        <w:tc>
          <w:tcPr>
            <w:tcW w:w="4072" w:type="pct"/>
          </w:tcPr>
          <w:p w:rsidR="008D2B31" w:rsidRPr="00C8675F" w:rsidRDefault="00604286" w:rsidP="008D2B31">
            <w:pPr>
              <w:rPr>
                <w:sz w:val="22"/>
                <w:szCs w:val="22"/>
              </w:rPr>
            </w:pPr>
            <w:r w:rsidRPr="00604286">
              <w:rPr>
                <w:sz w:val="22"/>
                <w:szCs w:val="22"/>
              </w:rPr>
              <w:t>North Adriatic Ports Association</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NTM</w:t>
            </w:r>
          </w:p>
        </w:tc>
        <w:tc>
          <w:tcPr>
            <w:tcW w:w="4072" w:type="pct"/>
          </w:tcPr>
          <w:p w:rsidR="008D2B31" w:rsidRPr="00C8675F" w:rsidRDefault="00604286" w:rsidP="008D2B31">
            <w:pPr>
              <w:rPr>
                <w:sz w:val="22"/>
                <w:szCs w:val="22"/>
              </w:rPr>
            </w:pPr>
            <w:r w:rsidRPr="00604286">
              <w:rPr>
                <w:sz w:val="22"/>
                <w:szCs w:val="22"/>
              </w:rPr>
              <w:t>National Transport Model</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Passenger kms</w:t>
            </w:r>
          </w:p>
        </w:tc>
        <w:tc>
          <w:tcPr>
            <w:tcW w:w="4072" w:type="pct"/>
          </w:tcPr>
          <w:p w:rsidR="008D2B31" w:rsidRPr="00C8675F" w:rsidRDefault="00604286" w:rsidP="008D2B31">
            <w:pPr>
              <w:rPr>
                <w:sz w:val="22"/>
                <w:szCs w:val="22"/>
              </w:rPr>
            </w:pPr>
            <w:r w:rsidRPr="00604286">
              <w:rPr>
                <w:sz w:val="22"/>
                <w:szCs w:val="22"/>
              </w:rPr>
              <w:t>The aggregate distance travelled by passengers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PCN</w:t>
            </w:r>
          </w:p>
        </w:tc>
        <w:tc>
          <w:tcPr>
            <w:tcW w:w="4072" w:type="pct"/>
          </w:tcPr>
          <w:p w:rsidR="008D2B31" w:rsidRPr="00C8675F" w:rsidRDefault="00604286" w:rsidP="008D2B31">
            <w:pPr>
              <w:rPr>
                <w:sz w:val="22"/>
                <w:szCs w:val="22"/>
              </w:rPr>
            </w:pPr>
            <w:r w:rsidRPr="00604286">
              <w:rPr>
                <w:sz w:val="22"/>
                <w:szCs w:val="22"/>
              </w:rPr>
              <w:t>Pavement Classification a measure of the loading capacity of runways and taxiways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PSC</w:t>
            </w:r>
          </w:p>
        </w:tc>
        <w:tc>
          <w:tcPr>
            <w:tcW w:w="4072" w:type="pct"/>
          </w:tcPr>
          <w:p w:rsidR="008D2B31" w:rsidRPr="00C8675F" w:rsidRDefault="00604286" w:rsidP="008D2B31">
            <w:pPr>
              <w:rPr>
                <w:sz w:val="22"/>
                <w:szCs w:val="22"/>
              </w:rPr>
            </w:pPr>
            <w:r w:rsidRPr="00604286">
              <w:rPr>
                <w:sz w:val="22"/>
                <w:szCs w:val="22"/>
              </w:rPr>
              <w:t>Public Service Contract, the agreement between the government and rail operators to provide socially necessary rail services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Push-pull</w:t>
            </w:r>
          </w:p>
        </w:tc>
        <w:tc>
          <w:tcPr>
            <w:tcW w:w="4072" w:type="pct"/>
          </w:tcPr>
          <w:p w:rsidR="008D2B31" w:rsidRPr="00C8675F" w:rsidRDefault="00604286" w:rsidP="008D2B31">
            <w:pPr>
              <w:rPr>
                <w:sz w:val="22"/>
                <w:szCs w:val="22"/>
              </w:rPr>
            </w:pPr>
            <w:r w:rsidRPr="00604286">
              <w:rPr>
                <w:sz w:val="22"/>
                <w:szCs w:val="22"/>
              </w:rPr>
              <w:t>A type of loco-hauled train operation where the train can be driven from either end</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Push Tug</w:t>
            </w:r>
          </w:p>
        </w:tc>
        <w:tc>
          <w:tcPr>
            <w:tcW w:w="4072" w:type="pct"/>
          </w:tcPr>
          <w:p w:rsidR="008D2B31" w:rsidRPr="00C8675F" w:rsidRDefault="00604286" w:rsidP="008D2B31">
            <w:pPr>
              <w:rPr>
                <w:sz w:val="22"/>
                <w:szCs w:val="22"/>
              </w:rPr>
            </w:pPr>
            <w:r w:rsidRPr="00604286">
              <w:rPr>
                <w:sz w:val="22"/>
                <w:szCs w:val="22"/>
              </w:rPr>
              <w:t>The type of tug used on the River Danube to push barges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Reference Case</w:t>
            </w:r>
          </w:p>
        </w:tc>
        <w:tc>
          <w:tcPr>
            <w:tcW w:w="4072" w:type="pct"/>
          </w:tcPr>
          <w:p w:rsidR="008D2B31" w:rsidRPr="00C8675F" w:rsidRDefault="00604286" w:rsidP="008D2B31">
            <w:pPr>
              <w:rPr>
                <w:sz w:val="22"/>
                <w:szCs w:val="22"/>
              </w:rPr>
            </w:pPr>
            <w:r w:rsidRPr="00604286">
              <w:rPr>
                <w:sz w:val="22"/>
                <w:szCs w:val="22"/>
              </w:rPr>
              <w:t>The transport networks that would exist if existing committed projects were completed. It forms a reference against which “new” projects can be assessed.</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Regio</w:t>
            </w:r>
          </w:p>
        </w:tc>
        <w:tc>
          <w:tcPr>
            <w:tcW w:w="4072" w:type="pct"/>
          </w:tcPr>
          <w:p w:rsidR="008D2B31" w:rsidRPr="00C8675F" w:rsidRDefault="00604286" w:rsidP="008D2B31">
            <w:pPr>
              <w:rPr>
                <w:sz w:val="22"/>
                <w:szCs w:val="22"/>
              </w:rPr>
            </w:pPr>
            <w:r w:rsidRPr="00604286">
              <w:rPr>
                <w:sz w:val="22"/>
                <w:szCs w:val="22"/>
              </w:rPr>
              <w:t>Stopping passenger rail services</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Tonne kms</w:t>
            </w:r>
          </w:p>
        </w:tc>
        <w:tc>
          <w:tcPr>
            <w:tcW w:w="4072" w:type="pct"/>
          </w:tcPr>
          <w:p w:rsidR="008D2B31" w:rsidRPr="00C8675F" w:rsidRDefault="00604286" w:rsidP="008D2B31">
            <w:pPr>
              <w:rPr>
                <w:sz w:val="22"/>
                <w:szCs w:val="22"/>
              </w:rPr>
            </w:pPr>
            <w:r w:rsidRPr="00604286">
              <w:rPr>
                <w:sz w:val="22"/>
                <w:szCs w:val="22"/>
              </w:rPr>
              <w:t xml:space="preserve">The aggregate distance freight is carried </w:t>
            </w:r>
          </w:p>
        </w:tc>
      </w:tr>
      <w:tr w:rsidR="008D2B31" w:rsidRPr="00C8675F" w:rsidTr="00F608FE">
        <w:tc>
          <w:tcPr>
            <w:tcW w:w="928" w:type="pct"/>
          </w:tcPr>
          <w:p w:rsidR="008D2B31" w:rsidRPr="00C8675F" w:rsidRDefault="00604286" w:rsidP="008D2B31">
            <w:pPr>
              <w:rPr>
                <w:b/>
                <w:sz w:val="22"/>
                <w:szCs w:val="22"/>
              </w:rPr>
            </w:pPr>
            <w:r w:rsidRPr="00604286">
              <w:rPr>
                <w:b/>
                <w:sz w:val="22"/>
                <w:szCs w:val="22"/>
              </w:rPr>
              <w:t>UNTRR</w:t>
            </w:r>
          </w:p>
        </w:tc>
        <w:tc>
          <w:tcPr>
            <w:tcW w:w="4072" w:type="pct"/>
          </w:tcPr>
          <w:p w:rsidR="008D2B31" w:rsidRPr="00C8675F" w:rsidRDefault="00604286" w:rsidP="008D2B31">
            <w:pPr>
              <w:rPr>
                <w:sz w:val="22"/>
                <w:szCs w:val="22"/>
              </w:rPr>
            </w:pPr>
            <w:r w:rsidRPr="00604286">
              <w:rPr>
                <w:sz w:val="22"/>
                <w:szCs w:val="22"/>
              </w:rPr>
              <w:t>National Union of Road Hauliers from Romania</w:t>
            </w:r>
          </w:p>
        </w:tc>
      </w:tr>
      <w:tr w:rsidR="008D2B31" w:rsidRPr="00C8675F" w:rsidTr="00F608FE">
        <w:trPr>
          <w:trHeight w:val="265"/>
        </w:trPr>
        <w:tc>
          <w:tcPr>
            <w:tcW w:w="928" w:type="pct"/>
          </w:tcPr>
          <w:p w:rsidR="008D2B31" w:rsidRPr="00C8675F" w:rsidRDefault="00604286" w:rsidP="008D2B31">
            <w:pPr>
              <w:rPr>
                <w:b/>
                <w:sz w:val="22"/>
                <w:szCs w:val="22"/>
              </w:rPr>
            </w:pPr>
            <w:r w:rsidRPr="00604286">
              <w:rPr>
                <w:b/>
                <w:sz w:val="22"/>
                <w:szCs w:val="22"/>
              </w:rPr>
              <w:t>UTI</w:t>
            </w:r>
          </w:p>
        </w:tc>
        <w:tc>
          <w:tcPr>
            <w:tcW w:w="4072" w:type="pct"/>
          </w:tcPr>
          <w:p w:rsidR="008D2B31" w:rsidRPr="00C8675F" w:rsidRDefault="00604286" w:rsidP="008D2B31">
            <w:pPr>
              <w:rPr>
                <w:sz w:val="22"/>
                <w:szCs w:val="22"/>
              </w:rPr>
            </w:pPr>
            <w:r w:rsidRPr="00604286">
              <w:rPr>
                <w:sz w:val="22"/>
                <w:szCs w:val="22"/>
              </w:rPr>
              <w:t>Unité du Transport Intermodal, a container or unit load</w:t>
            </w:r>
          </w:p>
        </w:tc>
      </w:tr>
    </w:tbl>
    <w:p w:rsidR="0016213E" w:rsidRPr="00C8675F" w:rsidRDefault="0016213E" w:rsidP="0071651C">
      <w:pPr>
        <w:pStyle w:val="Body"/>
        <w:sectPr w:rsidR="0016213E" w:rsidRPr="00C8675F" w:rsidSect="0016213E">
          <w:headerReference w:type="default" r:id="rId25"/>
          <w:pgSz w:w="11907" w:h="16840" w:code="9"/>
          <w:pgMar w:top="-1701" w:right="709" w:bottom="1729" w:left="907" w:header="357" w:footer="567" w:gutter="0"/>
          <w:cols w:space="187"/>
          <w:docGrid w:linePitch="360"/>
        </w:sectPr>
      </w:pPr>
    </w:p>
    <w:p w:rsidR="007463E3" w:rsidRPr="00C8675F" w:rsidRDefault="007463E3" w:rsidP="003C1E12">
      <w:pPr>
        <w:pStyle w:val="SecDivider0"/>
        <w:rPr>
          <w:lang w:val="en-GB"/>
        </w:rPr>
        <w:sectPr w:rsidR="007463E3" w:rsidRPr="00C8675F">
          <w:headerReference w:type="default" r:id="rId26"/>
          <w:footerReference w:type="default" r:id="rId27"/>
          <w:pgSz w:w="11907" w:h="16840" w:code="9"/>
          <w:pgMar w:top="-3640" w:right="709" w:bottom="1729" w:left="6146" w:header="357" w:footer="567" w:gutter="0"/>
          <w:cols w:space="720"/>
          <w:docGrid w:linePitch="360"/>
        </w:sectPr>
      </w:pPr>
    </w:p>
    <w:p w:rsidR="007269FC" w:rsidRPr="00C8675F" w:rsidRDefault="00604286" w:rsidP="003C1E12">
      <w:pPr>
        <w:pStyle w:val="SecDivider0"/>
        <w:rPr>
          <w:lang w:val="en-GB"/>
        </w:rPr>
      </w:pPr>
      <w:r w:rsidRPr="00604286">
        <w:rPr>
          <w:lang w:val="en-GB"/>
        </w:rPr>
        <w:t>Introduction</w:t>
      </w:r>
    </w:p>
    <w:p w:rsidR="007463E3" w:rsidRPr="00C8675F" w:rsidRDefault="007463E3" w:rsidP="0071651C">
      <w:pPr>
        <w:pStyle w:val="Body"/>
      </w:pPr>
    </w:p>
    <w:p w:rsidR="007463E3" w:rsidRPr="00C8675F" w:rsidRDefault="007463E3" w:rsidP="0071651C">
      <w:pPr>
        <w:pStyle w:val="Body"/>
        <w:sectPr w:rsidR="007463E3" w:rsidRPr="00C8675F" w:rsidSect="00E37C9E">
          <w:type w:val="continuous"/>
          <w:pgSz w:w="11907" w:h="16840" w:code="9"/>
          <w:pgMar w:top="-3640" w:right="709" w:bottom="1729" w:left="6146" w:header="357" w:footer="567" w:gutter="0"/>
          <w:cols w:space="720"/>
          <w:docGrid w:linePitch="360"/>
        </w:sectPr>
      </w:pPr>
    </w:p>
    <w:p w:rsidR="003C1E12" w:rsidRPr="00C8675F" w:rsidRDefault="00604286" w:rsidP="001C6C79">
      <w:pPr>
        <w:pStyle w:val="Hdg1"/>
        <w:framePr w:wrap="notBeside"/>
      </w:pPr>
      <w:bookmarkStart w:id="8" w:name="_Toc413056026"/>
      <w:r w:rsidRPr="001C6C79">
        <w:t>Introduction</w:t>
      </w:r>
      <w:bookmarkEnd w:id="8"/>
    </w:p>
    <w:p w:rsidR="008F59FB" w:rsidRPr="00C8675F" w:rsidRDefault="008F59FB" w:rsidP="008F59FB">
      <w:bookmarkStart w:id="9" w:name="_Toc334637950"/>
      <w:bookmarkStart w:id="10" w:name="_Toc340208794"/>
      <w:bookmarkStart w:id="11" w:name="_Toc369073224"/>
      <w:bookmarkEnd w:id="3"/>
      <w:bookmarkEnd w:id="4"/>
      <w:bookmarkEnd w:id="5"/>
      <w:bookmarkEnd w:id="6"/>
      <w:bookmarkEnd w:id="7"/>
    </w:p>
    <w:bookmarkEnd w:id="9"/>
    <w:bookmarkEnd w:id="10"/>
    <w:bookmarkEnd w:id="11"/>
    <w:p w:rsidR="00810A98" w:rsidRPr="00070DBF" w:rsidRDefault="00810A98" w:rsidP="00A4081F">
      <w:pPr>
        <w:pStyle w:val="NumberedParas"/>
      </w:pPr>
      <w:r w:rsidRPr="00070DBF">
        <w:t xml:space="preserve">The </w:t>
      </w:r>
      <w:r w:rsidRPr="007613DE">
        <w:t>Ministry</w:t>
      </w:r>
      <w:r w:rsidRPr="00070DBF">
        <w:t xml:space="preserve"> of Transport (MT) appointed AECOM in April 2012 to produce a General Transport Master </w:t>
      </w:r>
      <w:r w:rsidRPr="00045287">
        <w:t>Plan</w:t>
      </w:r>
      <w:r>
        <w:t xml:space="preserve"> (GTMP)</w:t>
      </w:r>
      <w:r w:rsidR="001C6C79">
        <w:t xml:space="preserve"> for Romania.</w:t>
      </w:r>
    </w:p>
    <w:p w:rsidR="00810A98" w:rsidRPr="000D672B" w:rsidRDefault="00810A98" w:rsidP="00A4081F">
      <w:pPr>
        <w:pStyle w:val="NumberedParas"/>
        <w:rPr>
          <w:b/>
          <w:bCs/>
        </w:rPr>
      </w:pPr>
      <w:r w:rsidRPr="000D672B">
        <w:t>The General T</w:t>
      </w:r>
      <w:r>
        <w:t xml:space="preserve">ransport Master Plan will </w:t>
      </w:r>
      <w:r w:rsidRPr="000D672B">
        <w:t xml:space="preserve">provide a clear strategy for the development of Romania’s transport sector for the next 20 years.  To be of value it needs to provide implementable solutions to Romania’s transport problems and challenges.  </w:t>
      </w:r>
    </w:p>
    <w:p w:rsidR="00810A98" w:rsidRDefault="00810A98" w:rsidP="00A4081F">
      <w:pPr>
        <w:pStyle w:val="NumberedParas"/>
      </w:pPr>
      <w:r w:rsidRPr="000D672B">
        <w:t xml:space="preserve">The Master Plan </w:t>
      </w:r>
      <w:r>
        <w:t>identifies</w:t>
      </w:r>
      <w:r w:rsidRPr="000D672B">
        <w:t xml:space="preserve"> the </w:t>
      </w:r>
      <w:r>
        <w:t>projects and policies which</w:t>
      </w:r>
      <w:r w:rsidRPr="000D672B">
        <w:t xml:space="preserve"> best meet Romania's National tr</w:t>
      </w:r>
      <w:r>
        <w:t xml:space="preserve">ansport </w:t>
      </w:r>
      <w:r w:rsidRPr="001C6C79">
        <w:t>needs</w:t>
      </w:r>
      <w:r>
        <w:t xml:space="preserve"> over the next 5-20</w:t>
      </w:r>
      <w:r w:rsidRPr="000D672B">
        <w:t xml:space="preserve"> years, for all modes of transport, and providing a sound, analytical basis for the choice of those policies and projects.</w:t>
      </w:r>
      <w:r>
        <w:t xml:space="preserve">  </w:t>
      </w:r>
    </w:p>
    <w:p w:rsidR="00810A98" w:rsidRDefault="00810A98" w:rsidP="00A4081F">
      <w:pPr>
        <w:pStyle w:val="NumberedParas"/>
      </w:pPr>
      <w:r>
        <w:rPr>
          <w:bCs/>
        </w:rPr>
        <w:t xml:space="preserve">The completion of the Master Plan is conditionality for European Commission approval of the </w:t>
      </w:r>
      <w:r w:rsidRPr="0048628B">
        <w:t>Strategic Operational Programme for Transport</w:t>
      </w:r>
      <w:r>
        <w:t xml:space="preserve"> (SOPT)</w:t>
      </w:r>
      <w:r w:rsidRPr="0048628B">
        <w:t xml:space="preserve"> for the 2014-2020 programming period and will support other decisions required for the optimal planning of transport infrastructure investment.</w:t>
      </w:r>
    </w:p>
    <w:p w:rsidR="00810A98" w:rsidRPr="0048628B" w:rsidRDefault="00810A98" w:rsidP="00A4081F">
      <w:pPr>
        <w:pStyle w:val="NumberedParas"/>
      </w:pPr>
      <w:r>
        <w:t>The Master Plan has been developed following the advice of the European Commission</w:t>
      </w:r>
      <w:r>
        <w:rPr>
          <w:rStyle w:val="FootnoteReference"/>
        </w:rPr>
        <w:footnoteReference w:id="1"/>
      </w:r>
      <w:r>
        <w:t>, and in co-operation with the JASPERS unit in Bucharest.</w:t>
      </w:r>
    </w:p>
    <w:p w:rsidR="00810A98" w:rsidRPr="000D672B" w:rsidRDefault="00810A98" w:rsidP="00A4081F">
      <w:pPr>
        <w:pStyle w:val="NumberedParas"/>
      </w:pPr>
      <w:r w:rsidRPr="000D672B">
        <w:t>A Transport Master Plan is not an end in itself.  The Master Plan must contribute to Romania’s economic development in a sustainable</w:t>
      </w:r>
      <w:r>
        <w:t xml:space="preserve"> manner.  The high level outcomes that the Master Plan</w:t>
      </w:r>
      <w:r w:rsidRPr="000D672B">
        <w:t xml:space="preserve"> will produce are:</w:t>
      </w:r>
    </w:p>
    <w:p w:rsidR="00810A98" w:rsidRPr="000D672B" w:rsidRDefault="00810A98" w:rsidP="009331EE">
      <w:pPr>
        <w:pStyle w:val="ListParagraph"/>
        <w:pBdr>
          <w:top w:val="single" w:sz="4" w:space="1" w:color="auto"/>
          <w:left w:val="single" w:sz="4" w:space="4" w:color="auto"/>
          <w:bottom w:val="single" w:sz="4" w:space="2" w:color="auto"/>
          <w:right w:val="single" w:sz="4" w:space="4" w:color="auto"/>
        </w:pBdr>
        <w:shd w:val="clear" w:color="auto" w:fill="C6D9F1" w:themeFill="text2" w:themeFillTint="33"/>
        <w:spacing w:before="120" w:after="120" w:line="276" w:lineRule="auto"/>
        <w:ind w:left="0"/>
        <w:rPr>
          <w:bCs/>
          <w:i/>
          <w:sz w:val="22"/>
          <w:szCs w:val="22"/>
        </w:rPr>
      </w:pPr>
      <w:r>
        <w:rPr>
          <w:b/>
          <w:bCs/>
          <w:i/>
          <w:sz w:val="22"/>
          <w:szCs w:val="22"/>
        </w:rPr>
        <w:t>Outcome</w:t>
      </w:r>
      <w:r w:rsidRPr="000D672B">
        <w:rPr>
          <w:b/>
          <w:bCs/>
          <w:i/>
          <w:sz w:val="22"/>
          <w:szCs w:val="22"/>
        </w:rPr>
        <w:t xml:space="preserve"> </w:t>
      </w:r>
      <w:r w:rsidRPr="000D672B">
        <w:rPr>
          <w:bCs/>
          <w:i/>
          <w:sz w:val="22"/>
          <w:szCs w:val="22"/>
        </w:rPr>
        <w:t xml:space="preserve">1: A long term plan which will contribute to Romania’s national economy in a sustainable way.  </w:t>
      </w:r>
    </w:p>
    <w:p w:rsidR="00810A98" w:rsidRPr="000D672B" w:rsidRDefault="00810A98" w:rsidP="00A4081F">
      <w:pPr>
        <w:pStyle w:val="NumberedParas"/>
      </w:pPr>
      <w:r w:rsidRPr="000D672B">
        <w:t>The Plan’s duration will be 15 years, and the whole programme of projects will take longer than that to implement.  This is logical since large transport infrastructure projects typically take 5-10 years from inception to implementation, and their impacts last for 50+ years, although convention assumes that the economic life of transport projects is 30 years.</w:t>
      </w:r>
      <w:r w:rsidRPr="000D672B">
        <w:rPr>
          <w:rStyle w:val="FootnoteReference"/>
          <w:bCs/>
        </w:rPr>
        <w:footnoteReference w:id="2"/>
      </w:r>
      <w:r w:rsidRPr="000D672B">
        <w:t xml:space="preserve">  This approach also implies a consistent approach to transport policy over a long period of time, which transcends political expediencies.</w:t>
      </w:r>
    </w:p>
    <w:p w:rsidR="00810A98" w:rsidRPr="000D672B" w:rsidRDefault="00810A98" w:rsidP="00A4081F">
      <w:pPr>
        <w:pStyle w:val="NumberedParas"/>
        <w:rPr>
          <w:b/>
          <w:lang w:val="en-US"/>
        </w:rPr>
      </w:pPr>
      <w:r w:rsidRPr="000D672B">
        <w:t xml:space="preserve">Secondly, the primary purpose of the Plan is to define the projects and policies that will have an impact at a National level, </w:t>
      </w:r>
      <w:r>
        <w:t>and</w:t>
      </w:r>
      <w:r w:rsidRPr="000D672B">
        <w:t xml:space="preserve"> on the European </w:t>
      </w:r>
      <w:r>
        <w:t xml:space="preserve">TEN-T </w:t>
      </w:r>
      <w:r w:rsidRPr="000D672B">
        <w:t xml:space="preserve">corridors.  </w:t>
      </w:r>
    </w:p>
    <w:p w:rsidR="00810A98" w:rsidRPr="000D672B" w:rsidRDefault="00810A98" w:rsidP="002F2AF3">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spacing w:before="120" w:after="120" w:line="276" w:lineRule="auto"/>
        <w:ind w:left="0"/>
        <w:rPr>
          <w:bCs/>
          <w:i/>
          <w:sz w:val="22"/>
          <w:szCs w:val="22"/>
          <w:lang w:val="en-US"/>
        </w:rPr>
      </w:pPr>
      <w:r>
        <w:rPr>
          <w:b/>
          <w:bCs/>
          <w:i/>
          <w:sz w:val="22"/>
          <w:szCs w:val="22"/>
          <w:lang w:val="en-US"/>
        </w:rPr>
        <w:t>Outcome</w:t>
      </w:r>
      <w:r w:rsidRPr="000D672B">
        <w:rPr>
          <w:b/>
          <w:bCs/>
          <w:i/>
          <w:sz w:val="22"/>
          <w:szCs w:val="22"/>
          <w:lang w:val="en-US"/>
        </w:rPr>
        <w:t xml:space="preserve"> 2:</w:t>
      </w:r>
      <w:r w:rsidRPr="000D672B">
        <w:rPr>
          <w:bCs/>
          <w:i/>
          <w:sz w:val="22"/>
          <w:szCs w:val="22"/>
          <w:lang w:val="en-US"/>
        </w:rPr>
        <w:t xml:space="preserve"> </w:t>
      </w:r>
      <w:r w:rsidRPr="000D672B">
        <w:rPr>
          <w:bCs/>
          <w:i/>
          <w:sz w:val="22"/>
          <w:szCs w:val="22"/>
        </w:rPr>
        <w:t>More efficient spending of financial resources on transport.</w:t>
      </w:r>
    </w:p>
    <w:p w:rsidR="00810A98" w:rsidRPr="000D672B" w:rsidRDefault="00810A98" w:rsidP="00A4081F">
      <w:pPr>
        <w:pStyle w:val="NumberedParas"/>
        <w:rPr>
          <w:lang w:val="en-US"/>
        </w:rPr>
      </w:pPr>
      <w:r w:rsidRPr="000D672B">
        <w:rPr>
          <w:lang w:val="en-US"/>
        </w:rPr>
        <w:t>The key word here is “efficient”.</w:t>
      </w:r>
      <w:r w:rsidRPr="000D672B">
        <w:rPr>
          <w:b/>
          <w:lang w:val="en-US"/>
        </w:rPr>
        <w:t xml:space="preserve"> </w:t>
      </w:r>
      <w:r w:rsidRPr="000D672B">
        <w:rPr>
          <w:lang w:val="en-US"/>
        </w:rPr>
        <w:t>Every country in the EU has a greater perceived need for improved transport investment tha</w:t>
      </w:r>
      <w:r w:rsidRPr="00810A98">
        <w:t xml:space="preserve">n the financial resources available to meet that need, and this will not change in the next 15-20 years. </w:t>
      </w:r>
      <w:r w:rsidRPr="000D672B">
        <w:rPr>
          <w:lang w:val="en-US"/>
        </w:rPr>
        <w:t>Therefore, given the limited financial resources available, the emphasis must be on projects and policies that give a good economic return, and which perform a useful function.</w:t>
      </w:r>
    </w:p>
    <w:p w:rsidR="00810A98" w:rsidRPr="000D672B" w:rsidRDefault="00810A98" w:rsidP="002F2AF3">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spacing w:before="120" w:after="120" w:line="276" w:lineRule="auto"/>
        <w:ind w:left="0"/>
        <w:rPr>
          <w:bCs/>
          <w:i/>
          <w:sz w:val="22"/>
          <w:szCs w:val="22"/>
        </w:rPr>
      </w:pPr>
      <w:r>
        <w:rPr>
          <w:b/>
          <w:bCs/>
          <w:i/>
          <w:sz w:val="22"/>
          <w:szCs w:val="22"/>
          <w:lang w:val="en-US"/>
        </w:rPr>
        <w:t>Outcome</w:t>
      </w:r>
      <w:r w:rsidRPr="000D672B">
        <w:rPr>
          <w:b/>
          <w:bCs/>
          <w:i/>
          <w:sz w:val="22"/>
          <w:szCs w:val="22"/>
          <w:lang w:val="en-US"/>
        </w:rPr>
        <w:t xml:space="preserve"> 3:</w:t>
      </w:r>
      <w:r w:rsidRPr="000D672B">
        <w:rPr>
          <w:bCs/>
          <w:i/>
          <w:sz w:val="22"/>
          <w:szCs w:val="22"/>
          <w:lang w:val="en-US"/>
        </w:rPr>
        <w:t xml:space="preserve"> </w:t>
      </w:r>
      <w:r w:rsidRPr="000D672B">
        <w:rPr>
          <w:bCs/>
          <w:i/>
          <w:sz w:val="22"/>
          <w:szCs w:val="22"/>
        </w:rPr>
        <w:t>Improved connections and therefore improved trade with neighbouring countries.</w:t>
      </w:r>
    </w:p>
    <w:p w:rsidR="00810A98" w:rsidRPr="000D672B" w:rsidRDefault="00810A98" w:rsidP="00A4081F">
      <w:pPr>
        <w:pStyle w:val="NumberedParas"/>
      </w:pPr>
      <w:r>
        <w:t>The Plan</w:t>
      </w:r>
      <w:r w:rsidRPr="000D672B">
        <w:t xml:space="preserve"> recognise</w:t>
      </w:r>
      <w:r>
        <w:t>s</w:t>
      </w:r>
      <w:r w:rsidRPr="000D672B">
        <w:t xml:space="preserve"> not only that Romania is part of the European Union, which at its heart is an Economic Union with free trade and fair competition between its members, but that it also has important markets (relatively undeveloped at th</w:t>
      </w:r>
      <w:r>
        <w:t>e moment) to the Ukraine,</w:t>
      </w:r>
      <w:r w:rsidRPr="000D672B">
        <w:t xml:space="preserve"> and Moldova.</w:t>
      </w:r>
    </w:p>
    <w:p w:rsidR="00810A98" w:rsidRPr="000D672B" w:rsidRDefault="00810A98" w:rsidP="002F2AF3">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spacing w:before="120" w:after="120" w:line="276" w:lineRule="auto"/>
        <w:ind w:left="0"/>
        <w:rPr>
          <w:bCs/>
          <w:i/>
          <w:sz w:val="22"/>
          <w:szCs w:val="22"/>
          <w:lang w:val="en-US"/>
        </w:rPr>
      </w:pPr>
      <w:r>
        <w:rPr>
          <w:b/>
          <w:bCs/>
          <w:i/>
          <w:sz w:val="22"/>
          <w:szCs w:val="22"/>
        </w:rPr>
        <w:t>Outcome</w:t>
      </w:r>
      <w:r w:rsidRPr="000D672B">
        <w:rPr>
          <w:b/>
          <w:bCs/>
          <w:i/>
          <w:sz w:val="22"/>
          <w:szCs w:val="22"/>
        </w:rPr>
        <w:t xml:space="preserve"> 4:</w:t>
      </w:r>
      <w:r w:rsidRPr="000D672B">
        <w:rPr>
          <w:bCs/>
          <w:i/>
          <w:sz w:val="22"/>
          <w:szCs w:val="22"/>
        </w:rPr>
        <w:t xml:space="preserve"> Higher productivity for Romanian industry and services, and therefore higher economic growth and improved standards of living.</w:t>
      </w:r>
    </w:p>
    <w:p w:rsidR="00810A98" w:rsidRPr="000D672B" w:rsidRDefault="00810A98" w:rsidP="00A4081F">
      <w:pPr>
        <w:pStyle w:val="NumberedParas"/>
      </w:pPr>
      <w:r w:rsidRPr="000D672B">
        <w:t>Efficient transport systems reduce costs for industry and individuals. For industry, this means lower costs and increased productivity, less resource tied up in inventories, and more competitive products and larger markets for those products.  For transport operators, better transport means lower costs and higher utilisation of vehicles and staff. For individuals, better transport saves time, and provides wider choice of work, consumer goods, and leisure opportunities.</w:t>
      </w:r>
    </w:p>
    <w:p w:rsidR="00810A98" w:rsidRPr="000D672B" w:rsidRDefault="00810A98" w:rsidP="00A4081F">
      <w:pPr>
        <w:pStyle w:val="NumberedParas"/>
      </w:pPr>
      <w:r w:rsidRPr="000D672B">
        <w:t>The Cost-Benefit Analysis captures the majority of these productivity benefits.</w:t>
      </w:r>
    </w:p>
    <w:p w:rsidR="00810A98" w:rsidRPr="000D672B" w:rsidRDefault="00810A98" w:rsidP="002F2AF3">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spacing w:before="120" w:after="120" w:line="276" w:lineRule="auto"/>
        <w:ind w:left="0"/>
        <w:rPr>
          <w:bCs/>
          <w:i/>
          <w:sz w:val="22"/>
          <w:szCs w:val="22"/>
        </w:rPr>
      </w:pPr>
      <w:r>
        <w:rPr>
          <w:b/>
          <w:bCs/>
          <w:i/>
          <w:sz w:val="22"/>
          <w:szCs w:val="22"/>
        </w:rPr>
        <w:t>Outcome</w:t>
      </w:r>
      <w:r w:rsidRPr="000D672B">
        <w:rPr>
          <w:b/>
          <w:bCs/>
          <w:i/>
          <w:sz w:val="22"/>
          <w:szCs w:val="22"/>
        </w:rPr>
        <w:t xml:space="preserve"> 5:</w:t>
      </w:r>
      <w:r w:rsidRPr="000D672B">
        <w:rPr>
          <w:bCs/>
          <w:i/>
          <w:sz w:val="22"/>
          <w:szCs w:val="22"/>
        </w:rPr>
        <w:t xml:space="preserve"> A</w:t>
      </w:r>
      <w:r w:rsidR="007E00B3">
        <w:rPr>
          <w:bCs/>
          <w:i/>
          <w:sz w:val="22"/>
          <w:szCs w:val="22"/>
        </w:rPr>
        <w:t xml:space="preserve"> sustainable transport system.</w:t>
      </w:r>
    </w:p>
    <w:p w:rsidR="00810A98" w:rsidRDefault="00810A98" w:rsidP="00A4081F">
      <w:pPr>
        <w:pStyle w:val="NumberedParas"/>
      </w:pPr>
      <w:r w:rsidRPr="000D672B">
        <w:t>The word sustainable embraces more than environmental sustainability, although this is the context in which the word is often used.  It includes the concepts of economic</w:t>
      </w:r>
      <w:r>
        <w:t>, financial</w:t>
      </w:r>
      <w:r w:rsidRPr="000D672B">
        <w:t xml:space="preserve"> and operational sustainability as well as environmental sustainability.  </w:t>
      </w:r>
      <w:r>
        <w:t>The issue of financially sustainability is particularly relevant to the financing of the Romanian railways.</w:t>
      </w:r>
    </w:p>
    <w:p w:rsidR="00810A98" w:rsidRPr="000D672B" w:rsidRDefault="00810A98" w:rsidP="00A4081F">
      <w:pPr>
        <w:pStyle w:val="NumberedParas"/>
      </w:pPr>
      <w:r w:rsidRPr="000D672B">
        <w:t xml:space="preserve">In summary, the Master Plan will identify the projects and policies which will best meet Romania's </w:t>
      </w:r>
      <w:r w:rsidRPr="000D672B">
        <w:rPr>
          <w:color w:val="000000"/>
        </w:rPr>
        <w:t>National</w:t>
      </w:r>
      <w:r w:rsidRPr="000D672B">
        <w:t xml:space="preserve"> transport needs over the next 5-15 years, for all modes of transport, and providing a sound, analytical basis for the choice of those policies and projects.</w:t>
      </w:r>
      <w:r w:rsidRPr="000D672B">
        <w:rPr>
          <w:rStyle w:val="FootnoteReference"/>
          <w:bCs/>
        </w:rPr>
        <w:footnoteReference w:id="3"/>
      </w:r>
    </w:p>
    <w:p w:rsidR="001852F7" w:rsidRDefault="001852F7" w:rsidP="001852F7"/>
    <w:p w:rsidR="00032006" w:rsidRPr="00C8675F" w:rsidRDefault="00032006" w:rsidP="009D72F1">
      <w:bookmarkStart w:id="12" w:name="_Toc374536218"/>
    </w:p>
    <w:p w:rsidR="00450C9F" w:rsidRPr="00C8675F" w:rsidRDefault="00450C9F" w:rsidP="009D72F1">
      <w:pPr>
        <w:sectPr w:rsidR="00450C9F" w:rsidRPr="00C8675F" w:rsidSect="00933C17">
          <w:headerReference w:type="default" r:id="rId28"/>
          <w:pgSz w:w="11907" w:h="16840" w:code="9"/>
          <w:pgMar w:top="1418" w:right="709" w:bottom="1418" w:left="907" w:header="357" w:footer="567" w:gutter="0"/>
          <w:cols w:space="187"/>
          <w:docGrid w:linePitch="360"/>
        </w:sectPr>
      </w:pPr>
    </w:p>
    <w:p w:rsidR="00993804" w:rsidRPr="00C8675F" w:rsidRDefault="00993804" w:rsidP="00993804">
      <w:pPr>
        <w:rPr>
          <w:b/>
        </w:rPr>
        <w:sectPr w:rsidR="00993804" w:rsidRPr="00C8675F">
          <w:headerReference w:type="default" r:id="rId29"/>
          <w:footerReference w:type="default" r:id="rId30"/>
          <w:pgSz w:w="11907" w:h="16840" w:code="9"/>
          <w:pgMar w:top="-3640" w:right="709" w:bottom="1729" w:left="6146" w:header="357" w:footer="567" w:gutter="0"/>
          <w:cols w:space="720"/>
          <w:docGrid w:linePitch="360"/>
        </w:sectPr>
      </w:pPr>
    </w:p>
    <w:p w:rsidR="00993804" w:rsidRPr="00C8675F" w:rsidRDefault="00032006" w:rsidP="00993804">
      <w:pPr>
        <w:pStyle w:val="SecDivider0"/>
        <w:rPr>
          <w:lang w:val="en-GB"/>
        </w:rPr>
      </w:pPr>
      <w:r>
        <w:rPr>
          <w:lang w:val="en-GB"/>
        </w:rPr>
        <w:t>Methodology</w:t>
      </w:r>
    </w:p>
    <w:p w:rsidR="00993804" w:rsidRPr="00C8675F" w:rsidRDefault="00993804" w:rsidP="00993804"/>
    <w:p w:rsidR="00993804" w:rsidRPr="00C8675F" w:rsidRDefault="00993804" w:rsidP="00993804">
      <w:pPr>
        <w:sectPr w:rsidR="00993804" w:rsidRPr="00C8675F" w:rsidSect="00E37C9E">
          <w:type w:val="continuous"/>
          <w:pgSz w:w="11907" w:h="16840" w:code="9"/>
          <w:pgMar w:top="-3640" w:right="709" w:bottom="1729" w:left="6146" w:header="357" w:footer="567" w:gutter="0"/>
          <w:cols w:space="720"/>
          <w:docGrid w:linePitch="360"/>
        </w:sectPr>
      </w:pPr>
    </w:p>
    <w:p w:rsidR="00BE4573" w:rsidRDefault="00032006" w:rsidP="001C6C79">
      <w:pPr>
        <w:pStyle w:val="Hdg1"/>
        <w:framePr w:wrap="notBeside"/>
      </w:pPr>
      <w:bookmarkStart w:id="13" w:name="_Toc413056027"/>
      <w:bookmarkEnd w:id="12"/>
      <w:r>
        <w:t>Methodology</w:t>
      </w:r>
      <w:bookmarkEnd w:id="13"/>
    </w:p>
    <w:p w:rsidR="007A3F69" w:rsidRPr="007A3F69" w:rsidRDefault="007A3F69" w:rsidP="007A3F69"/>
    <w:p w:rsidR="00ED42FD" w:rsidRPr="008E03B0" w:rsidRDefault="007A3F69" w:rsidP="00045287">
      <w:pPr>
        <w:pStyle w:val="Hdg2"/>
      </w:pPr>
      <w:bookmarkStart w:id="14" w:name="_Toc413056028"/>
      <w:r w:rsidRPr="001C6C79">
        <w:t>Overall</w:t>
      </w:r>
      <w:r>
        <w:t xml:space="preserve"> Methodology</w:t>
      </w:r>
      <w:bookmarkEnd w:id="14"/>
    </w:p>
    <w:p w:rsidR="0018268E" w:rsidRPr="00767358" w:rsidRDefault="0018268E" w:rsidP="00A4081F">
      <w:pPr>
        <w:pStyle w:val="NumberedParas"/>
      </w:pPr>
      <w:r>
        <w:t>The overall process for developing the Master Plan is set out in Figure 2.1 below:</w:t>
      </w:r>
    </w:p>
    <w:p w:rsidR="0018268E" w:rsidRPr="00DD6906" w:rsidRDefault="0018268E" w:rsidP="008954FE">
      <w:pPr>
        <w:spacing w:before="120" w:after="120" w:line="276" w:lineRule="auto"/>
        <w:ind w:left="851"/>
        <w:rPr>
          <w:b/>
          <w:sz w:val="22"/>
          <w:szCs w:val="22"/>
        </w:rPr>
      </w:pPr>
      <w:r w:rsidRPr="00DD6906">
        <w:rPr>
          <w:b/>
          <w:sz w:val="22"/>
          <w:szCs w:val="22"/>
        </w:rPr>
        <w:t xml:space="preserve">Figure </w:t>
      </w:r>
      <w:proofErr w:type="gramStart"/>
      <w:r w:rsidRPr="00DD6906">
        <w:rPr>
          <w:b/>
          <w:sz w:val="22"/>
          <w:szCs w:val="22"/>
        </w:rPr>
        <w:t>2.1  Overall</w:t>
      </w:r>
      <w:proofErr w:type="gramEnd"/>
      <w:r w:rsidRPr="00DD6906">
        <w:rPr>
          <w:b/>
          <w:sz w:val="22"/>
          <w:szCs w:val="22"/>
        </w:rPr>
        <w:t xml:space="preserve"> Process for Developing the Romanian Transport Master Plan</w:t>
      </w:r>
    </w:p>
    <w:p w:rsidR="0018268E" w:rsidRDefault="0018268E" w:rsidP="00DD6906">
      <w:pPr>
        <w:spacing w:before="120" w:after="120" w:line="276" w:lineRule="auto"/>
        <w:ind w:left="851"/>
        <w:rPr>
          <w:sz w:val="22"/>
          <w:szCs w:val="22"/>
        </w:rPr>
      </w:pPr>
      <w:r>
        <w:rPr>
          <w:noProof/>
          <w:sz w:val="22"/>
          <w:szCs w:val="22"/>
          <w:lang w:val="ro-RO" w:eastAsia="ro-RO"/>
        </w:rPr>
        <w:drawing>
          <wp:inline distT="0" distB="0" distL="0" distR="0" wp14:anchorId="498765FC" wp14:editId="6A605607">
            <wp:extent cx="5277385" cy="1890284"/>
            <wp:effectExtent l="0" t="19050" r="38100" b="34290"/>
            <wp:docPr id="2"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18268E" w:rsidRPr="002E71BD" w:rsidRDefault="0018268E" w:rsidP="00273D5E">
      <w:pPr>
        <w:pStyle w:val="BulletLevel1"/>
      </w:pPr>
      <w:r w:rsidRPr="001A0485">
        <w:rPr>
          <w:b/>
        </w:rPr>
        <w:t>Step 1: the Strategic Objectives</w:t>
      </w:r>
      <w:r w:rsidRPr="001A0485">
        <w:t xml:space="preserve"> are those which are defined at a Government, or Ministerial Level, and </w:t>
      </w:r>
      <w:r w:rsidRPr="002E71BD">
        <w:t xml:space="preserve">apply at a high level, as overall goals of the Government, and the </w:t>
      </w:r>
      <w:r w:rsidR="00DD6906">
        <w:t>M</w:t>
      </w:r>
      <w:r w:rsidRPr="002E71BD">
        <w:t>inistry of Transport. For the Master Plan, these were defined using the objectives from the Terms of Reference, various statements from the Ministry of Transport, and the European Commission’s White Paper on Transport.</w:t>
      </w:r>
    </w:p>
    <w:p w:rsidR="0018268E" w:rsidRPr="002E71BD" w:rsidRDefault="0018268E" w:rsidP="00273D5E">
      <w:pPr>
        <w:pStyle w:val="BulletLevel1"/>
      </w:pPr>
      <w:r w:rsidRPr="00D02107">
        <w:rPr>
          <w:b/>
        </w:rPr>
        <w:t>Step 2: Problem Definition</w:t>
      </w:r>
      <w:r w:rsidRPr="002E71BD">
        <w:t xml:space="preserve"> is the outcome of a diagnostic of the Transport System.  We have identified the underlying causes which are responsible for the manifestation of problems, as well as identifying the problems at a spatial level so that specific objectives and interventions can be identified.</w:t>
      </w:r>
    </w:p>
    <w:p w:rsidR="0018268E" w:rsidRPr="002E71BD" w:rsidRDefault="0018268E" w:rsidP="00273D5E">
      <w:pPr>
        <w:pStyle w:val="BulletLevel1"/>
      </w:pPr>
      <w:r w:rsidRPr="00D02107">
        <w:rPr>
          <w:b/>
        </w:rPr>
        <w:t>Step 3: Operational Objectives</w:t>
      </w:r>
      <w:r w:rsidRPr="002E71BD">
        <w:t>: these are objectives that relate to the specific problems which have been identified, and are a subset of the Strategic Objectives.</w:t>
      </w:r>
    </w:p>
    <w:p w:rsidR="0018268E" w:rsidRPr="002E71BD" w:rsidRDefault="0018268E" w:rsidP="00273D5E">
      <w:pPr>
        <w:pStyle w:val="BulletLevel1"/>
      </w:pPr>
      <w:r w:rsidRPr="00D02107">
        <w:rPr>
          <w:b/>
        </w:rPr>
        <w:t>Step 4: Project Generation</w:t>
      </w:r>
      <w:r w:rsidRPr="002E71BD">
        <w:t>: these are the specific interventions which will address the operational objectives, and the problems.</w:t>
      </w:r>
    </w:p>
    <w:p w:rsidR="0018268E" w:rsidRPr="002E71BD" w:rsidRDefault="0018268E" w:rsidP="00273D5E">
      <w:pPr>
        <w:pStyle w:val="BulletLevel1"/>
      </w:pPr>
      <w:r w:rsidRPr="00D02107">
        <w:rPr>
          <w:b/>
        </w:rPr>
        <w:t>Step 5: Project Appraisal and Prioritisation</w:t>
      </w:r>
      <w:r w:rsidRPr="002E71BD">
        <w:t xml:space="preserve">: </w:t>
      </w:r>
      <w:r w:rsidR="009331EE">
        <w:t xml:space="preserve">A </w:t>
      </w:r>
      <w:r w:rsidRPr="002E71BD">
        <w:t xml:space="preserve">systemised project appraisal </w:t>
      </w:r>
      <w:r w:rsidR="009331EE">
        <w:t xml:space="preserve">process </w:t>
      </w:r>
      <w:r w:rsidRPr="002E71BD">
        <w:t xml:space="preserve">is required for two main reasons.  First, there may be more than one project which addresses an operational objective, so selection is required.  Secondly, a project may address the problem but may offer poor value for money.  In a situation like Romania’s, where the funds available for transport are much less than the needs, financial resources must be allocated in an economically efficient way.  A fair, independent way of appraising projects must be used for this purpose.  A multi-criteriate analysis (MCA) has been </w:t>
      </w:r>
      <w:r w:rsidR="00DD6906">
        <w:t>undertaken</w:t>
      </w:r>
      <w:r w:rsidRPr="002E71BD">
        <w:t xml:space="preserve"> for this purpose.</w:t>
      </w:r>
    </w:p>
    <w:p w:rsidR="0018268E" w:rsidRDefault="0018268E" w:rsidP="00273D5E">
      <w:pPr>
        <w:pStyle w:val="BulletLevel1"/>
      </w:pPr>
      <w:r w:rsidRPr="00D02107">
        <w:rPr>
          <w:b/>
        </w:rPr>
        <w:t xml:space="preserve">Step 6: </w:t>
      </w:r>
      <w:r w:rsidR="00DD6906">
        <w:rPr>
          <w:b/>
        </w:rPr>
        <w:t>D</w:t>
      </w:r>
      <w:r w:rsidRPr="00D02107">
        <w:rPr>
          <w:b/>
        </w:rPr>
        <w:t>evelop Master Plan Scenarios</w:t>
      </w:r>
      <w:r w:rsidRPr="002E71BD">
        <w:t xml:space="preserve">: the Terms of Reference require that two scenarios are developed, an “Economically Sustainable” Scenario, and an Economically and Environmentally Sustainable” Scenario.  Each project </w:t>
      </w:r>
      <w:r w:rsidR="00DD6906">
        <w:t>was</w:t>
      </w:r>
      <w:r w:rsidRPr="002E71BD">
        <w:t xml:space="preserve"> scored in the </w:t>
      </w:r>
      <w:r w:rsidR="00DD6906">
        <w:t>M</w:t>
      </w:r>
      <w:r w:rsidRPr="002E71BD">
        <w:t xml:space="preserve">CA according to how well it </w:t>
      </w:r>
      <w:r w:rsidR="00DD6906">
        <w:t>met</w:t>
      </w:r>
      <w:r w:rsidRPr="002E71BD">
        <w:t xml:space="preserve"> the defined appraisal criteria. Using different weights for the scores, each projects</w:t>
      </w:r>
      <w:r w:rsidRPr="001A0485">
        <w:t xml:space="preserve"> </w:t>
      </w:r>
      <w:r w:rsidR="00DD6906">
        <w:t>was given</w:t>
      </w:r>
      <w:r w:rsidRPr="001A0485">
        <w:t xml:space="preserve"> two scores, applying to each scenario, which </w:t>
      </w:r>
      <w:r w:rsidR="00DD6906">
        <w:t>gave</w:t>
      </w:r>
      <w:r w:rsidRPr="001A0485">
        <w:t xml:space="preserve"> a different set of priority projects for each scenario</w:t>
      </w:r>
    </w:p>
    <w:p w:rsidR="0018268E" w:rsidRPr="00767358" w:rsidRDefault="0018268E" w:rsidP="00A4081F">
      <w:pPr>
        <w:pStyle w:val="NumberedParas"/>
      </w:pPr>
      <w:r w:rsidRPr="00767358">
        <w:t xml:space="preserve">The Romanian National Transport Master Plan is, as its </w:t>
      </w:r>
      <w:r w:rsidR="00FF2491">
        <w:t xml:space="preserve">name implies, a National Plan. </w:t>
      </w:r>
      <w:r w:rsidRPr="00767358">
        <w:t>There is therefore an issue of scale in the projects, policies and programmes that the Master Plan will contain.  The high-level objectives will therefore be met by policies, programmes and projects of sufficient scale to which will make a difference at a National Level.  These include interventions such as:</w:t>
      </w:r>
    </w:p>
    <w:p w:rsidR="0018268E" w:rsidRPr="00767358" w:rsidRDefault="0018268E" w:rsidP="00273D5E">
      <w:pPr>
        <w:pStyle w:val="BulletLevel1"/>
      </w:pPr>
      <w:r w:rsidRPr="00767358">
        <w:t xml:space="preserve">Large </w:t>
      </w:r>
      <w:r w:rsidRPr="001C6C79">
        <w:t>infras</w:t>
      </w:r>
      <w:r w:rsidR="00045287">
        <w:t>``</w:t>
      </w:r>
      <w:r w:rsidRPr="001C6C79">
        <w:t>tructure</w:t>
      </w:r>
      <w:r w:rsidRPr="00767358">
        <w:t xml:space="preserve"> projects </w:t>
      </w:r>
    </w:p>
    <w:p w:rsidR="0018268E" w:rsidRPr="00767358" w:rsidRDefault="0018268E" w:rsidP="00273D5E">
      <w:pPr>
        <w:pStyle w:val="BulletLevel1"/>
      </w:pPr>
      <w:r w:rsidRPr="00767358">
        <w:t xml:space="preserve">National Maintenance Programmes </w:t>
      </w:r>
    </w:p>
    <w:p w:rsidR="0018268E" w:rsidRPr="00767358" w:rsidRDefault="0018268E" w:rsidP="00273D5E">
      <w:pPr>
        <w:pStyle w:val="BulletLevel1"/>
      </w:pPr>
      <w:r w:rsidRPr="00767358">
        <w:t xml:space="preserve">New Rolling </w:t>
      </w:r>
      <w:r w:rsidRPr="007613DE">
        <w:t>Stock</w:t>
      </w:r>
      <w:r w:rsidRPr="00767358">
        <w:t xml:space="preserve"> and Locomotives</w:t>
      </w:r>
    </w:p>
    <w:p w:rsidR="0018268E" w:rsidRPr="00767358" w:rsidRDefault="0018268E" w:rsidP="00273D5E">
      <w:pPr>
        <w:pStyle w:val="BulletLevel1"/>
      </w:pPr>
      <w:r w:rsidRPr="00767358">
        <w:t>Large Scale Rehabilitation projects</w:t>
      </w:r>
    </w:p>
    <w:p w:rsidR="0018268E" w:rsidRPr="008116CE" w:rsidRDefault="0018268E" w:rsidP="00273D5E">
      <w:pPr>
        <w:pStyle w:val="BulletLevel1"/>
      </w:pPr>
      <w:r w:rsidRPr="00767358">
        <w:t xml:space="preserve">National Policies such as </w:t>
      </w:r>
      <w:r w:rsidR="009331EE">
        <w:t>Rail Reform</w:t>
      </w:r>
    </w:p>
    <w:p w:rsidR="007A3F69" w:rsidRDefault="007A3F69" w:rsidP="007A3F69"/>
    <w:p w:rsidR="0018508A" w:rsidRPr="008E03B0" w:rsidRDefault="00445BD2" w:rsidP="00045287">
      <w:pPr>
        <w:pStyle w:val="Hdg2"/>
      </w:pPr>
      <w:bookmarkStart w:id="15" w:name="_Toc413056029"/>
      <w:r>
        <w:t>Objective setting</w:t>
      </w:r>
      <w:bookmarkEnd w:id="15"/>
    </w:p>
    <w:p w:rsidR="00445BD2" w:rsidRPr="008116CE" w:rsidRDefault="00445BD2" w:rsidP="00A4081F">
      <w:pPr>
        <w:pStyle w:val="NumberedParas"/>
      </w:pPr>
      <w:r w:rsidRPr="008116CE">
        <w:t xml:space="preserve">Establishing objectives is fundamental to the development of any strategy or project.  The objectives focus the appraisal and the outcome of the study. Furthermore, the objectives </w:t>
      </w:r>
      <w:r w:rsidR="00DD6906">
        <w:t>are</w:t>
      </w:r>
      <w:r w:rsidRPr="008116CE">
        <w:t xml:space="preserve"> central to the monitoring and evaluation required during the implementation stage.</w:t>
      </w:r>
    </w:p>
    <w:p w:rsidR="00445BD2" w:rsidRDefault="00445BD2" w:rsidP="00A4081F">
      <w:pPr>
        <w:pStyle w:val="NumberedParas"/>
      </w:pPr>
      <w:r w:rsidRPr="008116CE">
        <w:t xml:space="preserve">The </w:t>
      </w:r>
      <w:r>
        <w:t xml:space="preserve">“strategic” </w:t>
      </w:r>
      <w:r w:rsidRPr="008116CE">
        <w:t xml:space="preserve">objectives will provide clear and concise goals that the strategy will aim to deliver.  </w:t>
      </w:r>
      <w:r>
        <w:t>They encapsulate the underlying purpose of Transport Policy, Projects and Interventions, and represent the overall aims and objectives of the Ministry of Transport, and indeed the Romanian Government, as far as transport is concerned.</w:t>
      </w:r>
    </w:p>
    <w:p w:rsidR="00445BD2" w:rsidRDefault="00445BD2" w:rsidP="00A4081F">
      <w:pPr>
        <w:pStyle w:val="NumberedParas"/>
      </w:pPr>
      <w:r w:rsidRPr="008116CE">
        <w:t xml:space="preserve">It is important to stress that the Master Plan is a long term Strategy for all of Romania, not just the areas of the country that are located on European corridors.  The determining factor for projects and policies in the Master Plan will be National need; clearly the availability of funding will be an important determinant of prioritisation and programming. </w:t>
      </w:r>
    </w:p>
    <w:p w:rsidR="00445BD2" w:rsidRPr="000C6787" w:rsidRDefault="00445BD2" w:rsidP="00A4081F">
      <w:pPr>
        <w:pStyle w:val="NumberedParas"/>
      </w:pPr>
      <w:r w:rsidRPr="000C6787">
        <w:t>The concept of high-level and operational objectives, which are defined following the thorough assessment of problems, provides a hierarchy of objectives.  This structure clarifies the logic of the intervention and provides a framework for future appraisal and evaluation.  The appraisal process for the Master Plan contains a two level hierarchy which consists of:</w:t>
      </w:r>
    </w:p>
    <w:p w:rsidR="00445BD2" w:rsidRPr="000C6787" w:rsidRDefault="00445BD2" w:rsidP="00273D5E">
      <w:pPr>
        <w:pStyle w:val="BulletLevel1"/>
      </w:pPr>
      <w:r w:rsidRPr="00DD6906">
        <w:rPr>
          <w:b/>
        </w:rPr>
        <w:t>High level or strategic objectives</w:t>
      </w:r>
      <w:r w:rsidRPr="000C6787">
        <w:t xml:space="preserve"> – For a strategy, this may be to aid economic development of the country or, at project level, to aid the development of the Trans-European Transport Network.  These are generally objectives to which transport contributes, but not always in a direct manner. Furthermore these objectives may already be predefined, for example in EU or national policy documents; and</w:t>
      </w:r>
    </w:p>
    <w:p w:rsidR="00445BD2" w:rsidRPr="000C6787" w:rsidRDefault="00445BD2" w:rsidP="00273D5E">
      <w:pPr>
        <w:pStyle w:val="BulletLevel1"/>
      </w:pPr>
      <w:r w:rsidRPr="00DD6906">
        <w:rPr>
          <w:b/>
        </w:rPr>
        <w:t>Operational objectives</w:t>
      </w:r>
      <w:r w:rsidRPr="000C6787">
        <w:t xml:space="preserve"> – </w:t>
      </w:r>
      <w:r>
        <w:t>These are derived from the detailed examination of problems, and the underlying causes of these problems.  They are therefore specific to a corridor, route, or transport node (such as port or airport), and allow the interventions to be designed in a precise way to meet the objectives.</w:t>
      </w:r>
    </w:p>
    <w:p w:rsidR="00445BD2" w:rsidRDefault="00445BD2" w:rsidP="00A4081F">
      <w:pPr>
        <w:pStyle w:val="NumberedParas"/>
      </w:pPr>
      <w:r w:rsidRPr="000C6787">
        <w:t>It is also important to note that setting objectives implies a commitment to follow them through in actions and projects.  There may be legitimate reasons for slower than desired or planned progress in implementation, but the underlying driver of transport projects in the Master Plan must be the achievement of the objectives.</w:t>
      </w:r>
    </w:p>
    <w:p w:rsidR="00D02107" w:rsidRDefault="00445BD2" w:rsidP="00A4081F">
      <w:pPr>
        <w:pStyle w:val="NumberedParas"/>
      </w:pPr>
      <w:r w:rsidRPr="00767358">
        <w:t xml:space="preserve">Lastly, the Master Plan </w:t>
      </w:r>
      <w:r>
        <w:t>strategic</w:t>
      </w:r>
      <w:r w:rsidRPr="00767358">
        <w:t xml:space="preserve"> objectives </w:t>
      </w:r>
      <w:r w:rsidR="00DD6906">
        <w:t>are not</w:t>
      </w:r>
      <w:r w:rsidRPr="00767358">
        <w:t xml:space="preserve"> mode-specific: the actions and projects</w:t>
      </w:r>
      <w:r>
        <w:t>, for which we use the term “interventions”</w:t>
      </w:r>
      <w:r w:rsidRPr="00767358">
        <w:t xml:space="preserve"> which follow from the objectives should, of course, relate to specific modes which are best-suited to achieve the objectives.</w:t>
      </w:r>
    </w:p>
    <w:p w:rsidR="00D02107" w:rsidRDefault="00D02107" w:rsidP="00D02107">
      <w:pPr>
        <w:rPr>
          <w:sz w:val="22"/>
          <w:szCs w:val="22"/>
        </w:rPr>
      </w:pPr>
      <w:r>
        <w:br w:type="page"/>
      </w:r>
    </w:p>
    <w:p w:rsidR="00445BD2" w:rsidRPr="00CE78D8" w:rsidRDefault="00445BD2" w:rsidP="00B15AB9">
      <w:pPr>
        <w:pStyle w:val="Hdg3"/>
      </w:pPr>
      <w:r w:rsidRPr="00CE78D8">
        <w:t>The High-Level Objectives</w:t>
      </w:r>
    </w:p>
    <w:p w:rsidR="00445BD2" w:rsidRPr="00767358" w:rsidRDefault="00445BD2" w:rsidP="00A4081F">
      <w:pPr>
        <w:pStyle w:val="NumberedParas"/>
      </w:pPr>
      <w:r w:rsidRPr="00767358">
        <w:t xml:space="preserve">The documents relevant to setting the </w:t>
      </w:r>
      <w:r>
        <w:t xml:space="preserve">strategic </w:t>
      </w:r>
      <w:r w:rsidRPr="00767358">
        <w:t>objectives are as follows:</w:t>
      </w:r>
    </w:p>
    <w:p w:rsidR="00445BD2" w:rsidRPr="00B15AB9" w:rsidRDefault="00445BD2" w:rsidP="00273D5E">
      <w:pPr>
        <w:pStyle w:val="BulletLevel1"/>
      </w:pPr>
      <w:r w:rsidRPr="00B15AB9">
        <w:t>The objectives in the Terms of Reference (ToR)</w:t>
      </w:r>
    </w:p>
    <w:p w:rsidR="00445BD2" w:rsidRPr="00B15AB9" w:rsidRDefault="00445BD2" w:rsidP="00273D5E">
      <w:pPr>
        <w:pStyle w:val="BulletLevel1"/>
      </w:pPr>
      <w:r w:rsidRPr="00B15AB9">
        <w:t>Mission: Minister</w:t>
      </w:r>
      <w:r w:rsidR="00802061">
        <w:t>’s</w:t>
      </w:r>
      <w:r w:rsidRPr="00B15AB9">
        <w:t xml:space="preserve"> Statement in the Forward to the Strategic Plan of the Ministry of Transport and Infrastructure  </w:t>
      </w:r>
    </w:p>
    <w:p w:rsidR="00445BD2" w:rsidRPr="00B15AB9" w:rsidRDefault="00445BD2" w:rsidP="00273D5E">
      <w:pPr>
        <w:pStyle w:val="BulletLevel1"/>
      </w:pPr>
      <w:r w:rsidRPr="00B15AB9">
        <w:t>EU White Paper on Transport 2011</w:t>
      </w:r>
    </w:p>
    <w:p w:rsidR="00445BD2" w:rsidRPr="00B15AB9" w:rsidRDefault="00445BD2" w:rsidP="00273D5E">
      <w:pPr>
        <w:pStyle w:val="BulletLevel1"/>
      </w:pPr>
      <w:r w:rsidRPr="00B15AB9">
        <w:t xml:space="preserve">Romanian Government Statement on Transport Policy </w:t>
      </w:r>
      <w:r w:rsidR="001C6C79">
        <w:t>(Program de Guvernare 2012-2016)</w:t>
      </w:r>
      <w:r w:rsidRPr="00B15AB9">
        <w:t xml:space="preserve"> </w:t>
      </w:r>
    </w:p>
    <w:p w:rsidR="00445BD2" w:rsidRPr="00B15AB9" w:rsidRDefault="00445BD2" w:rsidP="00273D5E">
      <w:pPr>
        <w:pStyle w:val="BulletLevel1"/>
      </w:pPr>
      <w:r w:rsidRPr="00B15AB9">
        <w:t xml:space="preserve">Partnership Agreement 2014 – 2020 </w:t>
      </w:r>
      <w:r w:rsidRPr="00802061">
        <w:t>(see pages 176-177)</w:t>
      </w:r>
    </w:p>
    <w:p w:rsidR="00445BD2" w:rsidRPr="00B15AB9" w:rsidRDefault="00445BD2" w:rsidP="00273D5E">
      <w:pPr>
        <w:pStyle w:val="BulletLevel1"/>
      </w:pPr>
      <w:r w:rsidRPr="00B15AB9">
        <w:t>AECOM Existing Conditions Report</w:t>
      </w:r>
    </w:p>
    <w:p w:rsidR="00445BD2" w:rsidRPr="00B15AB9" w:rsidRDefault="00445BD2" w:rsidP="00273D5E">
      <w:pPr>
        <w:pStyle w:val="BulletLevel1"/>
      </w:pPr>
      <w:r w:rsidRPr="00B15AB9">
        <w:t xml:space="preserve">National Spatial Plan Section 1 Transport Networks </w:t>
      </w:r>
    </w:p>
    <w:p w:rsidR="00445BD2" w:rsidRPr="00B15AB9" w:rsidRDefault="00802061" w:rsidP="00273D5E">
      <w:pPr>
        <w:pStyle w:val="BulletLevel1"/>
      </w:pPr>
      <w:r>
        <w:t xml:space="preserve">EU </w:t>
      </w:r>
      <w:r w:rsidR="00445BD2" w:rsidRPr="00B15AB9">
        <w:t>Core Networks for Road and Rail</w:t>
      </w:r>
    </w:p>
    <w:p w:rsidR="00445BD2" w:rsidRPr="00767358" w:rsidRDefault="00445BD2" w:rsidP="00A4081F">
      <w:pPr>
        <w:pStyle w:val="NumberedParas"/>
      </w:pPr>
      <w:r w:rsidRPr="00767358">
        <w:t xml:space="preserve">The key objectives for the Transport Master Plan, as set out in the Terms of Reference, relate to </w:t>
      </w:r>
    </w:p>
    <w:p w:rsidR="00445BD2" w:rsidRPr="00CE78D8" w:rsidRDefault="00445BD2" w:rsidP="00273D5E">
      <w:pPr>
        <w:pStyle w:val="BulletLevel1"/>
      </w:pPr>
      <w:r w:rsidRPr="00CE78D8">
        <w:t>Economic Efficiency: that is the transport sector must contribute to the national economy and the economic benefits it generates must exceed its costs;</w:t>
      </w:r>
    </w:p>
    <w:p w:rsidR="00445BD2" w:rsidRPr="00CE78D8" w:rsidRDefault="00445BD2" w:rsidP="00273D5E">
      <w:pPr>
        <w:pStyle w:val="BulletLevel1"/>
      </w:pPr>
      <w:r w:rsidRPr="00CE78D8">
        <w:t>Sustainability: the transport system should be energy efficient, and leave a legacy for future generations;</w:t>
      </w:r>
    </w:p>
    <w:p w:rsidR="00445BD2" w:rsidRPr="00CE78D8" w:rsidRDefault="00445BD2" w:rsidP="00273D5E">
      <w:pPr>
        <w:pStyle w:val="BulletLevel1"/>
      </w:pPr>
      <w:r w:rsidRPr="00CE78D8">
        <w:t>Safety: the transport system should be safe;</w:t>
      </w:r>
    </w:p>
    <w:p w:rsidR="00445BD2" w:rsidRPr="00CE78D8" w:rsidRDefault="00445BD2" w:rsidP="00273D5E">
      <w:pPr>
        <w:pStyle w:val="BulletLevel1"/>
      </w:pPr>
      <w:r w:rsidRPr="00CE78D8">
        <w:t>Economic Development: the transport system should facilitate national economic development;</w:t>
      </w:r>
    </w:p>
    <w:p w:rsidR="00445BD2" w:rsidRPr="00CE78D8" w:rsidRDefault="00445BD2" w:rsidP="00273D5E">
      <w:pPr>
        <w:pStyle w:val="BulletLevel1"/>
      </w:pPr>
      <w:r w:rsidRPr="00CE78D8">
        <w:t>Financial: the Master Plan should enable increased absorption of EU funds.</w:t>
      </w:r>
    </w:p>
    <w:p w:rsidR="00445BD2" w:rsidRPr="00767358" w:rsidRDefault="00445BD2" w:rsidP="00A4081F">
      <w:pPr>
        <w:pStyle w:val="NumberedParas"/>
      </w:pPr>
      <w:r w:rsidRPr="00767358">
        <w:t>The Ministry of Transport’s Mission as set out in the Minister’s Forward to the Draft Strategic Plan for the Ministry emphasises the following points:</w:t>
      </w:r>
    </w:p>
    <w:p w:rsidR="00445BD2" w:rsidRPr="00CE78D8" w:rsidRDefault="00445BD2" w:rsidP="00273D5E">
      <w:pPr>
        <w:pStyle w:val="BulletLevel1"/>
      </w:pPr>
      <w:r w:rsidRPr="00CE78D8">
        <w:t>Economic Efficiency: a transport system that generates benefits that are greater than its costs;</w:t>
      </w:r>
    </w:p>
    <w:p w:rsidR="00445BD2" w:rsidRPr="00CE78D8" w:rsidRDefault="00445BD2" w:rsidP="00273D5E">
      <w:pPr>
        <w:pStyle w:val="BulletLevel1"/>
      </w:pPr>
      <w:r w:rsidRPr="00CE78D8">
        <w:t>Equity: the costs and benefits of the transport system should be distributed fairly among citizens, industries and geographic areas;</w:t>
      </w:r>
    </w:p>
    <w:p w:rsidR="00445BD2" w:rsidRPr="00CE78D8" w:rsidRDefault="00445BD2" w:rsidP="00273D5E">
      <w:pPr>
        <w:pStyle w:val="BulletLevel1"/>
      </w:pPr>
      <w:r w:rsidRPr="00CE78D8">
        <w:t>Safety: the transport infrastructure and services should be provided in a manner that protects people from death and injury;</w:t>
      </w:r>
    </w:p>
    <w:p w:rsidR="00445BD2" w:rsidRPr="00CE78D8" w:rsidRDefault="00445BD2" w:rsidP="00273D5E">
      <w:pPr>
        <w:pStyle w:val="BulletLevel1"/>
      </w:pPr>
      <w:r w:rsidRPr="00CE78D8">
        <w:t>Integration: the transport system should enable people to travel conveniently and reliably using a combination of different modes of transport, and to minimise the costs of transporting goods;</w:t>
      </w:r>
    </w:p>
    <w:p w:rsidR="00445BD2" w:rsidRPr="00CE78D8" w:rsidRDefault="00445BD2" w:rsidP="00273D5E">
      <w:pPr>
        <w:pStyle w:val="BulletLevel1"/>
      </w:pPr>
      <w:r w:rsidRPr="00CE78D8">
        <w:t>Environment: the transport system should protect the environment and by so doing should support social and economic development for the benefit of today’s and future generations.</w:t>
      </w:r>
    </w:p>
    <w:p w:rsidR="00445BD2" w:rsidRPr="00767358" w:rsidRDefault="00445BD2" w:rsidP="00A4081F">
      <w:pPr>
        <w:pStyle w:val="NumberedParas"/>
      </w:pPr>
      <w:r w:rsidRPr="00767358">
        <w:t>Romania relies on the EU Cohesion Funds and Economic Regional Development Funds for the majority of its funding for new transport infrastructure, and the Terms of Reference recognise this.  Therefore, the Romanian transport objectives must pay due regard for to the current policies of the EU.</w:t>
      </w:r>
    </w:p>
    <w:p w:rsidR="00445BD2" w:rsidRPr="00767358" w:rsidRDefault="00445BD2" w:rsidP="00A4081F">
      <w:pPr>
        <w:pStyle w:val="NumberedParas"/>
      </w:pPr>
      <w:r w:rsidRPr="00767358">
        <w:t>The Transport White Paper published in 2011 sets out in Annex I a list of initiatives, which are really actions, under several headings which may be regarded as objectives.  These are:</w:t>
      </w:r>
    </w:p>
    <w:p w:rsidR="00445BD2" w:rsidRPr="00CE78D8" w:rsidRDefault="00445BD2" w:rsidP="009331EE">
      <w:pPr>
        <w:spacing w:before="120" w:after="120" w:line="276" w:lineRule="auto"/>
        <w:ind w:left="851"/>
        <w:rPr>
          <w:i/>
          <w:sz w:val="22"/>
          <w:szCs w:val="22"/>
        </w:rPr>
      </w:pPr>
      <w:r w:rsidRPr="00CE78D8">
        <w:rPr>
          <w:i/>
          <w:sz w:val="22"/>
          <w:szCs w:val="22"/>
        </w:rPr>
        <w:t>1.</w:t>
      </w:r>
      <w:r w:rsidRPr="00CE78D8">
        <w:rPr>
          <w:i/>
          <w:sz w:val="22"/>
          <w:szCs w:val="22"/>
        </w:rPr>
        <w:tab/>
        <w:t>An efficient and integrated Mobility System</w:t>
      </w:r>
    </w:p>
    <w:p w:rsidR="00445BD2" w:rsidRPr="00CE78D8" w:rsidRDefault="00445BD2" w:rsidP="005E50B3">
      <w:pPr>
        <w:pStyle w:val="ListParagraph"/>
        <w:numPr>
          <w:ilvl w:val="1"/>
          <w:numId w:val="20"/>
        </w:numPr>
        <w:spacing w:before="120" w:after="120" w:line="276" w:lineRule="auto"/>
        <w:ind w:left="2007"/>
        <w:contextualSpacing/>
        <w:rPr>
          <w:sz w:val="22"/>
          <w:szCs w:val="22"/>
        </w:rPr>
      </w:pPr>
      <w:r w:rsidRPr="00CE78D8">
        <w:rPr>
          <w:sz w:val="22"/>
          <w:szCs w:val="22"/>
        </w:rPr>
        <w:t>A single European Transport Area</w:t>
      </w:r>
    </w:p>
    <w:p w:rsidR="00445BD2" w:rsidRPr="00CE78D8" w:rsidRDefault="00445BD2" w:rsidP="005E50B3">
      <w:pPr>
        <w:pStyle w:val="ListParagraph"/>
        <w:numPr>
          <w:ilvl w:val="1"/>
          <w:numId w:val="20"/>
        </w:numPr>
        <w:spacing w:before="120" w:after="120" w:line="276" w:lineRule="auto"/>
        <w:ind w:left="2007"/>
        <w:contextualSpacing/>
        <w:rPr>
          <w:sz w:val="22"/>
          <w:szCs w:val="22"/>
        </w:rPr>
      </w:pPr>
      <w:r w:rsidRPr="00CE78D8">
        <w:rPr>
          <w:sz w:val="22"/>
          <w:szCs w:val="22"/>
        </w:rPr>
        <w:t>Promoting quality jobs and working conditions</w:t>
      </w:r>
    </w:p>
    <w:p w:rsidR="00445BD2" w:rsidRPr="00CE78D8" w:rsidRDefault="00445BD2" w:rsidP="005E50B3">
      <w:pPr>
        <w:pStyle w:val="ListParagraph"/>
        <w:numPr>
          <w:ilvl w:val="1"/>
          <w:numId w:val="20"/>
        </w:numPr>
        <w:spacing w:before="120" w:after="120" w:line="276" w:lineRule="auto"/>
        <w:ind w:left="2007"/>
        <w:contextualSpacing/>
        <w:rPr>
          <w:sz w:val="22"/>
          <w:szCs w:val="22"/>
        </w:rPr>
      </w:pPr>
      <w:r w:rsidRPr="00CE78D8">
        <w:rPr>
          <w:sz w:val="22"/>
          <w:szCs w:val="22"/>
        </w:rPr>
        <w:t>Secure transport</w:t>
      </w:r>
    </w:p>
    <w:p w:rsidR="00445BD2" w:rsidRPr="00CE78D8" w:rsidRDefault="00445BD2" w:rsidP="005E50B3">
      <w:pPr>
        <w:pStyle w:val="ListParagraph"/>
        <w:numPr>
          <w:ilvl w:val="1"/>
          <w:numId w:val="20"/>
        </w:numPr>
        <w:spacing w:before="120" w:after="120" w:line="276" w:lineRule="auto"/>
        <w:ind w:left="2007"/>
        <w:contextualSpacing/>
        <w:rPr>
          <w:sz w:val="22"/>
          <w:szCs w:val="22"/>
        </w:rPr>
      </w:pPr>
      <w:r w:rsidRPr="00CE78D8">
        <w:rPr>
          <w:sz w:val="22"/>
          <w:szCs w:val="22"/>
        </w:rPr>
        <w:t>Service quality and reliability</w:t>
      </w:r>
    </w:p>
    <w:p w:rsidR="00445BD2" w:rsidRPr="00CE78D8" w:rsidRDefault="00445BD2" w:rsidP="009331EE">
      <w:pPr>
        <w:spacing w:before="120" w:after="120" w:line="276" w:lineRule="auto"/>
        <w:ind w:left="851"/>
        <w:rPr>
          <w:i/>
          <w:sz w:val="22"/>
          <w:szCs w:val="22"/>
        </w:rPr>
      </w:pPr>
      <w:r w:rsidRPr="00CE78D8">
        <w:rPr>
          <w:i/>
          <w:sz w:val="22"/>
          <w:szCs w:val="22"/>
        </w:rPr>
        <w:t>2.</w:t>
      </w:r>
      <w:r w:rsidRPr="00CE78D8">
        <w:rPr>
          <w:i/>
          <w:sz w:val="22"/>
          <w:szCs w:val="22"/>
        </w:rPr>
        <w:tab/>
        <w:t>Innovating for the Future: Technology and Behaviour</w:t>
      </w:r>
    </w:p>
    <w:p w:rsidR="00445BD2" w:rsidRPr="00767358" w:rsidRDefault="00445BD2" w:rsidP="005E50B3">
      <w:pPr>
        <w:pStyle w:val="ListParagraph"/>
        <w:numPr>
          <w:ilvl w:val="1"/>
          <w:numId w:val="20"/>
        </w:numPr>
        <w:spacing w:before="120" w:after="120" w:line="276" w:lineRule="auto"/>
        <w:ind w:left="2007"/>
        <w:contextualSpacing/>
        <w:rPr>
          <w:sz w:val="22"/>
          <w:szCs w:val="22"/>
        </w:rPr>
      </w:pPr>
      <w:r w:rsidRPr="00767358">
        <w:rPr>
          <w:sz w:val="22"/>
          <w:szCs w:val="22"/>
        </w:rPr>
        <w:t>A European Transport and Research and Innovation Policy</w:t>
      </w:r>
    </w:p>
    <w:p w:rsidR="00445BD2" w:rsidRPr="00767358" w:rsidRDefault="00445BD2" w:rsidP="005E50B3">
      <w:pPr>
        <w:pStyle w:val="ListParagraph"/>
        <w:numPr>
          <w:ilvl w:val="1"/>
          <w:numId w:val="20"/>
        </w:numPr>
        <w:spacing w:before="120" w:after="120" w:line="276" w:lineRule="auto"/>
        <w:ind w:left="2007"/>
        <w:contextualSpacing/>
        <w:rPr>
          <w:sz w:val="22"/>
          <w:szCs w:val="22"/>
        </w:rPr>
      </w:pPr>
      <w:r w:rsidRPr="00767358">
        <w:rPr>
          <w:sz w:val="22"/>
          <w:szCs w:val="22"/>
        </w:rPr>
        <w:t>Promoting more sustainable behaviour</w:t>
      </w:r>
    </w:p>
    <w:p w:rsidR="00445BD2" w:rsidRPr="00767358" w:rsidRDefault="00445BD2" w:rsidP="005E50B3">
      <w:pPr>
        <w:pStyle w:val="ListParagraph"/>
        <w:numPr>
          <w:ilvl w:val="1"/>
          <w:numId w:val="20"/>
        </w:numPr>
        <w:spacing w:before="120" w:after="120" w:line="276" w:lineRule="auto"/>
        <w:ind w:left="2007"/>
        <w:contextualSpacing/>
        <w:rPr>
          <w:sz w:val="22"/>
          <w:szCs w:val="22"/>
        </w:rPr>
      </w:pPr>
      <w:r w:rsidRPr="00767358">
        <w:rPr>
          <w:sz w:val="22"/>
          <w:szCs w:val="22"/>
        </w:rPr>
        <w:t>Integrated urban mobility</w:t>
      </w:r>
    </w:p>
    <w:p w:rsidR="00445BD2" w:rsidRPr="00CE78D8" w:rsidRDefault="00445BD2" w:rsidP="009331EE">
      <w:pPr>
        <w:spacing w:before="120" w:after="120" w:line="276" w:lineRule="auto"/>
        <w:ind w:left="851"/>
        <w:rPr>
          <w:i/>
          <w:sz w:val="22"/>
          <w:szCs w:val="22"/>
        </w:rPr>
      </w:pPr>
      <w:r w:rsidRPr="00CE78D8">
        <w:rPr>
          <w:i/>
          <w:sz w:val="22"/>
          <w:szCs w:val="22"/>
        </w:rPr>
        <w:t>3.</w:t>
      </w:r>
      <w:r w:rsidRPr="00CE78D8">
        <w:rPr>
          <w:i/>
          <w:sz w:val="22"/>
          <w:szCs w:val="22"/>
        </w:rPr>
        <w:tab/>
        <w:t>Modern Infrastructure and Smart Funding</w:t>
      </w:r>
    </w:p>
    <w:p w:rsidR="00445BD2" w:rsidRPr="00CE78D8" w:rsidRDefault="00445BD2" w:rsidP="005E50B3">
      <w:pPr>
        <w:pStyle w:val="ListParagraph"/>
        <w:numPr>
          <w:ilvl w:val="0"/>
          <w:numId w:val="21"/>
        </w:numPr>
        <w:spacing w:before="120" w:after="120" w:line="276" w:lineRule="auto"/>
        <w:ind w:left="1985"/>
        <w:contextualSpacing/>
        <w:rPr>
          <w:sz w:val="22"/>
          <w:szCs w:val="22"/>
        </w:rPr>
      </w:pPr>
      <w:r w:rsidRPr="00CE78D8">
        <w:rPr>
          <w:sz w:val="22"/>
          <w:szCs w:val="22"/>
        </w:rPr>
        <w:t>Transport Infrastructure: territorial cohesion and economic growth</w:t>
      </w:r>
    </w:p>
    <w:p w:rsidR="00445BD2" w:rsidRPr="00CE78D8" w:rsidRDefault="00445BD2" w:rsidP="005E50B3">
      <w:pPr>
        <w:pStyle w:val="ListParagraph"/>
        <w:numPr>
          <w:ilvl w:val="0"/>
          <w:numId w:val="21"/>
        </w:numPr>
        <w:spacing w:before="120" w:after="120" w:line="276" w:lineRule="auto"/>
        <w:ind w:left="1985"/>
        <w:contextualSpacing/>
        <w:rPr>
          <w:sz w:val="22"/>
          <w:szCs w:val="22"/>
        </w:rPr>
      </w:pPr>
      <w:r w:rsidRPr="00CE78D8">
        <w:rPr>
          <w:sz w:val="22"/>
          <w:szCs w:val="22"/>
        </w:rPr>
        <w:t>A coherent funding framework</w:t>
      </w:r>
    </w:p>
    <w:p w:rsidR="00445BD2" w:rsidRPr="00CE78D8" w:rsidRDefault="00445BD2" w:rsidP="005E50B3">
      <w:pPr>
        <w:pStyle w:val="ListParagraph"/>
        <w:numPr>
          <w:ilvl w:val="0"/>
          <w:numId w:val="21"/>
        </w:numPr>
        <w:spacing w:before="120" w:after="120" w:line="276" w:lineRule="auto"/>
        <w:ind w:left="1985"/>
        <w:contextualSpacing/>
        <w:rPr>
          <w:sz w:val="22"/>
          <w:szCs w:val="22"/>
        </w:rPr>
      </w:pPr>
      <w:r w:rsidRPr="00CE78D8">
        <w:rPr>
          <w:sz w:val="22"/>
          <w:szCs w:val="22"/>
        </w:rPr>
        <w:t>Getting prices right and avoiding distortions</w:t>
      </w:r>
    </w:p>
    <w:p w:rsidR="00445BD2" w:rsidRPr="009331EE" w:rsidRDefault="00445BD2" w:rsidP="009331EE">
      <w:pPr>
        <w:spacing w:before="120" w:after="120" w:line="276" w:lineRule="auto"/>
        <w:ind w:left="1134" w:hanging="283"/>
        <w:rPr>
          <w:sz w:val="22"/>
          <w:szCs w:val="22"/>
        </w:rPr>
      </w:pPr>
      <w:r w:rsidRPr="009331EE">
        <w:rPr>
          <w:i/>
          <w:sz w:val="22"/>
          <w:szCs w:val="22"/>
        </w:rPr>
        <w:t>4.</w:t>
      </w:r>
      <w:r w:rsidRPr="009331EE">
        <w:rPr>
          <w:i/>
          <w:sz w:val="22"/>
          <w:szCs w:val="22"/>
        </w:rPr>
        <w:tab/>
      </w:r>
      <w:r w:rsidRPr="00CE78D8">
        <w:rPr>
          <w:i/>
          <w:sz w:val="22"/>
          <w:szCs w:val="22"/>
        </w:rPr>
        <w:t>The External Dimension:</w:t>
      </w:r>
      <w:r w:rsidRPr="009331EE">
        <w:rPr>
          <w:i/>
          <w:sz w:val="22"/>
          <w:szCs w:val="22"/>
        </w:rPr>
        <w:t xml:space="preserve"> </w:t>
      </w:r>
      <w:r w:rsidRPr="009331EE">
        <w:rPr>
          <w:sz w:val="22"/>
          <w:szCs w:val="22"/>
        </w:rPr>
        <w:t>this area refers predominantly to actions at an EU rather than a National level.</w:t>
      </w:r>
    </w:p>
    <w:p w:rsidR="00445BD2" w:rsidRPr="00767358" w:rsidRDefault="00445BD2" w:rsidP="00A4081F">
      <w:pPr>
        <w:pStyle w:val="NumberedParas"/>
      </w:pPr>
      <w:r>
        <w:t>The 2014-2020</w:t>
      </w:r>
      <w:r w:rsidRPr="00767358">
        <w:t xml:space="preserve"> </w:t>
      </w:r>
      <w:r>
        <w:t>Partnership Agreement has the following Thematic Objective</w:t>
      </w:r>
      <w:r w:rsidR="00AD4385">
        <w:t>s</w:t>
      </w:r>
      <w:r>
        <w:t xml:space="preserve"> (TO 7) with regard to transport, which are relevant to the Master Plan</w:t>
      </w:r>
      <w:r w:rsidRPr="00767358">
        <w:t>:</w:t>
      </w:r>
    </w:p>
    <w:p w:rsidR="00445BD2" w:rsidRPr="00BD1FED" w:rsidRDefault="00445BD2" w:rsidP="00273D5E">
      <w:pPr>
        <w:pStyle w:val="BulletLevel1"/>
      </w:pPr>
      <w:r w:rsidRPr="00BD1FED">
        <w:t>Improving the accessibility of Romania and its Regions and their connectivity with markets, thereby significantly reducing the obstacles to their development and diversification in the context of the GTMP; improving the governance of the transport sector; and</w:t>
      </w:r>
    </w:p>
    <w:p w:rsidR="00445BD2" w:rsidRPr="00BD1FED" w:rsidRDefault="00445BD2" w:rsidP="00273D5E">
      <w:pPr>
        <w:pStyle w:val="BulletLevel1"/>
      </w:pPr>
      <w:r w:rsidRPr="00BD1FED">
        <w:t>Improving the sustainability of Romania’s transport mix and the attractiveness of alternatives to road-based transport.</w:t>
      </w:r>
    </w:p>
    <w:p w:rsidR="00445BD2" w:rsidRPr="00767358" w:rsidRDefault="00445BD2" w:rsidP="00A4081F">
      <w:pPr>
        <w:pStyle w:val="NumberedParas"/>
      </w:pPr>
      <w:r w:rsidRPr="00767358">
        <w:t>The AECOM Existing Conditions Report analyses the transport system by mode, but certain common themes emerge:</w:t>
      </w:r>
    </w:p>
    <w:p w:rsidR="00445BD2" w:rsidRPr="00BD1FED" w:rsidRDefault="00445BD2" w:rsidP="00273D5E">
      <w:pPr>
        <w:pStyle w:val="BulletLevel1"/>
      </w:pPr>
      <w:r w:rsidRPr="00BD1FED">
        <w:t>Economic: The level of service offered by all modes of transport is generally poor, and this means both freight and passenger transport is slow and inefficient.  The topography of Romania means that many main routes cross the Carpathian Mountains, but journey times by road and rail are slow, high capacity roads are few in number, and the rail network has provided progressively slower speeds and greater unreliability on unimproved routes.</w:t>
      </w:r>
    </w:p>
    <w:p w:rsidR="00445BD2" w:rsidRPr="00BD1FED" w:rsidRDefault="00445BD2" w:rsidP="00273D5E">
      <w:pPr>
        <w:pStyle w:val="BulletLevel1"/>
      </w:pPr>
      <w:r w:rsidRPr="00BD1FED">
        <w:t xml:space="preserve">Sustainable Modes: intermodal freight transport is very poorly developed, and road-based passenger transport competes rather than complements rail transport.  Rail freight and passenger travel has declined in recent years so reversing this trend will require a variety of interventions, some involving policy as well infrastructural.  The River Danube is a valuable resource for low-energy transport, but the river through Romanian section is not managed and there are many points where the depth frequently fall below the minimum desirable (2.5m) and the fairway is below the desirable width </w:t>
      </w:r>
      <w:r w:rsidRPr="0075208C">
        <w:t>(180m.).</w:t>
      </w:r>
    </w:p>
    <w:p w:rsidR="00445BD2" w:rsidRPr="00BD1FED" w:rsidRDefault="00445BD2" w:rsidP="00273D5E">
      <w:pPr>
        <w:pStyle w:val="BulletLevel1"/>
      </w:pPr>
      <w:r w:rsidRPr="00BD1FED">
        <w:t xml:space="preserve">Environment: road transport of both passengers and freight has been increasing in recent years.  There is a conflict between desirable transport improvements from an emissions point of view but which have serious environmental impacts.  Thus there is often a conflict in Romania between the environmental objective, and the economic objective.  A classic example of this conflict is the River Danube, where the river banks are part of Natura 2000 sites, and dredging operations disturb the hydrology of the river and some fish and other river mammals. </w:t>
      </w:r>
    </w:p>
    <w:p w:rsidR="00445BD2" w:rsidRPr="00BD1FED" w:rsidRDefault="00445BD2" w:rsidP="00273D5E">
      <w:pPr>
        <w:pStyle w:val="BulletLevel1"/>
      </w:pPr>
      <w:r w:rsidRPr="00BD1FED">
        <w:t xml:space="preserve">Funding: all transport modes are under-funded, in terms of the infrastructure that the vehicles and services use, the maintenance of that infrastructure, and the services and vehicles themselves.  This leads to unnecessarily costly operations and a low-level of service to the end-users.  </w:t>
      </w:r>
    </w:p>
    <w:p w:rsidR="00445BD2" w:rsidRPr="00767358" w:rsidRDefault="00445BD2" w:rsidP="00A4081F">
      <w:pPr>
        <w:pStyle w:val="NumberedParas"/>
      </w:pPr>
      <w:r w:rsidRPr="00767358">
        <w:t>There are some common themes which emerge from these various sources.  These are:</w:t>
      </w:r>
    </w:p>
    <w:p w:rsidR="00445BD2" w:rsidRPr="00BD1FED" w:rsidRDefault="00445BD2" w:rsidP="00273D5E">
      <w:pPr>
        <w:pStyle w:val="BulletLevel1"/>
      </w:pPr>
      <w:r w:rsidRPr="00BD1FED">
        <w:t xml:space="preserve">Economic: the transport system should be economically efficient as far as transport </w:t>
      </w:r>
      <w:r w:rsidRPr="002E71BD">
        <w:t>operations</w:t>
      </w:r>
      <w:r w:rsidRPr="00BD1FED">
        <w:t xml:space="preserve"> and users themselves are concerned.  Specifically, the transport system benefits should exceed its costs.  In addition, the transport system should be configured to enable economic development both nationally and regionally.  The investment should also favour equity as far as Romanian citizens are concerned.</w:t>
      </w:r>
    </w:p>
    <w:p w:rsidR="00445BD2" w:rsidRPr="00BD1FED" w:rsidRDefault="00445BD2" w:rsidP="00273D5E">
      <w:pPr>
        <w:pStyle w:val="BulletLevel1"/>
      </w:pPr>
      <w:r w:rsidRPr="00BD1FED">
        <w:t>Environment: the transport system should not impact negatively on the environment.  Transport investment should minimise negative impact on the physical environment.</w:t>
      </w:r>
    </w:p>
    <w:p w:rsidR="00445BD2" w:rsidRPr="00BD1FED" w:rsidRDefault="00445BD2" w:rsidP="00273D5E">
      <w:pPr>
        <w:pStyle w:val="BulletLevel1"/>
      </w:pPr>
      <w:r w:rsidRPr="00BD1FED">
        <w:t>Sustainability: the so-called sustainable modes of transport which are more energy efficient and have lower emissions should be developed as a priority;</w:t>
      </w:r>
    </w:p>
    <w:p w:rsidR="00445BD2" w:rsidRPr="00BD1FED" w:rsidRDefault="00445BD2" w:rsidP="00273D5E">
      <w:pPr>
        <w:pStyle w:val="BulletLevel1"/>
      </w:pPr>
      <w:r w:rsidRPr="00BD1FED">
        <w:t>Safety: investment in transport should produce a safer transport system; and</w:t>
      </w:r>
    </w:p>
    <w:p w:rsidR="00445BD2" w:rsidRPr="00BD1FED" w:rsidRDefault="00445BD2" w:rsidP="00273D5E">
      <w:pPr>
        <w:pStyle w:val="BulletLevel1"/>
      </w:pPr>
      <w:r w:rsidRPr="00BD1FED">
        <w:t xml:space="preserve">Funding: there is a substantial shortfall in funding for transport in Romania.  </w:t>
      </w:r>
    </w:p>
    <w:p w:rsidR="00445BD2" w:rsidRDefault="00445BD2" w:rsidP="00A4081F">
      <w:pPr>
        <w:pStyle w:val="NumberedParas"/>
      </w:pPr>
      <w:r w:rsidRPr="00767358">
        <w:t xml:space="preserve">Bearing in mind the common themes in the above documents, the following high-level objectives </w:t>
      </w:r>
      <w:r w:rsidR="00AD4385">
        <w:t>were established</w:t>
      </w:r>
      <w:r w:rsidRPr="00767358">
        <w:t xml:space="preserve"> for the Master Plan strategy.  </w:t>
      </w:r>
    </w:p>
    <w:p w:rsidR="00445BD2" w:rsidRPr="00D50915" w:rsidRDefault="00445BD2" w:rsidP="00273D5E">
      <w:pPr>
        <w:pStyle w:val="BulletLevel1"/>
      </w:pPr>
      <w:r w:rsidRPr="00D50915">
        <w:t>Economic Efficiency: the transport system should be economically efficient as far as transport operations and users themselves are concerned.  Specifically, the benefits of investments in transport should exceed the cost of that investment.  This objective measures the benefit to the users and providers of the transport system, and its quantitative measures are the Benefit:Cost Ratio (BCR), Net Present Value (NPV) and Economic Internal Rate of Return (EIRR).</w:t>
      </w:r>
    </w:p>
    <w:p w:rsidR="00445BD2" w:rsidRPr="00D50915" w:rsidRDefault="00445BD2" w:rsidP="00273D5E">
      <w:pPr>
        <w:pStyle w:val="BulletLevel1"/>
      </w:pPr>
      <w:r w:rsidRPr="00D50915">
        <w:t>Sustainability: this concept includes financial, economic, as well as  environmental sustainability.  The so-called sustainable modes of transport – rail, bus and waterways - which are more energy efficient and have lower emissions should be developed as a priority.  Monetary values are assigned to operating costs and emissions in the economic evaluation, but making Sustainability a separate objective respects not only the intentions of the Romanian Government and the EU, but the concerns of future generations.</w:t>
      </w:r>
    </w:p>
    <w:p w:rsidR="00445BD2" w:rsidRPr="00D50915" w:rsidRDefault="00445BD2" w:rsidP="00273D5E">
      <w:pPr>
        <w:pStyle w:val="BulletLevel1"/>
      </w:pPr>
      <w:r w:rsidRPr="00D50915">
        <w:t>Safety: investment in transport should produce a safer transport system.  The economic cost of accidents is monetised in the economic evaluation, but since the goals of the Government, the EU and the ToR are clearly a reduction in transport-related accidents, safety must remain as a separate objective.</w:t>
      </w:r>
    </w:p>
    <w:p w:rsidR="00445BD2" w:rsidRPr="00D50915" w:rsidRDefault="00445BD2" w:rsidP="00273D5E">
      <w:pPr>
        <w:pStyle w:val="BulletLevel1"/>
      </w:pPr>
      <w:r w:rsidRPr="00D50915">
        <w:t>Environmental Impact: Transport investment should minimise negative impact on the physical environment.  Agreed methods for monetising physical impacts are not yet available, and therefore the impact on the physical environment is not included in the economic evaluation.  Most infrastructure projects by their nature impact negatively on the natural environment, and therefore the objective is to select projects and options which minimise the extent of the negative impact.</w:t>
      </w:r>
    </w:p>
    <w:p w:rsidR="00445BD2" w:rsidRPr="00D50915" w:rsidRDefault="00445BD2" w:rsidP="00273D5E">
      <w:pPr>
        <w:pStyle w:val="BulletLevel1"/>
      </w:pPr>
      <w:r w:rsidRPr="00D50915">
        <w:t>Economic Development.  The transport system should be configured to enable economic development both nationally and regionally.  The investment should also favour equity as far as Romanian citizens are concerned.  Efficient transport is not an end in itself, but one important way of contributing to overall economic development.  A “pure” economic objective will tend to favour projects where demand is highest and where the existing economy is already strong (generally around Bucharest and the major cities).  This objective recognises first, that transport investment has a role to play in the development of less-advanced regions in economic terms, and secondly, that transport should provide services which are available to all citizens, regardless of social status, income or where they live.</w:t>
      </w:r>
    </w:p>
    <w:p w:rsidR="00445BD2" w:rsidRDefault="00445BD2" w:rsidP="00273D5E">
      <w:pPr>
        <w:pStyle w:val="BulletLevel1"/>
      </w:pPr>
      <w:r w:rsidRPr="00D50915">
        <w:t>Funding: there is a substantial shortfall in funding for transport in Romania.  Policies which produce more efficient pricing for transport, such as road-user charging, particularly for HGV, should be examined.  At a project level, availability of EC funding from the Structural Funds (CF and ERDF, Connecting Europe Facility (CEF)) and PPP will affect “buildability” and therefore the prioritisation of projects.  The overall programme will have to be within a realistic estimate of national and other funds over the plan period.</w:t>
      </w:r>
    </w:p>
    <w:p w:rsidR="00445BD2" w:rsidRDefault="00445BD2" w:rsidP="00AD4385"/>
    <w:p w:rsidR="00445BD2" w:rsidRDefault="00445BD2" w:rsidP="00445BD2">
      <w:pPr>
        <w:spacing w:before="120" w:after="120" w:line="276" w:lineRule="auto"/>
        <w:rPr>
          <w:sz w:val="22"/>
          <w:szCs w:val="22"/>
        </w:rPr>
      </w:pPr>
      <w:r w:rsidRPr="003A7D54">
        <w:rPr>
          <w:b/>
          <w:sz w:val="22"/>
          <w:szCs w:val="22"/>
        </w:rPr>
        <w:t>The High-Level Objectives for the Master Plan are summarised below</w:t>
      </w:r>
      <w:r>
        <w:rPr>
          <w:sz w:val="22"/>
          <w:szCs w:val="22"/>
        </w:rPr>
        <w:t>:</w:t>
      </w:r>
    </w:p>
    <w:p w:rsidR="00445BD2" w:rsidRPr="00767358"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67358">
        <w:rPr>
          <w:sz w:val="22"/>
          <w:szCs w:val="22"/>
        </w:rPr>
        <w:t>Master Plan High-Level Objectives</w:t>
      </w:r>
    </w:p>
    <w:p w:rsidR="00445BD2" w:rsidRPr="00721E8F"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21E8F">
        <w:rPr>
          <w:b/>
          <w:sz w:val="22"/>
          <w:szCs w:val="22"/>
        </w:rPr>
        <w:t>Economic Efficiency:</w:t>
      </w:r>
      <w:r w:rsidRPr="00721E8F">
        <w:rPr>
          <w:sz w:val="22"/>
          <w:szCs w:val="22"/>
        </w:rPr>
        <w:t xml:space="preserve"> the transport system should be economically efficient as far as transport operations and users themselves are concerned.  Specifically, the benefits of investments in transport should exceed the cost of that investment. </w:t>
      </w:r>
    </w:p>
    <w:p w:rsidR="00445BD2" w:rsidRPr="00721E8F"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21E8F">
        <w:rPr>
          <w:b/>
          <w:sz w:val="22"/>
          <w:szCs w:val="22"/>
        </w:rPr>
        <w:t>Sustainability:</w:t>
      </w:r>
      <w:r w:rsidRPr="00721E8F">
        <w:rPr>
          <w:sz w:val="22"/>
          <w:szCs w:val="22"/>
        </w:rPr>
        <w:t xml:space="preserve"> </w:t>
      </w:r>
      <w:r>
        <w:rPr>
          <w:sz w:val="22"/>
          <w:szCs w:val="22"/>
        </w:rPr>
        <w:t>the transport system must economically, financially and environmentally sustainable.  T</w:t>
      </w:r>
      <w:r w:rsidRPr="00721E8F">
        <w:rPr>
          <w:sz w:val="22"/>
          <w:szCs w:val="22"/>
        </w:rPr>
        <w:t xml:space="preserve">he so-called sustainable modes of transport – rail, bus and waterways - which are more energy efficient and have lower emissions should be developed as a priority.  </w:t>
      </w:r>
    </w:p>
    <w:p w:rsidR="00445BD2" w:rsidRPr="00721E8F"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21E8F">
        <w:rPr>
          <w:b/>
          <w:sz w:val="22"/>
          <w:szCs w:val="22"/>
        </w:rPr>
        <w:t>Safety:</w:t>
      </w:r>
      <w:r w:rsidRPr="00721E8F">
        <w:rPr>
          <w:sz w:val="22"/>
          <w:szCs w:val="22"/>
        </w:rPr>
        <w:t xml:space="preserve"> investment in transport should produce a safer transport system.  The economic cost of accidents is monetised in the economic evaluation, but since the goals of the Government, the EU and the ToR are clearly a reduction in transport-related accidents, safety must remain as a separate objective.</w:t>
      </w:r>
    </w:p>
    <w:p w:rsidR="00445BD2" w:rsidRPr="00721E8F"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21E8F">
        <w:rPr>
          <w:b/>
          <w:sz w:val="22"/>
          <w:szCs w:val="22"/>
        </w:rPr>
        <w:t>Environmental Impact:</w:t>
      </w:r>
      <w:r w:rsidRPr="00721E8F">
        <w:rPr>
          <w:sz w:val="22"/>
          <w:szCs w:val="22"/>
        </w:rPr>
        <w:t xml:space="preserve"> Transport investment should minimise negative impact on the physical environment.  </w:t>
      </w:r>
    </w:p>
    <w:p w:rsidR="00445BD2" w:rsidRPr="00721E8F"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proofErr w:type="gramStart"/>
      <w:r w:rsidRPr="00721E8F">
        <w:rPr>
          <w:b/>
          <w:sz w:val="22"/>
          <w:szCs w:val="22"/>
        </w:rPr>
        <w:t>Balanced Economic Development.</w:t>
      </w:r>
      <w:proofErr w:type="gramEnd"/>
      <w:r w:rsidRPr="00721E8F">
        <w:rPr>
          <w:sz w:val="22"/>
          <w:szCs w:val="22"/>
        </w:rPr>
        <w:t xml:space="preserve">  The transport system should be configured to enable economic development both nationally and regionally.  The investment should also favour equity as far as Romanian citizens are concerned.  </w:t>
      </w:r>
    </w:p>
    <w:p w:rsidR="00445BD2" w:rsidRDefault="00445BD2" w:rsidP="00D02107">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rPr>
      </w:pPr>
      <w:r w:rsidRPr="00721E8F">
        <w:rPr>
          <w:b/>
          <w:sz w:val="22"/>
          <w:szCs w:val="22"/>
        </w:rPr>
        <w:t>Funding:</w:t>
      </w:r>
      <w:r w:rsidRPr="00721E8F">
        <w:rPr>
          <w:sz w:val="22"/>
          <w:szCs w:val="22"/>
        </w:rPr>
        <w:t xml:space="preserve">  Availability of EC funding from the Structural Funds (CF and ERDF, Connecting Europe Facility (CEF)) and PPP will affect “buildability” and therefore the prioritisation of projects.  The overall programme will have to be within a realistic estimate of national and other funds over the plan period.</w:t>
      </w:r>
    </w:p>
    <w:p w:rsidR="00445BD2" w:rsidRPr="00776FE2" w:rsidRDefault="00445BD2" w:rsidP="003A7D54">
      <w:pPr>
        <w:pStyle w:val="Hdg3"/>
      </w:pPr>
      <w:r w:rsidRPr="00776FE2">
        <w:t>Operational Objectives</w:t>
      </w:r>
    </w:p>
    <w:p w:rsidR="00445BD2" w:rsidRPr="003A7D54" w:rsidRDefault="00445BD2" w:rsidP="00A4081F">
      <w:pPr>
        <w:pStyle w:val="NumberedParas"/>
      </w:pPr>
      <w:r>
        <w:t>O</w:t>
      </w:r>
      <w:r w:rsidRPr="00412C8E">
        <w:t xml:space="preserve">perational objectives </w:t>
      </w:r>
      <w:r>
        <w:t xml:space="preserve">are </w:t>
      </w:r>
      <w:r w:rsidRPr="00412C8E">
        <w:t>a subset of the high-level objectives</w:t>
      </w:r>
      <w:r>
        <w:t xml:space="preserve">.  They are derived from the problem </w:t>
      </w:r>
      <w:r w:rsidRPr="00412C8E">
        <w:t>analysis and</w:t>
      </w:r>
      <w:r>
        <w:t>, unlike the high-level objectives are specific to each mode, and, in many cases, are also location-specific.  They enable the interventions to be designed in such a way to meet these objectives.</w:t>
      </w:r>
      <w:r w:rsidRPr="00412C8E">
        <w:t xml:space="preserve">  </w:t>
      </w:r>
      <w:r w:rsidRPr="003A7D54">
        <w:t xml:space="preserve">This is best illustrated by specific examples.  </w:t>
      </w:r>
    </w:p>
    <w:p w:rsidR="00445BD2" w:rsidRPr="00412C8E" w:rsidRDefault="00445BD2" w:rsidP="00A4081F">
      <w:pPr>
        <w:pStyle w:val="NumberedParas"/>
      </w:pPr>
      <w:r w:rsidRPr="003A7D54">
        <w:t>For the rail sector, a particular issue is the lack of a regular interval train service on the main routes, which, combined with slow travel times, creates inconvenience for passengers and contributes to the decline in passenger numbers.  An operational objective which corresponds to this problem would be</w:t>
      </w:r>
      <w:r w:rsidRPr="00412C8E">
        <w:t>:</w:t>
      </w:r>
    </w:p>
    <w:p w:rsidR="00445BD2" w:rsidRDefault="00445BD2" w:rsidP="00505771">
      <w:pPr>
        <w:spacing w:before="120" w:after="120" w:line="276" w:lineRule="auto"/>
        <w:ind w:left="964"/>
        <w:rPr>
          <w:i/>
          <w:sz w:val="22"/>
          <w:szCs w:val="22"/>
        </w:rPr>
      </w:pPr>
      <w:r w:rsidRPr="000D2C1C">
        <w:rPr>
          <w:i/>
          <w:sz w:val="22"/>
          <w:szCs w:val="22"/>
        </w:rPr>
        <w:t xml:space="preserve">Improve the competitiveness of </w:t>
      </w:r>
      <w:proofErr w:type="gramStart"/>
      <w:r w:rsidRPr="000D2C1C">
        <w:rPr>
          <w:i/>
          <w:sz w:val="22"/>
          <w:szCs w:val="22"/>
        </w:rPr>
        <w:t>passengers</w:t>
      </w:r>
      <w:proofErr w:type="gramEnd"/>
      <w:r w:rsidRPr="000D2C1C">
        <w:rPr>
          <w:i/>
          <w:sz w:val="22"/>
          <w:szCs w:val="22"/>
        </w:rPr>
        <w:t xml:space="preserve"> rail services on the route between Bucharest and Hungary via Brasov, Teius / Cluj</w:t>
      </w:r>
      <w:r>
        <w:rPr>
          <w:i/>
          <w:sz w:val="22"/>
          <w:szCs w:val="22"/>
        </w:rPr>
        <w:t>.</w:t>
      </w:r>
    </w:p>
    <w:p w:rsidR="00445BD2" w:rsidRDefault="00445BD2" w:rsidP="00505771">
      <w:pPr>
        <w:spacing w:before="120" w:after="120" w:line="276" w:lineRule="auto"/>
        <w:ind w:left="964"/>
        <w:rPr>
          <w:sz w:val="22"/>
          <w:szCs w:val="22"/>
        </w:rPr>
      </w:pPr>
      <w:r>
        <w:rPr>
          <w:sz w:val="22"/>
          <w:szCs w:val="22"/>
        </w:rPr>
        <w:t>The specific problem which was identified on this corridor was:</w:t>
      </w:r>
    </w:p>
    <w:p w:rsidR="00445BD2" w:rsidRDefault="00445BD2" w:rsidP="00273D5E">
      <w:pPr>
        <w:pStyle w:val="BulletLevel1"/>
      </w:pPr>
      <w:r>
        <w:t>Infrequent services: headway 180 minutes</w:t>
      </w:r>
    </w:p>
    <w:p w:rsidR="00445BD2" w:rsidRPr="00B32B27" w:rsidRDefault="00445BD2" w:rsidP="00273D5E">
      <w:pPr>
        <w:pStyle w:val="BulletLevel1"/>
      </w:pPr>
      <w:r w:rsidRPr="00B32B27">
        <w:t>Slow average speed</w:t>
      </w:r>
    </w:p>
    <w:p w:rsidR="00445BD2" w:rsidRDefault="00445BD2" w:rsidP="00273D5E">
      <w:pPr>
        <w:pStyle w:val="BulletLevel1"/>
      </w:pPr>
      <w:r w:rsidRPr="00B32B27">
        <w:t>Slow rail travel times compared to road.</w:t>
      </w:r>
    </w:p>
    <w:p w:rsidR="00445BD2" w:rsidRDefault="00445BD2" w:rsidP="00A4081F">
      <w:pPr>
        <w:pStyle w:val="NumberedParas"/>
      </w:pPr>
      <w:r>
        <w:t>The specific interventions for this route are:</w:t>
      </w:r>
    </w:p>
    <w:p w:rsidR="00445BD2" w:rsidRPr="00B32B27" w:rsidRDefault="00445BD2" w:rsidP="00273D5E">
      <w:pPr>
        <w:pStyle w:val="BulletLevel1"/>
      </w:pPr>
      <w:r w:rsidRPr="00B32B27">
        <w:t>Introduction of regular interval services with trains every 2 hours</w:t>
      </w:r>
    </w:p>
    <w:p w:rsidR="00445BD2" w:rsidRPr="00B32B27" w:rsidRDefault="00445BD2" w:rsidP="00273D5E">
      <w:pPr>
        <w:pStyle w:val="BulletLevel1"/>
      </w:pPr>
      <w:r w:rsidRPr="00B32B27">
        <w:t>Infrastructure upgrade, particularly between Predeal and</w:t>
      </w:r>
      <w:r w:rsidR="00AD4385">
        <w:t xml:space="preserve"> Brasov</w:t>
      </w:r>
      <w:r w:rsidRPr="00B32B27">
        <w:t>. Review the potential options to upgrade different proportions of the line to 160kph. Other infrastructure schemes include Dej to Coslariu via Apahide and F039 Brasov to Simeria (assumes Brasov to Sigishoara is upgraded to 160kph)</w:t>
      </w:r>
    </w:p>
    <w:p w:rsidR="00445BD2" w:rsidRDefault="00445BD2" w:rsidP="00273D5E">
      <w:pPr>
        <w:pStyle w:val="BulletLevel1"/>
      </w:pPr>
      <w:r w:rsidRPr="00B32B27">
        <w:t>Introduction of tilting trains to help increase running speeds</w:t>
      </w:r>
    </w:p>
    <w:p w:rsidR="00445BD2" w:rsidRPr="00412C8E" w:rsidRDefault="00445BD2" w:rsidP="00A4081F">
      <w:pPr>
        <w:pStyle w:val="NumberedParas"/>
      </w:pPr>
      <w:r w:rsidRPr="00412C8E">
        <w:t>Th</w:t>
      </w:r>
      <w:r>
        <w:t xml:space="preserve">e problem, operational objective and interventions </w:t>
      </w:r>
      <w:r w:rsidRPr="00412C8E">
        <w:t xml:space="preserve">relate </w:t>
      </w:r>
      <w:r>
        <w:t xml:space="preserve">directly </w:t>
      </w:r>
      <w:r w:rsidRPr="00412C8E">
        <w:t>to the Economic Efficiency, and Sustainability high-level objectives</w:t>
      </w:r>
      <w:r>
        <w:t>, and indirectly to the safety objective since some passengers would transfer to rail, which is a safer mode</w:t>
      </w:r>
      <w:r w:rsidRPr="00412C8E">
        <w:t>.</w:t>
      </w:r>
    </w:p>
    <w:p w:rsidR="00445BD2" w:rsidRDefault="00445BD2" w:rsidP="00A4081F">
      <w:pPr>
        <w:pStyle w:val="NumberedParas"/>
      </w:pPr>
      <w:r w:rsidRPr="00412C8E">
        <w:t xml:space="preserve">For the roads sector, </w:t>
      </w:r>
      <w:r>
        <w:t>road</w:t>
      </w:r>
      <w:r w:rsidRPr="00412C8E">
        <w:t xml:space="preserve"> safety is </w:t>
      </w:r>
      <w:r>
        <w:t xml:space="preserve">a major issue - </w:t>
      </w:r>
      <w:r w:rsidRPr="00C43BAC">
        <w:t xml:space="preserve">Romania has 259 fatalities per 10 billion pkm (against an EU average of 61) and 466 fatalities per million passenger cars </w:t>
      </w:r>
      <w:r>
        <w:t>(against an EU average of 126) – and i</w:t>
      </w:r>
      <w:r w:rsidRPr="00C43BAC">
        <w:t xml:space="preserve">t is the worst performing EU country for both indices. </w:t>
      </w:r>
      <w:r>
        <w:t xml:space="preserve"> The corresponding operational objective is:</w:t>
      </w:r>
    </w:p>
    <w:p w:rsidR="00445BD2" w:rsidRDefault="00445BD2" w:rsidP="00273D5E">
      <w:pPr>
        <w:pStyle w:val="BulletLevel1"/>
      </w:pPr>
      <w:r w:rsidRPr="00C43BAC">
        <w:t>Decrease by half the accident rates by 2020 and down to EU average by 2030</w:t>
      </w:r>
      <w:r>
        <w:t>.</w:t>
      </w:r>
    </w:p>
    <w:p w:rsidR="00445BD2" w:rsidRPr="00C43BAC" w:rsidRDefault="00445BD2" w:rsidP="00A4081F">
      <w:pPr>
        <w:pStyle w:val="NumberedParas"/>
      </w:pPr>
      <w:r>
        <w:t xml:space="preserve">In fact, in this case there are seven further operational objectives designed to meet this target, each with an appropriate intervention.  These come under the “safety” high-level objective.  </w:t>
      </w:r>
    </w:p>
    <w:p w:rsidR="0018508A" w:rsidRDefault="00445BD2" w:rsidP="00A4081F">
      <w:pPr>
        <w:pStyle w:val="NumberedParas"/>
      </w:pPr>
      <w:r>
        <w:t xml:space="preserve">The above outputs from the </w:t>
      </w:r>
      <w:r w:rsidR="00AD4385">
        <w:t>Problem Definition Report</w:t>
      </w:r>
      <w:r>
        <w:t xml:space="preserve"> </w:t>
      </w:r>
      <w:r w:rsidRPr="00753CEA">
        <w:t>provide</w:t>
      </w:r>
      <w:r>
        <w:t>d the essential</w:t>
      </w:r>
      <w:r w:rsidRPr="00753CEA">
        <w:t xml:space="preserve"> "operational objectives" which guide Project Identification Phase</w:t>
      </w:r>
      <w:r>
        <w:t>.  These were brought together in working documents (the Problems/Objectives/Interventions (POI) reports), which set out in detail the problems, objectives and interventions in a logical and consistent manner.  These were agreed with the MT and JASPERS</w:t>
      </w:r>
      <w:r w:rsidR="0018508A" w:rsidRPr="008E03B0">
        <w:t>.</w:t>
      </w:r>
    </w:p>
    <w:p w:rsidR="00DE54F1" w:rsidRDefault="00DE54F1" w:rsidP="00DE54F1">
      <w:pPr>
        <w:pStyle w:val="Hdg3"/>
      </w:pPr>
      <w:r>
        <w:t>Environmental</w:t>
      </w:r>
      <w:r w:rsidRPr="00776FE2">
        <w:t xml:space="preserve"> Objectives</w:t>
      </w:r>
    </w:p>
    <w:p w:rsidR="00996640" w:rsidRPr="00AD4385" w:rsidRDefault="00996640" w:rsidP="00AD4385">
      <w:pPr>
        <w:spacing w:before="120" w:after="120" w:line="276" w:lineRule="auto"/>
        <w:rPr>
          <w:b/>
          <w:sz w:val="22"/>
          <w:szCs w:val="22"/>
        </w:rPr>
      </w:pPr>
      <w:r w:rsidRPr="00AD4385">
        <w:rPr>
          <w:b/>
          <w:sz w:val="22"/>
          <w:szCs w:val="22"/>
        </w:rPr>
        <w:t>The general environmental objective of the GTMP</w:t>
      </w:r>
    </w:p>
    <w:p w:rsidR="00996640" w:rsidRDefault="00996640" w:rsidP="00273D5E">
      <w:pPr>
        <w:pStyle w:val="BulletLevel1"/>
      </w:pPr>
      <w:r>
        <w:t>OM1: The development of a modern transport infrastructure, considering the environmental impact.</w:t>
      </w:r>
    </w:p>
    <w:p w:rsidR="00996640" w:rsidRPr="00AD4385" w:rsidRDefault="00996640" w:rsidP="00AD4385">
      <w:pPr>
        <w:spacing w:before="120" w:after="120" w:line="276" w:lineRule="auto"/>
        <w:rPr>
          <w:b/>
          <w:sz w:val="22"/>
          <w:szCs w:val="22"/>
        </w:rPr>
      </w:pPr>
      <w:r w:rsidRPr="00AD4385">
        <w:rPr>
          <w:b/>
          <w:sz w:val="22"/>
          <w:szCs w:val="22"/>
        </w:rPr>
        <w:t>Specific environmental objectives of the GTMP</w:t>
      </w:r>
    </w:p>
    <w:p w:rsidR="00996640" w:rsidRDefault="00996640" w:rsidP="00273D5E">
      <w:pPr>
        <w:pStyle w:val="BulletLevel1"/>
      </w:pPr>
      <w:r>
        <w:t>OM1-1 Promoting projects with investments in transport that contribute in achieving a sustainable transport system, with measures to avoid and reduce adverse effects, such as emissions of pollutants into the atmosphere, noise pollution in urban areas and on roads with heavy traffic, water and soil pollution due to diffuse sources, the impact on landscape and cultural heritage;</w:t>
      </w:r>
    </w:p>
    <w:p w:rsidR="00996640" w:rsidRDefault="00996640" w:rsidP="00273D5E">
      <w:pPr>
        <w:pStyle w:val="BulletLevel1"/>
      </w:pPr>
      <w:r>
        <w:t>OM1-2 Reduction of greenhouse gas emissions from the transport sector;</w:t>
      </w:r>
    </w:p>
    <w:p w:rsidR="00996640" w:rsidRDefault="00996640" w:rsidP="00273D5E">
      <w:pPr>
        <w:pStyle w:val="BulletLevel1"/>
      </w:pPr>
      <w:r>
        <w:t>OM1-3 Protection of public health by improving environmental and safety conditions of transport;</w:t>
      </w:r>
    </w:p>
    <w:p w:rsidR="00996640" w:rsidRDefault="00996640" w:rsidP="00273D5E">
      <w:pPr>
        <w:pStyle w:val="BulletLevel1"/>
      </w:pPr>
      <w:r>
        <w:t>OM1-4 Reducing the impact on biodiversity by providing measures to protect and conserve biodiversity and ensure consistency of the national network of natural protected areas.</w:t>
      </w:r>
    </w:p>
    <w:p w:rsidR="0018508A" w:rsidRPr="003C6AC4" w:rsidRDefault="003C6AC4" w:rsidP="00045287">
      <w:pPr>
        <w:pStyle w:val="Hdg2"/>
      </w:pPr>
      <w:bookmarkStart w:id="16" w:name="_Toc413056030"/>
      <w:r w:rsidRPr="003C6AC4">
        <w:t>Identifying the Problems and Defining the Interventions</w:t>
      </w:r>
      <w:bookmarkEnd w:id="16"/>
    </w:p>
    <w:p w:rsidR="003C6AC4" w:rsidRDefault="003C6AC4" w:rsidP="00A4081F">
      <w:pPr>
        <w:pStyle w:val="NumberedParas"/>
      </w:pPr>
      <w:r w:rsidRPr="002E09B3">
        <w:t>The Problem Identification stage in the development of any plan or strategy is a key procedure, as it identifies and confirms the underlying problems of the transport system rather than merely describing the symptoms. Problem identification also provide</w:t>
      </w:r>
      <w:r>
        <w:t>s</w:t>
      </w:r>
      <w:r w:rsidRPr="002E09B3">
        <w:t xml:space="preserve"> a basis for developing operational objectives which in turn form a framework for the appraisal of measures for improving the current transport system.</w:t>
      </w:r>
    </w:p>
    <w:p w:rsidR="003C6AC4" w:rsidRDefault="003C6AC4" w:rsidP="00A4081F">
      <w:pPr>
        <w:pStyle w:val="NumberedParas"/>
      </w:pPr>
      <w:r w:rsidRPr="002E09B3">
        <w:t>This step in the process is designed to provide an understanding of the need for a transport intervention and to provide strong input into the setting of objectives through identifying existing and potential transport problems, opportunities and constraints.  AECOM’s Existing Conditions Report describes the current challenges on a modal basis.</w:t>
      </w:r>
      <w:r>
        <w:t xml:space="preserve">  T</w:t>
      </w:r>
      <w:r w:rsidRPr="002E09B3">
        <w:t xml:space="preserve">here is an existing identified need for improvements to transport infrastructure and services, and there is a large “backlog” of projects already identified by project sponsors.  </w:t>
      </w:r>
      <w:r>
        <w:t>This particularly applies to maintenance of the road and rail networks.</w:t>
      </w:r>
    </w:p>
    <w:p w:rsidR="003C6AC4" w:rsidRPr="00753CEA" w:rsidRDefault="003C6AC4" w:rsidP="00A4081F">
      <w:pPr>
        <w:pStyle w:val="NumberedParas"/>
      </w:pPr>
      <w:r w:rsidRPr="00753CEA">
        <w:t>It is crucial that the causes of the problems are investigated before solutions are generated.  Focusing on problems (rather than underlying causes) as the stimulus for option development may result in solutions which address the symptoms without solving the real underlying problems.</w:t>
      </w:r>
    </w:p>
    <w:p w:rsidR="003C6AC4" w:rsidRPr="00C8675F" w:rsidRDefault="003C6AC4" w:rsidP="003C6AC4">
      <w:pPr>
        <w:ind w:left="567"/>
        <w:rPr>
          <w:b/>
          <w:sz w:val="22"/>
          <w:szCs w:val="22"/>
        </w:rPr>
      </w:pPr>
      <w:r>
        <w:rPr>
          <w:b/>
          <w:sz w:val="22"/>
          <w:szCs w:val="22"/>
        </w:rPr>
        <w:t xml:space="preserve">Figure 2.1 </w:t>
      </w:r>
      <w:proofErr w:type="gramStart"/>
      <w:r>
        <w:rPr>
          <w:b/>
          <w:sz w:val="22"/>
          <w:szCs w:val="22"/>
        </w:rPr>
        <w:t>The</w:t>
      </w:r>
      <w:proofErr w:type="gramEnd"/>
      <w:r>
        <w:rPr>
          <w:b/>
          <w:sz w:val="22"/>
          <w:szCs w:val="22"/>
        </w:rPr>
        <w:t xml:space="preserve"> Approach used for the Problem Identification</w:t>
      </w:r>
    </w:p>
    <w:p w:rsidR="003C6AC4" w:rsidRPr="00C8675F" w:rsidRDefault="003C6AC4" w:rsidP="003C6AC4">
      <w:r>
        <w:rPr>
          <w:noProof/>
          <w:lang w:val="ro-RO" w:eastAsia="ro-RO"/>
        </w:rPr>
        <w:drawing>
          <wp:inline distT="0" distB="0" distL="0" distR="0" wp14:anchorId="2EA4B71D" wp14:editId="00119A0C">
            <wp:extent cx="6469719" cy="4871545"/>
            <wp:effectExtent l="0" t="0" r="7620" b="571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479313" cy="4878769"/>
                    </a:xfrm>
                    <a:prstGeom prst="rect">
                      <a:avLst/>
                    </a:prstGeom>
                    <a:noFill/>
                    <a:ln w="9525">
                      <a:noFill/>
                      <a:miter lim="800000"/>
                      <a:headEnd/>
                      <a:tailEnd/>
                    </a:ln>
                  </pic:spPr>
                </pic:pic>
              </a:graphicData>
            </a:graphic>
          </wp:inline>
        </w:drawing>
      </w:r>
    </w:p>
    <w:p w:rsidR="00696C1B" w:rsidRDefault="00696C1B">
      <w:r>
        <w:br w:type="page"/>
      </w:r>
    </w:p>
    <w:p w:rsidR="003C6AC4" w:rsidRPr="00C8675F" w:rsidRDefault="003C6AC4" w:rsidP="00A4081F">
      <w:pPr>
        <w:pStyle w:val="NumberedParas"/>
      </w:pPr>
      <w:r w:rsidRPr="00604286">
        <w:t>Several sources of information have been us</w:t>
      </w:r>
      <w:r>
        <w:t xml:space="preserve">ed to support problem analysis, </w:t>
      </w:r>
      <w:r w:rsidRPr="00604286">
        <w:t>including:</w:t>
      </w:r>
    </w:p>
    <w:p w:rsidR="003C6AC4" w:rsidRPr="00C8675F" w:rsidRDefault="003C6AC4" w:rsidP="00273D5E">
      <w:pPr>
        <w:pStyle w:val="BulletLevel1"/>
      </w:pPr>
      <w:r w:rsidRPr="00604286">
        <w:t>Statistical data on current network operation</w:t>
      </w:r>
      <w:r>
        <w:t>s</w:t>
      </w:r>
      <w:r w:rsidRPr="00604286">
        <w:t>;</w:t>
      </w:r>
    </w:p>
    <w:p w:rsidR="003C6AC4" w:rsidRPr="00C8675F" w:rsidRDefault="003C6AC4" w:rsidP="00273D5E">
      <w:pPr>
        <w:pStyle w:val="BulletLevel1"/>
      </w:pPr>
      <w:r w:rsidRPr="00604286">
        <w:t>Modelling of current transport network performance;</w:t>
      </w:r>
    </w:p>
    <w:p w:rsidR="003C6AC4" w:rsidRPr="00C8675F" w:rsidRDefault="003C6AC4" w:rsidP="00273D5E">
      <w:pPr>
        <w:pStyle w:val="BulletLevel1"/>
      </w:pPr>
      <w:r w:rsidRPr="00604286">
        <w:t>Forecasting of future year transport demand and network performance; and</w:t>
      </w:r>
    </w:p>
    <w:p w:rsidR="003C6AC4" w:rsidRPr="00C8675F" w:rsidRDefault="003C6AC4" w:rsidP="00273D5E">
      <w:pPr>
        <w:pStyle w:val="BulletLevel1"/>
      </w:pPr>
      <w:r w:rsidRPr="00604286">
        <w:t>Consultations with key stakeholders.</w:t>
      </w:r>
    </w:p>
    <w:p w:rsidR="003C6AC4" w:rsidRPr="00C8675F" w:rsidRDefault="003C6AC4" w:rsidP="00A4081F">
      <w:pPr>
        <w:pStyle w:val="NumberedParas"/>
      </w:pPr>
      <w:r w:rsidRPr="00604286">
        <w:t xml:space="preserve">The National </w:t>
      </w:r>
      <w:r>
        <w:t>Transport Model (NTM)</w:t>
      </w:r>
      <w:r w:rsidRPr="00604286">
        <w:t xml:space="preserve"> provided a core </w:t>
      </w:r>
      <w:r>
        <w:t xml:space="preserve">component of current problem analysis, and </w:t>
      </w:r>
      <w:r w:rsidRPr="00604286">
        <w:t>provides forecasts for the future year “Reference Case” scenario, enabling analysis of the future year transport networks t</w:t>
      </w:r>
      <w:r>
        <w:t xml:space="preserve">o be </w:t>
      </w:r>
      <w:proofErr w:type="gramStart"/>
      <w:r>
        <w:t>undertaken,</w:t>
      </w:r>
      <w:proofErr w:type="gramEnd"/>
      <w:r>
        <w:t xml:space="preserve"> identifying which</w:t>
      </w:r>
      <w:r w:rsidRPr="00604286">
        <w:t xml:space="preserve"> problems may be exacerbated in the future.</w:t>
      </w:r>
    </w:p>
    <w:p w:rsidR="003C6AC4" w:rsidRPr="00C8675F" w:rsidRDefault="003C6AC4" w:rsidP="00A4081F">
      <w:pPr>
        <w:pStyle w:val="NumberedParas"/>
      </w:pPr>
      <w:r w:rsidRPr="00604286">
        <w:t>The NTM contains a representation of the transport system, in the supply side in the form of the networks, capacities and services, and the demand side, in terms of travel between origins and destinations for each mode. The outputs are flows on each link in the network, together with statistics such as passenger and vehicle kms, freight tonnes kms, and travel times and costs by mode.</w:t>
      </w:r>
    </w:p>
    <w:p w:rsidR="003C6AC4" w:rsidRPr="00C8675F" w:rsidRDefault="003C6AC4" w:rsidP="00A4081F">
      <w:pPr>
        <w:pStyle w:val="NumberedParas"/>
      </w:pPr>
      <w:r w:rsidRPr="00604286">
        <w:t>Consultations with key stakeholders have provided key information covering current transport policies and operational issues. The key stakeholders consulted include:</w:t>
      </w:r>
    </w:p>
    <w:p w:rsidR="003C6AC4" w:rsidRPr="00C8675F" w:rsidRDefault="003C6AC4" w:rsidP="00273D5E">
      <w:pPr>
        <w:pStyle w:val="BulletLevel1"/>
      </w:pPr>
      <w:r w:rsidRPr="00604286">
        <w:t>CFR Infrastructure</w:t>
      </w:r>
    </w:p>
    <w:p w:rsidR="003C6AC4" w:rsidRPr="00C8675F" w:rsidRDefault="003C6AC4" w:rsidP="00273D5E">
      <w:pPr>
        <w:pStyle w:val="BulletLevel1"/>
      </w:pPr>
      <w:r w:rsidRPr="00604286">
        <w:t>CFR Calatori</w:t>
      </w:r>
    </w:p>
    <w:p w:rsidR="003C6AC4" w:rsidRPr="00C8675F" w:rsidRDefault="003C6AC4" w:rsidP="00273D5E">
      <w:pPr>
        <w:pStyle w:val="BulletLevel1"/>
      </w:pPr>
      <w:r w:rsidRPr="00604286">
        <w:t>CFR Marfa</w:t>
      </w:r>
    </w:p>
    <w:p w:rsidR="003C6AC4" w:rsidRPr="00C8675F" w:rsidRDefault="003C6AC4" w:rsidP="00273D5E">
      <w:pPr>
        <w:pStyle w:val="BulletLevel1"/>
      </w:pPr>
      <w:r>
        <w:t>MT</w:t>
      </w:r>
      <w:r w:rsidRPr="00604286">
        <w:t xml:space="preserve"> Railways Directorate</w:t>
      </w:r>
    </w:p>
    <w:p w:rsidR="003C6AC4" w:rsidRPr="00C8675F" w:rsidRDefault="003C6AC4" w:rsidP="00273D5E">
      <w:pPr>
        <w:pStyle w:val="BulletLevel1"/>
      </w:pPr>
      <w:r w:rsidRPr="00604286">
        <w:t>CNADNR</w:t>
      </w:r>
    </w:p>
    <w:p w:rsidR="003C6AC4" w:rsidRPr="00C8675F" w:rsidRDefault="003C6AC4" w:rsidP="00273D5E">
      <w:pPr>
        <w:pStyle w:val="BulletLevel1"/>
      </w:pPr>
      <w:r>
        <w:t>MT</w:t>
      </w:r>
      <w:r w:rsidRPr="00604286">
        <w:t xml:space="preserve"> Naval Directorate,</w:t>
      </w:r>
    </w:p>
    <w:p w:rsidR="003C6AC4" w:rsidRPr="00C8675F" w:rsidRDefault="003C6AC4" w:rsidP="00273D5E">
      <w:pPr>
        <w:pStyle w:val="BulletLevel1"/>
      </w:pPr>
      <w:r w:rsidRPr="00604286">
        <w:t xml:space="preserve">the Civil Aviation Authority, </w:t>
      </w:r>
    </w:p>
    <w:p w:rsidR="003C6AC4" w:rsidRPr="00C8675F" w:rsidRDefault="003C6AC4" w:rsidP="00273D5E">
      <w:pPr>
        <w:pStyle w:val="BulletLevel1"/>
      </w:pPr>
      <w:r w:rsidRPr="00604286">
        <w:t xml:space="preserve">the Ports and </w:t>
      </w:r>
      <w:r>
        <w:t xml:space="preserve">River Authorities, including </w:t>
      </w:r>
      <w:r w:rsidRPr="00E05F04">
        <w:t>APDM Galați, APDF Giurgiu, ACN Constanța și APM Constanța</w:t>
      </w:r>
      <w:r w:rsidRPr="00604286">
        <w:t>,</w:t>
      </w:r>
    </w:p>
    <w:p w:rsidR="003C6AC4" w:rsidRPr="00C8675F" w:rsidRDefault="003C6AC4" w:rsidP="00273D5E">
      <w:pPr>
        <w:pStyle w:val="BulletLevel1"/>
      </w:pPr>
      <w:r w:rsidRPr="00604286">
        <w:t>TAROM,</w:t>
      </w:r>
    </w:p>
    <w:p w:rsidR="003C6AC4" w:rsidRPr="00C8675F" w:rsidRDefault="003C6AC4" w:rsidP="00273D5E">
      <w:pPr>
        <w:pStyle w:val="BulletLevel1"/>
      </w:pPr>
      <w:r w:rsidRPr="00604286">
        <w:t>Henri Coanda Airport management,</w:t>
      </w:r>
    </w:p>
    <w:p w:rsidR="003C6AC4" w:rsidRPr="00C8675F" w:rsidRDefault="003C6AC4" w:rsidP="00273D5E">
      <w:pPr>
        <w:pStyle w:val="BulletLevel1"/>
      </w:pPr>
      <w:r w:rsidRPr="00604286">
        <w:t>private companies such as DHL, and</w:t>
      </w:r>
    </w:p>
    <w:p w:rsidR="003C6AC4" w:rsidRPr="00C8675F" w:rsidRDefault="003C6AC4" w:rsidP="00273D5E">
      <w:pPr>
        <w:pStyle w:val="BulletLevel1"/>
      </w:pPr>
      <w:r w:rsidRPr="00604286">
        <w:t>representative bodies such as UNTRR.</w:t>
      </w:r>
    </w:p>
    <w:p w:rsidR="003C6AC4" w:rsidRPr="00C8675F" w:rsidRDefault="003C6AC4" w:rsidP="00A4081F">
      <w:pPr>
        <w:pStyle w:val="NumberedParas"/>
      </w:pPr>
      <w:r w:rsidRPr="00604286">
        <w:t>Full details of the review of existing conditions are provided in the Romania GTMP Existing Conditions Report (ECR)</w:t>
      </w:r>
      <w:r w:rsidR="00810A98">
        <w:t xml:space="preserve"> </w:t>
      </w:r>
      <w:r w:rsidR="00810A98" w:rsidRPr="00604286">
        <w:t>and problem identification process</w:t>
      </w:r>
      <w:r w:rsidR="00810A98">
        <w:t xml:space="preserve"> in the Problem Definition Report (PDR)</w:t>
      </w:r>
      <w:r w:rsidRPr="00604286">
        <w:t>.</w:t>
      </w:r>
    </w:p>
    <w:p w:rsidR="003C6AC4" w:rsidRPr="00753CEA" w:rsidRDefault="003C6AC4" w:rsidP="00A4081F">
      <w:pPr>
        <w:pStyle w:val="NumberedParas"/>
      </w:pPr>
      <w:r>
        <w:t>The appraisal</w:t>
      </w:r>
      <w:r w:rsidRPr="00753CEA">
        <w:t xml:space="preserve"> of a transport intervention involves the comparison of the ‘with intervention’ situation against the situation which would be obtained without the intervention in place.  The ‘without intervention’ scenario needs careful consideratio</w:t>
      </w:r>
      <w:r>
        <w:t>n and will involve specifying a</w:t>
      </w:r>
      <w:r w:rsidRPr="00753CEA">
        <w:t xml:space="preserve"> Reference Scenario which has a very high probability of occurring.  This is very important as it will affect both the identification of the need for the intervention and the assessment of the costs and benefits of the proposal. </w:t>
      </w:r>
    </w:p>
    <w:p w:rsidR="003C6AC4" w:rsidRPr="00753CEA" w:rsidRDefault="003C6AC4" w:rsidP="00A4081F">
      <w:pPr>
        <w:pStyle w:val="NumberedParas"/>
      </w:pPr>
      <w:r>
        <w:t>The Reference Scenario</w:t>
      </w:r>
      <w:r w:rsidRPr="00753CEA">
        <w:t xml:space="preserve"> provide</w:t>
      </w:r>
      <w:r>
        <w:t>s</w:t>
      </w:r>
      <w:r w:rsidRPr="00753CEA">
        <w:t xml:space="preserve"> a realistic view of what is likely to happen in the absence of the int</w:t>
      </w:r>
      <w:r>
        <w:t>ervention proposals.  It is</w:t>
      </w:r>
      <w:r w:rsidRPr="00753CEA">
        <w:t xml:space="preserve"> based on the continuation of existing maintenance regimes plus any transport improvement commitments that have policy and funding approval and from which it would be</w:t>
      </w:r>
      <w:r>
        <w:t xml:space="preserve"> difficult to withdraw.  It</w:t>
      </w:r>
      <w:r w:rsidRPr="00753CEA">
        <w:t xml:space="preserve"> correspond</w:t>
      </w:r>
      <w:r>
        <w:t>s</w:t>
      </w:r>
      <w:r w:rsidRPr="00753CEA">
        <w:t xml:space="preserve"> to maintaining present transport facilities and implementing those aspects of national and county transport strat</w:t>
      </w:r>
      <w:r>
        <w:t>egies that are certain.  It</w:t>
      </w:r>
      <w:r w:rsidRPr="00753CEA">
        <w:t xml:space="preserve"> take</w:t>
      </w:r>
      <w:r>
        <w:t>s</w:t>
      </w:r>
      <w:r w:rsidRPr="00753CEA">
        <w:t xml:space="preserve"> into account forecast changes in demographics (population, employment and households) and car ownership factors, from European and national datasets, together with changes in land use. </w:t>
      </w:r>
    </w:p>
    <w:p w:rsidR="003C6AC4" w:rsidRPr="00753CEA" w:rsidRDefault="003C6AC4" w:rsidP="002C3056">
      <w:pPr>
        <w:pStyle w:val="Hdg3"/>
      </w:pPr>
      <w:r w:rsidRPr="00753CEA">
        <w:t>Problems and Opportunities</w:t>
      </w:r>
    </w:p>
    <w:p w:rsidR="003C6AC4" w:rsidRPr="00753CEA" w:rsidRDefault="003C6AC4" w:rsidP="00A4081F">
      <w:pPr>
        <w:pStyle w:val="NumberedParas"/>
      </w:pPr>
      <w:r w:rsidRPr="00753CEA">
        <w:t xml:space="preserve">The identification of transport problems, constraints and opportunities which affect an area and its aspirations for the future, ensures transport interventions are forward-facing and not simply reacting to current issues.  Thus, both the transport problems affecting an area and the aspirations for the future – which are often broader than transport – must be the drivers of the proposals for a transport intervention. </w:t>
      </w:r>
    </w:p>
    <w:p w:rsidR="003C6AC4" w:rsidRPr="00753CEA" w:rsidRDefault="003C6AC4" w:rsidP="00A4081F">
      <w:pPr>
        <w:pStyle w:val="NumberedParas"/>
      </w:pPr>
      <w:r w:rsidRPr="00753CEA">
        <w:t xml:space="preserve">The </w:t>
      </w:r>
      <w:r>
        <w:t>Master Plan</w:t>
      </w:r>
      <w:r w:rsidRPr="00753CEA">
        <w:t xml:space="preserve"> is intended for the development and appraisal of proposals which either contribute to objectives relating to transport, or where the underlying opportunities are transport opportunities.  This is because if transport proposals are being considered to help meet an objective that could be met by other means (rather than transport), poor decisions could easily result. </w:t>
      </w:r>
    </w:p>
    <w:p w:rsidR="003C6AC4" w:rsidRPr="00B25270" w:rsidRDefault="003C6AC4" w:rsidP="006D394A">
      <w:pPr>
        <w:pStyle w:val="Hdg3"/>
      </w:pPr>
      <w:r w:rsidRPr="00B25270">
        <w:t>Current and Future Transport Related Problems</w:t>
      </w:r>
    </w:p>
    <w:p w:rsidR="003C6AC4" w:rsidRPr="00753CEA" w:rsidRDefault="003C6AC4" w:rsidP="00A4081F">
      <w:pPr>
        <w:pStyle w:val="NumberedParas"/>
      </w:pPr>
      <w:r>
        <w:t>Problems were</w:t>
      </w:r>
      <w:r w:rsidRPr="00753CEA">
        <w:t xml:space="preserve"> identified in a number of ways, including:</w:t>
      </w:r>
    </w:p>
    <w:p w:rsidR="003C6AC4" w:rsidRPr="00753CEA" w:rsidRDefault="003C6AC4" w:rsidP="00273D5E">
      <w:pPr>
        <w:pStyle w:val="BulletLevel1"/>
      </w:pPr>
      <w:r w:rsidRPr="00753CEA">
        <w:t>Perceptions of the problems from users, both those that they encounter when travelling and those which result from other people travelling;</w:t>
      </w:r>
    </w:p>
    <w:p w:rsidR="003C6AC4" w:rsidRPr="00753CEA" w:rsidRDefault="003C6AC4" w:rsidP="00273D5E">
      <w:pPr>
        <w:pStyle w:val="BulletLevel1"/>
      </w:pPr>
      <w:r w:rsidRPr="00753CEA">
        <w:t>Through discussions with representatives of stakeholders to gain an understanding of the transport and planning professional’s perceptions of problems with the transport system;</w:t>
      </w:r>
    </w:p>
    <w:p w:rsidR="003C6AC4" w:rsidRPr="00753CEA" w:rsidRDefault="003C6AC4" w:rsidP="00273D5E">
      <w:pPr>
        <w:pStyle w:val="BulletLevel1"/>
      </w:pPr>
      <w:r w:rsidRPr="00753CEA">
        <w:t>Conducting audits of specific elements of the transport system in order to gain a deeper understanding of the roles performed and to analyse the extent to which the expected aims are not met;</w:t>
      </w:r>
    </w:p>
    <w:p w:rsidR="003C6AC4" w:rsidRPr="00753CEA" w:rsidRDefault="003C6AC4" w:rsidP="00273D5E">
      <w:pPr>
        <w:pStyle w:val="BulletLevel1"/>
      </w:pPr>
      <w:r w:rsidRPr="00753CEA">
        <w:t>Analysing outputs from the National Transport Model, or analysing existing data sets, to determine the extent to which local, county and national transport and wider policy objectives are being met; and</w:t>
      </w:r>
    </w:p>
    <w:p w:rsidR="003C6AC4" w:rsidRPr="00753CEA" w:rsidRDefault="003C6AC4" w:rsidP="00273D5E">
      <w:pPr>
        <w:pStyle w:val="BulletLevel1"/>
      </w:pPr>
      <w:r w:rsidRPr="00753CEA">
        <w:t>Benchmarking the local performance against similar situations elsewhere.</w:t>
      </w:r>
    </w:p>
    <w:p w:rsidR="003C6AC4" w:rsidRPr="00753CEA" w:rsidRDefault="003C6AC4" w:rsidP="00A4081F">
      <w:pPr>
        <w:pStyle w:val="NumberedParas"/>
      </w:pPr>
      <w:r>
        <w:t xml:space="preserve">Future problems were </w:t>
      </w:r>
      <w:r w:rsidRPr="00753CEA">
        <w:t xml:space="preserve">analysed </w:t>
      </w:r>
      <w:r>
        <w:t>from the</w:t>
      </w:r>
      <w:r w:rsidRPr="00753CEA">
        <w:t xml:space="preserve"> future travel demands and changes in the transport supply in the Reference Scenario.</w:t>
      </w:r>
    </w:p>
    <w:p w:rsidR="003C6AC4" w:rsidRPr="00B25270" w:rsidRDefault="003C6AC4" w:rsidP="006D394A">
      <w:pPr>
        <w:pStyle w:val="Hdg3"/>
      </w:pPr>
      <w:r w:rsidRPr="00B25270">
        <w:t>Problem Definition Report</w:t>
      </w:r>
    </w:p>
    <w:p w:rsidR="003C6AC4" w:rsidRPr="00753CEA" w:rsidRDefault="003C6AC4" w:rsidP="00A4081F">
      <w:pPr>
        <w:pStyle w:val="NumberedParas"/>
      </w:pPr>
      <w:r>
        <w:t>The</w:t>
      </w:r>
      <w:r w:rsidRPr="00753CEA">
        <w:t xml:space="preserve"> formal Problem Definition Report</w:t>
      </w:r>
      <w:r>
        <w:t xml:space="preserve"> (PDR) identified</w:t>
      </w:r>
      <w:r w:rsidRPr="00753CEA">
        <w:t xml:space="preserve"> the problems for each sector of the transport system, supported by an analysis of the performance of each sector and taking into account consultation with operators and providers, and users of the transport system.</w:t>
      </w:r>
    </w:p>
    <w:p w:rsidR="003C6AC4" w:rsidRPr="00753CEA" w:rsidRDefault="003C6AC4" w:rsidP="00A4081F">
      <w:pPr>
        <w:pStyle w:val="NumberedParas"/>
      </w:pPr>
      <w:r>
        <w:t>The PDR is</w:t>
      </w:r>
      <w:r w:rsidRPr="00753CEA">
        <w:t xml:space="preserve"> built up from the following processes:</w:t>
      </w:r>
    </w:p>
    <w:p w:rsidR="003C6AC4" w:rsidRPr="00753CEA" w:rsidRDefault="003C6AC4" w:rsidP="00273D5E">
      <w:pPr>
        <w:pStyle w:val="BulletLevel1"/>
      </w:pPr>
      <w:r w:rsidRPr="00753CEA">
        <w:t>Analysis of Existing Transport System containing a review of available data, new data collected, existing analyses;</w:t>
      </w:r>
    </w:p>
    <w:p w:rsidR="003C6AC4" w:rsidRPr="00753CEA" w:rsidRDefault="003C6AC4" w:rsidP="00273D5E">
      <w:pPr>
        <w:pStyle w:val="BulletLevel1"/>
      </w:pPr>
      <w:r w:rsidRPr="00753CEA">
        <w:t>Use of the National Transport Model to provide data for base year and future year Reference scenario to provide an evidence base to support the problem identification process;</w:t>
      </w:r>
    </w:p>
    <w:p w:rsidR="003C6AC4" w:rsidRPr="00753CEA" w:rsidRDefault="003C6AC4" w:rsidP="00273D5E">
      <w:pPr>
        <w:pStyle w:val="BulletLevel1"/>
      </w:pPr>
      <w:r w:rsidRPr="00753CEA">
        <w:t>The results of consultation with key stakeholders in order to identify the root cause of problems; and</w:t>
      </w:r>
    </w:p>
    <w:p w:rsidR="003C6AC4" w:rsidRPr="00753CEA" w:rsidRDefault="003C6AC4" w:rsidP="00273D5E">
      <w:pPr>
        <w:pStyle w:val="BulletLevel1"/>
      </w:pPr>
      <w:r w:rsidRPr="00753CEA">
        <w:t>Concise statements of the problems identified, following consolidation of all sources of evidence, which will provide an evidence-based identification of the real problems and challenges facing the Romanian Transport Sector.</w:t>
      </w:r>
    </w:p>
    <w:p w:rsidR="003C6AC4" w:rsidRDefault="003C6AC4" w:rsidP="00A4081F">
      <w:pPr>
        <w:pStyle w:val="NumberedParas"/>
      </w:pPr>
      <w:r>
        <w:t xml:space="preserve">The above outputs from the PDR </w:t>
      </w:r>
      <w:r w:rsidRPr="00753CEA">
        <w:t>provide</w:t>
      </w:r>
      <w:r>
        <w:t>d</w:t>
      </w:r>
      <w:r w:rsidRPr="00753CEA">
        <w:t xml:space="preserve"> the </w:t>
      </w:r>
      <w:proofErr w:type="gramStart"/>
      <w:r w:rsidRPr="00753CEA">
        <w:t>essential  "</w:t>
      </w:r>
      <w:proofErr w:type="gramEnd"/>
      <w:r w:rsidRPr="00753CEA">
        <w:t>operational objectives" which guide Project Identification Phase</w:t>
      </w:r>
      <w:r>
        <w:t>.  These were brought together in working documents (the Problems/Objectives/Interventions (POI) reports) which were agreed with the MT and JASPERS.</w:t>
      </w:r>
    </w:p>
    <w:p w:rsidR="007A3F69" w:rsidRPr="002C33B7" w:rsidRDefault="007A3F69" w:rsidP="00045287">
      <w:pPr>
        <w:pStyle w:val="Hdg2"/>
      </w:pPr>
      <w:bookmarkStart w:id="17" w:name="_Toc413056031"/>
      <w:r w:rsidRPr="002C33B7">
        <w:t>The National Transport Model</w:t>
      </w:r>
      <w:bookmarkEnd w:id="17"/>
    </w:p>
    <w:p w:rsidR="004A60B7" w:rsidRPr="00A42D28" w:rsidRDefault="004A60B7" w:rsidP="00123EC2">
      <w:pPr>
        <w:pStyle w:val="Hdg3"/>
      </w:pPr>
      <w:bookmarkStart w:id="18" w:name="_Toc395520239"/>
      <w:r w:rsidRPr="00A42D28">
        <w:t>Overview</w:t>
      </w:r>
      <w:bookmarkEnd w:id="18"/>
    </w:p>
    <w:p w:rsidR="004A60B7" w:rsidRPr="00A314E9" w:rsidRDefault="004A60B7" w:rsidP="00A4081F">
      <w:pPr>
        <w:pStyle w:val="NumberedParas"/>
      </w:pPr>
      <w:r w:rsidRPr="00A314E9">
        <w:t xml:space="preserve">A transport model is a computer-based representation of the movement of people, goods (trips), and vehicles around the transport system. It is intended to provide an indication of how travel behaviour, travel patterns and demands will respond, over time, to changes in policy, infrastructure or services. </w:t>
      </w:r>
    </w:p>
    <w:p w:rsidR="004A60B7" w:rsidRDefault="004A60B7" w:rsidP="00A4081F">
      <w:pPr>
        <w:pStyle w:val="NumberedParas"/>
      </w:pPr>
      <w:r w:rsidRPr="00A314E9">
        <w:t>A major benefit of using a transport model is that it ensures that schemes, or scheme options, are considered on a consistent basis both within and between studies. An objective of these guidelines is to ensure that all scheme evaluations follow the principles discussed herein and therefore enable the assessing organisation to compare schemes on a like for like basis.</w:t>
      </w:r>
    </w:p>
    <w:p w:rsidR="004A60B7" w:rsidRPr="00A314E9" w:rsidRDefault="004A60B7" w:rsidP="00A4081F">
      <w:pPr>
        <w:pStyle w:val="NumberedParas"/>
      </w:pPr>
      <w:r w:rsidRPr="00A314E9">
        <w:t xml:space="preserve">There are certain terms and concepts which have specific meanings when used in transport modelling.  </w:t>
      </w:r>
      <w:r>
        <w:t>These are:</w:t>
      </w:r>
    </w:p>
    <w:p w:rsidR="004A60B7" w:rsidRPr="00A314E9" w:rsidRDefault="004A60B7" w:rsidP="00273D5E">
      <w:pPr>
        <w:pStyle w:val="BulletLevel1"/>
      </w:pPr>
      <w:r w:rsidRPr="00123EC2">
        <w:rPr>
          <w:b/>
        </w:rPr>
        <w:t>Base Year</w:t>
      </w:r>
      <w:r w:rsidRPr="00A314E9">
        <w:t xml:space="preserve">: this is the year for which a Model is calibrated (or fitted to the data).  It is the most </w:t>
      </w:r>
      <w:r w:rsidRPr="00B9602F">
        <w:t>recent</w:t>
      </w:r>
      <w:r w:rsidRPr="00A314E9">
        <w:t xml:space="preserve"> year for which good, accurate travel and demographic data (relevant to the project) is available.  </w:t>
      </w:r>
      <w:r w:rsidR="009331EE">
        <w:t>T</w:t>
      </w:r>
      <w:r w:rsidRPr="00A314E9">
        <w:t>he Base Year of the National Model is 2011.</w:t>
      </w:r>
    </w:p>
    <w:p w:rsidR="004A60B7" w:rsidRPr="00A314E9" w:rsidRDefault="004A60B7" w:rsidP="00273D5E">
      <w:pPr>
        <w:pStyle w:val="BulletLevel1"/>
      </w:pPr>
      <w:r w:rsidRPr="00123EC2">
        <w:rPr>
          <w:b/>
        </w:rPr>
        <w:t>Forecast years</w:t>
      </w:r>
      <w:r w:rsidRPr="00A314E9">
        <w:t xml:space="preserve">: these are the years for which travel forecasts are made by the model.  At least two forecast years should be modelled: the assumed opening year of the project which is being analysed, and 15 years after that.  This is because first, typically projects design years are normally 15 years after opening, and secondly, the economic evaluation of a project assumes a 30 year “life” for the project.  Forecasting for 15 years after the opening year is an accepted compromise between the uncertainty of long term forecasts, and excessive extrapolation of the economic evaluation.  </w:t>
      </w:r>
      <w:r w:rsidR="009331EE">
        <w:t>T</w:t>
      </w:r>
      <w:r w:rsidRPr="00A314E9">
        <w:t>he forecast years for the National Model are 2015, 2020</w:t>
      </w:r>
      <w:r w:rsidR="009331EE">
        <w:t>,</w:t>
      </w:r>
      <w:r w:rsidRPr="00A314E9">
        <w:t xml:space="preserve"> 2030</w:t>
      </w:r>
      <w:r w:rsidR="009331EE">
        <w:t xml:space="preserve"> and 2040</w:t>
      </w:r>
      <w:r w:rsidR="009331EE">
        <w:rPr>
          <w:rStyle w:val="FootnoteReference"/>
        </w:rPr>
        <w:footnoteReference w:id="4"/>
      </w:r>
      <w:r w:rsidRPr="00A314E9">
        <w:t>.</w:t>
      </w:r>
    </w:p>
    <w:p w:rsidR="004A60B7" w:rsidRPr="00A314E9" w:rsidRDefault="004A60B7" w:rsidP="00273D5E">
      <w:pPr>
        <w:pStyle w:val="BulletLevel1"/>
      </w:pPr>
      <w:r w:rsidRPr="00924640">
        <w:rPr>
          <w:b/>
        </w:rPr>
        <w:t>Zones:</w:t>
      </w:r>
      <w:r w:rsidRPr="00A314E9">
        <w:t xml:space="preserve"> in transport models, the area in which the project is located is divided into geographical areas called zones.  Within the model, traffic is assumed to enter and leave the transport networks at these zones.  Of course, in reality traffic enters and leaves the transport system at individual addresses, and businesses, but it is impossible to obtain the necessary detail of each individual journey, so trips are modelled as zone to zone movements.  In other words, zones represent the origins and destinations of trips.  In the National Model there are 1160 zones within Romania, and 150 zones outside of Romania.</w:t>
      </w:r>
    </w:p>
    <w:p w:rsidR="004A60B7" w:rsidRPr="00A314E9" w:rsidRDefault="004A60B7" w:rsidP="00273D5E">
      <w:pPr>
        <w:pStyle w:val="BulletLevel1"/>
      </w:pPr>
      <w:r w:rsidRPr="00123EC2">
        <w:rPr>
          <w:b/>
        </w:rPr>
        <w:t>Modes</w:t>
      </w:r>
      <w:r w:rsidRPr="00A314E9">
        <w:t>: in transport modelling, “modes” is shorthand for the modes of transport people and goods use to travel between zones.  These can include “non-mechanised” modes of transport such as walking and cycling, and “mechanised” modes such as private car, bus, tram, train, metro, air and waterways and sea transport.  “Single mode” models represent travel by one mode only, and “multi-modal” models represent travel by more than one mode.  The National Model is a multi-modal model, with all the mechanised modes of travel included, and intermodal freight transport as well.</w:t>
      </w:r>
    </w:p>
    <w:p w:rsidR="004A60B7" w:rsidRPr="00A314E9" w:rsidRDefault="004A60B7" w:rsidP="00273D5E">
      <w:pPr>
        <w:pStyle w:val="BulletLevel1"/>
      </w:pPr>
      <w:r w:rsidRPr="00123EC2">
        <w:rPr>
          <w:b/>
        </w:rPr>
        <w:t>Networks</w:t>
      </w:r>
      <w:r w:rsidRPr="00A314E9">
        <w:t>: In transport models, networks are a computerised representation of the transportation networks.  In most models these include the road network, and the public transport networks: bus, tram, metro and heavy rail networks.  The public transport networks also include details of routes, frequencies and fares.</w:t>
      </w:r>
    </w:p>
    <w:p w:rsidR="004A60B7" w:rsidRPr="00A314E9" w:rsidRDefault="004A60B7" w:rsidP="00273D5E">
      <w:pPr>
        <w:pStyle w:val="BulletLevel1"/>
      </w:pPr>
      <w:r w:rsidRPr="00123EC2">
        <w:rPr>
          <w:b/>
        </w:rPr>
        <w:t>Trip Matrices</w:t>
      </w:r>
      <w:r w:rsidRPr="00A314E9">
        <w:t xml:space="preserve">: these are tables of trips between zones.  They may contain numbers of vehicles, or the number of persons, for a particular journey purpose, or for a particular time of day, or for a particular mode.  These are commonly referred to as Origin – Destination (“O-D”) matrices.   </w:t>
      </w:r>
    </w:p>
    <w:p w:rsidR="004A60B7" w:rsidRPr="00A314E9" w:rsidRDefault="004A60B7" w:rsidP="00273D5E">
      <w:pPr>
        <w:pStyle w:val="BulletLevel1"/>
      </w:pPr>
      <w:r w:rsidRPr="00123EC2">
        <w:rPr>
          <w:b/>
        </w:rPr>
        <w:t>Assignment</w:t>
      </w:r>
      <w:r w:rsidRPr="00A314E9">
        <w:t>: During Assignment, the model calculates the least cost route through the network for each O-D pair in the trip matrices, and accumulates the flows on each link in the netowork.  Between most origins and destinations there is more than one possible route, so the model repeats this procedure many times until the network is in equilibrium.  Each calculation of the paths is called an iteration.  The National Model has a total of 1310 zones so the model calculates 1.7m different paths in every iteration.</w:t>
      </w:r>
    </w:p>
    <w:p w:rsidR="004A60B7" w:rsidRPr="00A314E9" w:rsidRDefault="004A60B7" w:rsidP="00273D5E">
      <w:pPr>
        <w:pStyle w:val="BulletLevel1"/>
      </w:pPr>
      <w:r w:rsidRPr="00E06852">
        <w:rPr>
          <w:b/>
        </w:rPr>
        <w:t>Calibration and Validation</w:t>
      </w:r>
      <w:r w:rsidRPr="00A314E9">
        <w:t>: Calibration is the process of fitting the model and its relationship to the data, while validation is the process of comparing model outputs with independent data.  There are internationally-recognised standards for assessing the “goodness-of-fit” for models, depending on the size and scope of the model in question.</w:t>
      </w:r>
    </w:p>
    <w:p w:rsidR="0017437D" w:rsidRDefault="004A60B7" w:rsidP="00273D5E">
      <w:pPr>
        <w:pStyle w:val="BulletLevel1"/>
      </w:pPr>
      <w:r w:rsidRPr="00E06852">
        <w:rPr>
          <w:b/>
        </w:rPr>
        <w:t>Modelling Software</w:t>
      </w:r>
      <w:r w:rsidRPr="00A314E9">
        <w:t>.  Simple transport models can be built using EXCEL, but there are limitations using this approach.  For most modelling applications, there are bespoke packages available and we recommend that these should be used.  The National Model is built using EMME</w:t>
      </w:r>
      <w:r>
        <w:t>, which is a well-known and widely-used suite, which has the necessary flexibility to meet the required scope.</w:t>
      </w:r>
    </w:p>
    <w:p w:rsidR="0017437D" w:rsidRDefault="0017437D" w:rsidP="0017437D">
      <w:pPr>
        <w:rPr>
          <w:sz w:val="22"/>
          <w:szCs w:val="20"/>
        </w:rPr>
      </w:pPr>
      <w:r>
        <w:br w:type="page"/>
      </w:r>
    </w:p>
    <w:p w:rsidR="004A60B7" w:rsidRDefault="004A60B7" w:rsidP="00A4081F">
      <w:pPr>
        <w:pStyle w:val="NumberedParas"/>
      </w:pPr>
      <w:r w:rsidRPr="00B9602F">
        <w:t>The basic structure of t</w:t>
      </w:r>
      <w:r w:rsidR="009331EE">
        <w:t>he model is shown on Figure 2.3</w:t>
      </w:r>
      <w:r w:rsidRPr="00B9602F">
        <w:t xml:space="preserve"> below:</w:t>
      </w:r>
    </w:p>
    <w:p w:rsidR="0017437D" w:rsidRPr="0017437D" w:rsidRDefault="0017437D" w:rsidP="009331EE">
      <w:pPr>
        <w:ind w:left="851"/>
        <w:rPr>
          <w:b/>
          <w:sz w:val="22"/>
          <w:szCs w:val="22"/>
        </w:rPr>
      </w:pPr>
      <w:r>
        <w:rPr>
          <w:b/>
          <w:sz w:val="22"/>
          <w:szCs w:val="22"/>
        </w:rPr>
        <w:t>Figure 2.3 Basic Structure of National Transport Model</w:t>
      </w:r>
    </w:p>
    <w:p w:rsidR="0017437D" w:rsidRDefault="002C33B7" w:rsidP="0017437D">
      <w:r w:rsidRPr="00D65C81">
        <w:object w:dxaOrig="10095" w:dyaOrig="6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5pt;height:343.5pt;mso-position-vertical:absolute" o:ole="">
            <v:imagedata r:id="rId37" o:title=""/>
          </v:shape>
          <o:OLEObject Type="Embed" ProgID="Word.Document.12" ShapeID="_x0000_i1025" DrawAspect="Content" ObjectID="_1491205599" r:id="rId38">
            <o:FieldCodes>\s</o:FieldCodes>
          </o:OLEObject>
        </w:object>
      </w:r>
    </w:p>
    <w:p w:rsidR="004A60B7" w:rsidRDefault="004A60B7" w:rsidP="00A4081F">
      <w:pPr>
        <w:pStyle w:val="NumberedParas"/>
      </w:pPr>
      <w:r>
        <w:t>Further details of these processes are given in subsequent sections.</w:t>
      </w:r>
    </w:p>
    <w:p w:rsidR="004A60B7" w:rsidRPr="00A42D28" w:rsidRDefault="004A60B7" w:rsidP="00A4081F">
      <w:pPr>
        <w:pStyle w:val="NumberedParas"/>
      </w:pPr>
      <w:r w:rsidRPr="00A42D28">
        <w:t>Specific interventions that the National Transport Model</w:t>
      </w:r>
      <w:r>
        <w:t xml:space="preserve"> </w:t>
      </w:r>
      <w:r w:rsidRPr="00A42D28">
        <w:t>(NTM) is capable of modelling include:</w:t>
      </w:r>
    </w:p>
    <w:p w:rsidR="004A60B7" w:rsidRPr="002065E7" w:rsidRDefault="004A60B7" w:rsidP="00273D5E">
      <w:pPr>
        <w:pStyle w:val="BulletLevel1"/>
      </w:pPr>
      <w:r w:rsidRPr="002065E7">
        <w:t>The impact of economic (GDP, income, car ownership) and social (population levels and distribution) changes on travel demand;</w:t>
      </w:r>
    </w:p>
    <w:p w:rsidR="004A60B7" w:rsidRPr="002065E7" w:rsidRDefault="004A60B7" w:rsidP="00273D5E">
      <w:pPr>
        <w:pStyle w:val="BulletLevel1"/>
      </w:pPr>
      <w:r w:rsidRPr="002065E7">
        <w:t>Infrastructure changes;</w:t>
      </w:r>
    </w:p>
    <w:p w:rsidR="004A60B7" w:rsidRPr="002065E7" w:rsidRDefault="004A60B7" w:rsidP="00273D5E">
      <w:pPr>
        <w:pStyle w:val="BulletLevel1"/>
      </w:pPr>
      <w:r w:rsidRPr="002065E7">
        <w:t>New PT services;</w:t>
      </w:r>
    </w:p>
    <w:p w:rsidR="004A60B7" w:rsidRPr="002065E7" w:rsidRDefault="004A60B7" w:rsidP="00273D5E">
      <w:pPr>
        <w:pStyle w:val="BulletLevel1"/>
      </w:pPr>
      <w:r w:rsidRPr="002065E7">
        <w:t>Policy measures including:</w:t>
      </w:r>
    </w:p>
    <w:p w:rsidR="004A60B7" w:rsidRPr="002065E7" w:rsidRDefault="004A60B7" w:rsidP="00273D5E">
      <w:pPr>
        <w:pStyle w:val="BulletLevel1"/>
      </w:pPr>
      <w:r w:rsidRPr="002065E7">
        <w:t>Differential pricing for rail and air;</w:t>
      </w:r>
    </w:p>
    <w:p w:rsidR="004A60B7" w:rsidRPr="002065E7" w:rsidRDefault="004A60B7" w:rsidP="00273D5E">
      <w:pPr>
        <w:pStyle w:val="BulletLevel1"/>
      </w:pPr>
      <w:r w:rsidRPr="002065E7">
        <w:t>Internalisation of external transport costs; and</w:t>
      </w:r>
    </w:p>
    <w:p w:rsidR="004A60B7" w:rsidRPr="002065E7" w:rsidRDefault="004A60B7" w:rsidP="00273D5E">
      <w:pPr>
        <w:pStyle w:val="BulletLevel1"/>
      </w:pPr>
      <w:r w:rsidRPr="002065E7">
        <w:t>Climate change policies (subsidy of low emission modes)</w:t>
      </w:r>
    </w:p>
    <w:p w:rsidR="004A60B7" w:rsidRPr="002065E7" w:rsidRDefault="004A60B7" w:rsidP="00273D5E">
      <w:pPr>
        <w:pStyle w:val="BulletLevel1"/>
      </w:pPr>
      <w:r w:rsidRPr="002065E7">
        <w:t>Implementation of road tax; and</w:t>
      </w:r>
    </w:p>
    <w:p w:rsidR="004A60B7" w:rsidRPr="002065E7" w:rsidRDefault="004A60B7" w:rsidP="00273D5E">
      <w:pPr>
        <w:pStyle w:val="BulletLevel1"/>
      </w:pPr>
      <w:r w:rsidRPr="002065E7">
        <w:t>Car ownership and its linkage to level of taxation</w:t>
      </w:r>
    </w:p>
    <w:p w:rsidR="004A60B7" w:rsidRPr="00A42D28" w:rsidRDefault="004A60B7" w:rsidP="00A4081F">
      <w:pPr>
        <w:pStyle w:val="NumberedParas"/>
      </w:pPr>
      <w:r w:rsidRPr="00A42D28">
        <w:t>NTM modelled demands are responsive to changes in costs and time for all aspects of travel</w:t>
      </w:r>
      <w:r>
        <w:t xml:space="preserve">.  The most common interventions in Romania for the Master Plan are improvements to infrastructure, such as motorways and expressways, re-habilitation of railways, more frequent train services, and improved freight terminals at ports and intermodal centres.  But the model is also designed to evaluate “policy” interventions, </w:t>
      </w:r>
      <w:r w:rsidRPr="00A42D28">
        <w:t xml:space="preserve">including </w:t>
      </w:r>
      <w:r>
        <w:t xml:space="preserve">road user charges, fuel duty increases, or the additional </w:t>
      </w:r>
      <w:r w:rsidRPr="00A42D28">
        <w:t xml:space="preserve">costs of car ownership through registration/tax measures. For example </w:t>
      </w:r>
      <w:r>
        <w:t>road user charges</w:t>
      </w:r>
      <w:r w:rsidRPr="00A42D28">
        <w:t xml:space="preserve"> </w:t>
      </w:r>
      <w:r>
        <w:t xml:space="preserve">for heavy vehicles </w:t>
      </w:r>
      <w:r w:rsidRPr="00A42D28">
        <w:t xml:space="preserve">will lead </w:t>
      </w:r>
      <w:r>
        <w:t>to higher operating costs</w:t>
      </w:r>
      <w:r w:rsidRPr="00A42D28">
        <w:t xml:space="preserve"> and this will result in shorter</w:t>
      </w:r>
      <w:r>
        <w:t xml:space="preserve"> distance HGV</w:t>
      </w:r>
      <w:r w:rsidRPr="00A42D28">
        <w:t xml:space="preserve"> trips, transfer to other modes</w:t>
      </w:r>
      <w:r>
        <w:t>, particularly rail</w:t>
      </w:r>
      <w:r w:rsidRPr="00A42D28">
        <w:t>, or suppression of some trips altogether. The developed model structure includes all of these responses. Increasing registration or tax fees on car ownership will moderate car ownership growth through the responses in the car ownership model.</w:t>
      </w:r>
    </w:p>
    <w:p w:rsidR="004A60B7" w:rsidRPr="00A42D28" w:rsidRDefault="004A60B7" w:rsidP="00123EC2">
      <w:pPr>
        <w:pStyle w:val="Hdg3"/>
      </w:pPr>
      <w:bookmarkStart w:id="19" w:name="_Toc395520240"/>
      <w:r w:rsidRPr="00A42D28">
        <w:t>Study Area</w:t>
      </w:r>
      <w:bookmarkEnd w:id="19"/>
    </w:p>
    <w:p w:rsidR="004A60B7" w:rsidRPr="00A42D28" w:rsidRDefault="004A60B7" w:rsidP="00A4081F">
      <w:pPr>
        <w:pStyle w:val="NumberedParas"/>
      </w:pPr>
      <w:r w:rsidRPr="00123EC2">
        <w:t>The NTM includes</w:t>
      </w:r>
      <w:r w:rsidRPr="00A42D28">
        <w:t>:</w:t>
      </w:r>
    </w:p>
    <w:p w:rsidR="004A60B7" w:rsidRPr="00123EC2" w:rsidRDefault="004A60B7" w:rsidP="00273D5E">
      <w:pPr>
        <w:pStyle w:val="BulletLevel1"/>
      </w:pPr>
      <w:r w:rsidRPr="00123EC2">
        <w:t>Journeys made wholly within Romania, mainly inter-urban movements. The NTM does not examine urban travel patterns and demands in detail and the data collection and model development was structured accordingly ;</w:t>
      </w:r>
    </w:p>
    <w:p w:rsidR="004A60B7" w:rsidRPr="00123EC2" w:rsidRDefault="004A60B7" w:rsidP="00273D5E">
      <w:pPr>
        <w:pStyle w:val="BulletLevel1"/>
      </w:pPr>
      <w:r w:rsidRPr="00123EC2">
        <w:t>International journeys with either an origin or destination in Romania; and</w:t>
      </w:r>
    </w:p>
    <w:p w:rsidR="004A60B7" w:rsidRPr="00123EC2" w:rsidRDefault="004A60B7" w:rsidP="00273D5E">
      <w:pPr>
        <w:pStyle w:val="BulletLevel1"/>
      </w:pPr>
      <w:r w:rsidRPr="00123EC2">
        <w:t>International journeys with both their origin and destination outside Romania</w:t>
      </w:r>
    </w:p>
    <w:p w:rsidR="004A60B7" w:rsidRPr="00A42D28" w:rsidRDefault="004A60B7" w:rsidP="00A4081F">
      <w:pPr>
        <w:pStyle w:val="NumberedParas"/>
      </w:pPr>
      <w:r w:rsidRPr="00A42D28">
        <w:t>A key requirement was to understand the inter-urban and international travel patterns, recognising at the same time that local travel congestion affects parts of the strategic network.  Therefore, the study needed good quality data for inter-urban travel, with local urban area travel data deemed less important. These requirements applied equally to the passenger transport and freight markets. However, it is important to recognise that there are important differences between them, particularly in relation to the choice of transport modes.</w:t>
      </w:r>
    </w:p>
    <w:p w:rsidR="004A60B7" w:rsidRPr="00A42D28" w:rsidRDefault="004A60B7" w:rsidP="00A4081F">
      <w:pPr>
        <w:pStyle w:val="NumberedParas"/>
      </w:pPr>
      <w:r w:rsidRPr="00A42D28">
        <w:t>The NTM, therefore, provides a detailed representation of all transport modes in Romania and their connectivity to the wider European TEN-T transport corridors by mode. The main focus of the model is on inter-urban travel and as such the treatment of urban travel is at a simplified level of detail.</w:t>
      </w:r>
    </w:p>
    <w:p w:rsidR="004A60B7" w:rsidRPr="00A42D28" w:rsidRDefault="004A60B7" w:rsidP="002065E7">
      <w:pPr>
        <w:pStyle w:val="Hdg3"/>
      </w:pPr>
      <w:bookmarkStart w:id="20" w:name="_Toc395520241"/>
      <w:r w:rsidRPr="00A42D28">
        <w:t>Zoning System</w:t>
      </w:r>
      <w:bookmarkEnd w:id="20"/>
    </w:p>
    <w:p w:rsidR="004A60B7" w:rsidRPr="00A42D28" w:rsidRDefault="004A60B7" w:rsidP="00A4081F">
      <w:pPr>
        <w:pStyle w:val="NumberedParas"/>
      </w:pPr>
      <w:r w:rsidRPr="00A42D28">
        <w:t>The zoning structure is at a level of spatial detail that meets the objectives of the NTM.  The principles adopted in developing the zone system were to ensure that:</w:t>
      </w:r>
    </w:p>
    <w:p w:rsidR="004A60B7" w:rsidRPr="00404523" w:rsidRDefault="004A60B7" w:rsidP="00273D5E">
      <w:pPr>
        <w:pStyle w:val="BulletLevel1"/>
      </w:pPr>
      <w:r w:rsidRPr="00404523">
        <w:t>adequate spatial detail was provided in terms of access to the extensive rail system;</w:t>
      </w:r>
    </w:p>
    <w:p w:rsidR="004A60B7" w:rsidRPr="00404523" w:rsidRDefault="004A60B7" w:rsidP="00273D5E">
      <w:pPr>
        <w:pStyle w:val="BulletLevel1"/>
      </w:pPr>
      <w:r w:rsidRPr="00404523">
        <w:t>zones contained no more than one main town as far as practical;</w:t>
      </w:r>
    </w:p>
    <w:p w:rsidR="004A60B7" w:rsidRPr="00404523" w:rsidRDefault="004A60B7" w:rsidP="00273D5E">
      <w:pPr>
        <w:pStyle w:val="BulletLevel1"/>
      </w:pPr>
      <w:r w:rsidRPr="00404523">
        <w:t>zones outside of the main cities and towns were limited in area so that very large zones were avoided, except in the mountains, where the average population per zone was kept below 15,000;</w:t>
      </w:r>
    </w:p>
    <w:p w:rsidR="004A60B7" w:rsidRPr="00404523" w:rsidRDefault="004A60B7" w:rsidP="00273D5E">
      <w:pPr>
        <w:pStyle w:val="BulletLevel1"/>
      </w:pPr>
      <w:r w:rsidRPr="00404523">
        <w:t>zones followed natural boundaries;</w:t>
      </w:r>
    </w:p>
    <w:p w:rsidR="004A60B7" w:rsidRPr="00404523" w:rsidRDefault="004A60B7" w:rsidP="00273D5E">
      <w:pPr>
        <w:pStyle w:val="BulletLevel1"/>
      </w:pPr>
      <w:r w:rsidRPr="00404523">
        <w:t>zonal boundaries were aggregations of administrative boundaries so that compatibility with planning inputs, and socio-economic datasets could be guaranteed;</w:t>
      </w:r>
    </w:p>
    <w:p w:rsidR="004A60B7" w:rsidRPr="00404523" w:rsidRDefault="004A60B7" w:rsidP="00273D5E">
      <w:pPr>
        <w:pStyle w:val="BulletLevel1"/>
      </w:pPr>
      <w:r w:rsidRPr="00404523">
        <w:t>access to the highway network as properly represented in terms of loading points on key roads;</w:t>
      </w:r>
    </w:p>
    <w:p w:rsidR="004A60B7" w:rsidRPr="00404523" w:rsidRDefault="004A60B7" w:rsidP="00273D5E">
      <w:pPr>
        <w:pStyle w:val="BulletLevel1"/>
      </w:pPr>
      <w:r w:rsidRPr="00404523">
        <w:t>account was taken of special land uses such as Constanta Port; and</w:t>
      </w:r>
    </w:p>
    <w:p w:rsidR="004A60B7" w:rsidRPr="00A42D28" w:rsidRDefault="004A60B7" w:rsidP="00273D5E">
      <w:pPr>
        <w:pStyle w:val="BulletLevel1"/>
      </w:pPr>
      <w:r w:rsidRPr="00404523">
        <w:t>the zonal structure took account of future development proposals</w:t>
      </w:r>
      <w:r w:rsidRPr="00A42D28">
        <w:t>.</w:t>
      </w:r>
    </w:p>
    <w:p w:rsidR="004A60B7" w:rsidRDefault="0017437D" w:rsidP="00A4081F">
      <w:pPr>
        <w:pStyle w:val="NumberedParas"/>
      </w:pPr>
      <w:r>
        <w:t>Figure 2</w:t>
      </w:r>
      <w:r w:rsidR="004A60B7" w:rsidRPr="00A42D28">
        <w:t>.</w:t>
      </w:r>
      <w:r>
        <w:t>4</w:t>
      </w:r>
      <w:r w:rsidR="004A60B7" w:rsidRPr="00A42D28">
        <w:t xml:space="preserve"> shows the internal zone system and the model is populated with zonal data on population, jobs, active population, GDP by sector, and car ownership all of which are used in the model forecasting routines.</w:t>
      </w:r>
    </w:p>
    <w:p w:rsidR="0017437D" w:rsidRDefault="0017437D">
      <w:pPr>
        <w:rPr>
          <w:sz w:val="22"/>
          <w:szCs w:val="22"/>
        </w:rPr>
      </w:pPr>
      <w:r>
        <w:br w:type="page"/>
      </w:r>
    </w:p>
    <w:p w:rsidR="00404523" w:rsidRPr="00A42D28" w:rsidRDefault="00404523" w:rsidP="0017437D"/>
    <w:p w:rsidR="004A60B7" w:rsidRPr="0017437D" w:rsidRDefault="0017437D" w:rsidP="004A60B7">
      <w:pPr>
        <w:pStyle w:val="Body"/>
        <w:spacing w:before="120"/>
        <w:contextualSpacing/>
        <w:rPr>
          <w:rFonts w:cs="Arial"/>
          <w:b/>
          <w:i w:val="0"/>
        </w:rPr>
      </w:pPr>
      <w:r w:rsidRPr="0017437D">
        <w:rPr>
          <w:rFonts w:cs="Arial"/>
          <w:b/>
          <w:i w:val="0"/>
        </w:rPr>
        <w:t>Figure 2</w:t>
      </w:r>
      <w:r w:rsidR="004A60B7" w:rsidRPr="0017437D">
        <w:rPr>
          <w:rFonts w:cs="Arial"/>
          <w:b/>
          <w:i w:val="0"/>
        </w:rPr>
        <w:t>.</w:t>
      </w:r>
      <w:r w:rsidRPr="0017437D">
        <w:rPr>
          <w:rFonts w:cs="Arial"/>
          <w:b/>
          <w:i w:val="0"/>
        </w:rPr>
        <w:t>4</w:t>
      </w:r>
      <w:r w:rsidR="004A60B7" w:rsidRPr="0017437D">
        <w:rPr>
          <w:rFonts w:cs="Arial"/>
          <w:b/>
          <w:i w:val="0"/>
        </w:rPr>
        <w:t xml:space="preserve"> NTM Internal Zone System</w:t>
      </w:r>
    </w:p>
    <w:p w:rsidR="004A60B7" w:rsidRPr="00A42D28" w:rsidRDefault="007C5361" w:rsidP="004A60B7">
      <w:pPr>
        <w:spacing w:before="120" w:after="120" w:line="276" w:lineRule="auto"/>
        <w:ind w:left="680"/>
        <w:contextualSpacing/>
        <w:rPr>
          <w:rFonts w:cs="Arial"/>
          <w:sz w:val="22"/>
          <w:szCs w:val="22"/>
        </w:rPr>
      </w:pPr>
      <w:r>
        <w:rPr>
          <w:rFonts w:cs="Arial"/>
          <w:noProof/>
          <w:sz w:val="22"/>
          <w:szCs w:val="22"/>
          <w:lang w:val="ro-RO" w:eastAsia="ro-RO"/>
        </w:rPr>
        <mc:AlternateContent>
          <mc:Choice Requires="wpg">
            <w:drawing>
              <wp:inline distT="0" distB="0" distL="0" distR="0" wp14:anchorId="3E4F6EEA" wp14:editId="085ED576">
                <wp:extent cx="4648200" cy="3333750"/>
                <wp:effectExtent l="17145" t="0" r="1905" b="2540"/>
                <wp:docPr id="20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0" cy="3333750"/>
                          <a:chOff x="7467" y="10164"/>
                          <a:chExt cx="85693" cy="57836"/>
                        </a:xfrm>
                      </wpg:grpSpPr>
                      <pic:pic xmlns:pic="http://schemas.openxmlformats.org/drawingml/2006/picture">
                        <pic:nvPicPr>
                          <pic:cNvPr id="204" name="Picture 256" descr="internal_zones.jpg"/>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9626" y="10231"/>
                            <a:ext cx="83534" cy="57769"/>
                          </a:xfrm>
                          <a:prstGeom prst="rect">
                            <a:avLst/>
                          </a:prstGeom>
                          <a:noFill/>
                          <a:extLst>
                            <a:ext uri="{909E8E84-426E-40DD-AFC4-6F175D3DCCD1}">
                              <a14:hiddenFill xmlns:a14="http://schemas.microsoft.com/office/drawing/2010/main">
                                <a:solidFill>
                                  <a:srgbClr val="FFFFFF"/>
                                </a:solidFill>
                              </a14:hiddenFill>
                            </a:ext>
                          </a:extLst>
                        </pic:spPr>
                      </pic:pic>
                      <wps:wsp>
                        <wps:cNvPr id="205" name="Straight Connector 257"/>
                        <wps:cNvCnPr/>
                        <wps:spPr bwMode="auto">
                          <a:xfrm>
                            <a:off x="7467" y="11608"/>
                            <a:ext cx="7207" cy="0"/>
                          </a:xfrm>
                          <a:prstGeom prst="line">
                            <a:avLst/>
                          </a:prstGeom>
                          <a:noFill/>
                          <a:ln w="31750">
                            <a:solidFill>
                              <a:srgbClr val="0070C0"/>
                            </a:solidFill>
                            <a:round/>
                            <a:headEnd/>
                            <a:tailEnd/>
                          </a:ln>
                          <a:extLst>
                            <a:ext uri="{909E8E84-426E-40DD-AFC4-6F175D3DCCD1}">
                              <a14:hiddenFill xmlns:a14="http://schemas.microsoft.com/office/drawing/2010/main">
                                <a:noFill/>
                              </a14:hiddenFill>
                            </a:ext>
                          </a:extLst>
                        </wps:spPr>
                        <wps:bodyPr/>
                      </wps:wsp>
                      <wps:wsp>
                        <wps:cNvPr id="206" name="Straight Connector 258"/>
                        <wps:cNvCnPr/>
                        <wps:spPr bwMode="auto">
                          <a:xfrm>
                            <a:off x="7467" y="14482"/>
                            <a:ext cx="7207" cy="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07" name="TextBox 64"/>
                        <wps:cNvSpPr txBox="1">
                          <a:spLocks noChangeArrowheads="1"/>
                        </wps:cNvSpPr>
                        <wps:spPr bwMode="auto">
                          <a:xfrm>
                            <a:off x="16109" y="10164"/>
                            <a:ext cx="15734" cy="8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57DD" w:rsidRPr="0017437D" w:rsidRDefault="008B57DD" w:rsidP="00AE1F55">
                              <w:pPr>
                                <w:pStyle w:val="NormalWeb"/>
                                <w:spacing w:before="0" w:beforeAutospacing="0" w:after="0" w:afterAutospacing="0"/>
                                <w:rPr>
                                  <w:sz w:val="20"/>
                                  <w:szCs w:val="20"/>
                                </w:rPr>
                              </w:pPr>
                              <w:r w:rsidRPr="0017437D">
                                <w:rPr>
                                  <w:rFonts w:ascii="Arial" w:hAnsi="Arial" w:cs="Arial"/>
                                  <w:color w:val="000000" w:themeColor="text1"/>
                                  <w:kern w:val="24"/>
                                  <w:sz w:val="20"/>
                                  <w:szCs w:val="20"/>
                                  <w:lang w:val="en-GB"/>
                                </w:rPr>
                                <w:t>County</w:t>
                              </w:r>
                            </w:p>
                            <w:p w:rsidR="008B57DD" w:rsidRPr="0017437D" w:rsidRDefault="008B57DD" w:rsidP="00AE1F55">
                              <w:pPr>
                                <w:pStyle w:val="NormalWeb"/>
                                <w:spacing w:before="0" w:beforeAutospacing="0" w:after="0" w:afterAutospacing="0"/>
                                <w:rPr>
                                  <w:sz w:val="20"/>
                                  <w:szCs w:val="20"/>
                                </w:rPr>
                              </w:pPr>
                              <w:r w:rsidRPr="0017437D">
                                <w:rPr>
                                  <w:rFonts w:ascii="Arial" w:hAnsi="Arial" w:cs="Arial"/>
                                  <w:color w:val="000000" w:themeColor="text1"/>
                                  <w:kern w:val="24"/>
                                  <w:sz w:val="20"/>
                                  <w:szCs w:val="20"/>
                                  <w:lang w:val="en-GB"/>
                                </w:rPr>
                                <w:t>Zones</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3E4F6EEA" id="Group 41" o:spid="_x0000_s1026" style="width:366pt;height:262.5pt;mso-position-horizontal-relative:char;mso-position-vertical-relative:line" coordorigin="7467,10164" coordsize="85693,57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">
                <v:shape id="Picture 256" o:spid="_x0000_s1027" type="#_x0000_t75" alt="internal_zones.jpg" style="position:absolute;left:9626;top:10231;width:83534;height:57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xlOfDAAAA3AAAAA8AAABkcnMvZG93bnJldi54bWxEj9GKwjAURN8F/yFcYd80XZWyVKMsgiLs&#10;g1j3A67Nta02N6VJNfv3G0HwcZiZM8xyHUwj7tS52rKCz0kCgriwuuZSwe9pO/4C4TyyxsYyKfgj&#10;B+vVcLDETNsHH+me+1JECLsMFVTet5mUrqjIoJvYljh6F9sZ9FF2pdQdPiLcNHKaJKk0WHNcqLCl&#10;TUXFLe+NgtCb2a7Pw/acFnveXdOD+2kvSn2MwvcChKfg3+FXe68VTJM5PM/EI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U58MAAADcAAAADwAAAAAAAAAAAAAAAACf&#10;AgAAZHJzL2Rvd25yZXYueG1sUEsFBgAAAAAEAAQA9wAAAI8DAAAAAA==&#10;">
                  <v:imagedata r:id="rId40" o:title="internal_zones"/>
                  <v:path arrowok="t"/>
                </v:shape>
                <v:line id="Straight Connector 257" o:spid="_x0000_s1028" style="position:absolute;visibility:visible;mso-wrap-style:square" from="7467,11608" to="14674,1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58N8MAAADcAAAADwAAAGRycy9kb3ducmV2LnhtbESPQWvCQBSE74L/YXmFXkQ3FRSJWaVY&#10;Az22moPHR/aZTZt9G7JrkvbXd4WCx2FmvmGy/Wgb0VPna8cKXhYJCOLS6ZorBcU5n29A+ICssXFM&#10;Cn7Iw343nWSYajfwJ/WnUIkIYZ+iAhNCm0rpS0MW/cK1xNG7us5iiLKrpO5wiHDbyGWSrKXFmuOC&#10;wZYOhsrv080q+JC2OJZfxvOvPYe3Pr/QDJ1Sz0/j6xZEoDE8wv/td61gmazgfiYeAb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efDfDAAAA3AAAAA8AAAAAAAAAAAAA&#10;AAAAoQIAAGRycy9kb3ducmV2LnhtbFBLBQYAAAAABAAEAPkAAACRAwAAAAA=&#10;" strokecolor="#0070c0" strokeweight="2.5pt"/>
                <v:line id="Straight Connector 258" o:spid="_x0000_s1029" style="position:absolute;visibility:visible;mso-wrap-style:square" from="7467,14482" to="14674,1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BQ68UAAADcAAAADwAAAGRycy9kb3ducmV2LnhtbESPQWvCQBSE74X+h+UVvNWNARNJXSUU&#10;hKqnakuvj+wzic2+DbvbGP31bqHQ4zAz3zDL9Wg6MZDzrWUFs2kCgriyuuVawcdx87wA4QOyxs4y&#10;KbiSh/Xq8WGJhbYXfqfhEGoRIewLVNCE0BdS+qohg35qe+LonawzGKJ0tdQOLxFuOpkmSSYNthwX&#10;GuzptaHq+/BjFCyq3dmVebmdzT/7/Dak+2zzlSs1eRrLFxCBxvAf/mu/aQVpksHvmXg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BQ68UAAADcAAAADwAAAAAAAAAA&#10;AAAAAAChAgAAZHJzL2Rvd25yZXYueG1sUEsFBgAAAAAEAAQA+QAAAJMDAAAAAA==&#10;" strokecolor="black [3213]"/>
                <v:shapetype id="_x0000_t202" coordsize="21600,21600" o:spt="202" path="m,l,21600r21600,l21600,xe">
                  <v:stroke joinstyle="miter"/>
                  <v:path gradientshapeok="t" o:connecttype="rect"/>
                </v:shapetype>
                <v:shape id="TextBox 64" o:spid="_x0000_s1030" type="#_x0000_t202" style="position:absolute;left:16109;top:10164;width:15734;height:8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8B57DD" w:rsidRPr="0017437D" w:rsidRDefault="008B57DD" w:rsidP="00AE1F55">
                        <w:pPr>
                          <w:pStyle w:val="NormalWeb"/>
                          <w:spacing w:before="0" w:beforeAutospacing="0" w:after="0" w:afterAutospacing="0"/>
                          <w:rPr>
                            <w:sz w:val="20"/>
                            <w:szCs w:val="20"/>
                          </w:rPr>
                        </w:pPr>
                        <w:r w:rsidRPr="0017437D">
                          <w:rPr>
                            <w:rFonts w:ascii="Arial" w:hAnsi="Arial" w:cs="Arial"/>
                            <w:color w:val="000000" w:themeColor="text1"/>
                            <w:kern w:val="24"/>
                            <w:sz w:val="20"/>
                            <w:szCs w:val="20"/>
                            <w:lang w:val="en-GB"/>
                          </w:rPr>
                          <w:t>County</w:t>
                        </w:r>
                      </w:p>
                      <w:p w:rsidR="008B57DD" w:rsidRPr="0017437D" w:rsidRDefault="008B57DD" w:rsidP="00AE1F55">
                        <w:pPr>
                          <w:pStyle w:val="NormalWeb"/>
                          <w:spacing w:before="0" w:beforeAutospacing="0" w:after="0" w:afterAutospacing="0"/>
                          <w:rPr>
                            <w:sz w:val="20"/>
                            <w:szCs w:val="20"/>
                          </w:rPr>
                        </w:pPr>
                        <w:r w:rsidRPr="0017437D">
                          <w:rPr>
                            <w:rFonts w:ascii="Arial" w:hAnsi="Arial" w:cs="Arial"/>
                            <w:color w:val="000000" w:themeColor="text1"/>
                            <w:kern w:val="24"/>
                            <w:sz w:val="20"/>
                            <w:szCs w:val="20"/>
                            <w:lang w:val="en-GB"/>
                          </w:rPr>
                          <w:t>Zones</w:t>
                        </w:r>
                      </w:p>
                    </w:txbxContent>
                  </v:textbox>
                </v:shape>
                <w10:anchorlock/>
              </v:group>
            </w:pict>
          </mc:Fallback>
        </mc:AlternateContent>
      </w:r>
    </w:p>
    <w:p w:rsidR="004A60B7" w:rsidRPr="00A42D28" w:rsidRDefault="004A60B7" w:rsidP="00A4081F">
      <w:pPr>
        <w:pStyle w:val="NumberedParas"/>
      </w:pPr>
      <w:r w:rsidRPr="00A42D28">
        <w:t xml:space="preserve">This is supplemented by the external zones being specified at the relevant NUTS level as indicated in the study brief. The external zone detail is compatible with Trans-Tool zoning through either aggregation, or disaggregation, of the Trans-Tool zones. Figure </w:t>
      </w:r>
      <w:r w:rsidR="0017437D">
        <w:t>2</w:t>
      </w:r>
      <w:r w:rsidRPr="00A42D28">
        <w:t>.</w:t>
      </w:r>
      <w:r w:rsidR="0017437D">
        <w:t>5</w:t>
      </w:r>
      <w:r w:rsidRPr="00A42D28">
        <w:t xml:space="preserve"> shows the external zone system.</w:t>
      </w:r>
    </w:p>
    <w:p w:rsidR="004A60B7" w:rsidRPr="0017437D" w:rsidRDefault="004A60B7" w:rsidP="004A60B7">
      <w:pPr>
        <w:pStyle w:val="Body"/>
        <w:spacing w:before="120"/>
        <w:contextualSpacing/>
        <w:rPr>
          <w:rFonts w:cs="Arial"/>
          <w:b/>
          <w:i w:val="0"/>
        </w:rPr>
      </w:pPr>
      <w:r w:rsidRPr="0017437D">
        <w:rPr>
          <w:rFonts w:cs="Arial"/>
          <w:b/>
          <w:i w:val="0"/>
        </w:rPr>
        <w:t xml:space="preserve">Figure </w:t>
      </w:r>
      <w:r w:rsidR="0017437D" w:rsidRPr="0017437D">
        <w:rPr>
          <w:rFonts w:cs="Arial"/>
          <w:b/>
          <w:i w:val="0"/>
        </w:rPr>
        <w:t>2</w:t>
      </w:r>
      <w:r w:rsidRPr="0017437D">
        <w:rPr>
          <w:rFonts w:cs="Arial"/>
          <w:b/>
          <w:i w:val="0"/>
        </w:rPr>
        <w:t>.</w:t>
      </w:r>
      <w:r w:rsidR="0017437D" w:rsidRPr="0017437D">
        <w:rPr>
          <w:rFonts w:cs="Arial"/>
          <w:b/>
          <w:i w:val="0"/>
        </w:rPr>
        <w:t>5</w:t>
      </w:r>
      <w:r w:rsidRPr="0017437D">
        <w:rPr>
          <w:rFonts w:cs="Arial"/>
          <w:b/>
          <w:i w:val="0"/>
        </w:rPr>
        <w:t xml:space="preserve"> NTM External Zone system</w:t>
      </w:r>
    </w:p>
    <w:p w:rsidR="004A60B7" w:rsidRPr="00A42D28" w:rsidRDefault="004A60B7" w:rsidP="004A60B7">
      <w:pPr>
        <w:spacing w:before="120" w:after="120" w:line="276" w:lineRule="auto"/>
        <w:ind w:left="680"/>
        <w:contextualSpacing/>
        <w:rPr>
          <w:rFonts w:cs="Arial"/>
          <w:sz w:val="22"/>
          <w:szCs w:val="22"/>
        </w:rPr>
      </w:pPr>
      <w:r>
        <w:rPr>
          <w:rFonts w:cs="Arial"/>
          <w:noProof/>
          <w:sz w:val="22"/>
          <w:szCs w:val="22"/>
          <w:lang w:val="ro-RO" w:eastAsia="ro-RO"/>
        </w:rPr>
        <w:drawing>
          <wp:inline distT="0" distB="0" distL="0" distR="0" wp14:anchorId="392FD7CD" wp14:editId="7B769555">
            <wp:extent cx="5456619" cy="3153103"/>
            <wp:effectExtent l="0" t="0" r="0" b="9525"/>
            <wp:docPr id="34" name="Picture 16" descr="external_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_zones.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463750" cy="3157223"/>
                    </a:xfrm>
                    <a:prstGeom prst="rect">
                      <a:avLst/>
                    </a:prstGeom>
                    <a:noFill/>
                    <a:ln w="9525">
                      <a:noFill/>
                      <a:miter lim="800000"/>
                      <a:headEnd/>
                      <a:tailEnd/>
                    </a:ln>
                  </pic:spPr>
                </pic:pic>
              </a:graphicData>
            </a:graphic>
          </wp:inline>
        </w:drawing>
      </w:r>
    </w:p>
    <w:p w:rsidR="004A60B7" w:rsidRPr="00A42D28" w:rsidRDefault="004A60B7" w:rsidP="002C33B7">
      <w:pPr>
        <w:pStyle w:val="Hdg3"/>
      </w:pPr>
      <w:bookmarkStart w:id="21" w:name="_Toc395520242"/>
      <w:r w:rsidRPr="00A42D28">
        <w:t>NTM Model Segmentation</w:t>
      </w:r>
      <w:bookmarkEnd w:id="21"/>
      <w:r w:rsidRPr="00A42D28">
        <w:t xml:space="preserve"> and Transport Networks</w:t>
      </w:r>
    </w:p>
    <w:p w:rsidR="004A60B7" w:rsidRPr="00A42D28" w:rsidRDefault="004A60B7" w:rsidP="00A4081F">
      <w:pPr>
        <w:pStyle w:val="NumberedParas"/>
      </w:pPr>
      <w:r w:rsidRPr="00A42D28">
        <w:t>The NTM considers demand at the following levels of segmentation:</w:t>
      </w:r>
    </w:p>
    <w:p w:rsidR="004A60B7" w:rsidRPr="00A42D28" w:rsidRDefault="004A60B7" w:rsidP="00273D5E">
      <w:pPr>
        <w:pStyle w:val="BulletLevel1"/>
      </w:pPr>
      <w:r w:rsidRPr="00A42D28">
        <w:t>Passenger Demand (Domestic and International) by:</w:t>
      </w:r>
    </w:p>
    <w:p w:rsidR="004A60B7" w:rsidRPr="00A42D28" w:rsidRDefault="004A60B7" w:rsidP="00273D5E">
      <w:pPr>
        <w:pStyle w:val="BulletLevel1"/>
      </w:pPr>
      <w:r w:rsidRPr="00A42D28">
        <w:t>Car availability (CA/NCA);</w:t>
      </w:r>
    </w:p>
    <w:p w:rsidR="004A60B7" w:rsidRPr="00A42D28" w:rsidRDefault="004A60B7" w:rsidP="00273D5E">
      <w:pPr>
        <w:pStyle w:val="BulletLevel1"/>
      </w:pPr>
      <w:r w:rsidRPr="00A42D28">
        <w:t>Trip purpose: Business, Commuting, Personal and Vacation/Leisure; and</w:t>
      </w:r>
    </w:p>
    <w:p w:rsidR="004A60B7" w:rsidRPr="00A42D28" w:rsidRDefault="004A60B7" w:rsidP="00273D5E">
      <w:pPr>
        <w:pStyle w:val="BulletLevel1"/>
      </w:pPr>
      <w:r w:rsidRPr="00A42D28">
        <w:t>Mode of travel: Car, Rail, Bus, Air and Ferry where available</w:t>
      </w:r>
    </w:p>
    <w:p w:rsidR="004A60B7" w:rsidRPr="00A42D28" w:rsidRDefault="004A60B7" w:rsidP="00273D5E">
      <w:pPr>
        <w:pStyle w:val="BulletLevel1"/>
      </w:pPr>
      <w:r w:rsidRPr="00A42D28">
        <w:t>Freight demand by:</w:t>
      </w:r>
    </w:p>
    <w:p w:rsidR="004A60B7" w:rsidRPr="00A42D28" w:rsidRDefault="004A60B7" w:rsidP="00273D5E">
      <w:pPr>
        <w:pStyle w:val="BulletLevel1"/>
      </w:pPr>
      <w:r w:rsidRPr="00A42D28">
        <w:t>Commodity (16 separate commodities);</w:t>
      </w:r>
    </w:p>
    <w:p w:rsidR="004A60B7" w:rsidRPr="00A42D28" w:rsidRDefault="004A60B7" w:rsidP="00273D5E">
      <w:pPr>
        <w:pStyle w:val="BulletLevel1"/>
      </w:pPr>
      <w:r w:rsidRPr="00A42D28">
        <w:t>Container and general freight; and</w:t>
      </w:r>
    </w:p>
    <w:p w:rsidR="004A60B7" w:rsidRPr="00A42D28" w:rsidRDefault="004A60B7" w:rsidP="00273D5E">
      <w:pPr>
        <w:pStyle w:val="BulletLevel1"/>
      </w:pPr>
      <w:r w:rsidRPr="00A42D28">
        <w:t>Mode: Road, Rail, Water and air for international movements</w:t>
      </w:r>
    </w:p>
    <w:p w:rsidR="004A60B7" w:rsidRPr="00A42D28" w:rsidRDefault="004A60B7" w:rsidP="00A4081F">
      <w:pPr>
        <w:pStyle w:val="NumberedParas"/>
      </w:pPr>
      <w:r w:rsidRPr="00A42D28">
        <w:t>The NTM includes representations of the following transport networks for carriage of passengers and freight:</w:t>
      </w:r>
    </w:p>
    <w:p w:rsidR="004A60B7" w:rsidRPr="00A42D28" w:rsidRDefault="004A60B7" w:rsidP="00273D5E">
      <w:pPr>
        <w:pStyle w:val="BulletLevel1"/>
      </w:pPr>
      <w:r w:rsidRPr="00A42D28">
        <w:t>Highway network – passenger cars, passenger bus services, light and heavy goods vehicles;</w:t>
      </w:r>
    </w:p>
    <w:p w:rsidR="004A60B7" w:rsidRPr="00A42D28" w:rsidRDefault="004A60B7" w:rsidP="00273D5E">
      <w:pPr>
        <w:pStyle w:val="BulletLevel1"/>
      </w:pPr>
      <w:r w:rsidRPr="00A42D28">
        <w:t>Rail network – rail passenger services (region, interregio and intercity) and rail freight services;</w:t>
      </w:r>
    </w:p>
    <w:p w:rsidR="004A60B7" w:rsidRPr="00A42D28" w:rsidRDefault="004A60B7" w:rsidP="00273D5E">
      <w:pPr>
        <w:pStyle w:val="BulletLevel1"/>
      </w:pPr>
      <w:r w:rsidRPr="00A42D28">
        <w:t>Air network – air passenger services and air freight services;</w:t>
      </w:r>
    </w:p>
    <w:p w:rsidR="004A60B7" w:rsidRPr="00A42D28" w:rsidRDefault="004A60B7" w:rsidP="00273D5E">
      <w:pPr>
        <w:pStyle w:val="BulletLevel1"/>
      </w:pPr>
      <w:r w:rsidRPr="00A42D28">
        <w:t>Waterway network – freight; and</w:t>
      </w:r>
    </w:p>
    <w:p w:rsidR="004A60B7" w:rsidRPr="00A42D28" w:rsidRDefault="004A60B7" w:rsidP="00273D5E">
      <w:pPr>
        <w:pStyle w:val="BulletLevel1"/>
      </w:pPr>
      <w:r w:rsidRPr="00A42D28">
        <w:t>Intermodal facilities.</w:t>
      </w:r>
    </w:p>
    <w:p w:rsidR="004A60B7" w:rsidRPr="00A42D28" w:rsidRDefault="004A60B7" w:rsidP="00A4081F">
      <w:pPr>
        <w:pStyle w:val="NumberedParas"/>
        <w:rPr>
          <w:b/>
        </w:rPr>
      </w:pPr>
      <w:r w:rsidRPr="00A42D28">
        <w:t xml:space="preserve">The NTM highway network, Figure </w:t>
      </w:r>
      <w:r w:rsidR="002C33B7">
        <w:t>2.6</w:t>
      </w:r>
      <w:r w:rsidRPr="00A42D28">
        <w:t xml:space="preserve">, contains all motorways and National Roads in Romania, the more heavily used county roads and some local roads to ensure connectivity from zones to the highway network. The rail network, Figure </w:t>
      </w:r>
      <w:r w:rsidR="002C33B7">
        <w:t>2.7</w:t>
      </w:r>
      <w:r w:rsidRPr="00A42D28">
        <w:t xml:space="preserve">, includes all stations and rail links on which passenger rail services operate. Finally the waterway network, Figure </w:t>
      </w:r>
      <w:r w:rsidR="002C33B7">
        <w:t>2.8</w:t>
      </w:r>
      <w:r w:rsidRPr="00A42D28">
        <w:t>, is comprised of the Danube and the channels between Constanta and the Danube, and all the ports along the Danube both in Romania and other countries through which it travels.</w:t>
      </w:r>
    </w:p>
    <w:p w:rsidR="004A60B7" w:rsidRPr="002C33B7" w:rsidRDefault="002C33B7" w:rsidP="002C33B7">
      <w:pPr>
        <w:pStyle w:val="Body"/>
        <w:keepNext/>
        <w:spacing w:before="120"/>
        <w:ind w:left="851"/>
        <w:contextualSpacing/>
        <w:rPr>
          <w:rFonts w:cs="Arial"/>
          <w:i w:val="0"/>
        </w:rPr>
      </w:pPr>
      <w:r>
        <w:rPr>
          <w:rFonts w:cs="Arial"/>
          <w:b/>
          <w:i w:val="0"/>
        </w:rPr>
        <w:t>Figure 2.6</w:t>
      </w:r>
      <w:r w:rsidR="004A60B7" w:rsidRPr="002C33B7">
        <w:rPr>
          <w:rFonts w:cs="Arial"/>
          <w:b/>
          <w:i w:val="0"/>
        </w:rPr>
        <w:t xml:space="preserve"> NTM</w:t>
      </w:r>
      <w:r w:rsidR="004A60B7" w:rsidRPr="00A42D28">
        <w:rPr>
          <w:rFonts w:cs="Arial"/>
          <w:b/>
        </w:rPr>
        <w:t xml:space="preserve"> </w:t>
      </w:r>
      <w:r w:rsidR="004A60B7" w:rsidRPr="002C33B7">
        <w:rPr>
          <w:rFonts w:cs="Arial"/>
          <w:b/>
          <w:i w:val="0"/>
        </w:rPr>
        <w:t>Internal Highway Network</w:t>
      </w:r>
    </w:p>
    <w:p w:rsidR="006C52DC" w:rsidRDefault="004A60B7" w:rsidP="00A4081F">
      <w:pPr>
        <w:pStyle w:val="NumberedParas"/>
        <w:numPr>
          <w:ilvl w:val="0"/>
          <w:numId w:val="0"/>
        </w:numPr>
        <w:ind w:left="851"/>
      </w:pPr>
      <w:r>
        <w:rPr>
          <w:noProof/>
          <w:lang w:val="ro-RO" w:eastAsia="ro-RO"/>
        </w:rPr>
        <w:drawing>
          <wp:inline distT="0" distB="0" distL="0" distR="0" wp14:anchorId="0F4BD11F" wp14:editId="6AA253AC">
            <wp:extent cx="4488872" cy="3188946"/>
            <wp:effectExtent l="0" t="0" r="0" b="0"/>
            <wp:docPr id="33" name="Picture 17" descr="Romania_HW_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mania_HW_Network.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508103" cy="3202608"/>
                    </a:xfrm>
                    <a:prstGeom prst="rect">
                      <a:avLst/>
                    </a:prstGeom>
                    <a:noFill/>
                    <a:ln w="9525">
                      <a:noFill/>
                      <a:miter lim="800000"/>
                      <a:headEnd/>
                      <a:tailEnd/>
                    </a:ln>
                  </pic:spPr>
                </pic:pic>
              </a:graphicData>
            </a:graphic>
          </wp:inline>
        </w:drawing>
      </w:r>
      <w:r w:rsidR="006C52DC">
        <w:br w:type="page"/>
      </w:r>
    </w:p>
    <w:p w:rsidR="004A60B7" w:rsidRDefault="004A60B7" w:rsidP="00A4081F">
      <w:pPr>
        <w:pStyle w:val="NumberedParas"/>
        <w:numPr>
          <w:ilvl w:val="0"/>
          <w:numId w:val="0"/>
        </w:numPr>
      </w:pPr>
    </w:p>
    <w:p w:rsidR="004A60B7" w:rsidRPr="002C33B7" w:rsidRDefault="004A60B7" w:rsidP="002C33B7">
      <w:pPr>
        <w:pStyle w:val="Body"/>
        <w:spacing w:before="120"/>
        <w:ind w:left="851"/>
        <w:contextualSpacing/>
        <w:rPr>
          <w:rFonts w:cs="Arial"/>
          <w:b/>
          <w:i w:val="0"/>
        </w:rPr>
      </w:pPr>
      <w:r w:rsidRPr="002C33B7">
        <w:rPr>
          <w:rFonts w:cs="Arial"/>
          <w:b/>
          <w:i w:val="0"/>
        </w:rPr>
        <w:t xml:space="preserve">Figure </w:t>
      </w:r>
      <w:r w:rsidR="002C33B7">
        <w:rPr>
          <w:rFonts w:cs="Arial"/>
          <w:b/>
          <w:i w:val="0"/>
        </w:rPr>
        <w:t>2.7</w:t>
      </w:r>
      <w:r w:rsidRPr="002C33B7">
        <w:rPr>
          <w:rFonts w:cs="Arial"/>
          <w:b/>
          <w:i w:val="0"/>
        </w:rPr>
        <w:t xml:space="preserve"> NTM Internal Rail Network</w:t>
      </w:r>
    </w:p>
    <w:p w:rsidR="004A60B7" w:rsidRPr="00A42D28" w:rsidRDefault="007C5361" w:rsidP="002C33B7">
      <w:pPr>
        <w:spacing w:before="120" w:after="120" w:line="276" w:lineRule="auto"/>
        <w:ind w:firstLine="851"/>
        <w:contextualSpacing/>
        <w:rPr>
          <w:rFonts w:cs="Arial"/>
          <w:sz w:val="22"/>
          <w:szCs w:val="22"/>
        </w:rPr>
      </w:pPr>
      <w:r>
        <w:rPr>
          <w:rFonts w:cs="Arial"/>
          <w:noProof/>
          <w:sz w:val="22"/>
          <w:szCs w:val="22"/>
          <w:lang w:val="ro-RO" w:eastAsia="ro-RO"/>
        </w:rPr>
        <mc:AlternateContent>
          <mc:Choice Requires="wpg">
            <w:drawing>
              <wp:inline distT="0" distB="0" distL="0" distR="0" wp14:anchorId="7070DD46" wp14:editId="34E5C6EF">
                <wp:extent cx="5144770" cy="3855085"/>
                <wp:effectExtent l="11430" t="6350" r="6350" b="5715"/>
                <wp:docPr id="38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4770" cy="3855085"/>
                          <a:chOff x="10450" y="10189"/>
                          <a:chExt cx="56106" cy="41960"/>
                        </a:xfrm>
                      </wpg:grpSpPr>
                      <pic:pic xmlns:pic="http://schemas.openxmlformats.org/drawingml/2006/picture">
                        <pic:nvPicPr>
                          <pic:cNvPr id="198" name="Picture 260" descr="rail_sts.jpg"/>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10510" y="10189"/>
                            <a:ext cx="56046" cy="4196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g:cNvPr id="199" name="Group 261"/>
                        <wpg:cNvGrpSpPr>
                          <a:grpSpLocks/>
                        </wpg:cNvGrpSpPr>
                        <wpg:grpSpPr bwMode="auto">
                          <a:xfrm>
                            <a:off x="10450" y="10287"/>
                            <a:ext cx="11523" cy="6116"/>
                            <a:chOff x="10450" y="10287"/>
                            <a:chExt cx="11522" cy="6116"/>
                          </a:xfrm>
                        </wpg:grpSpPr>
                        <wps:wsp>
                          <wps:cNvPr id="200" name="TextBox 2"/>
                          <wps:cNvSpPr txBox="1">
                            <a:spLocks noChangeArrowheads="1"/>
                          </wps:cNvSpPr>
                          <wps:spPr bwMode="auto">
                            <a:xfrm>
                              <a:off x="10450" y="10287"/>
                              <a:ext cx="11523" cy="56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pPr>
                                <w:r>
                                  <w:rPr>
                                    <w:rFonts w:asciiTheme="minorHAnsi" w:hAnsi="Calibri" w:cstheme="minorBidi"/>
                                    <w:color w:val="000000" w:themeColor="text1"/>
                                    <w:kern w:val="24"/>
                                    <w:sz w:val="28"/>
                                    <w:szCs w:val="28"/>
                                    <w:lang w:val="en-GB"/>
                                  </w:rPr>
                                  <w:t>Legend</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Stations</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Rail lines</w:t>
                                </w:r>
                              </w:p>
                            </w:txbxContent>
                          </wps:txbx>
                          <wps:bodyPr rot="0" vert="horz" wrap="square" lIns="91440" tIns="45720" rIns="91440" bIns="45720" anchor="t" anchorCtr="0" upright="1">
                            <a:noAutofit/>
                          </wps:bodyPr>
                        </wps:wsp>
                        <wps:wsp>
                          <wps:cNvPr id="201" name="Oval 263"/>
                          <wps:cNvSpPr>
                            <a:spLocks noChangeArrowheads="1"/>
                          </wps:cNvSpPr>
                          <wps:spPr bwMode="auto">
                            <a:xfrm flipV="1">
                              <a:off x="19811" y="14742"/>
                              <a:ext cx="588" cy="585"/>
                            </a:xfrm>
                            <a:prstGeom prst="ellipse">
                              <a:avLst/>
                            </a:prstGeom>
                            <a:solidFill>
                              <a:srgbClr val="FF0000"/>
                            </a:solidFill>
                            <a:ln w="25400">
                              <a:solidFill>
                                <a:srgbClr val="FF0000"/>
                              </a:solidFill>
                              <a:round/>
                              <a:headEnd/>
                              <a:tailEnd/>
                            </a:ln>
                          </wps:spPr>
                          <wps:txbx>
                            <w:txbxContent>
                              <w:p w:rsidR="008B57DD" w:rsidRDefault="008B57DD" w:rsidP="00AE1F55"/>
                            </w:txbxContent>
                          </wps:txbx>
                          <wps:bodyPr rot="0" vert="horz" wrap="square" lIns="91440" tIns="45720" rIns="91440" bIns="45720" anchor="ctr" anchorCtr="0" upright="1">
                            <a:noAutofit/>
                          </wps:bodyPr>
                        </wps:wsp>
                        <wps:wsp>
                          <wps:cNvPr id="202" name="Straight Connector 264"/>
                          <wps:cNvCnPr/>
                          <wps:spPr bwMode="auto">
                            <a:xfrm>
                              <a:off x="19296" y="16403"/>
                              <a:ext cx="1440" cy="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xmlns:w15="http://schemas.microsoft.com/office/word/2012/wordml">
            <w:pict>
              <v:group w14:anchorId="7070DD46" id="Group 8" o:spid="_x0000_s1031" style="width:405.1pt;height:303.55pt;mso-position-horizontal-relative:char;mso-position-vertical-relative:line" coordorigin="10450,10189" coordsize="56106,41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">
                <v:shape id="Picture 260" o:spid="_x0000_s1032" type="#_x0000_t75" alt="rail_sts.jpg" style="position:absolute;left:10510;top:10189;width:56046;height:41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8gfHAAAA3AAAAA8AAABkcnMvZG93bnJldi54bWxEj0FvwjAMhe+T9h8iI+02UjZtQCGgCgmJ&#10;SVzG4MDNNKataJwuyaDbr58Pk3az9Z7f+zxf9q5VVwqx8WxgNMxAEZfeNlwZ2H+sHyegYkK22Hom&#10;A98UYbm4v5tjbv2N3+m6S5WSEI45GqhT6nKtY1mTwzj0HbFoZx8cJllDpW3Am4S7Vj9l2at22LA0&#10;1NjRqqbysvtyBk5jl3HYvP0Uzy/99rD+bIrjdmXMw6AvZqAS9enf/He9sYI/FVp5Rib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l8gfHAAAA3AAAAA8AAAAAAAAAAAAA&#10;AAAAnwIAAGRycy9kb3ducmV2LnhtbFBLBQYAAAAABAAEAPcAAACTAwAAAAA=&#10;" stroked="t" strokecolor="black [3213]">
                  <v:imagedata r:id="rId44" o:title="rail_sts"/>
                  <v:path arrowok="t"/>
                </v:shape>
                <v:group id="Group 261" o:spid="_x0000_s1033" style="position:absolute;left:10450;top:10287;width:11523;height:6116" coordorigin="10450,10287" coordsize="11522,6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TextBox 2" o:spid="_x0000_s1034" type="#_x0000_t202" style="position:absolute;left:10450;top:10287;width:11523;height:5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fFcEA&#10;AADcAAAADwAAAGRycy9kb3ducmV2LnhtbESPSwvCMBCE74L/IazgTVM9qFSj+EAQ0YMPxOPSrG2x&#10;2ZQmav33RhA8DjPzDTOZ1aYQT6pcbllBrxuBIE6szjlVcD6tOyMQziNrLCyTgjc5mE2bjQnG2r74&#10;QM+jT0WAsItRQeZ9GUvpkowMuq4tiYN3s5VBH2SVSl3hK8BNIftRNJAGcw4LGZa0zCi5Hx9Gweb0&#10;3h6Gy/3AbBer6+4i3WW92inVbtXzMQhPtf+Hf+2NVhCI8D0TjoC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U3xXBAAAA3AAAAA8AAAAAAAAAAAAAAAAAmAIAAGRycy9kb3du&#10;cmV2LnhtbFBLBQYAAAAABAAEAPUAAACGAwAAAAA=&#10;" filled="f" strokecolor="black [3213]">
                    <v:textbox>
                      <w:txbxContent>
                        <w:p w:rsidR="008B57DD" w:rsidRDefault="008B57DD" w:rsidP="00AE1F55">
                          <w:pPr>
                            <w:pStyle w:val="NormalWeb"/>
                            <w:spacing w:before="0" w:beforeAutospacing="0" w:after="0" w:afterAutospacing="0"/>
                          </w:pPr>
                          <w:r>
                            <w:rPr>
                              <w:rFonts w:asciiTheme="minorHAnsi" w:hAnsi="Calibri" w:cstheme="minorBidi"/>
                              <w:color w:val="000000" w:themeColor="text1"/>
                              <w:kern w:val="24"/>
                              <w:sz w:val="28"/>
                              <w:szCs w:val="28"/>
                              <w:lang w:val="en-GB"/>
                            </w:rPr>
                            <w:t>Legend</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Stations</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Rail lines</w:t>
                          </w:r>
                        </w:p>
                      </w:txbxContent>
                    </v:textbox>
                  </v:shape>
                  <v:oval id="Oval 263" o:spid="_x0000_s1035" style="position:absolute;left:19811;top:14742;width:588;height:58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GcYA&#10;AADcAAAADwAAAGRycy9kb3ducmV2LnhtbESPQWvCQBSE74X+h+UJ3urGgFZSV5EGa+il1PbQ42v2&#10;mQSzb8Pu1iT/visIHoeZ+YZZbwfTigs531hWMJ8lIIhLqxuuFHx/7Z9WIHxA1thaJgUjedhuHh/W&#10;mGnb8yddjqESEcI+QwV1CF0mpS9rMuhntiOO3sk6gyFKV0ntsI9w08o0SZbSYMNxocaOXmsqz8c/&#10;o+D5Z3xb/ZphcS4/Qv/uivyw2+dKTSfD7gVEoCHcw7d2oRWkyRyuZ+IR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UGcYAAADcAAAADwAAAAAAAAAAAAAAAACYAgAAZHJz&#10;L2Rvd25yZXYueG1sUEsFBgAAAAAEAAQA9QAAAIsDAAAAAA==&#10;" fillcolor="red" strokecolor="red" strokeweight="2pt">
                    <v:textbox>
                      <w:txbxContent>
                        <w:p w:rsidR="008B57DD" w:rsidRDefault="008B57DD" w:rsidP="00AE1F55"/>
                      </w:txbxContent>
                    </v:textbox>
                  </v:oval>
                  <v:line id="Straight Connector 264" o:spid="_x0000_s1036" style="position:absolute;visibility:visible;mso-wrap-style:square" from="19296,16403" to="20736,16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oeIcYAAADcAAAADwAAAGRycy9kb3ducmV2LnhtbESPQWvCQBSE70L/w/IKvUizMWKqaVYp&#10;LQUvIk092Nsj+5qEZt+G7NbEf+8KgsdhZr5h8s1oWnGi3jWWFcyiGARxaXXDlYLD9+fzEoTzyBpb&#10;y6TgTA4264dJjpm2A3/RqfCVCBB2GSqove8yKV1Zk0EX2Y44eL+2N+iD7CupexwC3LQyieNUGmw4&#10;LNTY0XtN5V/xbxR8HNKhWFWLl+lsvhtXvE+OPzuj1NPj+PYKwtPo7+Fbe6sVJHEC1zPhCM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6HiHGAAAA3AAAAA8AAAAAAAAA&#10;AAAAAAAAoQIAAGRycy9kb3ducmV2LnhtbFBLBQYAAAAABAAEAPkAAACUAwAAAAA=&#10;" strokecolor="black [3213]" strokeweight="1pt"/>
                </v:group>
                <w10:anchorlock/>
              </v:group>
            </w:pict>
          </mc:Fallback>
        </mc:AlternateContent>
      </w:r>
    </w:p>
    <w:p w:rsidR="004A60B7" w:rsidRPr="002C33B7" w:rsidRDefault="004A60B7" w:rsidP="002C33B7">
      <w:pPr>
        <w:pStyle w:val="Body"/>
        <w:spacing w:before="120"/>
        <w:ind w:left="851"/>
        <w:contextualSpacing/>
        <w:rPr>
          <w:rFonts w:cs="Arial"/>
          <w:b/>
          <w:i w:val="0"/>
        </w:rPr>
      </w:pPr>
      <w:r w:rsidRPr="002C33B7">
        <w:rPr>
          <w:rFonts w:cs="Arial"/>
          <w:b/>
          <w:i w:val="0"/>
        </w:rPr>
        <w:t xml:space="preserve">Figure </w:t>
      </w:r>
      <w:r w:rsidR="002C33B7">
        <w:rPr>
          <w:rFonts w:cs="Arial"/>
          <w:b/>
          <w:i w:val="0"/>
        </w:rPr>
        <w:t>2.8</w:t>
      </w:r>
      <w:r w:rsidRPr="002C33B7">
        <w:rPr>
          <w:rFonts w:cs="Arial"/>
          <w:b/>
          <w:i w:val="0"/>
        </w:rPr>
        <w:t xml:space="preserve"> NTM Waterway Network</w:t>
      </w:r>
    </w:p>
    <w:p w:rsidR="004A60B7" w:rsidRPr="008E03B0" w:rsidRDefault="007C5361" w:rsidP="00A4081F">
      <w:pPr>
        <w:pStyle w:val="NumberedParas"/>
        <w:numPr>
          <w:ilvl w:val="0"/>
          <w:numId w:val="0"/>
        </w:numPr>
        <w:ind w:left="851"/>
      </w:pPr>
      <w:r>
        <w:rPr>
          <w:noProof/>
          <w:lang w:val="ro-RO" w:eastAsia="ro-RO"/>
        </w:rPr>
        <mc:AlternateContent>
          <mc:Choice Requires="wpg">
            <w:drawing>
              <wp:inline distT="0" distB="0" distL="0" distR="0" wp14:anchorId="6E0D8614" wp14:editId="17DDA381">
                <wp:extent cx="4972050" cy="3390900"/>
                <wp:effectExtent l="11430" t="8890" r="7620" b="10160"/>
                <wp:docPr id="38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3390900"/>
                          <a:chOff x="10247" y="9932"/>
                          <a:chExt cx="72679" cy="49503"/>
                        </a:xfrm>
                      </wpg:grpSpPr>
                      <pic:pic xmlns:pic="http://schemas.openxmlformats.org/drawingml/2006/picture">
                        <pic:nvPicPr>
                          <pic:cNvPr id="381" name="Picture 265" descr="danube_ports.jpg"/>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10324" y="9932"/>
                            <a:ext cx="72602" cy="4950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382" name="TextBox 9"/>
                        <wps:cNvSpPr txBox="1">
                          <a:spLocks noChangeArrowheads="1"/>
                        </wps:cNvSpPr>
                        <wps:spPr bwMode="auto">
                          <a:xfrm>
                            <a:off x="10247" y="10043"/>
                            <a:ext cx="21052" cy="788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pPr>
                              <w:r>
                                <w:rPr>
                                  <w:rFonts w:asciiTheme="minorHAnsi" w:hAnsi="Calibri" w:cstheme="minorBidi"/>
                                  <w:color w:val="000000" w:themeColor="text1"/>
                                  <w:kern w:val="24"/>
                                  <w:sz w:val="28"/>
                                  <w:szCs w:val="28"/>
                                  <w:lang w:val="en-GB"/>
                                </w:rPr>
                                <w:t>Legend</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Waterways</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6E0D8614" id="Group 200" o:spid="_x0000_s1037" style="width:391.5pt;height:267pt;mso-position-horizontal-relative:char;mso-position-vertical-relative:line" coordorigin="10247,9932" coordsize="72679,49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">
                <v:shape id="Picture 265" o:spid="_x0000_s1038" type="#_x0000_t75" alt="danube_ports.jpg" style="position:absolute;left:10324;top:9932;width:72602;height:49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PT0bBAAAA3AAAAA8AAABkcnMvZG93bnJldi54bWxEj0FrAjEUhO8F/0N4Qm81q0JZVqOIUlBv&#10;tYLXx+a5Wdy8xCTVrb/eFAo9DjPzDTNf9rYTNwqxdaxgPCpAENdOt9woOH59vJUgYkLW2DkmBT8U&#10;YbkYvMyx0u7On3Q7pEZkCMcKFZiUfCVlrA1ZjCPnibN3dsFiyjI0Uge8Z7jt5KQo3qXFlvOCQU9r&#10;Q/Xl8G0VeAo0NeX1QTFs/GR32vsY9kq9DvvVDESiPv2H/9pbrWBajuH3TD4C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NPT0bBAAAA3AAAAA8AAAAAAAAAAAAAAAAAnwIA&#10;AGRycy9kb3ducmV2LnhtbFBLBQYAAAAABAAEAPcAAACNAwAAAAA=&#10;" stroked="t" strokecolor="black [3213]">
                  <v:imagedata r:id="rId46" o:title="danube_ports"/>
                  <v:path arrowok="t"/>
                </v:shape>
                <v:shape id="TextBox 9" o:spid="_x0000_s1039" type="#_x0000_t202" style="position:absolute;left:10247;top:10043;width:21052;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oPsUA&#10;AADcAAAADwAAAGRycy9kb3ducmV2LnhtbESPT4vCMBTE74LfIbyFvWm6FbRUo6wVQUQP/kE8Pppn&#10;W7Z5KU3U+u03Cwseh5n5DTNbdKYWD2pdZVnB1zACQZxbXXGh4HxaDxIQziNrrC2Tghc5WMz7vRmm&#10;2j75QI+jL0SAsEtRQel9k0rp8pIMuqFtiIN3s61BH2RbSN3iM8BNLeMoGkuDFYeFEhvKSsp/jnej&#10;YHN6bQ+TbD822+XqurtId1mvdkp9fnTfUxCeOv8O/7c3WsEoieHvTD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Og+xQAAANwAAAAPAAAAAAAAAAAAAAAAAJgCAABkcnMv&#10;ZG93bnJldi54bWxQSwUGAAAAAAQABAD1AAAAigMAAAAA&#10;" filled="f" strokecolor="black [3213]">
                  <v:textbox>
                    <w:txbxContent>
                      <w:p w:rsidR="008B57DD" w:rsidRDefault="008B57DD" w:rsidP="00AE1F55">
                        <w:pPr>
                          <w:pStyle w:val="NormalWeb"/>
                          <w:spacing w:before="0" w:beforeAutospacing="0" w:after="0" w:afterAutospacing="0"/>
                        </w:pPr>
                        <w:r>
                          <w:rPr>
                            <w:rFonts w:asciiTheme="minorHAnsi" w:hAnsi="Calibri" w:cstheme="minorBidi"/>
                            <w:color w:val="000000" w:themeColor="text1"/>
                            <w:kern w:val="24"/>
                            <w:sz w:val="28"/>
                            <w:szCs w:val="28"/>
                            <w:lang w:val="en-GB"/>
                          </w:rPr>
                          <w:t>Legend</w:t>
                        </w:r>
                      </w:p>
                      <w:p w:rsidR="008B57DD" w:rsidRDefault="008B57DD" w:rsidP="00AE1F55">
                        <w:pPr>
                          <w:pStyle w:val="NormalWeb"/>
                          <w:spacing w:before="0" w:beforeAutospacing="0" w:after="0" w:afterAutospacing="0"/>
                        </w:pPr>
                        <w:r>
                          <w:rPr>
                            <w:rFonts w:asciiTheme="minorHAnsi" w:hAnsi="Calibri" w:cstheme="minorBidi"/>
                            <w:color w:val="000000" w:themeColor="text1"/>
                            <w:kern w:val="24"/>
                            <w:lang w:val="en-GB"/>
                          </w:rPr>
                          <w:t>Waterways</w:t>
                        </w:r>
                      </w:p>
                    </w:txbxContent>
                  </v:textbox>
                </v:shape>
                <w10:anchorlock/>
              </v:group>
            </w:pict>
          </mc:Fallback>
        </mc:AlternateContent>
      </w:r>
    </w:p>
    <w:p w:rsidR="004A60B7" w:rsidRPr="00A42D28" w:rsidRDefault="004A60B7" w:rsidP="00A4081F">
      <w:pPr>
        <w:pStyle w:val="NumberedParas"/>
      </w:pPr>
      <w:r w:rsidRPr="00A42D28">
        <w:t>The NTM also includes a representation of air travel through a network comprised of all airports in Romania and links representing all flights from each airport in Romania to all destinations served by direct flights.</w:t>
      </w:r>
    </w:p>
    <w:p w:rsidR="004A60B7" w:rsidRPr="00A42D28" w:rsidRDefault="004A60B7" w:rsidP="00A53FF1">
      <w:pPr>
        <w:pStyle w:val="Hdg3"/>
      </w:pPr>
      <w:bookmarkStart w:id="22" w:name="_Toc395520244"/>
      <w:r w:rsidRPr="00A42D28">
        <w:t>NTM Structure</w:t>
      </w:r>
      <w:bookmarkEnd w:id="22"/>
    </w:p>
    <w:p w:rsidR="004A60B7" w:rsidRPr="00A42D28" w:rsidRDefault="004A60B7" w:rsidP="00A4081F">
      <w:pPr>
        <w:pStyle w:val="NumberedParas"/>
      </w:pPr>
      <w:r w:rsidRPr="00A42D28">
        <w:t xml:space="preserve">Figures </w:t>
      </w:r>
      <w:r w:rsidR="00B41B3C">
        <w:t>2.9</w:t>
      </w:r>
      <w:r w:rsidRPr="00A42D28">
        <w:t xml:space="preserve"> and </w:t>
      </w:r>
      <w:r w:rsidR="00B41B3C">
        <w:t>2.10</w:t>
      </w:r>
      <w:r w:rsidRPr="00A42D28">
        <w:t xml:space="preserve"> show the main components of the model. These are the domestic and international passenger demand model, and the freight demand model (domestic/international). The domestic and international passenger models use the same structure but the coefficients for the demand models are different and reflect the differing characteristics of the travellers making each type of trip.</w:t>
      </w:r>
    </w:p>
    <w:p w:rsidR="004A60B7" w:rsidRPr="00B41B3C" w:rsidRDefault="004A60B7" w:rsidP="00B41B3C">
      <w:pPr>
        <w:pStyle w:val="Body"/>
        <w:spacing w:before="120"/>
        <w:ind w:left="851"/>
        <w:contextualSpacing/>
        <w:rPr>
          <w:rFonts w:cs="Arial"/>
          <w:b/>
          <w:i w:val="0"/>
        </w:rPr>
      </w:pPr>
      <w:r w:rsidRPr="00B41B3C">
        <w:rPr>
          <w:rFonts w:cs="Arial"/>
          <w:b/>
          <w:i w:val="0"/>
        </w:rPr>
        <w:t>Fig</w:t>
      </w:r>
      <w:r w:rsidR="00B41B3C">
        <w:rPr>
          <w:rFonts w:cs="Arial"/>
          <w:b/>
          <w:i w:val="0"/>
        </w:rPr>
        <w:t>ure 2.9</w:t>
      </w:r>
      <w:r w:rsidRPr="00B41B3C">
        <w:rPr>
          <w:rFonts w:cs="Arial"/>
          <w:b/>
          <w:i w:val="0"/>
        </w:rPr>
        <w:t xml:space="preserve"> Passenger Model Structure</w:t>
      </w:r>
    </w:p>
    <w:p w:rsidR="004A60B7" w:rsidRPr="00A42D28" w:rsidRDefault="007C5361" w:rsidP="0017437D">
      <w:r>
        <w:rPr>
          <w:noProof/>
          <w:lang w:val="ro-RO" w:eastAsia="ro-RO"/>
        </w:rPr>
        <mc:AlternateContent>
          <mc:Choice Requires="wpg">
            <w:drawing>
              <wp:inline distT="0" distB="0" distL="0" distR="0" wp14:anchorId="2CD65778" wp14:editId="35E654A3">
                <wp:extent cx="6515100" cy="4438650"/>
                <wp:effectExtent l="1270" t="3810" r="8255" b="0"/>
                <wp:docPr id="478"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4438650"/>
                          <a:chOff x="3897" y="7760"/>
                          <a:chExt cx="85593" cy="60749"/>
                        </a:xfrm>
                      </wpg:grpSpPr>
                      <wps:wsp>
                        <wps:cNvPr id="479" name="Rounded Rectangle 267"/>
                        <wps:cNvSpPr>
                          <a:spLocks noChangeArrowheads="1"/>
                        </wps:cNvSpPr>
                        <wps:spPr bwMode="auto">
                          <a:xfrm>
                            <a:off x="3897" y="7760"/>
                            <a:ext cx="85594" cy="55014"/>
                          </a:xfrm>
                          <a:prstGeom prst="roundRect">
                            <a:avLst>
                              <a:gd name="adj" fmla="val 6458"/>
                            </a:avLst>
                          </a:prstGeom>
                          <a:solidFill>
                            <a:srgbClr val="63C1DF"/>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B57DD" w:rsidRDefault="008B57DD" w:rsidP="00AE1F55"/>
                          </w:txbxContent>
                        </wps:txbx>
                        <wps:bodyPr rot="0" vert="horz" wrap="square" lIns="91440" tIns="45720" rIns="91440" bIns="45720" anchor="ctr" anchorCtr="0" upright="1">
                          <a:noAutofit/>
                        </wps:bodyPr>
                      </wps:wsp>
                      <wpg:grpSp>
                        <wpg:cNvPr id="35" name="Group 269"/>
                        <wpg:cNvGrpSpPr>
                          <a:grpSpLocks/>
                        </wpg:cNvGrpSpPr>
                        <wpg:grpSpPr bwMode="auto">
                          <a:xfrm>
                            <a:off x="19014" y="9690"/>
                            <a:ext cx="51300" cy="52110"/>
                            <a:chOff x="19014" y="9690"/>
                            <a:chExt cx="51845" cy="53285"/>
                          </a:xfrm>
                        </wpg:grpSpPr>
                        <wps:wsp>
                          <wps:cNvPr id="36" name="Rounded Rectangle 270"/>
                          <wps:cNvSpPr>
                            <a:spLocks noChangeArrowheads="1"/>
                          </wps:cNvSpPr>
                          <wps:spPr bwMode="auto">
                            <a:xfrm>
                              <a:off x="44217" y="16171"/>
                              <a:ext cx="19442" cy="3601"/>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Generation</w:t>
                                </w:r>
                              </w:p>
                            </w:txbxContent>
                          </wps:txbx>
                          <wps:bodyPr rot="0" vert="horz" wrap="square" lIns="0" tIns="45720" rIns="0" bIns="45720" anchor="ctr" anchorCtr="0" upright="1">
                            <a:noAutofit/>
                          </wps:bodyPr>
                        </wps:wsp>
                        <wps:wsp>
                          <wps:cNvPr id="57" name="Rounded Rectangle 271"/>
                          <wps:cNvSpPr>
                            <a:spLocks noChangeArrowheads="1"/>
                          </wps:cNvSpPr>
                          <wps:spPr bwMode="auto">
                            <a:xfrm>
                              <a:off x="46377" y="29133"/>
                              <a:ext cx="15198" cy="5027"/>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Mode Choice</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 Rail / Air / Bus / Ferry</w:t>
                                </w:r>
                              </w:p>
                            </w:txbxContent>
                          </wps:txbx>
                          <wps:bodyPr rot="0" vert="horz" wrap="square" lIns="36000" tIns="45720" rIns="36000" bIns="45720" anchor="ctr" anchorCtr="0" upright="1">
                            <a:noAutofit/>
                          </wps:bodyPr>
                        </wps:wsp>
                        <wps:wsp>
                          <wps:cNvPr id="58" name="Rounded Rectangle 272"/>
                          <wps:cNvSpPr>
                            <a:spLocks noChangeArrowheads="1"/>
                          </wps:cNvSpPr>
                          <wps:spPr bwMode="auto">
                            <a:xfrm>
                              <a:off x="46377" y="9690"/>
                              <a:ext cx="15198"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Domestic Passenger Demands </w:t>
                                </w:r>
                              </w:p>
                            </w:txbxContent>
                          </wps:txbx>
                          <wps:bodyPr rot="0" vert="horz" wrap="square" lIns="36000" tIns="45720" rIns="36000" bIns="45720" anchor="ctr" anchorCtr="0" upright="1">
                            <a:noAutofit/>
                          </wps:bodyPr>
                        </wps:wsp>
                        <wps:wsp>
                          <wps:cNvPr id="60" name="Rounded Rectangle 273"/>
                          <wps:cNvSpPr>
                            <a:spLocks noChangeArrowheads="1"/>
                          </wps:cNvSpPr>
                          <wps:spPr bwMode="auto">
                            <a:xfrm>
                              <a:off x="37016" y="37053"/>
                              <a:ext cx="15122" cy="5041"/>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person trips converted Vehicle Trips</w:t>
                                </w:r>
                              </w:p>
                            </w:txbxContent>
                          </wps:txbx>
                          <wps:bodyPr rot="0" vert="horz" wrap="square" lIns="36000" tIns="45720" rIns="36000" bIns="45720" anchor="ctr" anchorCtr="0" upright="1">
                            <a:noAutofit/>
                          </wps:bodyPr>
                        </wps:wsp>
                        <wps:wsp>
                          <wps:cNvPr id="68" name="Rounded Rectangle 274"/>
                          <wps:cNvSpPr>
                            <a:spLocks noChangeArrowheads="1"/>
                          </wps:cNvSpPr>
                          <wps:spPr bwMode="auto">
                            <a:xfrm>
                              <a:off x="19014" y="10051"/>
                              <a:ext cx="9316"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Network</w:t>
                                </w:r>
                              </w:p>
                            </w:txbxContent>
                          </wps:txbx>
                          <wps:bodyPr rot="0" vert="horz" wrap="square" lIns="91440" tIns="45720" rIns="36000" bIns="45720" anchor="ctr" anchorCtr="0" upright="1">
                            <a:noAutofit/>
                          </wps:bodyPr>
                        </wps:wsp>
                        <wps:wsp>
                          <wps:cNvPr id="92" name="Rounded Rectangle 275"/>
                          <wps:cNvSpPr>
                            <a:spLocks noChangeArrowheads="1"/>
                          </wps:cNvSpPr>
                          <wps:spPr bwMode="auto">
                            <a:xfrm>
                              <a:off x="30895" y="10051"/>
                              <a:ext cx="9001"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Network &amp; Lines</w:t>
                                </w:r>
                              </w:p>
                            </w:txbxContent>
                          </wps:txbx>
                          <wps:bodyPr rot="0" vert="horz" wrap="square" lIns="91440" tIns="45720" rIns="36000" bIns="45720" anchor="ctr" anchorCtr="0" upright="1">
                            <a:noAutofit/>
                          </wps:bodyPr>
                        </wps:wsp>
                        <wps:wsp>
                          <wps:cNvPr id="93" name="Rounded Rectangle 276"/>
                          <wps:cNvSpPr>
                            <a:spLocks noChangeArrowheads="1"/>
                          </wps:cNvSpPr>
                          <wps:spPr bwMode="auto">
                            <a:xfrm>
                              <a:off x="21472" y="16171"/>
                              <a:ext cx="13384" cy="3679"/>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Initial Highway</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 </w:t>
                                </w:r>
                                <w:proofErr w:type="gramStart"/>
                                <w:r>
                                  <w:rPr>
                                    <w:rFonts w:asciiTheme="minorHAnsi" w:hAnsi="Calibri" w:cstheme="minorBidi"/>
                                    <w:color w:val="000000" w:themeColor="text1"/>
                                    <w:kern w:val="24"/>
                                    <w:sz w:val="20"/>
                                    <w:szCs w:val="20"/>
                                    <w:lang w:val="en-GB"/>
                                  </w:rPr>
                                  <w:t>&amp;  PT</w:t>
                                </w:r>
                                <w:proofErr w:type="gramEnd"/>
                                <w:r>
                                  <w:rPr>
                                    <w:rFonts w:asciiTheme="minorHAnsi" w:hAnsi="Calibri" w:cstheme="minorBidi"/>
                                    <w:color w:val="000000" w:themeColor="text1"/>
                                    <w:kern w:val="24"/>
                                    <w:sz w:val="20"/>
                                    <w:szCs w:val="20"/>
                                    <w:lang w:val="en-GB"/>
                                  </w:rPr>
                                  <w:t xml:space="preserve"> Cost  Skims</w:t>
                                </w:r>
                              </w:p>
                            </w:txbxContent>
                          </wps:txbx>
                          <wps:bodyPr rot="0" vert="horz" wrap="square" lIns="36000" tIns="45720" rIns="36000" bIns="45720" anchor="ctr" anchorCtr="0" upright="1">
                            <a:noAutofit/>
                          </wps:bodyPr>
                        </wps:wsp>
                        <wps:wsp>
                          <wps:cNvPr id="352" name="Elbow Connector 277"/>
                          <wps:cNvCnPr>
                            <a:cxnSpLocks noChangeShapeType="1"/>
                          </wps:cNvCnPr>
                          <wps:spPr bwMode="auto">
                            <a:xfrm rot="16200000" flipH="1">
                              <a:off x="24644" y="12651"/>
                              <a:ext cx="2548" cy="4492"/>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53" name="Elbow Connector 278"/>
                          <wps:cNvCnPr>
                            <a:cxnSpLocks noChangeShapeType="1"/>
                          </wps:cNvCnPr>
                          <wps:spPr bwMode="auto">
                            <a:xfrm rot="5400000">
                              <a:off x="30506" y="11281"/>
                              <a:ext cx="2548" cy="7231"/>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54" name="Elbow Connector 279"/>
                          <wps:cNvCnPr>
                            <a:cxnSpLocks noChangeShapeType="1"/>
                          </wps:cNvCnPr>
                          <wps:spPr bwMode="auto">
                            <a:xfrm rot="5400000">
                              <a:off x="52502" y="14698"/>
                              <a:ext cx="2909" cy="38"/>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55" name="Rounded Rectangle 280"/>
                          <wps:cNvSpPr>
                            <a:spLocks noChangeArrowheads="1"/>
                          </wps:cNvSpPr>
                          <wps:spPr bwMode="auto">
                            <a:xfrm>
                              <a:off x="57178" y="37053"/>
                              <a:ext cx="13606" cy="5041"/>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Passenger trips</w:t>
                                </w:r>
                              </w:p>
                            </w:txbxContent>
                          </wps:txbx>
                          <wps:bodyPr rot="0" vert="horz" wrap="square" lIns="36000" tIns="45720" rIns="36000" bIns="45720" anchor="ctr" anchorCtr="0" upright="1">
                            <a:noAutofit/>
                          </wps:bodyPr>
                        </wps:wsp>
                        <wps:wsp>
                          <wps:cNvPr id="356" name="Elbow Connector 281"/>
                          <wps:cNvCnPr>
                            <a:cxnSpLocks noChangeShapeType="1"/>
                          </wps:cNvCnPr>
                          <wps:spPr bwMode="auto">
                            <a:xfrm rot="5400000">
                              <a:off x="47830" y="30907"/>
                              <a:ext cx="2893" cy="9399"/>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57" name="Elbow Connector 282"/>
                          <wps:cNvCnPr>
                            <a:cxnSpLocks noChangeShapeType="1"/>
                          </wps:cNvCnPr>
                          <wps:spPr bwMode="auto">
                            <a:xfrm rot="16200000" flipH="1">
                              <a:off x="57532" y="30604"/>
                              <a:ext cx="2893" cy="10005"/>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58" name="Rounded Rectangle 283"/>
                          <wps:cNvSpPr>
                            <a:spLocks noChangeArrowheads="1"/>
                          </wps:cNvSpPr>
                          <wps:spPr bwMode="auto">
                            <a:xfrm>
                              <a:off x="57898" y="52175"/>
                              <a:ext cx="12962"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Assignments</w:t>
                                </w:r>
                              </w:p>
                            </w:txbxContent>
                          </wps:txbx>
                          <wps:bodyPr rot="0" vert="horz" wrap="square" lIns="91440" tIns="45720" rIns="36000" bIns="45720" anchor="ctr" anchorCtr="0" upright="1">
                            <a:noAutofit/>
                          </wps:bodyPr>
                        </wps:wsp>
                        <wps:wsp>
                          <wps:cNvPr id="362" name="Rounded Rectangle 284"/>
                          <wps:cNvSpPr>
                            <a:spLocks noChangeArrowheads="1"/>
                          </wps:cNvSpPr>
                          <wps:spPr bwMode="auto">
                            <a:xfrm>
                              <a:off x="47097" y="44974"/>
                              <a:ext cx="14402"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Time Period Factors</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24 hr – Period</w:t>
                                </w:r>
                              </w:p>
                            </w:txbxContent>
                          </wps:txbx>
                          <wps:bodyPr rot="0" vert="horz" wrap="square" lIns="91440" tIns="45720" rIns="36000" bIns="45720" anchor="ctr" anchorCtr="0" upright="1">
                            <a:noAutofit/>
                          </wps:bodyPr>
                        </wps:wsp>
                        <wps:wsp>
                          <wps:cNvPr id="363" name="Rounded Rectangle 285"/>
                          <wps:cNvSpPr>
                            <a:spLocks noChangeArrowheads="1"/>
                          </wps:cNvSpPr>
                          <wps:spPr bwMode="auto">
                            <a:xfrm>
                              <a:off x="37016" y="52175"/>
                              <a:ext cx="15122" cy="3572"/>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Assignments</w:t>
                                </w:r>
                              </w:p>
                            </w:txbxContent>
                          </wps:txbx>
                          <wps:bodyPr rot="0" vert="horz" wrap="square" lIns="91440" tIns="45720" rIns="36000" bIns="45720" anchor="ctr" anchorCtr="0" upright="1">
                            <a:noAutofit/>
                          </wps:bodyPr>
                        </wps:wsp>
                        <wps:wsp>
                          <wps:cNvPr id="364" name="Rounded Rectangle 286"/>
                          <wps:cNvSpPr>
                            <a:spLocks noChangeArrowheads="1"/>
                          </wps:cNvSpPr>
                          <wps:spPr bwMode="auto">
                            <a:xfrm>
                              <a:off x="37016" y="58656"/>
                              <a:ext cx="15122" cy="3600"/>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Costs</w:t>
                                </w:r>
                              </w:p>
                            </w:txbxContent>
                          </wps:txbx>
                          <wps:bodyPr rot="0" vert="horz" wrap="square" lIns="0" tIns="45720" rIns="0" bIns="45720" anchor="ctr" anchorCtr="0" upright="1">
                            <a:noAutofit/>
                          </wps:bodyPr>
                        </wps:wsp>
                        <wps:wsp>
                          <wps:cNvPr id="365" name="Rounded Rectangle 287"/>
                          <wps:cNvSpPr>
                            <a:spLocks noChangeArrowheads="1"/>
                          </wps:cNvSpPr>
                          <wps:spPr bwMode="auto">
                            <a:xfrm>
                              <a:off x="57898" y="58656"/>
                              <a:ext cx="12962" cy="4320"/>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C Costs</w:t>
                                </w:r>
                              </w:p>
                            </w:txbxContent>
                          </wps:txbx>
                          <wps:bodyPr rot="0" vert="horz" wrap="square" lIns="36000" tIns="45720" rIns="36000" bIns="45720" anchor="ctr" anchorCtr="0" upright="1">
                            <a:noAutofit/>
                          </wps:bodyPr>
                        </wps:wsp>
                        <wps:wsp>
                          <wps:cNvPr id="366" name="Elbow Connector 320"/>
                          <wps:cNvCnPr>
                            <a:cxnSpLocks noChangeShapeType="1"/>
                          </wps:cNvCnPr>
                          <wps:spPr bwMode="auto">
                            <a:xfrm rot="16200000" flipH="1">
                              <a:off x="47998" y="38673"/>
                              <a:ext cx="2880" cy="9721"/>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67" name="Elbow Connector 321"/>
                          <wps:cNvCnPr>
                            <a:cxnSpLocks noChangeShapeType="1"/>
                          </wps:cNvCnPr>
                          <wps:spPr bwMode="auto">
                            <a:xfrm rot="5400000">
                              <a:off x="57700" y="38692"/>
                              <a:ext cx="2880" cy="9683"/>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68" name="Elbow Connector 322"/>
                          <wps:cNvCnPr>
                            <a:cxnSpLocks noChangeShapeType="1"/>
                          </wps:cNvCnPr>
                          <wps:spPr bwMode="auto">
                            <a:xfrm rot="5400000">
                              <a:off x="47623" y="45500"/>
                              <a:ext cx="3629" cy="9721"/>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69" name="Elbow Connector 323"/>
                          <wps:cNvCnPr>
                            <a:cxnSpLocks noChangeShapeType="1"/>
                          </wps:cNvCnPr>
                          <wps:spPr bwMode="auto">
                            <a:xfrm rot="16200000" flipH="1">
                              <a:off x="57524" y="45320"/>
                              <a:ext cx="3629" cy="10081"/>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0" name="Elbow Connector 324"/>
                          <wps:cNvCnPr>
                            <a:cxnSpLocks noChangeShapeType="1"/>
                          </wps:cNvCnPr>
                          <wps:spPr bwMode="auto">
                            <a:xfrm rot="5400000">
                              <a:off x="43123" y="57201"/>
                              <a:ext cx="2908" cy="127"/>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1" name="Elbow Connector 325"/>
                          <wps:cNvCnPr>
                            <a:cxnSpLocks noChangeShapeType="1"/>
                          </wps:cNvCnPr>
                          <wps:spPr bwMode="auto">
                            <a:xfrm rot="5400000">
                              <a:off x="62925" y="57201"/>
                              <a:ext cx="2908" cy="127"/>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2" name="Shape 66"/>
                          <wps:cNvCnPr>
                            <a:cxnSpLocks noChangeShapeType="1"/>
                          </wps:cNvCnPr>
                          <wps:spPr bwMode="auto">
                            <a:xfrm rot="10800000">
                              <a:off x="28164" y="19850"/>
                              <a:ext cx="8852" cy="40606"/>
                            </a:xfrm>
                            <a:prstGeom prst="bentConnector2">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3" name="Elbow Connector 327"/>
                          <wps:cNvCnPr>
                            <a:cxnSpLocks noChangeShapeType="1"/>
                          </wps:cNvCnPr>
                          <wps:spPr bwMode="auto">
                            <a:xfrm flipV="1">
                              <a:off x="34856" y="17971"/>
                              <a:ext cx="9361" cy="40"/>
                            </a:xfrm>
                            <a:prstGeom prst="bentConnector3">
                              <a:avLst>
                                <a:gd name="adj1" fmla="val 5000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4" name="Elbow Connector 328"/>
                          <wps:cNvCnPr>
                            <a:cxnSpLocks noChangeShapeType="1"/>
                          </wps:cNvCnPr>
                          <wps:spPr bwMode="auto">
                            <a:xfrm rot="10800000" flipH="1">
                              <a:off x="37016" y="31646"/>
                              <a:ext cx="9361" cy="28810"/>
                            </a:xfrm>
                            <a:prstGeom prst="bentConnector3">
                              <a:avLst>
                                <a:gd name="adj1" fmla="val -24421"/>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5" name="Elbow Connector 329"/>
                          <wps:cNvCnPr>
                            <a:cxnSpLocks noChangeShapeType="1"/>
                          </wps:cNvCnPr>
                          <wps:spPr bwMode="auto">
                            <a:xfrm flipH="1" flipV="1">
                              <a:off x="63659" y="17971"/>
                              <a:ext cx="7201" cy="42845"/>
                            </a:xfrm>
                            <a:prstGeom prst="bentConnector3">
                              <a:avLst>
                                <a:gd name="adj1" fmla="val -31745"/>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6" name="Elbow Connector 330"/>
                          <wps:cNvCnPr>
                            <a:cxnSpLocks noChangeShapeType="1"/>
                          </wps:cNvCnPr>
                          <wps:spPr bwMode="auto">
                            <a:xfrm flipH="1" flipV="1">
                              <a:off x="61575" y="31646"/>
                              <a:ext cx="9285" cy="29170"/>
                            </a:xfrm>
                            <a:prstGeom prst="bentConnector3">
                              <a:avLst>
                                <a:gd name="adj1" fmla="val -2462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7" name="Rounded Rectangle 331"/>
                          <wps:cNvSpPr>
                            <a:spLocks noChangeArrowheads="1"/>
                          </wps:cNvSpPr>
                          <wps:spPr bwMode="auto">
                            <a:xfrm>
                              <a:off x="46377" y="22652"/>
                              <a:ext cx="15198" cy="3600"/>
                            </a:xfrm>
                            <a:prstGeom prst="roundRect">
                              <a:avLst>
                                <a:gd name="adj" fmla="val 16667"/>
                              </a:avLst>
                            </a:prstGeom>
                            <a:noFill/>
                            <a:ln w="2540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Distribution</w:t>
                                </w:r>
                              </w:p>
                            </w:txbxContent>
                          </wps:txbx>
                          <wps:bodyPr rot="0" vert="horz" wrap="square" lIns="36000" tIns="45720" rIns="36000" bIns="45720" anchor="ctr" anchorCtr="0" upright="1">
                            <a:noAutofit/>
                          </wps:bodyPr>
                        </wps:wsp>
                        <wps:wsp>
                          <wps:cNvPr id="378" name="Elbow Connector 332"/>
                          <wps:cNvCnPr>
                            <a:cxnSpLocks noChangeShapeType="1"/>
                          </wps:cNvCnPr>
                          <wps:spPr bwMode="auto">
                            <a:xfrm rot="10800000" flipH="1">
                              <a:off x="37016" y="24452"/>
                              <a:ext cx="9361" cy="36004"/>
                            </a:xfrm>
                            <a:prstGeom prst="bentConnector3">
                              <a:avLst>
                                <a:gd name="adj1" fmla="val -24421"/>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379" name="Elbow Connector 333"/>
                          <wps:cNvCnPr>
                            <a:cxnSpLocks noChangeShapeType="1"/>
                          </wps:cNvCnPr>
                          <wps:spPr bwMode="auto">
                            <a:xfrm flipH="1" flipV="1">
                              <a:off x="61575" y="24452"/>
                              <a:ext cx="9285" cy="36364"/>
                            </a:xfrm>
                            <a:prstGeom prst="bentConnector3">
                              <a:avLst>
                                <a:gd name="adj1" fmla="val -24620"/>
                              </a:avLst>
                            </a:prstGeom>
                            <a:noFill/>
                            <a:ln w="9525">
                              <a:solidFill>
                                <a:schemeClr val="bg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g:grpSp>
                    </wpg:wgp>
                  </a:graphicData>
                </a:graphic>
              </wp:inline>
            </w:drawing>
          </mc:Choice>
          <mc:Fallback xmlns:w15="http://schemas.microsoft.com/office/word/2012/wordml">
            <w:pict>
              <v:group w14:anchorId="2CD65778" id="Group 201" o:spid="_x0000_s1040" style="width:513pt;height:349.5pt;mso-position-horizontal-relative:char;mso-position-vertical-relative:line" coordorigin="3897,7760" coordsize="85593,60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">
                <v:roundrect id="Rounded Rectangle 267" o:spid="_x0000_s1041" style="position:absolute;left:3897;top:7760;width:85594;height:55014;visibility:visible;mso-wrap-style:square;v-text-anchor:middle" arcsize="42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v8MA&#10;AADcAAAADwAAAGRycy9kb3ducmV2LnhtbESPS2vCQBSF90L/w3AL7nSiFK2po5RawaUvfOwumdsk&#10;JHMnZMaY/HtHELo8nMfHmS9bU4qGapdbVjAaRiCIE6tzThUcD+vBJwjnkTWWlklBRw6Wi7feHGNt&#10;77yjZu9TEUbYxagg876KpXRJRgbd0FbEwfuztUEfZJ1KXeM9jJtSjqNoIg3mHAgZVvSTUVLsb+bJ&#10;LZrttUzPxS+fLnK0XXXr7qBU/739/gLhqfX/4Vd7oxV8TGf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I+v8MAAADcAAAADwAAAAAAAAAAAAAAAACYAgAAZHJzL2Rv&#10;d25yZXYueG1sUEsFBgAAAAAEAAQA9QAAAIgDAAAAAA==&#10;" fillcolor="#63c1df" stroked="f" strokeweight="2pt">
                  <v:textbox>
                    <w:txbxContent>
                      <w:p w:rsidR="008B57DD" w:rsidRDefault="008B57DD" w:rsidP="00AE1F55"/>
                    </w:txbxContent>
                  </v:textbox>
                </v:roundrect>
                <v:group id="Group 269" o:spid="_x0000_s1042" style="position:absolute;left:19014;top:9690;width:51300;height:52110" coordorigin="19014,9690" coordsize="51845,5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oundrect id="Rounded Rectangle 270" o:spid="_x0000_s1043" style="position:absolute;left:44217;top:16171;width:19442;height:36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Vl8UA&#10;AADbAAAADwAAAGRycy9kb3ducmV2LnhtbESPQWvCQBSE74X+h+UVehGzqUIq0VVKaaEnSVIRjy/Z&#10;ZxLMvg3ZrYn/vlsoeBxm5htms5tMJ640uNaygpcoBkFcWd1yreDw/TlfgXAeWWNnmRTcyMFu+/iw&#10;wVTbkXO6Fr4WAcIuRQWN930qpasaMugi2xMH72wHgz7IoZZ6wDHATScXcZxIgy2HhQZ7em+ouhQ/&#10;RsF+lrlZ/PqRlfl4yo+LZVsaLJR6fpre1iA8Tf4e/m9/aQXLBP6+hB8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RWXxQAAANsAAAAPAAAAAAAAAAAAAAAAAJgCAABkcnMv&#10;ZG93bnJldi54bWxQSwUGAAAAAAQABAD1AAAAigMAAAAA&#10;" filled="f" strokecolor="white [3212]" strokeweight="2pt">
                    <v:textbox inset="0,,0">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Generation</w:t>
                          </w:r>
                        </w:p>
                      </w:txbxContent>
                    </v:textbox>
                  </v:roundrect>
                  <v:roundrect id="Rounded Rectangle 271" o:spid="_x0000_s1044" style="position:absolute;left:46377;top:29133;width:15198;height:50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0XMUA&#10;AADbAAAADwAAAGRycy9kb3ducmV2LnhtbESPQWsCMRSE74L/ITyhF9Gsgq2sRhGhUA9SaltKb4/N&#10;c7O4eVmTdHf9902h4HGYmW+Y9ba3tWjJh8qxgtk0A0FcOF1xqeDj/XmyBBEissbaMSm4UYDtZjhY&#10;Y65dx2/UnmIpEoRDjgpMjE0uZSgMWQxT1xAn7+y8xZikL6X22CW4reU8yx6lxYrTgsGG9oaKy+nH&#10;KnCvV/osj2P/dTCX+XXGTdf230o9jPrdCkSkPt7D/+0XrWDxBH9f0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rRcxQAAANsAAAAPAAAAAAAAAAAAAAAAAJgCAABkcnMv&#10;ZG93bnJldi54bWxQSwUGAAAAAAQABAD1AAAAigM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Mode Choice</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 Rail / Air / Bus / Ferry</w:t>
                          </w:r>
                        </w:p>
                      </w:txbxContent>
                    </v:textbox>
                  </v:roundrect>
                  <v:roundrect id="Rounded Rectangle 272" o:spid="_x0000_s1045" style="position:absolute;left:46377;top:9690;width:15198;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gLsIA&#10;AADbAAAADwAAAGRycy9kb3ducmV2LnhtbERPz2vCMBS+D/Y/hDfwMjRVmIzOVMZA0IMMdWN4ezRv&#10;TWnzUpPYdv/9chA8fny/V+vRtqInH2rHCuazDARx6XTNlYKv02b6CiJEZI2tY1LwRwHWxePDCnPt&#10;Bj5Qf4yVSCEcclRgYuxyKUNpyGKYuY44cb/OW4wJ+kpqj0MKt61cZNlSWqw5NRjs6MNQ2RyvVoH7&#10;vNB3tX/2PzvTLC5z7oZ+PCs1eRrf30BEGuNdfHNvtYKXNDZ9ST9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JSAuwgAAANsAAAAPAAAAAAAAAAAAAAAAAJgCAABkcnMvZG93&#10;bnJldi54bWxQSwUGAAAAAAQABAD1AAAAhwM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Domestic Passenger Demands </w:t>
                          </w:r>
                        </w:p>
                      </w:txbxContent>
                    </v:textbox>
                  </v:roundrect>
                  <v:roundrect id="Rounded Rectangle 273" o:spid="_x0000_s1046" style="position:absolute;left:37016;top:37053;width:15122;height:5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lcEA&#10;AADbAAAADwAAAGRycy9kb3ducmV2LnhtbERPy4rCMBTdC/5DuMJsRFNdiFSjiCA4i2EYH4i7S3Nt&#10;is1NTTJt5+8ni4FZHs57ve1tLVryoXKsYDbNQBAXTldcKricD5MliBCRNdaOScEPBdhuhoM15tp1&#10;/EXtKZYihXDIUYGJscmlDIUhi2HqGuLEPZy3GBP0pdQeuxRuaznPsoW0WHFqMNjQ3lDxPH1bBe7z&#10;RdfyY+xv7+Y5f8246dr+rtTbqN+tQETq47/4z33UChZpffqSf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5pXBAAAA2wAAAA8AAAAAAAAAAAAAAAAAmAIAAGRycy9kb3du&#10;cmV2LnhtbFBLBQYAAAAABAAEAPUAAACGAw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person trips converted Vehicle Trips</w:t>
                          </w:r>
                        </w:p>
                      </w:txbxContent>
                    </v:textbox>
                  </v:roundrect>
                  <v:roundrect id="Rounded Rectangle 274" o:spid="_x0000_s1047" style="position:absolute;left:19014;top:10051;width:9316;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tWcAA&#10;AADbAAAADwAAAGRycy9kb3ducmV2LnhtbERPy4rCMBTdD/gP4QruxtRZFOkYpXQQRheCjw+4NLeP&#10;meSmNlGrX28WgsvDeS9WgzXiSr1vHSuYTRMQxKXTLdcKTsf15xyED8gajWNScCcPq+XoY4GZdjfe&#10;0/UQahFD2GeooAmhy6T0ZUMW/dR1xJGrXG8xRNjXUvd4i+HWyK8kSaXFlmNDgx0VDZX/h4tVIKtz&#10;ug1D92Me5yrJd39bU2xSpSbjIf8GEWgIb/HL/asVpHFs/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5tWcAAAADbAAAADwAAAAAAAAAAAAAAAACYAgAAZHJzL2Rvd25y&#10;ZXYueG1sUEsFBgAAAAAEAAQA9QAAAIUDAAAAAA==&#10;" filled="f" strokecolor="white [3212]" strokeweight="2pt">
                    <v:textbox inset=",,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Network</w:t>
                          </w:r>
                        </w:p>
                      </w:txbxContent>
                    </v:textbox>
                  </v:roundrect>
                  <v:roundrect id="Rounded Rectangle 275" o:spid="_x0000_s1048" style="position:absolute;left:30895;top:10051;width:9001;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qlMMA&#10;AADbAAAADwAAAGRycy9kb3ducmV2LnhtbESPzYoCMRCE78K+Q+iFvWlGD4POGkVcFlwPgj8P0Ex6&#10;ftakM06ijj69EQSPRVV9RU3nnTXiQq2vHSsYDhIQxLnTNZcKDvvf/hiED8gajWNScCMP89lHb4qZ&#10;dlfe0mUXShEh7DNUUIXQZFL6vCKLfuAa4ugVrrUYomxLqVu8Rrg1cpQkqbRYc1yosKFlRflxd7YK&#10;ZHFK16Frfsz9VCSLzf/aLP9Spb4+u8U3iEBdeIdf7ZVWMBnB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MqlMMAAADbAAAADwAAAAAAAAAAAAAAAACYAgAAZHJzL2Rv&#10;d25yZXYueG1sUEsFBgAAAAAEAAQA9QAAAIgDAAAAAA==&#10;" filled="f" strokecolor="white [3212]" strokeweight="2pt">
                    <v:textbox inset=",,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Network &amp; Lines</w:t>
                          </w:r>
                        </w:p>
                      </w:txbxContent>
                    </v:textbox>
                  </v:roundrect>
                  <v:roundrect id="Rounded Rectangle 276" o:spid="_x0000_s1049" style="position:absolute;left:21472;top:16171;width:13384;height:3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IxcUA&#10;AADbAAAADwAAAGRycy9kb3ducmV2LnhtbESPQWsCMRSE74L/ITyhF9GsCqWuRhGhUA9SaltKb4/N&#10;c7O4eVmTdHf9902h4HGYmW+Y9ba3tWjJh8qxgtk0A0FcOF1xqeDj/XnyBCJEZI21Y1JwowDbzXCw&#10;xly7jt+oPcVSJAiHHBWYGJtcylAYshimriFO3tl5izFJX0rtsUtwW8t5lj1KixWnBYMN7Q0Vl9OP&#10;VeBer/RZHsf+62Au8+uMm67tv5V6GPW7FYhIfbyH/9svWsFyAX9f0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AjFxQAAANsAAAAPAAAAAAAAAAAAAAAAAJgCAABkcnMv&#10;ZG93bnJldi54bWxQSwUGAAAAAAQABAD1AAAAigM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Initial Highway</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 &amp;  PT Cost  Skims</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77" o:spid="_x0000_s1050" type="#_x0000_t34" style="position:absolute;left:24644;top:12651;width:2548;height:449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5OO8UAAADcAAAADwAAAGRycy9kb3ducmV2LnhtbESPQWvCQBSE74L/YXmCN93UtFJTN0EU&#10;Sw9etAoeH9nXJDT7NuyuJv333ULB4zAz3zDrYjCtuJPzjWUFT/MEBHFpdcOVgvPnfvYKwgdkja1l&#10;UvBDHop8PFpjpm3PR7qfQiUihH2GCuoQukxKX9Zk0M9tRxy9L+sMhihdJbXDPsJNKxdJspQGG44L&#10;NXa0ran8Pt2MgsP1TGm/O7wfU7e7rTbh2V62V6Wmk2HzBiLQEB7h//aHVpC+LODvTDwCMv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5OO8UAAADcAAAADwAAAAAAAAAA&#10;AAAAAAChAgAAZHJzL2Rvd25yZXYueG1sUEsFBgAAAAAEAAQA+QAAAJMDAAAAAA==&#10;" strokecolor="white [3212]">
                    <v:stroke endarrow="open"/>
                  </v:shape>
                  <v:shape id="Elbow Connector 278" o:spid="_x0000_s1051" type="#_x0000_t34" style="position:absolute;left:30506;top:11281;width:2548;height:723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I1nsQAAADcAAAADwAAAGRycy9kb3ducmV2LnhtbESPzWrDMBCE74W8g9hAb43sBofgRgkh&#10;odBT2/xcettaW9nEWhlJjt23rwqBHIeZ+YZZbUbbiiv50DhWkM8yEMSV0w0bBefT69MSRIjIGlvH&#10;pOCXAmzWk4cVltoNfKDrMRqRIBxKVFDH2JVShqomi2HmOuLk/ThvMSbpjdQehwS3rXzOsoW02HBa&#10;qLGjXU3V5dhbBR/5/j0vjOE2uN73dvj6ps9CqcfpuH0BEWmM9/Ct/aYVzIs5/J9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8jWexAAAANwAAAAPAAAAAAAAAAAA&#10;AAAAAKECAABkcnMvZG93bnJldi54bWxQSwUGAAAAAAQABAD5AAAAkgMAAAAA&#10;" strokecolor="white [3212]">
                    <v:stroke endarrow="open"/>
                  </v:shape>
                  <v:shape id="Elbow Connector 279" o:spid="_x0000_s1052" type="#_x0000_t34" style="position:absolute;left:52502;top:14698;width:2909;height:3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t6sQAAADcAAAADwAAAGRycy9kb3ducmV2LnhtbESPzWrDMBCE74W8g9hAbo3spg7BjRJC&#10;Q6Cntvm59La1trKJtTKSHLtvXxUKPQ4z8w2z3o62FTfyoXGsIJ9nIIgrpxs2Ci7nw/0KRIjIGlvH&#10;pOCbAmw3k7s1ltoNfKTbKRqRIBxKVFDH2JVShqomi2HuOuLkfTlvMSbpjdQehwS3rXzIsqW02HBa&#10;qLGj55qq66m3Ct7y/WteGMNtcL3v7fDxSe+FUrPpuHsCEWmM/+G/9otWsCge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G63qxAAAANwAAAAPAAAAAAAAAAAA&#10;AAAAAKECAABkcnMvZG93bnJldi54bWxQSwUGAAAAAAQABAD5AAAAkgMAAAAA&#10;" strokecolor="white [3212]">
                    <v:stroke endarrow="open"/>
                  </v:shape>
                  <v:roundrect id="Rounded Rectangle 280" o:spid="_x0000_s1053" style="position:absolute;left:57178;top:37053;width:13606;height:5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4f8YA&#10;AADcAAAADwAAAGRycy9kb3ducmV2LnhtbESPQWsCMRSE7wX/Q3gFL0WzWixlaxQRBHsoUm2R3h6b&#10;183i5mVN0t313xuh4HGYmW+Y+bK3tWjJh8qxgsk4A0FcOF1xqeDrsBm9gggRWWPtmBRcKMByMXiY&#10;Y65dx5/U7mMpEoRDjgpMjE0uZSgMWQxj1xAn79d5izFJX0rtsUtwW8tplr1IixWnBYMNrQ0Vp/2f&#10;VeB2Z/ouP5788d2cpucJN13b/yg1fOxXbyAi9fEe/m9vtYLn2Qxu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w4f8YAAADcAAAADwAAAAAAAAAAAAAAAACYAgAAZHJz&#10;L2Rvd25yZXYueG1sUEsFBgAAAAAEAAQA9QAAAIsDA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Passenger trips</w:t>
                          </w:r>
                        </w:p>
                      </w:txbxContent>
                    </v:textbox>
                  </v:roundrect>
                  <v:shape id="Elbow Connector 281" o:spid="_x0000_s1054" type="#_x0000_t34" style="position:absolute;left:47830;top:30907;width:2893;height:939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WWBsQAAADcAAAADwAAAGRycy9kb3ducmV2LnhtbESPQWvCQBSE70L/w/IKvekmloikrlIU&#10;oadq1Utvr9nXTWj2bdjdmPTfdwWhx2FmvmFWm9G24ko+NI4V5LMMBHHldMNGweW8ny5BhIissXVM&#10;Cn4pwGb9MFlhqd3AH3Q9RSMShEOJCuoYu1LKUNVkMcxcR5y8b+ctxiS9kdrjkOC2lfMsW0iLDaeF&#10;Gjva1lT9nHqr4JDv3vPCGG6D631vh88vOhZKPT2Ory8gIo3xP3xvv2kFz8UCbmfSEZ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hZYGxAAAANwAAAAPAAAAAAAAAAAA&#10;AAAAAKECAABkcnMvZG93bnJldi54bWxQSwUGAAAAAAQABAD5AAAAkgMAAAAA&#10;" strokecolor="white [3212]">
                    <v:stroke endarrow="open"/>
                  </v:shape>
                  <v:shape id="Elbow Connector 282" o:spid="_x0000_s1055" type="#_x0000_t34" style="position:absolute;left:57532;top:30604;width:2893;height:1000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nto8UAAADcAAAADwAAAGRycy9kb3ducmV2LnhtbESPT2vCQBTE70K/w/IK3nTTpq0aXUUU&#10;iwcv/gOPj+wzCWbfht3VpN++KxR6HGbmN8xs0ZlaPMj5yrKCt2ECgji3uuJCwem4GYxB+ICssbZM&#10;Cn7Iw2L+0pthpm3Le3ocQiEihH2GCsoQmkxKn5dk0A9tQxy9q3UGQ5SukNphG+Gmlu9J8iUNVhwX&#10;SmxoVVJ+O9yNgt3lRGm73n3vU7e+T5bhw55XF6X6r91yCiJQF/7Df+2tVpB+juB5Jh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nto8UAAADcAAAADwAAAAAAAAAA&#10;AAAAAAChAgAAZHJzL2Rvd25yZXYueG1sUEsFBgAAAAAEAAQA+QAAAJMDAAAAAA==&#10;" strokecolor="white [3212]">
                    <v:stroke endarrow="open"/>
                  </v:shape>
                  <v:roundrect id="Rounded Rectangle 283" o:spid="_x0000_s1056" style="position:absolute;left:57898;top:52175;width:12962;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MT8EA&#10;AADcAAAADwAAAGRycy9kb3ducmV2LnhtbERPy4rCMBTdD/gP4QruxlRlilSjiCKoi4FRP+DS3D40&#10;ualN1OrXTxYDszyc93zZWSMe1PrasYLRMAFBnDtdc6ngfNp+TkH4gKzROCYFL/KwXPQ+5php9+Qf&#10;ehxDKWII+wwVVCE0mZQ+r8iiH7qGOHKFay2GCNtS6hafMdwaOU6SVFqsOTZU2NC6ovx6vFsFsril&#10;h9A1G/O+Fcnq+3Iw632q1KDfrWYgAnXhX/zn3mkFk6+4Np6JR0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wjE/BAAAA3AAAAA8AAAAAAAAAAAAAAAAAmAIAAGRycy9kb3du&#10;cmV2LnhtbFBLBQYAAAAABAAEAPUAAACGAwAAAAA=&#10;" filled="f" strokecolor="white [3212]" strokeweight="2pt">
                    <v:textbox inset=",,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Assignments</w:t>
                          </w:r>
                        </w:p>
                      </w:txbxContent>
                    </v:textbox>
                  </v:roundrect>
                  <v:roundrect id="Rounded Rectangle 284" o:spid="_x0000_s1057" style="position:absolute;left:47097;top:44974;width:14402;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RxGMQA&#10;AADcAAAADwAAAGRycy9kb3ducmV2LnhtbESPzYoCMRCE78K+Q+gFb5rRhUFmjSIuC64HwZ8HaCY9&#10;P2vSGSdRR5/eCILHoqq+oqbzzhpxodbXjhWMhgkI4tzpmksFh/3vYALCB2SNxjEpuJGH+eyjN8VM&#10;uytv6bILpYgQ9hkqqEJoMil9XpFFP3QNcfQK11oMUbal1C1eI9waOU6SVFqsOS5U2NCyovy4O1sF&#10;sjil69A1P+Z+KpLF5n9tln+pUv3PbvENIlAX3uFXe6UVfKV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0cRjEAAAA3AAAAA8AAAAAAAAAAAAAAAAAmAIAAGRycy9k&#10;b3ducmV2LnhtbFBLBQYAAAAABAAEAPUAAACJAwAAAAA=&#10;" filled="f" strokecolor="white [3212]" strokeweight="2pt">
                    <v:textbox inset=",,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Time Period Factors</w:t>
                          </w:r>
                        </w:p>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24 hr – Period</w:t>
                          </w:r>
                        </w:p>
                      </w:txbxContent>
                    </v:textbox>
                  </v:roundrect>
                  <v:roundrect id="Rounded Rectangle 285" o:spid="_x0000_s1058" style="position:absolute;left:37016;top:52175;width:15122;height:3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Ug8QA&#10;AADcAAAADwAAAGRycy9kb3ducmV2LnhtbESPzYoCMRCE78K+Q+gFb5pxhUFmjSIuC+pB8OcBmknP&#10;z5p0xklWR5/eCILHoqq+oqbzzhpxodbXjhWMhgkI4tzpmksFx8PvYALCB2SNxjEpuJGH+eyjN8VM&#10;uyvv6LIPpYgQ9hkqqEJoMil9XpFFP3QNcfQK11oMUbal1C1eI9wa+ZUkqbRYc1yosKFlRflp/28V&#10;yOKcbkLX/Jj7uUgW27+NWa5Tpfqf3eIbRKAuvMOv9korGKd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41IPEAAAA3AAAAA8AAAAAAAAAAAAAAAAAmAIAAGRycy9k&#10;b3ducmV2LnhtbFBLBQYAAAAABAAEAPUAAACJAwAAAAA=&#10;" filled="f" strokecolor="white [3212]" strokeweight="2pt">
                    <v:textbox inset=",,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Assignments</w:t>
                          </w:r>
                        </w:p>
                      </w:txbxContent>
                    </v:textbox>
                  </v:roundrect>
                  <v:roundrect id="Rounded Rectangle 286" o:spid="_x0000_s1059" style="position:absolute;left:37016;top:58656;width:15122;height:36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oo8UA&#10;AADcAAAADwAAAGRycy9kb3ducmV2LnhtbESPQWvCQBSE74X+h+UVvIhu1KISXUVEwVMxaRGPz+xr&#10;Epp9G7Krif/eLQgeh5n5hlmuO1OJGzWutKxgNIxAEGdWl5wr+PneD+YgnEfWWFkmBXdysF69vy0x&#10;1rblhG6pz0WAsItRQeF9HUvpsoIMuqGtiYP3axuDPsgml7rBNsBNJcdRNJUGSw4LBda0LSj7S69G&#10;wVf/6PrRbHe8JO05OY0n5cVgqlTvo9ssQHjq/Cv8bB+0gsn0E/7P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KijxQAAANwAAAAPAAAAAAAAAAAAAAAAAJgCAABkcnMv&#10;ZG93bnJldi54bWxQSwUGAAAAAAQABAD1AAAAigMAAAAA&#10;" filled="f" strokecolor="white [3212]" strokeweight="2pt">
                    <v:textbox inset="0,,0">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Costs</w:t>
                          </w:r>
                        </w:p>
                      </w:txbxContent>
                    </v:textbox>
                  </v:roundrect>
                  <v:roundrect id="Rounded Rectangle 287" o:spid="_x0000_s1060" style="position:absolute;left:57898;top:58656;width:12962;height:43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ywsYA&#10;AADcAAAADwAAAGRycy9kb3ducmV2LnhtbESPQWsCMRSE70L/Q3iFXkSzKopsjSJCoT2UolVKb4/N&#10;62Zx87Im6e767xtB6HGYmW+Y1aa3tWjJh8qxgsk4A0FcOF1xqeD4+TJagggRWWPtmBRcKcBm/TBY&#10;Ya5dx3tqD7EUCcIhRwUmxiaXMhSGLIaxa4iT9+O8xZikL6X22CW4reU0yxbSYsVpwWBDO0PF+fBr&#10;FbiPC53K96H/ejPn6WXCTdf230o9PfbbZxCR+vgfvrdftYLZYg63M+k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DywsYAAADcAAAADwAAAAAAAAAAAAAAAACYAgAAZHJz&#10;L2Rvd25yZXYueG1sUEsFBgAAAAAEAAQA9QAAAIsDA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C Costs</w:t>
                          </w:r>
                        </w:p>
                      </w:txbxContent>
                    </v:textbox>
                  </v:roundrect>
                  <v:shape id="Elbow Connector 320" o:spid="_x0000_s1061" type="#_x0000_t34" style="position:absolute;left:47998;top:38673;width:2880;height:972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mChcUAAADcAAAADwAAAGRycy9kb3ducmV2LnhtbESPQWvCQBSE7wX/w/IEb3WjKcGmriKK&#10;0oMXo4LHR/Y1Cc2+Dburif++Wyj0OMzMN8xyPZhWPMj5xrKC2TQBQVxa3XCl4HLevy5A+ICssbVM&#10;Cp7kYb0avSwx17bnEz2KUIkIYZ+jgjqELpfSlzUZ9FPbEUfvyzqDIUpXSe2wj3DTynmSZNJgw3Gh&#10;xo62NZXfxd0oON4ulPa74+GUut39fRPe7HV7U2oyHjYfIAIN4T/81/7UCtIsg9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mChcUAAADcAAAADwAAAAAAAAAA&#10;AAAAAAChAgAAZHJzL2Rvd25yZXYueG1sUEsFBgAAAAAEAAQA+QAAAJMDAAAAAA==&#10;" strokecolor="white [3212]">
                    <v:stroke endarrow="open"/>
                  </v:shape>
                  <v:shape id="Elbow Connector 321" o:spid="_x0000_s1062" type="#_x0000_t34" style="position:absolute;left:57700;top:38692;width:2880;height:968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X5IMQAAADcAAAADwAAAGRycy9kb3ducmV2LnhtbESPQWsCMRSE74X+h/AK3mp2Fa1sjSKK&#10;4Mm2thdvr5vX7NLNy5Jk3fXfN4LQ4zAz3zDL9WAbcSEfascK8nEGgrh0umaj4Otz/7wAESKyxsYx&#10;KbhSgPXq8WGJhXY9f9DlFI1IEA4FKqhibAspQ1mRxTB2LXHyfpy3GJP0RmqPfYLbRk6ybC4t1pwW&#10;KmxpW1H5e+qsgrd8d8xnxnATXOc725+/6X2m1Ohp2LyCiDTE//C9fdAKpvMXuJ1JR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fkgxAAAANwAAAAPAAAAAAAAAAAA&#10;AAAAAKECAABkcnMvZG93bnJldi54bWxQSwUGAAAAAAQABAD5AAAAkgMAAAAA&#10;" strokecolor="white [3212]">
                    <v:stroke endarrow="open"/>
                  </v:shape>
                  <v:shape id="Elbow Connector 322" o:spid="_x0000_s1063" type="#_x0000_t34" style="position:absolute;left:47623;top:45500;width:3629;height:972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ptUsAAAADcAAAADwAAAGRycy9kb3ducmV2LnhtbERPTWvCMBi+C/sP4R3spmkdilSjjMlg&#10;p/m1y26vzWtabN6UJLXdvzcHwePD873aDLYRN/Khdqwgn2QgiEunazYKfk9f4wWIEJE1No5JwT8F&#10;2KxfRisstOv5QLdjNCKFcChQQRVjW0gZyoosholriRN3cd5iTNAbqT32Kdw2cpplc2mx5tRQYUuf&#10;FZXXY2cV7PLtTz4zhpvgOt/Z/u9M+5lSb6/DxxJEpCE+xQ/3t1bwPk9r05l0BOT6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06bVLAAAAA3AAAAA8AAAAAAAAAAAAAAAAA&#10;oQIAAGRycy9kb3ducmV2LnhtbFBLBQYAAAAABAAEAPkAAACOAwAAAAA=&#10;" strokecolor="white [3212]">
                    <v:stroke endarrow="open"/>
                  </v:shape>
                  <v:shape id="Elbow Connector 323" o:spid="_x0000_s1064" type="#_x0000_t34" style="position:absolute;left:57524;top:45320;width:3629;height:100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YW98QAAADcAAAADwAAAGRycy9kb3ducmV2LnhtbESPT4vCMBTE7wt+h/CEva2pdhGtRhFl&#10;xYMX/4HHR/Nsi81LSaKt394sLOxxmJnfMPNlZ2rxJOcrywqGgwQEcW51xYWC8+nnawLCB2SNtWVS&#10;8CIPy0XvY46Zti0f6HkMhYgQ9hkqKENoMil9XpJBP7ANcfRu1hkMUbpCaodthJtajpJkLA1WHBdK&#10;bGhdUn4/PoyC/fVMabvZbw+p2zymq/BtL+urUp/9bjUDEagL/+G/9k4rSMdT+D0Tj4Bc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Vhb3xAAAANwAAAAPAAAAAAAAAAAA&#10;AAAAAKECAABkcnMvZG93bnJldi54bWxQSwUGAAAAAAQABAD5AAAAkgMAAAAA&#10;" strokecolor="white [3212]">
                    <v:stroke endarrow="open"/>
                  </v:shape>
                  <v:shape id="Elbow Connector 324" o:spid="_x0000_s1065" type="#_x0000_t34" style="position:absolute;left:43123;top:57201;width:2908;height:1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X3icEAAADcAAAADwAAAGRycy9kb3ducmV2LnhtbERPz2vCMBS+C/4P4Qm7adoNdVSjiGOw&#10;06bdLrs9m2dabF5Kktruv18Ogx0/vt/b/WhbcScfGscK8kUGgrhyumGj4Ovzdf4MIkRkja1jUvBD&#10;Afa76WSLhXYDn+leRiNSCIcCFdQxdoWUoarJYli4jjhxV+ctxgS9kdrjkMJtKx+zbCUtNpwaauzo&#10;WFN1K3ur4CN/ec+XxnAbXO97O3xf6LRU6mE2HjYgIo3xX/znftMKntZpfjqTjoD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lfeJwQAAANwAAAAPAAAAAAAAAAAAAAAA&#10;AKECAABkcnMvZG93bnJldi54bWxQSwUGAAAAAAQABAD5AAAAjwMAAAAA&#10;" strokecolor="white [3212]">
                    <v:stroke endarrow="open"/>
                  </v:shape>
                  <v:shape id="Elbow Connector 325" o:spid="_x0000_s1066" type="#_x0000_t34" style="position:absolute;left:62925;top:57201;width:2908;height:1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SEsQAAADcAAAADwAAAGRycy9kb3ducmV2LnhtbESPQWsCMRSE7wX/Q3hCb5pdi7ZsjSKW&#10;Qk9abS/enpvX7OLmZUmy7vbfG6HQ4zAz3zDL9WAbcSUfascK8mkGgrh0umaj4PvrffICIkRkjY1j&#10;UvBLAdar0cMSC+16PtD1GI1IEA4FKqhibAspQ1mRxTB1LXHyfpy3GJP0RmqPfYLbRs6ybCEt1pwW&#10;KmxpW1F5OXZWwT5/2+VzY7gJrvOd7U9n+pwr9TgeNq8gIg3xP/zX/tAKnp5zuJ9JR0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2VISxAAAANwAAAAPAAAAAAAAAAAA&#10;AAAAAKECAABkcnMvZG93bnJldi54bWxQSwUGAAAAAAQABAD5AAAAkgMAAAAA&#10;" strokecolor="white [3212]">
                    <v:stroke endarrow="open"/>
                  </v:shape>
                  <v:shapetype id="_x0000_t33" coordsize="21600,21600" o:spt="33" o:oned="t" path="m,l21600,r,21600e" filled="f">
                    <v:stroke joinstyle="miter"/>
                    <v:path arrowok="t" fillok="f" o:connecttype="none"/>
                    <o:lock v:ext="edit" shapetype="t"/>
                  </v:shapetype>
                  <v:shape id="Shape 66" o:spid="_x0000_s1067" type="#_x0000_t33" style="position:absolute;left:28164;top:19850;width:8852;height:4060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yj38MAAADcAAAADwAAAGRycy9kb3ducmV2LnhtbESPX2vCMBTF3wd+h3AF32aqgymdUaZQ&#10;KCKDVfH50tw1Zc1NabK2+unNYLDHw/nz42x2o21ET52vHStYzBMQxKXTNVcKLufseQ3CB2SNjWNS&#10;cCMPu+3kaYOpdgN/Ul+ESsQR9ikqMCG0qZS+NGTRz11LHL0v11kMUXaV1B0Ocdw2cpkkr9JizZFg&#10;sKWDofK7+LEREk7r7H7lo1wVh1N90+Yjd3ulZtPx/Q1EoDH8h//auVbwslrC75l4BOT2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so9/DAAAA3AAAAA8AAAAAAAAAAAAA&#10;AAAAoQIAAGRycy9kb3ducmV2LnhtbFBLBQYAAAAABAAEAPkAAACRAwAAAAA=&#10;" strokecolor="white [3212]">
                    <v:stroke endarrow="open"/>
                  </v:shape>
                  <v:shape id="Elbow Connector 327" o:spid="_x0000_s1068" type="#_x0000_t34" style="position:absolute;left:34856;top:17971;width:9361;height:4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T/MsUAAADcAAAADwAAAGRycy9kb3ducmV2LnhtbESPT2sCMRTE74LfIbxCb5qt23+uRpGC&#10;2OJJbaHHt5vnZnHzsiRRt9++KRQ8DjPzG2a+7G0rLuRD41jBwzgDQVw53XCt4POwHr2CCBFZY+uY&#10;FPxQgOViOJhjod2Vd3TZx1okCIcCFZgYu0LKUBmyGMauI07e0XmLMUlfS+3xmuC2lZMse5YWG04L&#10;Bjt6M1Sd9mer4BC+NnnZbZ+mH63ZfR9Lv37MSqXu7/rVDESkPt7C/+13rSB/yeHvTDo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T/MsUAAADcAAAADwAAAAAAAAAA&#10;AAAAAAChAgAAZHJzL2Rvd25yZXYueG1sUEsFBgAAAAAEAAQA+QAAAJMDAAAAAA==&#10;" strokecolor="white [3212]">
                    <v:stroke endarrow="open"/>
                  </v:shape>
                  <v:shape id="Elbow Connector 328" o:spid="_x0000_s1069" type="#_x0000_t34" style="position:absolute;left:37016;top:31646;width:9361;height:28810;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vfhscAAADcAAAADwAAAGRycy9kb3ducmV2LnhtbESPW2vCQBSE3wv9D8sp+CK68W5TVxFF&#10;FAoFLw8+HrPHJJg9G7Krxv56tyD0cZiZb5jJrDaFuFHlcssKOu0IBHFidc6pgsN+1RqDcB5ZY2GZ&#10;FDzIwWz6/jbBWNs7b+m286kIEHYxKsi8L2MpXZKRQde2JXHwzrYy6IOsUqkrvAe4KWQ3iobSYM5h&#10;IcOSFhkll93VKPg89/qnPS6Pq+Np/V0Pfn8eg01TqcZHPf8C4an2/+FXe6MV9EZ9+DsTjoCcP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i9+GxwAAANwAAAAPAAAAAAAA&#10;AAAAAAAAAKECAABkcnMvZG93bnJldi54bWxQSwUGAAAAAAQABAD5AAAAlQMAAAAA&#10;" adj="-5275" strokecolor="white [3212]">
                    <v:stroke endarrow="open"/>
                  </v:shape>
                  <v:shape id="Elbow Connector 329" o:spid="_x0000_s1070" type="#_x0000_t34" style="position:absolute;left:63659;top:17971;width:7201;height:42845;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0k/MYAAADcAAAADwAAAGRycy9kb3ducmV2LnhtbESP3WrCQBCF7wu+wzKCd3WjVqNpNkFa&#10;CkIvpMYHGLJjkpqdTbNbTfv0XUHo5eH8fJw0H0wrLtS7xrKC2TQCQVxa3XCl4Fi8Pa5BOI+ssbVM&#10;Cn7IQZ6NHlJMtL3yB10OvhJhhF2CCmrvu0RKV9Zk0E1tRxy8k+0N+iD7Suoer2HctHIeRStpsOFA&#10;qLGjl5rK8+HbBO4+jjdfn/Hq1S5/3+fb9mk/FFapyXjYPoPwNPj/8L290woW8RJuZ8IR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NJPzGAAAA3AAAAA8AAAAAAAAA&#10;AAAAAAAAoQIAAGRycy9kb3ducmV2LnhtbFBLBQYAAAAABAAEAPkAAACUAwAAAAA=&#10;" adj="-6857" strokecolor="white [3212]">
                    <v:stroke endarrow="open"/>
                  </v:shape>
                  <v:shape id="Elbow Connector 330" o:spid="_x0000_s1071" type="#_x0000_t34" style="position:absolute;left:61575;top:31646;width:9285;height:2917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5HcYAAADcAAAADwAAAGRycy9kb3ducmV2LnhtbESPQWvCQBSE74X+h+UJ3nSjgpXoKmIR&#10;AnpptFBvj+wzSZt9G7KrSfz13YLQ4zAz3zCrTWcqcafGlZYVTMYRCOLM6pJzBefTfrQA4Tyyxsoy&#10;KejJwWb9+rLCWNuWP+ie+lwECLsYFRTe17GULivIoBvbmjh4V9sY9EE2udQNtgFuKjmNork0WHJY&#10;KLCmXUHZT3ozCj7L3bQ9fCfv8pIee3xck2M/+VJqOOi2SxCeOv8ffrYTrWD2Noe/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GeR3GAAAA3AAAAA8AAAAAAAAA&#10;AAAAAAAAoQIAAGRycy9kb3ducmV2LnhtbFBLBQYAAAAABAAEAPkAAACUAwAAAAA=&#10;" adj="-5318" strokecolor="white [3212]">
                    <v:stroke endarrow="open"/>
                  </v:shape>
                  <v:roundrect id="Rounded Rectangle 331" o:spid="_x0000_s1072" style="position:absolute;left:46377;top:22652;width:15198;height:36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f88YA&#10;AADcAAAADwAAAGRycy9kb3ducmV2LnhtbESPQWsCMRSE70L/Q3iFXkSzKqhsjSJCoT2UolVKb4/N&#10;62Zx87Im6e767xtB6HGYmW+Y1aa3tWjJh8qxgsk4A0FcOF1xqeD4+TJagggRWWPtmBRcKcBm/TBY&#10;Ya5dx3tqD7EUCcIhRwUmxiaXMhSGLIaxa4iT9+O8xZikL6X22CW4reU0y+bSYsVpwWBDO0PF+fBr&#10;FbiPC53K96H/ejPn6WXCTdf230o9PfbbZxCR+vgfvrdftYLZYgG3M+k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df88YAAADcAAAADwAAAAAAAAAAAAAAAACYAgAAZHJz&#10;L2Rvd25yZXYueG1sUEsFBgAAAAAEAAQA9QAAAIsDAAAAAA==&#10;" filled="f" strokecolor="white [3212]"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Distribution</w:t>
                          </w:r>
                        </w:p>
                      </w:txbxContent>
                    </v:textbox>
                  </v:roundrect>
                  <v:shape id="Elbow Connector 332" o:spid="_x0000_s1073" type="#_x0000_t34" style="position:absolute;left:37016;top:24452;width:9361;height:36004;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bVg8QAAADcAAAADwAAAGRycy9kb3ducmV2LnhtbERPy4rCMBTdD/gP4QpuhjH1NaPVKOIg&#10;CoIw6sLltbm2xeamNBmtfr1ZCC4P5z2Z1aYQV6pcbllBpx2BIE6szjlVcNgvv4YgnEfWWFgmBXdy&#10;MJs2PiYYa3vjP7rufCpCCLsYFWTel7GULsnIoGvbkjhwZ1sZ9AFWqdQV3kK4KWQ3ir6lwZxDQ4Yl&#10;LTJKLrt/o2B07vVPe/w9Lo+n1aYePLb3wfpTqVazno9BeKr9W/xyr7WC3k9YG86EIyC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xtWDxAAAANwAAAAPAAAAAAAAAAAA&#10;AAAAAKECAABkcnMvZG93bnJldi54bWxQSwUGAAAAAAQABAD5AAAAkgMAAAAA&#10;" adj="-5275" strokecolor="white [3212]">
                    <v:stroke endarrow="open"/>
                  </v:shape>
                  <v:shape id="Elbow Connector 333" o:spid="_x0000_s1074" type="#_x0000_t34" style="position:absolute;left:61575;top:24452;width:9285;height:36364;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ntb8YAAADcAAAADwAAAGRycy9kb3ducmV2LnhtbESPQWvCQBSE7wX/w/KE3nSjgtbUVUQR&#10;AnoxbcHeHtlnkjb7NmS3Jumv7wpCj8PMfMOsNp2pxI0aV1pWMBlHIIgzq0vOFby/HUYvIJxH1lhZ&#10;JgU9OdisB08rjLVt+Uy31OciQNjFqKDwvo6ldFlBBt3Y1sTBu9rGoA+yyaVusA1wU8lpFM2lwZLD&#10;QoE17QrKvtMfo+Cj3E3b41eyl5/pqcffa3LqJxelnofd9hWEp87/hx/tRCuYLZZw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Z7W/GAAAA3AAAAA8AAAAAAAAA&#10;AAAAAAAAoQIAAGRycy9kb3ducmV2LnhtbFBLBQYAAAAABAAEAPkAAACUAwAAAAA=&#10;" adj="-5318" strokecolor="white [3212]">
                    <v:stroke endarrow="open"/>
                  </v:shape>
                </v:group>
                <w10:anchorlock/>
              </v:group>
            </w:pict>
          </mc:Fallback>
        </mc:AlternateContent>
      </w:r>
    </w:p>
    <w:p w:rsidR="004A60B7" w:rsidRPr="00A42D28" w:rsidRDefault="004A60B7" w:rsidP="00A4081F">
      <w:pPr>
        <w:pStyle w:val="NumberedParas"/>
      </w:pPr>
      <w:r w:rsidRPr="00A42D28">
        <w:t xml:space="preserve">The main modules contained </w:t>
      </w:r>
      <w:r w:rsidR="00B41B3C">
        <w:t xml:space="preserve">in </w:t>
      </w:r>
      <w:r w:rsidRPr="00A42D28">
        <w:t>the above passenger model structure are:</w:t>
      </w:r>
    </w:p>
    <w:p w:rsidR="004A60B7" w:rsidRPr="00A42D28" w:rsidRDefault="004A60B7" w:rsidP="00273D5E">
      <w:pPr>
        <w:pStyle w:val="BulletLevel1"/>
      </w:pPr>
      <w:r w:rsidRPr="00A42D28">
        <w:t>Highway and public transport network definitions:</w:t>
      </w:r>
    </w:p>
    <w:p w:rsidR="004A60B7" w:rsidRPr="00A42D28" w:rsidRDefault="004A60B7" w:rsidP="00273D5E">
      <w:pPr>
        <w:pStyle w:val="BulletLevel1"/>
      </w:pPr>
      <w:r w:rsidRPr="00A42D28">
        <w:t>Road(car, bus, and freight);</w:t>
      </w:r>
    </w:p>
    <w:p w:rsidR="004A60B7" w:rsidRPr="00A42D28" w:rsidRDefault="004A60B7" w:rsidP="00273D5E">
      <w:pPr>
        <w:pStyle w:val="BulletLevel1"/>
      </w:pPr>
      <w:r w:rsidRPr="00A42D28">
        <w:t>Interurban bus and minibus services;</w:t>
      </w:r>
    </w:p>
    <w:p w:rsidR="004A60B7" w:rsidRPr="00A42D28" w:rsidRDefault="004A60B7" w:rsidP="00273D5E">
      <w:pPr>
        <w:pStyle w:val="BulletLevel1"/>
      </w:pPr>
      <w:r w:rsidRPr="00A42D28">
        <w:t>Rail network, intermodal terminals, and rail services;</w:t>
      </w:r>
    </w:p>
    <w:p w:rsidR="004A60B7" w:rsidRPr="00A42D28" w:rsidRDefault="004A60B7" w:rsidP="00273D5E">
      <w:pPr>
        <w:pStyle w:val="BulletLevel1"/>
      </w:pPr>
      <w:r w:rsidRPr="00A42D28">
        <w:t>Waterways; and</w:t>
      </w:r>
    </w:p>
    <w:p w:rsidR="004A60B7" w:rsidRPr="00A42D28" w:rsidRDefault="004A60B7" w:rsidP="00273D5E">
      <w:pPr>
        <w:pStyle w:val="BulletLevel1"/>
      </w:pPr>
      <w:r w:rsidRPr="00A42D28">
        <w:t>Air</w:t>
      </w:r>
    </w:p>
    <w:p w:rsidR="004A60B7" w:rsidRPr="00A42D28" w:rsidRDefault="004A60B7" w:rsidP="00273D5E">
      <w:pPr>
        <w:pStyle w:val="BulletLevel1"/>
      </w:pPr>
      <w:r w:rsidRPr="00A42D28">
        <w:t>Domestic passenger demand model</w:t>
      </w:r>
    </w:p>
    <w:p w:rsidR="004A60B7" w:rsidRPr="00B53E96" w:rsidRDefault="004A60B7" w:rsidP="00273D5E">
      <w:pPr>
        <w:pStyle w:val="BulletLevel1"/>
      </w:pPr>
      <w:r w:rsidRPr="00B53E96">
        <w:t>Car ownership model as a function of income growth and car ownership costs;</w:t>
      </w:r>
    </w:p>
    <w:p w:rsidR="004A60B7" w:rsidRPr="00B53E96" w:rsidRDefault="004A60B7" w:rsidP="00273D5E">
      <w:pPr>
        <w:pStyle w:val="BulletLevel1"/>
      </w:pPr>
      <w:r w:rsidRPr="00B53E96">
        <w:t>Trip generation/attraction growth based on demographic (population and employment) and socio-economic changes (GDP);</w:t>
      </w:r>
    </w:p>
    <w:p w:rsidR="004A60B7" w:rsidRPr="00B53E96" w:rsidRDefault="004A60B7" w:rsidP="00273D5E">
      <w:pPr>
        <w:pStyle w:val="BulletLevel1"/>
      </w:pPr>
      <w:r w:rsidRPr="00B53E96">
        <w:t>Distribution – calibrated functions by trip purpose including responsiveness to cost changes ; and</w:t>
      </w:r>
    </w:p>
    <w:p w:rsidR="004A60B7" w:rsidRPr="00B53E96" w:rsidRDefault="004A60B7" w:rsidP="00273D5E">
      <w:pPr>
        <w:pStyle w:val="BulletLevel1"/>
      </w:pPr>
      <w:r w:rsidRPr="00B53E96">
        <w:t>Mode choice</w:t>
      </w:r>
    </w:p>
    <w:p w:rsidR="004A60B7" w:rsidRPr="00A42D28" w:rsidRDefault="004A60B7" w:rsidP="00273D5E">
      <w:pPr>
        <w:pStyle w:val="BulletLevel1"/>
      </w:pPr>
      <w:r w:rsidRPr="00A42D28">
        <w:t>International passenger demand model</w:t>
      </w:r>
    </w:p>
    <w:p w:rsidR="004A60B7" w:rsidRPr="00B53E96" w:rsidRDefault="004A60B7" w:rsidP="00273D5E">
      <w:pPr>
        <w:pStyle w:val="BulletLevel1"/>
      </w:pPr>
      <w:r w:rsidRPr="00B53E96">
        <w:t>Direct demand model based on GDP, population and car ownership changes;</w:t>
      </w:r>
    </w:p>
    <w:p w:rsidR="004A60B7" w:rsidRPr="00B53E96" w:rsidRDefault="004A60B7" w:rsidP="00273D5E">
      <w:pPr>
        <w:pStyle w:val="BulletLevel1"/>
      </w:pPr>
      <w:r w:rsidRPr="00B53E96">
        <w:t>Distribution based on changes in trip ends and generalised costs; and</w:t>
      </w:r>
    </w:p>
    <w:p w:rsidR="004A60B7" w:rsidRPr="00B53E96" w:rsidRDefault="004A60B7" w:rsidP="00273D5E">
      <w:pPr>
        <w:pStyle w:val="BulletLevel1"/>
      </w:pPr>
      <w:r w:rsidRPr="00B53E96">
        <w:t>Mode choice</w:t>
      </w:r>
    </w:p>
    <w:p w:rsidR="004A60B7" w:rsidRPr="00B41B3C" w:rsidRDefault="004A60B7" w:rsidP="00B41B3C">
      <w:pPr>
        <w:pStyle w:val="Body"/>
        <w:spacing w:before="120"/>
        <w:ind w:left="851"/>
        <w:contextualSpacing/>
        <w:rPr>
          <w:rFonts w:cs="Arial"/>
          <w:b/>
          <w:i w:val="0"/>
        </w:rPr>
      </w:pPr>
      <w:r w:rsidRPr="00B41B3C">
        <w:rPr>
          <w:rFonts w:cs="Arial"/>
          <w:b/>
          <w:i w:val="0"/>
        </w:rPr>
        <w:t xml:space="preserve">Figure </w:t>
      </w:r>
      <w:r w:rsidR="00B41B3C">
        <w:rPr>
          <w:rFonts w:cs="Arial"/>
          <w:b/>
          <w:i w:val="0"/>
        </w:rPr>
        <w:t>2.10</w:t>
      </w:r>
      <w:r w:rsidRPr="00B41B3C">
        <w:rPr>
          <w:rFonts w:cs="Arial"/>
          <w:b/>
          <w:i w:val="0"/>
        </w:rPr>
        <w:t xml:space="preserve"> Domestic and International Freight Model</w:t>
      </w:r>
    </w:p>
    <w:p w:rsidR="004A60B7" w:rsidRPr="00A42D28" w:rsidRDefault="004A60B7" w:rsidP="00B41B3C">
      <w:pPr>
        <w:spacing w:before="120" w:after="120" w:line="276" w:lineRule="auto"/>
        <w:ind w:firstLine="567"/>
        <w:contextualSpacing/>
        <w:rPr>
          <w:rFonts w:cs="Arial"/>
          <w:sz w:val="22"/>
          <w:szCs w:val="22"/>
        </w:rPr>
      </w:pPr>
      <w:r>
        <w:rPr>
          <w:rFonts w:cs="Arial"/>
          <w:noProof/>
          <w:sz w:val="22"/>
          <w:szCs w:val="22"/>
          <w:lang w:val="ro-RO" w:eastAsia="ro-RO"/>
        </w:rPr>
        <w:drawing>
          <wp:inline distT="0" distB="0" distL="0" distR="0" wp14:anchorId="6049B3F9" wp14:editId="068A5198">
            <wp:extent cx="5763491" cy="5529980"/>
            <wp:effectExtent l="0" t="0" r="0" b="0"/>
            <wp:docPr id="59" name="Picture 23" descr="Pic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5.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83458" cy="5549138"/>
                    </a:xfrm>
                    <a:prstGeom prst="rect">
                      <a:avLst/>
                    </a:prstGeom>
                    <a:noFill/>
                    <a:ln w="9525">
                      <a:noFill/>
                      <a:miter lim="800000"/>
                      <a:headEnd/>
                      <a:tailEnd/>
                    </a:ln>
                  </pic:spPr>
                </pic:pic>
              </a:graphicData>
            </a:graphic>
          </wp:inline>
        </w:drawing>
      </w:r>
    </w:p>
    <w:p w:rsidR="004A60B7" w:rsidRPr="00A42D28" w:rsidRDefault="004A60B7" w:rsidP="004A60B7">
      <w:pPr>
        <w:spacing w:before="120" w:after="120" w:line="276" w:lineRule="auto"/>
        <w:contextualSpacing/>
        <w:rPr>
          <w:rFonts w:cs="Arial"/>
          <w:sz w:val="22"/>
          <w:szCs w:val="22"/>
        </w:rPr>
      </w:pPr>
    </w:p>
    <w:p w:rsidR="004A60B7" w:rsidRPr="00A42D28" w:rsidRDefault="004A60B7" w:rsidP="00A4081F">
      <w:pPr>
        <w:pStyle w:val="NumberedParas"/>
      </w:pPr>
      <w:r w:rsidRPr="00A42D28">
        <w:t>The main modules contained the above freight model structure are:</w:t>
      </w:r>
    </w:p>
    <w:p w:rsidR="004A60B7" w:rsidRPr="00A42D28" w:rsidRDefault="004A60B7" w:rsidP="00273D5E">
      <w:pPr>
        <w:pStyle w:val="BulletLevel1"/>
      </w:pPr>
      <w:r w:rsidRPr="00A42D28">
        <w:t>Highway and public transport network definitions:</w:t>
      </w:r>
    </w:p>
    <w:p w:rsidR="004A60B7" w:rsidRPr="003D4FBF" w:rsidRDefault="004A60B7" w:rsidP="00273D5E">
      <w:pPr>
        <w:pStyle w:val="BulletLevel1"/>
      </w:pPr>
      <w:r w:rsidRPr="003D4FBF">
        <w:t>Road(freight);</w:t>
      </w:r>
    </w:p>
    <w:p w:rsidR="004A60B7" w:rsidRPr="003D4FBF" w:rsidRDefault="004A60B7" w:rsidP="00273D5E">
      <w:pPr>
        <w:pStyle w:val="BulletLevel1"/>
      </w:pPr>
      <w:r w:rsidRPr="003D4FBF">
        <w:t>Rail network, intermodal terminals, and rail services;</w:t>
      </w:r>
    </w:p>
    <w:p w:rsidR="004A60B7" w:rsidRPr="003D4FBF" w:rsidRDefault="004A60B7" w:rsidP="00273D5E">
      <w:pPr>
        <w:pStyle w:val="BulletLevel1"/>
      </w:pPr>
      <w:r w:rsidRPr="003D4FBF">
        <w:t>Waterways; and</w:t>
      </w:r>
    </w:p>
    <w:p w:rsidR="004A60B7" w:rsidRPr="003D4FBF" w:rsidRDefault="004A60B7" w:rsidP="00273D5E">
      <w:pPr>
        <w:pStyle w:val="BulletLevel1"/>
      </w:pPr>
      <w:r w:rsidRPr="003D4FBF">
        <w:t>Air</w:t>
      </w:r>
    </w:p>
    <w:p w:rsidR="004A60B7" w:rsidRPr="00A42D28" w:rsidRDefault="004A60B7" w:rsidP="00273D5E">
      <w:pPr>
        <w:pStyle w:val="BulletLevel1"/>
      </w:pPr>
      <w:r w:rsidRPr="00A42D28">
        <w:t>Freight model for international and domestic freight demand by commodity in tonnes and vehicle movements</w:t>
      </w:r>
    </w:p>
    <w:p w:rsidR="004A60B7" w:rsidRPr="003D4FBF" w:rsidRDefault="004A60B7" w:rsidP="00273D5E">
      <w:pPr>
        <w:pStyle w:val="BulletLevel1"/>
      </w:pPr>
      <w:r w:rsidRPr="003D4FBF">
        <w:t>Growth factors based on GDP for international and for domestic combination of GDP and population changes;</w:t>
      </w:r>
    </w:p>
    <w:p w:rsidR="004A60B7" w:rsidRPr="003D4FBF" w:rsidRDefault="004A60B7" w:rsidP="00273D5E">
      <w:pPr>
        <w:pStyle w:val="BulletLevel1"/>
      </w:pPr>
      <w:r w:rsidRPr="003D4FBF">
        <w:t>Distribution;</w:t>
      </w:r>
    </w:p>
    <w:p w:rsidR="004A60B7" w:rsidRPr="003D4FBF" w:rsidRDefault="004A60B7" w:rsidP="00273D5E">
      <w:pPr>
        <w:pStyle w:val="BulletLevel1"/>
      </w:pPr>
      <w:r w:rsidRPr="003D4FBF">
        <w:t>Mode choice and intermodal modelling; and</w:t>
      </w:r>
    </w:p>
    <w:p w:rsidR="004A60B7" w:rsidRPr="00A42D28" w:rsidRDefault="004A60B7" w:rsidP="00273D5E">
      <w:pPr>
        <w:pStyle w:val="BulletLevel1"/>
      </w:pPr>
      <w:r w:rsidRPr="003D4FBF">
        <w:t>Conversion from tonne</w:t>
      </w:r>
      <w:r w:rsidRPr="00A42D28">
        <w:t xml:space="preserve"> to vehicles for highway assignment (LGV/HGV)</w:t>
      </w:r>
    </w:p>
    <w:p w:rsidR="004A60B7" w:rsidRPr="00A42D28" w:rsidRDefault="004A60B7" w:rsidP="00273D5E">
      <w:pPr>
        <w:pStyle w:val="BulletLevel1"/>
      </w:pPr>
      <w:r w:rsidRPr="00A42D28">
        <w:t>Network assignment models and generalised cost derivation</w:t>
      </w:r>
    </w:p>
    <w:p w:rsidR="004A60B7" w:rsidRPr="003D4FBF" w:rsidRDefault="004A60B7" w:rsidP="00273D5E">
      <w:pPr>
        <w:pStyle w:val="BulletLevel1"/>
      </w:pPr>
      <w:r w:rsidRPr="003D4FBF">
        <w:t>Demand split into four time periods (AM peak, Off-peak, PM Peak, night time); and</w:t>
      </w:r>
    </w:p>
    <w:p w:rsidR="004A60B7" w:rsidRPr="003D4FBF" w:rsidRDefault="004A60B7" w:rsidP="00273D5E">
      <w:pPr>
        <w:pStyle w:val="BulletLevel1"/>
      </w:pPr>
      <w:r w:rsidRPr="003D4FBF">
        <w:t>Generalised costs combined across time periods, modes and destinations for use in demand models</w:t>
      </w:r>
    </w:p>
    <w:p w:rsidR="004A60B7" w:rsidRPr="00A42D28" w:rsidRDefault="004A60B7" w:rsidP="003D4FBF">
      <w:pPr>
        <w:pStyle w:val="Hdg3"/>
      </w:pPr>
      <w:bookmarkStart w:id="23" w:name="_Toc395520245"/>
      <w:r w:rsidRPr="00A42D28">
        <w:t>Trip Generation</w:t>
      </w:r>
      <w:bookmarkEnd w:id="23"/>
    </w:p>
    <w:p w:rsidR="004A60B7" w:rsidRPr="00A42D28" w:rsidRDefault="004A60B7" w:rsidP="00A4081F">
      <w:pPr>
        <w:pStyle w:val="NumberedParas"/>
      </w:pPr>
      <w:r w:rsidRPr="00A42D28">
        <w:t>The NTM contains a set of calibrated base year demands that are used as the basis from which to derive future year forecasts of travel demand by mode based on changes in the main drivers of travel demand. The main drivers of demand used in the model are population, car ownership, employment, and GDP by sector. Separate approaches are taken to the development of future trip ends depending on the nature of the movement being modelled.</w:t>
      </w:r>
    </w:p>
    <w:p w:rsidR="004A60B7" w:rsidRPr="00A42D28" w:rsidRDefault="004A60B7" w:rsidP="00A4081F">
      <w:pPr>
        <w:pStyle w:val="NumberedParas"/>
      </w:pPr>
      <w:r w:rsidRPr="00A42D28">
        <w:t>Changes in travel demand are typically driven by changes in the socio-economic indicators of the population making the trips. These include indicators related to the size of the potential trip-making group, for example changes in active population dictates the number of commuting trips, and changes in the  level of economic activity, given by GDP, impact on the number of freight trips made. Indicators related to the wealth of the trip makers, such as GDP/head, increase rates of trip making as people have greater disposal income and increase their rates of car ownership.</w:t>
      </w:r>
    </w:p>
    <w:p w:rsidR="004A60B7" w:rsidRPr="00A42D28" w:rsidRDefault="004A60B7" w:rsidP="00A4081F">
      <w:pPr>
        <w:pStyle w:val="NumberedParas"/>
      </w:pPr>
      <w:r w:rsidRPr="00A42D28">
        <w:t>A series of economic factors for Romania and other key countries and regions are used in the model to determine the growth in traffic demand between base and future years. The table below provides a summary on the economic factors used by the model.</w:t>
      </w:r>
    </w:p>
    <w:p w:rsidR="004A60B7" w:rsidRPr="00A42D28" w:rsidRDefault="004A60B7" w:rsidP="004A60B7">
      <w:pPr>
        <w:pStyle w:val="Body"/>
        <w:spacing w:before="120"/>
        <w:contextualSpacing/>
        <w:rPr>
          <w:rFonts w:cs="Arial"/>
          <w:b/>
        </w:rPr>
      </w:pPr>
    </w:p>
    <w:p w:rsidR="004A60B7" w:rsidRPr="00B41B3C" w:rsidRDefault="00B41B3C" w:rsidP="00B41B3C">
      <w:pPr>
        <w:pStyle w:val="Body"/>
        <w:keepNext/>
        <w:spacing w:before="120"/>
        <w:ind w:left="851"/>
        <w:contextualSpacing/>
        <w:rPr>
          <w:rFonts w:cs="Arial"/>
          <w:b/>
          <w:i w:val="0"/>
        </w:rPr>
      </w:pPr>
      <w:r>
        <w:rPr>
          <w:rFonts w:cs="Arial"/>
          <w:b/>
          <w:i w:val="0"/>
        </w:rPr>
        <w:t>Table 2.1</w:t>
      </w:r>
      <w:r w:rsidR="004A60B7" w:rsidRPr="00B41B3C">
        <w:rPr>
          <w:rFonts w:cs="Arial"/>
          <w:b/>
          <w:i w:val="0"/>
        </w:rPr>
        <w:t xml:space="preserve"> Economic Factor</w:t>
      </w:r>
      <w:r>
        <w:rPr>
          <w:rFonts w:cs="Arial"/>
          <w:b/>
          <w:i w:val="0"/>
        </w:rPr>
        <w:t>s</w:t>
      </w:r>
      <w:r w:rsidR="004A60B7" w:rsidRPr="00B41B3C">
        <w:rPr>
          <w:rFonts w:cs="Arial"/>
          <w:b/>
          <w:i w:val="0"/>
        </w:rPr>
        <w:t xml:space="preserve"> Required by NTM Growth Model</w:t>
      </w:r>
    </w:p>
    <w:tbl>
      <w:tblPr>
        <w:tblW w:w="4587" w:type="pct"/>
        <w:tblInd w:w="851"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4382"/>
        <w:gridCol w:w="2421"/>
        <w:gridCol w:w="2836"/>
      </w:tblGrid>
      <w:tr w:rsidR="004A60B7" w:rsidRPr="00A42D28" w:rsidTr="00B41B3C">
        <w:tc>
          <w:tcPr>
            <w:tcW w:w="2273" w:type="pct"/>
            <w:tcBorders>
              <w:top w:val="single" w:sz="4" w:space="0" w:color="auto"/>
              <w:bottom w:val="single" w:sz="4" w:space="0" w:color="auto"/>
            </w:tcBorders>
            <w:shd w:val="clear" w:color="auto" w:fill="B8CCE4" w:themeFill="accent1" w:themeFillTint="66"/>
            <w:vAlign w:val="center"/>
          </w:tcPr>
          <w:p w:rsidR="004A60B7" w:rsidRPr="00A42D28" w:rsidRDefault="004A60B7" w:rsidP="00B41B3C">
            <w:pPr>
              <w:keepNext/>
              <w:spacing w:before="120" w:after="120" w:line="276" w:lineRule="auto"/>
              <w:contextualSpacing/>
              <w:rPr>
                <w:rFonts w:cs="Arial"/>
                <w:b/>
                <w:sz w:val="22"/>
                <w:szCs w:val="22"/>
              </w:rPr>
            </w:pPr>
            <w:r w:rsidRPr="00A42D28">
              <w:rPr>
                <w:rFonts w:cs="Arial"/>
                <w:b/>
                <w:sz w:val="22"/>
                <w:szCs w:val="22"/>
              </w:rPr>
              <w:t>Factor / Geography</w:t>
            </w:r>
          </w:p>
        </w:tc>
        <w:tc>
          <w:tcPr>
            <w:tcW w:w="1256" w:type="pct"/>
            <w:tcBorders>
              <w:top w:val="single" w:sz="4" w:space="0" w:color="auto"/>
              <w:bottom w:val="single" w:sz="4" w:space="0" w:color="auto"/>
            </w:tcBorders>
            <w:shd w:val="clear" w:color="auto" w:fill="B8CCE4" w:themeFill="accent1" w:themeFillTint="66"/>
            <w:vAlign w:val="center"/>
          </w:tcPr>
          <w:p w:rsidR="004A60B7" w:rsidRPr="00A42D28" w:rsidRDefault="004A60B7" w:rsidP="00B41B3C">
            <w:pPr>
              <w:keepNext/>
              <w:spacing w:before="120" w:after="120" w:line="276" w:lineRule="auto"/>
              <w:ind w:left="65"/>
              <w:contextualSpacing/>
              <w:jc w:val="center"/>
              <w:rPr>
                <w:rFonts w:cs="Arial"/>
                <w:b/>
                <w:sz w:val="22"/>
                <w:szCs w:val="22"/>
              </w:rPr>
            </w:pPr>
            <w:r w:rsidRPr="00A42D28">
              <w:rPr>
                <w:rFonts w:cs="Arial"/>
                <w:b/>
                <w:sz w:val="22"/>
                <w:szCs w:val="22"/>
              </w:rPr>
              <w:t>Romania</w:t>
            </w:r>
          </w:p>
          <w:p w:rsidR="004A60B7" w:rsidRPr="00A42D28" w:rsidRDefault="004A60B7" w:rsidP="00B41B3C">
            <w:pPr>
              <w:keepNext/>
              <w:spacing w:before="120" w:after="120" w:line="276" w:lineRule="auto"/>
              <w:ind w:left="65"/>
              <w:contextualSpacing/>
              <w:jc w:val="center"/>
              <w:rPr>
                <w:rFonts w:cs="Arial"/>
                <w:sz w:val="22"/>
                <w:szCs w:val="22"/>
              </w:rPr>
            </w:pPr>
            <w:r w:rsidRPr="00A42D28">
              <w:rPr>
                <w:rFonts w:cs="Arial"/>
                <w:sz w:val="22"/>
                <w:szCs w:val="22"/>
              </w:rPr>
              <w:t>(at regional level)</w:t>
            </w:r>
          </w:p>
        </w:tc>
        <w:tc>
          <w:tcPr>
            <w:tcW w:w="1471" w:type="pct"/>
            <w:tcBorders>
              <w:top w:val="single" w:sz="4" w:space="0" w:color="auto"/>
              <w:bottom w:val="single" w:sz="4" w:space="0" w:color="auto"/>
            </w:tcBorders>
            <w:shd w:val="clear" w:color="auto" w:fill="B8CCE4" w:themeFill="accent1" w:themeFillTint="66"/>
            <w:vAlign w:val="center"/>
          </w:tcPr>
          <w:p w:rsidR="004A60B7" w:rsidRPr="00A42D28" w:rsidRDefault="004A60B7" w:rsidP="00B41B3C">
            <w:pPr>
              <w:keepNext/>
              <w:spacing w:before="120" w:after="120" w:line="276" w:lineRule="auto"/>
              <w:contextualSpacing/>
              <w:jc w:val="center"/>
              <w:rPr>
                <w:rFonts w:cs="Arial"/>
                <w:b/>
                <w:sz w:val="22"/>
                <w:szCs w:val="22"/>
              </w:rPr>
            </w:pPr>
            <w:r w:rsidRPr="00A42D28">
              <w:rPr>
                <w:rFonts w:cs="Arial"/>
                <w:b/>
                <w:sz w:val="22"/>
                <w:szCs w:val="22"/>
              </w:rPr>
              <w:t>Other key countries &amp; regions</w:t>
            </w:r>
          </w:p>
          <w:p w:rsidR="004A60B7" w:rsidRPr="00A42D28" w:rsidRDefault="004A60B7" w:rsidP="00B41B3C">
            <w:pPr>
              <w:keepNext/>
              <w:spacing w:before="120" w:after="120" w:line="276" w:lineRule="auto"/>
              <w:contextualSpacing/>
              <w:jc w:val="center"/>
              <w:rPr>
                <w:rFonts w:cs="Arial"/>
                <w:sz w:val="22"/>
                <w:szCs w:val="22"/>
              </w:rPr>
            </w:pPr>
            <w:r w:rsidRPr="00A42D28">
              <w:rPr>
                <w:rFonts w:cs="Arial"/>
                <w:sz w:val="22"/>
                <w:szCs w:val="22"/>
              </w:rPr>
              <w:t>(at national level)</w:t>
            </w:r>
          </w:p>
        </w:tc>
      </w:tr>
      <w:tr w:rsidR="004A60B7" w:rsidRPr="00A42D28" w:rsidTr="00B41B3C">
        <w:tc>
          <w:tcPr>
            <w:tcW w:w="2273" w:type="pct"/>
            <w:tcBorders>
              <w:top w:val="single" w:sz="4" w:space="0" w:color="auto"/>
            </w:tcBorders>
          </w:tcPr>
          <w:p w:rsidR="004A60B7" w:rsidRPr="00A42D28" w:rsidRDefault="004A60B7" w:rsidP="00B41B3C">
            <w:pPr>
              <w:keepNext/>
              <w:spacing w:line="276" w:lineRule="auto"/>
              <w:ind w:left="709" w:hanging="709"/>
              <w:contextualSpacing/>
              <w:rPr>
                <w:rFonts w:cs="Arial"/>
                <w:sz w:val="22"/>
                <w:szCs w:val="22"/>
              </w:rPr>
            </w:pPr>
            <w:r w:rsidRPr="00A42D28">
              <w:rPr>
                <w:rFonts w:cs="Arial"/>
                <w:sz w:val="22"/>
                <w:szCs w:val="22"/>
              </w:rPr>
              <w:t>GDP growth</w:t>
            </w:r>
          </w:p>
        </w:tc>
        <w:tc>
          <w:tcPr>
            <w:tcW w:w="1256" w:type="pct"/>
            <w:tcBorders>
              <w:top w:val="single" w:sz="4" w:space="0" w:color="auto"/>
            </w:tcBorders>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c>
          <w:tcPr>
            <w:tcW w:w="1471" w:type="pct"/>
            <w:tcBorders>
              <w:top w:val="single" w:sz="4" w:space="0" w:color="auto"/>
            </w:tcBorders>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r>
      <w:tr w:rsidR="004A60B7" w:rsidRPr="00A42D28" w:rsidTr="00B41B3C">
        <w:tc>
          <w:tcPr>
            <w:tcW w:w="2273" w:type="pct"/>
          </w:tcPr>
          <w:p w:rsidR="004A60B7" w:rsidRPr="00A42D28" w:rsidRDefault="004A60B7" w:rsidP="00B41B3C">
            <w:pPr>
              <w:keepNext/>
              <w:spacing w:line="276" w:lineRule="auto"/>
              <w:contextualSpacing/>
              <w:rPr>
                <w:rFonts w:cs="Arial"/>
                <w:sz w:val="22"/>
                <w:szCs w:val="22"/>
              </w:rPr>
            </w:pPr>
            <w:r w:rsidRPr="00A42D28">
              <w:rPr>
                <w:rFonts w:cs="Arial"/>
                <w:sz w:val="22"/>
                <w:szCs w:val="22"/>
              </w:rPr>
              <w:t>GDP by Economic Activity growth</w:t>
            </w:r>
          </w:p>
        </w:tc>
        <w:tc>
          <w:tcPr>
            <w:tcW w:w="1256" w:type="pct"/>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c>
          <w:tcPr>
            <w:tcW w:w="1471" w:type="pct"/>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r>
      <w:tr w:rsidR="004A60B7" w:rsidRPr="00A42D28" w:rsidTr="00B41B3C">
        <w:tc>
          <w:tcPr>
            <w:tcW w:w="2273" w:type="pct"/>
          </w:tcPr>
          <w:p w:rsidR="004A60B7" w:rsidRPr="00A42D28" w:rsidRDefault="004A60B7" w:rsidP="00B41B3C">
            <w:pPr>
              <w:keepNext/>
              <w:spacing w:line="276" w:lineRule="auto"/>
              <w:contextualSpacing/>
              <w:rPr>
                <w:rFonts w:cs="Arial"/>
                <w:sz w:val="22"/>
                <w:szCs w:val="22"/>
              </w:rPr>
            </w:pPr>
            <w:r w:rsidRPr="00A42D28">
              <w:rPr>
                <w:rFonts w:cs="Arial"/>
                <w:sz w:val="22"/>
                <w:szCs w:val="22"/>
              </w:rPr>
              <w:t>Total Population growth</w:t>
            </w:r>
          </w:p>
        </w:tc>
        <w:tc>
          <w:tcPr>
            <w:tcW w:w="1256" w:type="pct"/>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c>
          <w:tcPr>
            <w:tcW w:w="1471" w:type="pct"/>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r>
      <w:tr w:rsidR="004A60B7" w:rsidRPr="00A42D28" w:rsidTr="00B41B3C">
        <w:tc>
          <w:tcPr>
            <w:tcW w:w="2273" w:type="pct"/>
          </w:tcPr>
          <w:p w:rsidR="004A60B7" w:rsidRPr="00A42D28" w:rsidRDefault="004A60B7" w:rsidP="00B41B3C">
            <w:pPr>
              <w:keepNext/>
              <w:spacing w:line="276" w:lineRule="auto"/>
              <w:contextualSpacing/>
              <w:rPr>
                <w:rFonts w:cs="Arial"/>
                <w:sz w:val="22"/>
                <w:szCs w:val="22"/>
              </w:rPr>
            </w:pPr>
            <w:r w:rsidRPr="00A42D28">
              <w:rPr>
                <w:rFonts w:cs="Arial"/>
                <w:sz w:val="22"/>
                <w:szCs w:val="22"/>
              </w:rPr>
              <w:t>Economically Active Population growth</w:t>
            </w:r>
          </w:p>
        </w:tc>
        <w:tc>
          <w:tcPr>
            <w:tcW w:w="1256" w:type="pct"/>
            <w:vAlign w:val="center"/>
          </w:tcPr>
          <w:p w:rsidR="004A60B7" w:rsidRPr="00A42D28" w:rsidRDefault="004A60B7" w:rsidP="00B41B3C">
            <w:pPr>
              <w:keepNext/>
              <w:spacing w:line="276" w:lineRule="auto"/>
              <w:ind w:left="65"/>
              <w:contextualSpacing/>
              <w:jc w:val="center"/>
              <w:rPr>
                <w:rFonts w:cs="Arial"/>
                <w:sz w:val="22"/>
                <w:szCs w:val="22"/>
              </w:rPr>
            </w:pPr>
            <w:r w:rsidRPr="00A42D28">
              <w:rPr>
                <w:rFonts w:cs="Arial"/>
                <w:sz w:val="22"/>
                <w:szCs w:val="22"/>
              </w:rPr>
              <w:sym w:font="Wingdings" w:char="F0FC"/>
            </w:r>
          </w:p>
        </w:tc>
        <w:tc>
          <w:tcPr>
            <w:tcW w:w="1471" w:type="pct"/>
            <w:vAlign w:val="center"/>
          </w:tcPr>
          <w:p w:rsidR="004A60B7" w:rsidRPr="00A42D28" w:rsidRDefault="004A60B7" w:rsidP="00B41B3C">
            <w:pPr>
              <w:keepNext/>
              <w:spacing w:line="276" w:lineRule="auto"/>
              <w:ind w:left="65"/>
              <w:contextualSpacing/>
              <w:jc w:val="center"/>
              <w:rPr>
                <w:rFonts w:cs="Arial"/>
                <w:sz w:val="22"/>
                <w:szCs w:val="22"/>
              </w:rPr>
            </w:pPr>
          </w:p>
        </w:tc>
      </w:tr>
      <w:tr w:rsidR="004A60B7" w:rsidRPr="00A42D28" w:rsidTr="00B41B3C">
        <w:tc>
          <w:tcPr>
            <w:tcW w:w="2273" w:type="pct"/>
          </w:tcPr>
          <w:p w:rsidR="004A60B7" w:rsidRPr="00A42D28" w:rsidRDefault="004A60B7" w:rsidP="00B41B3C">
            <w:pPr>
              <w:keepNext/>
              <w:spacing w:before="120" w:after="120" w:line="276" w:lineRule="auto"/>
              <w:contextualSpacing/>
              <w:rPr>
                <w:rFonts w:cs="Arial"/>
                <w:sz w:val="22"/>
                <w:szCs w:val="22"/>
              </w:rPr>
            </w:pPr>
            <w:r w:rsidRPr="00A42D28">
              <w:rPr>
                <w:rFonts w:cs="Arial"/>
                <w:sz w:val="22"/>
                <w:szCs w:val="22"/>
              </w:rPr>
              <w:t>Employment growth</w:t>
            </w:r>
          </w:p>
        </w:tc>
        <w:tc>
          <w:tcPr>
            <w:tcW w:w="1256" w:type="pct"/>
            <w:vAlign w:val="center"/>
          </w:tcPr>
          <w:p w:rsidR="004A60B7" w:rsidRPr="00A42D28" w:rsidRDefault="004A60B7" w:rsidP="00B41B3C">
            <w:pPr>
              <w:keepNext/>
              <w:spacing w:before="120" w:after="120" w:line="276" w:lineRule="auto"/>
              <w:ind w:left="65"/>
              <w:contextualSpacing/>
              <w:jc w:val="center"/>
              <w:rPr>
                <w:rFonts w:cs="Arial"/>
                <w:sz w:val="22"/>
                <w:szCs w:val="22"/>
              </w:rPr>
            </w:pPr>
            <w:r w:rsidRPr="00A42D28">
              <w:rPr>
                <w:rFonts w:cs="Arial"/>
                <w:sz w:val="22"/>
                <w:szCs w:val="22"/>
              </w:rPr>
              <w:sym w:font="Wingdings" w:char="F0FC"/>
            </w:r>
          </w:p>
        </w:tc>
        <w:tc>
          <w:tcPr>
            <w:tcW w:w="1471" w:type="pct"/>
            <w:vAlign w:val="center"/>
          </w:tcPr>
          <w:p w:rsidR="004A60B7" w:rsidRPr="00A42D28" w:rsidRDefault="004A60B7" w:rsidP="00B41B3C">
            <w:pPr>
              <w:keepNext/>
              <w:spacing w:before="120" w:after="120" w:line="276" w:lineRule="auto"/>
              <w:ind w:left="65"/>
              <w:contextualSpacing/>
              <w:jc w:val="center"/>
              <w:rPr>
                <w:rFonts w:cs="Arial"/>
                <w:sz w:val="22"/>
                <w:szCs w:val="22"/>
              </w:rPr>
            </w:pPr>
          </w:p>
        </w:tc>
      </w:tr>
      <w:tr w:rsidR="004A60B7" w:rsidRPr="00A42D28" w:rsidTr="00B41B3C">
        <w:tc>
          <w:tcPr>
            <w:tcW w:w="2273" w:type="pct"/>
          </w:tcPr>
          <w:p w:rsidR="004A60B7" w:rsidRPr="00A42D28" w:rsidRDefault="004A60B7" w:rsidP="004A60B7">
            <w:pPr>
              <w:spacing w:before="120" w:after="120" w:line="276" w:lineRule="auto"/>
              <w:contextualSpacing/>
              <w:rPr>
                <w:rFonts w:cs="Arial"/>
                <w:sz w:val="22"/>
                <w:szCs w:val="22"/>
              </w:rPr>
            </w:pPr>
            <w:r w:rsidRPr="00A42D28">
              <w:rPr>
                <w:rFonts w:cs="Arial"/>
                <w:sz w:val="22"/>
                <w:szCs w:val="22"/>
              </w:rPr>
              <w:t>Car Ownership growth</w:t>
            </w:r>
          </w:p>
        </w:tc>
        <w:tc>
          <w:tcPr>
            <w:tcW w:w="1256" w:type="pct"/>
            <w:vAlign w:val="center"/>
          </w:tcPr>
          <w:p w:rsidR="004A60B7" w:rsidRPr="00A42D28" w:rsidRDefault="004A60B7" w:rsidP="004A60B7">
            <w:pPr>
              <w:spacing w:before="120" w:after="120" w:line="276" w:lineRule="auto"/>
              <w:ind w:left="65"/>
              <w:contextualSpacing/>
              <w:jc w:val="center"/>
              <w:rPr>
                <w:rFonts w:cs="Arial"/>
                <w:sz w:val="22"/>
                <w:szCs w:val="22"/>
              </w:rPr>
            </w:pPr>
            <w:r w:rsidRPr="00A42D28">
              <w:rPr>
                <w:rFonts w:cs="Arial"/>
                <w:sz w:val="22"/>
                <w:szCs w:val="22"/>
              </w:rPr>
              <w:sym w:font="Wingdings" w:char="F0FC"/>
            </w:r>
          </w:p>
        </w:tc>
        <w:tc>
          <w:tcPr>
            <w:tcW w:w="1471" w:type="pct"/>
            <w:vAlign w:val="center"/>
          </w:tcPr>
          <w:p w:rsidR="004A60B7" w:rsidRPr="00A42D28" w:rsidRDefault="004A60B7" w:rsidP="004A60B7">
            <w:pPr>
              <w:spacing w:before="120" w:after="120" w:line="276" w:lineRule="auto"/>
              <w:ind w:left="65"/>
              <w:contextualSpacing/>
              <w:jc w:val="center"/>
              <w:rPr>
                <w:rFonts w:cs="Arial"/>
                <w:sz w:val="22"/>
                <w:szCs w:val="22"/>
              </w:rPr>
            </w:pPr>
            <w:r w:rsidRPr="00A42D28">
              <w:rPr>
                <w:rFonts w:cs="Arial"/>
                <w:sz w:val="22"/>
                <w:szCs w:val="22"/>
              </w:rPr>
              <w:sym w:font="Wingdings" w:char="F0FC"/>
            </w:r>
          </w:p>
        </w:tc>
      </w:tr>
    </w:tbl>
    <w:p w:rsidR="004A60B7" w:rsidRPr="00A42D28" w:rsidRDefault="004A60B7" w:rsidP="00A4081F">
      <w:pPr>
        <w:pStyle w:val="NumberedParas"/>
      </w:pPr>
      <w:r w:rsidRPr="00A42D28">
        <w:t xml:space="preserve">Future year forecasts for each of the factors identified in the table above have been derived with the exception of car ownership, which is derived from changes in GDP through a car ownership model calibrated to fit historic ownership trends.  </w:t>
      </w:r>
    </w:p>
    <w:p w:rsidR="004A60B7" w:rsidRPr="00A42D28" w:rsidRDefault="004A60B7" w:rsidP="00036281">
      <w:pPr>
        <w:pStyle w:val="Hdg3"/>
      </w:pPr>
      <w:bookmarkStart w:id="24" w:name="_Toc395520246"/>
      <w:r w:rsidRPr="00A42D28">
        <w:t>Trip Distribution</w:t>
      </w:r>
      <w:bookmarkEnd w:id="24"/>
    </w:p>
    <w:p w:rsidR="004A60B7" w:rsidRPr="00A42D28" w:rsidRDefault="004A60B7" w:rsidP="00A4081F">
      <w:pPr>
        <w:pStyle w:val="NumberedParas"/>
        <w:rPr>
          <w:rFonts w:eastAsia="SimSun"/>
        </w:rPr>
      </w:pPr>
      <w:r w:rsidRPr="00A42D28">
        <w:rPr>
          <w:rFonts w:eastAsia="SimSun"/>
        </w:rPr>
        <w:t>The NTM trip distribution model links the estimated trips produced from each zone with trips attracted to other zones. The model considers the balance between the location of these trip ends and the cost of travel (generalised in terms of time, distance, parking charges, and fares) between them, for all locations within Romania, to/from Romania and through Romania.</w:t>
      </w:r>
    </w:p>
    <w:p w:rsidR="004A60B7" w:rsidRPr="00A42D28" w:rsidRDefault="004A60B7" w:rsidP="00A4081F">
      <w:pPr>
        <w:pStyle w:val="NumberedParas"/>
      </w:pPr>
      <w:r w:rsidRPr="00A42D28">
        <w:rPr>
          <w:rFonts w:eastAsia="SimSun"/>
        </w:rPr>
        <w:t>The number of trips between two zones is estimated to be directly proportional to the number of trip productions in the production zone and attractions in the attraction zone, and inversely proportional to the cost of travel between the zones. The output of the distribution model is a set of travel demand matrices that detail the number of trips from each zone to all other zones for various trip purposes for an average weekday.</w:t>
      </w:r>
    </w:p>
    <w:p w:rsidR="004A60B7" w:rsidRPr="00A42D28" w:rsidRDefault="004A60B7" w:rsidP="00A4081F">
      <w:pPr>
        <w:pStyle w:val="NumberedParas"/>
      </w:pPr>
      <w:r w:rsidRPr="00A42D28">
        <w:t>The trip distribution models in NTM have the following form:</w:t>
      </w:r>
    </w:p>
    <w:p w:rsidR="004A60B7" w:rsidRPr="00A42D28" w:rsidRDefault="004A60B7" w:rsidP="004A60B7">
      <w:pPr>
        <w:pStyle w:val="Body"/>
        <w:spacing w:before="120"/>
        <w:ind w:firstLine="720"/>
        <w:contextualSpacing/>
        <w:rPr>
          <w:rFonts w:cs="Arial"/>
          <w:b/>
        </w:rPr>
      </w:pPr>
      <w:r w:rsidRPr="00A42D28">
        <w:rPr>
          <w:rFonts w:cs="Arial"/>
          <w:b/>
        </w:rPr>
        <w:t>T</w:t>
      </w:r>
      <w:r w:rsidRPr="00A42D28">
        <w:rPr>
          <w:rFonts w:cs="Arial"/>
          <w:b/>
          <w:vertAlign w:val="subscript"/>
        </w:rPr>
        <w:t>ij</w:t>
      </w:r>
      <w:r w:rsidRPr="00A42D28">
        <w:rPr>
          <w:rFonts w:cs="Arial"/>
          <w:b/>
        </w:rPr>
        <w:t xml:space="preserve"> = A</w:t>
      </w:r>
      <w:r w:rsidRPr="00A42D28">
        <w:rPr>
          <w:rFonts w:cs="Arial"/>
          <w:b/>
          <w:vertAlign w:val="subscript"/>
        </w:rPr>
        <w:t>i</w:t>
      </w:r>
      <w:r w:rsidRPr="00A42D28">
        <w:rPr>
          <w:rFonts w:cs="Arial"/>
          <w:b/>
        </w:rPr>
        <w:t xml:space="preserve"> * P</w:t>
      </w:r>
      <w:r w:rsidRPr="00A42D28">
        <w:rPr>
          <w:rFonts w:cs="Arial"/>
          <w:b/>
          <w:vertAlign w:val="subscript"/>
        </w:rPr>
        <w:t>i</w:t>
      </w:r>
      <w:r w:rsidRPr="00A42D28">
        <w:rPr>
          <w:rFonts w:cs="Arial"/>
          <w:b/>
        </w:rPr>
        <w:t xml:space="preserve"> * B</w:t>
      </w:r>
      <w:r w:rsidRPr="00A42D28">
        <w:rPr>
          <w:rFonts w:cs="Arial"/>
          <w:b/>
          <w:vertAlign w:val="subscript"/>
        </w:rPr>
        <w:t xml:space="preserve">j </w:t>
      </w:r>
      <w:r w:rsidRPr="00A42D28">
        <w:rPr>
          <w:rFonts w:cs="Arial"/>
          <w:b/>
        </w:rPr>
        <w:t>* D</w:t>
      </w:r>
      <w:r w:rsidRPr="00A42D28">
        <w:rPr>
          <w:rFonts w:cs="Arial"/>
          <w:b/>
          <w:vertAlign w:val="subscript"/>
        </w:rPr>
        <w:t>j</w:t>
      </w:r>
      <w:r w:rsidRPr="00A42D28">
        <w:rPr>
          <w:rFonts w:cs="Arial"/>
          <w:b/>
        </w:rPr>
        <w:t xml:space="preserve"> * IMP</w:t>
      </w:r>
      <w:r w:rsidRPr="00A42D28">
        <w:rPr>
          <w:rFonts w:cs="Arial"/>
          <w:b/>
          <w:vertAlign w:val="subscript"/>
        </w:rPr>
        <w:t xml:space="preserve">ij </w:t>
      </w:r>
    </w:p>
    <w:p w:rsidR="004A60B7" w:rsidRPr="00A42D28" w:rsidRDefault="004A60B7" w:rsidP="004A60B7">
      <w:pPr>
        <w:pStyle w:val="Body"/>
        <w:spacing w:before="120"/>
        <w:contextualSpacing/>
        <w:rPr>
          <w:rFonts w:cs="Arial"/>
        </w:rPr>
      </w:pPr>
      <w:r w:rsidRPr="00A42D28">
        <w:rPr>
          <w:rFonts w:cs="Arial"/>
        </w:rPr>
        <w:t>Where:</w:t>
      </w:r>
    </w:p>
    <w:p w:rsidR="004A60B7" w:rsidRPr="00A42D28" w:rsidRDefault="004A60B7" w:rsidP="004A60B7">
      <w:pPr>
        <w:pStyle w:val="Body"/>
        <w:spacing w:before="120"/>
        <w:ind w:firstLine="720"/>
        <w:contextualSpacing/>
        <w:rPr>
          <w:rFonts w:cs="Arial"/>
        </w:rPr>
      </w:pPr>
      <w:r w:rsidRPr="00A42D28">
        <w:rPr>
          <w:rFonts w:cs="Arial"/>
          <w:b/>
          <w:i w:val="0"/>
        </w:rPr>
        <w:t>T</w:t>
      </w:r>
      <w:r w:rsidRPr="00A42D28">
        <w:rPr>
          <w:rFonts w:cs="Arial"/>
          <w:b/>
          <w:i w:val="0"/>
          <w:vertAlign w:val="subscript"/>
        </w:rPr>
        <w:t>ij</w:t>
      </w:r>
      <w:r w:rsidRPr="00A42D28">
        <w:rPr>
          <w:rFonts w:cs="Arial"/>
        </w:rPr>
        <w:t xml:space="preserve"> = predicted trips;</w:t>
      </w:r>
    </w:p>
    <w:p w:rsidR="004A60B7" w:rsidRPr="00A42D28" w:rsidRDefault="004A60B7" w:rsidP="004A60B7">
      <w:pPr>
        <w:pStyle w:val="Body"/>
        <w:spacing w:before="120"/>
        <w:ind w:firstLine="720"/>
        <w:contextualSpacing/>
        <w:rPr>
          <w:rFonts w:cs="Arial"/>
        </w:rPr>
      </w:pPr>
      <w:r w:rsidRPr="00A42D28">
        <w:rPr>
          <w:rFonts w:cs="Arial"/>
          <w:b/>
          <w:i w:val="0"/>
        </w:rPr>
        <w:t>P</w:t>
      </w:r>
      <w:r w:rsidRPr="00A42D28">
        <w:rPr>
          <w:rFonts w:cs="Arial"/>
          <w:b/>
          <w:i w:val="0"/>
          <w:vertAlign w:val="subscript"/>
        </w:rPr>
        <w:t>i</w:t>
      </w:r>
      <w:r w:rsidRPr="00A42D28">
        <w:rPr>
          <w:rFonts w:cs="Arial"/>
          <w:vertAlign w:val="subscript"/>
        </w:rPr>
        <w:t xml:space="preserve"> </w:t>
      </w:r>
      <w:r w:rsidRPr="00A42D28">
        <w:rPr>
          <w:rFonts w:cs="Arial"/>
        </w:rPr>
        <w:t>= production total;</w:t>
      </w:r>
    </w:p>
    <w:p w:rsidR="004A60B7" w:rsidRPr="00A42D28" w:rsidRDefault="004A60B7" w:rsidP="004A60B7">
      <w:pPr>
        <w:pStyle w:val="Body"/>
        <w:spacing w:before="120"/>
        <w:ind w:firstLine="720"/>
        <w:contextualSpacing/>
        <w:rPr>
          <w:rFonts w:cs="Arial"/>
        </w:rPr>
      </w:pPr>
      <w:r w:rsidRPr="00A42D28">
        <w:rPr>
          <w:rFonts w:cs="Arial"/>
          <w:b/>
          <w:i w:val="0"/>
        </w:rPr>
        <w:t>D</w:t>
      </w:r>
      <w:r w:rsidRPr="00A42D28">
        <w:rPr>
          <w:rFonts w:cs="Arial"/>
          <w:b/>
          <w:i w:val="0"/>
          <w:vertAlign w:val="subscript"/>
        </w:rPr>
        <w:t xml:space="preserve">j </w:t>
      </w:r>
      <w:r w:rsidRPr="00A42D28">
        <w:rPr>
          <w:rFonts w:cs="Arial"/>
        </w:rPr>
        <w:t>= attraction total;</w:t>
      </w:r>
    </w:p>
    <w:p w:rsidR="004A60B7" w:rsidRPr="00A42D28" w:rsidRDefault="004A60B7" w:rsidP="004A60B7">
      <w:pPr>
        <w:pStyle w:val="Body"/>
        <w:spacing w:before="120"/>
        <w:ind w:firstLine="720"/>
        <w:contextualSpacing/>
        <w:rPr>
          <w:rFonts w:cs="Arial"/>
        </w:rPr>
      </w:pPr>
      <w:r w:rsidRPr="00A42D28">
        <w:rPr>
          <w:rFonts w:cs="Arial"/>
          <w:b/>
          <w:i w:val="0"/>
        </w:rPr>
        <w:t>IMP</w:t>
      </w:r>
      <w:r w:rsidRPr="00A42D28">
        <w:rPr>
          <w:rFonts w:cs="Arial"/>
          <w:b/>
          <w:i w:val="0"/>
          <w:vertAlign w:val="subscript"/>
        </w:rPr>
        <w:t>ij</w:t>
      </w:r>
      <w:r w:rsidRPr="00A42D28">
        <w:rPr>
          <w:rFonts w:cs="Arial"/>
          <w:b/>
          <w:i w:val="0"/>
        </w:rPr>
        <w:t xml:space="preserve"> </w:t>
      </w:r>
      <w:r w:rsidRPr="00A42D28">
        <w:rPr>
          <w:rFonts w:cs="Arial"/>
        </w:rPr>
        <w:t>is impedance between production and attraction zone pair; and</w:t>
      </w:r>
    </w:p>
    <w:p w:rsidR="004A60B7" w:rsidRPr="00A42D28" w:rsidRDefault="004A60B7" w:rsidP="004A60B7">
      <w:pPr>
        <w:pStyle w:val="Body"/>
        <w:spacing w:before="120"/>
        <w:ind w:firstLine="720"/>
        <w:contextualSpacing/>
        <w:rPr>
          <w:rFonts w:cs="Arial"/>
          <w:b/>
          <w:i w:val="0"/>
        </w:rPr>
      </w:pPr>
      <w:r w:rsidRPr="00A42D28">
        <w:rPr>
          <w:rFonts w:cs="Arial"/>
          <w:b/>
          <w:i w:val="0"/>
        </w:rPr>
        <w:t>A</w:t>
      </w:r>
      <w:r w:rsidRPr="00A42D28">
        <w:rPr>
          <w:rFonts w:cs="Arial"/>
          <w:b/>
          <w:i w:val="0"/>
          <w:vertAlign w:val="subscript"/>
        </w:rPr>
        <w:t>i</w:t>
      </w:r>
      <w:r w:rsidRPr="00A42D28">
        <w:rPr>
          <w:rFonts w:cs="Arial"/>
          <w:b/>
          <w:i w:val="0"/>
        </w:rPr>
        <w:t xml:space="preserve"> and B</w:t>
      </w:r>
      <w:r w:rsidRPr="00A42D28">
        <w:rPr>
          <w:rFonts w:cs="Arial"/>
          <w:b/>
          <w:i w:val="0"/>
          <w:vertAlign w:val="subscript"/>
        </w:rPr>
        <w:t>j</w:t>
      </w:r>
      <w:r w:rsidRPr="00A42D28">
        <w:rPr>
          <w:rFonts w:cs="Arial"/>
        </w:rPr>
        <w:t xml:space="preserve"> are adjustment factors.</w:t>
      </w:r>
    </w:p>
    <w:p w:rsidR="004A60B7" w:rsidRPr="00A42D28" w:rsidRDefault="004A60B7" w:rsidP="00A4081F">
      <w:pPr>
        <w:pStyle w:val="NumberedParas"/>
        <w:rPr>
          <w:b/>
        </w:rPr>
      </w:pPr>
      <w:r w:rsidRPr="00A42D28">
        <w:t xml:space="preserve">The impedance functions calibrated in NTM are specific to each purpose and car availability type combination. Therefore a different set of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0</m:t>
            </m:r>
          </m:sub>
        </m:sSub>
      </m:oMath>
      <w:r w:rsidRPr="00A42D28">
        <w:t xml:space="preserve">,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1</m:t>
            </m:r>
          </m:sub>
        </m:sSub>
      </m:oMath>
      <w:r w:rsidRPr="00A42D28">
        <w:t xml:space="preserve"> and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2</m:t>
            </m:r>
          </m:sub>
        </m:sSub>
      </m:oMath>
      <w:r w:rsidRPr="00A42D28">
        <w:t xml:space="preserve"> parameters has been derived for each demand segment within NTM.</w:t>
      </w:r>
    </w:p>
    <w:p w:rsidR="004A60B7" w:rsidRPr="00A42D28" w:rsidRDefault="004A60B7" w:rsidP="00A566D5">
      <w:pPr>
        <w:pStyle w:val="Hdg3"/>
      </w:pPr>
      <w:bookmarkStart w:id="25" w:name="_Toc395520247"/>
      <w:r w:rsidRPr="00A42D28">
        <w:t>Mode Choice Models</w:t>
      </w:r>
      <w:bookmarkEnd w:id="25"/>
    </w:p>
    <w:p w:rsidR="004A60B7" w:rsidRPr="00A42D28" w:rsidRDefault="004A60B7" w:rsidP="00A4081F">
      <w:pPr>
        <w:pStyle w:val="NumberedParas"/>
      </w:pPr>
      <w:r w:rsidRPr="00A42D28">
        <w:t>Each of the demand models in the study adopts a hierarchical model formulation for the mode choice but in each case, there are specific differences that reflect the domestic and international passenger and freight markets. Figure 1.8 shows the structure of the car available mode choice model as an example of the hierarchical form.</w:t>
      </w:r>
    </w:p>
    <w:p w:rsidR="008954FE" w:rsidRDefault="008954FE">
      <w:r>
        <w:br w:type="page"/>
      </w:r>
    </w:p>
    <w:p w:rsidR="004A60B7" w:rsidRPr="00A42D28" w:rsidRDefault="004A60B7" w:rsidP="008954FE"/>
    <w:p w:rsidR="004A60B7" w:rsidRPr="00B41B3C" w:rsidRDefault="00B41B3C" w:rsidP="00B41B3C">
      <w:pPr>
        <w:pStyle w:val="Body"/>
        <w:spacing w:before="120"/>
        <w:ind w:left="851"/>
        <w:contextualSpacing/>
        <w:rPr>
          <w:rFonts w:cs="Arial"/>
          <w:i w:val="0"/>
        </w:rPr>
      </w:pPr>
      <w:r>
        <w:rPr>
          <w:rFonts w:cs="Arial"/>
          <w:b/>
          <w:i w:val="0"/>
        </w:rPr>
        <w:t>Figure 2.11</w:t>
      </w:r>
      <w:r w:rsidR="004A60B7" w:rsidRPr="00B41B3C">
        <w:rPr>
          <w:rFonts w:cs="Arial"/>
          <w:b/>
          <w:i w:val="0"/>
        </w:rPr>
        <w:t xml:space="preserve"> NTM Mode Choice Model Hierarchy</w:t>
      </w:r>
    </w:p>
    <w:p w:rsidR="004A60B7" w:rsidRPr="00A42D28" w:rsidRDefault="007C5361" w:rsidP="00E065B6">
      <w:pPr>
        <w:spacing w:before="120" w:after="120" w:line="276" w:lineRule="auto"/>
        <w:ind w:firstLine="851"/>
        <w:contextualSpacing/>
        <w:rPr>
          <w:rFonts w:cs="Arial"/>
          <w:sz w:val="22"/>
          <w:szCs w:val="22"/>
        </w:rPr>
      </w:pPr>
      <w:r>
        <w:rPr>
          <w:rFonts w:cs="Arial"/>
          <w:noProof/>
          <w:sz w:val="22"/>
          <w:szCs w:val="22"/>
          <w:lang w:val="ro-RO" w:eastAsia="ro-RO"/>
        </w:rPr>
        <mc:AlternateContent>
          <mc:Choice Requires="wpg">
            <w:drawing>
              <wp:inline distT="0" distB="0" distL="0" distR="0" wp14:anchorId="0368EA8C" wp14:editId="6AFAA46B">
                <wp:extent cx="5943600" cy="3581400"/>
                <wp:effectExtent l="11430" t="10160" r="7620" b="8890"/>
                <wp:docPr id="4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581400"/>
                          <a:chOff x="12236" y="15389"/>
                          <a:chExt cx="66967" cy="40324"/>
                        </a:xfrm>
                      </wpg:grpSpPr>
                      <wps:wsp>
                        <wps:cNvPr id="453" name="Rounded Rectangle 334"/>
                        <wps:cNvSpPr>
                          <a:spLocks noChangeArrowheads="1"/>
                        </wps:cNvSpPr>
                        <wps:spPr bwMode="auto">
                          <a:xfrm>
                            <a:off x="12236" y="15389"/>
                            <a:ext cx="66967" cy="40324"/>
                          </a:xfrm>
                          <a:prstGeom prst="roundRect">
                            <a:avLst>
                              <a:gd name="adj" fmla="val 16667"/>
                            </a:avLst>
                          </a:prstGeom>
                          <a:noFill/>
                          <a:ln w="12700">
                            <a:solidFill>
                              <a:srgbClr val="FF0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txbxContent>
                        </wps:txbx>
                        <wps:bodyPr rot="0" vert="horz" wrap="square" lIns="91440" tIns="45720" rIns="91440" bIns="45720" anchor="ctr" anchorCtr="0" upright="1">
                          <a:noAutofit/>
                        </wps:bodyPr>
                      </wps:wsp>
                      <wps:wsp>
                        <wps:cNvPr id="454" name="Rounded Rectangle 335"/>
                        <wps:cNvSpPr>
                          <a:spLocks noChangeArrowheads="1"/>
                        </wps:cNvSpPr>
                        <wps:spPr bwMode="auto">
                          <a:xfrm>
                            <a:off x="28799" y="16826"/>
                            <a:ext cx="26644" cy="283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Car </w:t>
                              </w:r>
                              <w:proofErr w:type="gramStart"/>
                              <w:r>
                                <w:rPr>
                                  <w:rFonts w:asciiTheme="minorHAnsi" w:hAnsi="Calibri" w:cstheme="minorBidi"/>
                                  <w:color w:val="000000" w:themeColor="text1"/>
                                  <w:kern w:val="24"/>
                                  <w:sz w:val="20"/>
                                  <w:szCs w:val="20"/>
                                  <w:lang w:val="en-GB"/>
                                </w:rPr>
                                <w:t>Available  Mode</w:t>
                              </w:r>
                              <w:proofErr w:type="gramEnd"/>
                              <w:r>
                                <w:rPr>
                                  <w:rFonts w:asciiTheme="minorHAnsi" w:hAnsi="Calibri" w:cstheme="minorBidi"/>
                                  <w:color w:val="000000" w:themeColor="text1"/>
                                  <w:kern w:val="24"/>
                                  <w:sz w:val="20"/>
                                  <w:szCs w:val="20"/>
                                  <w:lang w:val="en-GB"/>
                                </w:rPr>
                                <w:t xml:space="preserve"> Choice</w:t>
                              </w:r>
                            </w:p>
                          </w:txbxContent>
                        </wps:txbx>
                        <wps:bodyPr rot="0" vert="horz" wrap="square" lIns="36000" tIns="45720" rIns="36000" bIns="45720" anchor="ctr" anchorCtr="0" upright="1">
                          <a:noAutofit/>
                        </wps:bodyPr>
                      </wps:wsp>
                      <wps:wsp>
                        <wps:cNvPr id="455" name="Rounded Rectangle 336"/>
                        <wps:cNvSpPr>
                          <a:spLocks noChangeArrowheads="1"/>
                        </wps:cNvSpPr>
                        <wps:spPr bwMode="auto">
                          <a:xfrm>
                            <a:off x="37439" y="21149"/>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Total CA</w:t>
                              </w:r>
                            </w:p>
                          </w:txbxContent>
                        </wps:txbx>
                        <wps:bodyPr rot="0" vert="horz" wrap="square" lIns="36000" tIns="45720" rIns="36000" bIns="45720" anchor="ctr" anchorCtr="0" upright="1">
                          <a:noAutofit/>
                        </wps:bodyPr>
                      </wps:wsp>
                      <wps:wsp>
                        <wps:cNvPr id="456" name="Rounded Rectangle 337"/>
                        <wps:cNvSpPr>
                          <a:spLocks noChangeArrowheads="1"/>
                        </wps:cNvSpPr>
                        <wps:spPr bwMode="auto">
                          <a:xfrm>
                            <a:off x="19440" y="29790"/>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w:t>
                              </w:r>
                            </w:p>
                          </w:txbxContent>
                        </wps:txbx>
                        <wps:bodyPr rot="0" vert="horz" wrap="square" lIns="36000" tIns="45720" rIns="36000" bIns="45720" anchor="ctr" anchorCtr="0" upright="1">
                          <a:noAutofit/>
                        </wps:bodyPr>
                      </wps:wsp>
                      <wps:wsp>
                        <wps:cNvPr id="457" name="Rounded Rectangle 338"/>
                        <wps:cNvSpPr>
                          <a:spLocks noChangeArrowheads="1"/>
                        </wps:cNvSpPr>
                        <wps:spPr bwMode="auto">
                          <a:xfrm>
                            <a:off x="47519" y="29790"/>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w:t>
                              </w:r>
                            </w:p>
                          </w:txbxContent>
                        </wps:txbx>
                        <wps:bodyPr rot="0" vert="horz" wrap="square" lIns="36000" tIns="45720" rIns="36000" bIns="45720" anchor="ctr" anchorCtr="0" upright="1">
                          <a:noAutofit/>
                        </wps:bodyPr>
                      </wps:wsp>
                      <wps:wsp>
                        <wps:cNvPr id="458" name="Rounded Rectangle 339"/>
                        <wps:cNvSpPr>
                          <a:spLocks noChangeArrowheads="1"/>
                        </wps:cNvSpPr>
                        <wps:spPr bwMode="auto">
                          <a:xfrm>
                            <a:off x="36719" y="38431"/>
                            <a:ext cx="8640"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Air</w:t>
                              </w:r>
                            </w:p>
                          </w:txbxContent>
                        </wps:txbx>
                        <wps:bodyPr rot="0" vert="horz" wrap="square" lIns="36000" tIns="45720" rIns="36000" bIns="45720" anchor="ctr" anchorCtr="0" upright="1">
                          <a:noAutofit/>
                        </wps:bodyPr>
                      </wps:wsp>
                      <wps:wsp>
                        <wps:cNvPr id="459" name="Rounded Rectangle 340"/>
                        <wps:cNvSpPr>
                          <a:spLocks noChangeArrowheads="1"/>
                        </wps:cNvSpPr>
                        <wps:spPr bwMode="auto">
                          <a:xfrm>
                            <a:off x="47520" y="38431"/>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Rail</w:t>
                              </w:r>
                            </w:p>
                          </w:txbxContent>
                        </wps:txbx>
                        <wps:bodyPr rot="0" vert="horz" wrap="square" lIns="36000" tIns="45720" rIns="36000" bIns="45720" anchor="ctr" anchorCtr="0" upright="1">
                          <a:noAutofit/>
                        </wps:bodyPr>
                      </wps:wsp>
                      <wps:wsp>
                        <wps:cNvPr id="460" name="Rounded Rectangle 341"/>
                        <wps:cNvSpPr>
                          <a:spLocks noChangeArrowheads="1"/>
                        </wps:cNvSpPr>
                        <wps:spPr bwMode="auto">
                          <a:xfrm>
                            <a:off x="69122" y="38431"/>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Ferry</w:t>
                              </w:r>
                            </w:p>
                          </w:txbxContent>
                        </wps:txbx>
                        <wps:bodyPr rot="0" vert="horz" wrap="square" lIns="36000" tIns="45720" rIns="36000" bIns="45720" anchor="ctr" anchorCtr="0" upright="1">
                          <a:noAutofit/>
                        </wps:bodyPr>
                      </wps:wsp>
                      <wps:wsp>
                        <wps:cNvPr id="461" name="Elbow Connector 342"/>
                        <wps:cNvCnPr>
                          <a:cxnSpLocks noChangeShapeType="1"/>
                        </wps:cNvCnPr>
                        <wps:spPr bwMode="auto">
                          <a:xfrm rot="5400000">
                            <a:off x="30953" y="18984"/>
                            <a:ext cx="3613" cy="17999"/>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62" name="Elbow Connector 343"/>
                        <wps:cNvCnPr>
                          <a:cxnSpLocks noChangeShapeType="1"/>
                        </wps:cNvCnPr>
                        <wps:spPr bwMode="auto">
                          <a:xfrm rot="16200000" flipH="1">
                            <a:off x="44993" y="22943"/>
                            <a:ext cx="3613" cy="10081"/>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63" name="Elbow Connector 344"/>
                        <wps:cNvCnPr>
                          <a:cxnSpLocks noChangeShapeType="1"/>
                        </wps:cNvCnPr>
                        <wps:spPr bwMode="auto">
                          <a:xfrm rot="5400000">
                            <a:off x="44633" y="31224"/>
                            <a:ext cx="3613" cy="10801"/>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64" name="Elbow Connector 345"/>
                        <wps:cNvCnPr>
                          <a:cxnSpLocks noChangeShapeType="1"/>
                        </wps:cNvCnPr>
                        <wps:spPr bwMode="auto">
                          <a:xfrm rot="16200000" flipH="1">
                            <a:off x="50033" y="36625"/>
                            <a:ext cx="3613" cy="0"/>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65" name="Elbow Connector 346"/>
                        <wps:cNvCnPr>
                          <a:cxnSpLocks noChangeShapeType="1"/>
                        </wps:cNvCnPr>
                        <wps:spPr bwMode="auto">
                          <a:xfrm rot="16200000" flipH="1">
                            <a:off x="60835" y="25823"/>
                            <a:ext cx="3613" cy="21603"/>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66" name="Rounded Rectangle 347"/>
                        <wps:cNvSpPr>
                          <a:spLocks noChangeArrowheads="1"/>
                        </wps:cNvSpPr>
                        <wps:spPr bwMode="auto">
                          <a:xfrm>
                            <a:off x="58321" y="38431"/>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Bus</w:t>
                              </w:r>
                            </w:p>
                          </w:txbxContent>
                        </wps:txbx>
                        <wps:bodyPr rot="0" vert="horz" wrap="square" lIns="36000" tIns="45720" rIns="36000" bIns="45720" anchor="ctr" anchorCtr="0" upright="1">
                          <a:noAutofit/>
                        </wps:bodyPr>
                      </wps:wsp>
                      <wps:wsp>
                        <wps:cNvPr id="467" name="Rounded Rectangle 348"/>
                        <wps:cNvSpPr>
                          <a:spLocks noChangeArrowheads="1"/>
                        </wps:cNvSpPr>
                        <wps:spPr bwMode="auto">
                          <a:xfrm>
                            <a:off x="58321" y="47792"/>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Regional</w:t>
                              </w:r>
                            </w:p>
                          </w:txbxContent>
                        </wps:txbx>
                        <wps:bodyPr rot="0" vert="horz" wrap="square" lIns="36000" tIns="45720" rIns="36000" bIns="45720" anchor="ctr" anchorCtr="0" upright="1">
                          <a:noAutofit/>
                        </wps:bodyPr>
                      </wps:wsp>
                      <wps:wsp>
                        <wps:cNvPr id="468" name="Rounded Rectangle 349"/>
                        <wps:cNvSpPr>
                          <a:spLocks noChangeArrowheads="1"/>
                        </wps:cNvSpPr>
                        <wps:spPr bwMode="auto">
                          <a:xfrm>
                            <a:off x="37802" y="47792"/>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City</w:t>
                              </w:r>
                            </w:p>
                          </w:txbxContent>
                        </wps:txbx>
                        <wps:bodyPr rot="0" vert="horz" wrap="square" lIns="36000" tIns="45720" rIns="36000" bIns="45720" anchor="ctr" anchorCtr="0" upright="1">
                          <a:noAutofit/>
                        </wps:bodyPr>
                      </wps:wsp>
                      <wps:wsp>
                        <wps:cNvPr id="469" name="Rounded Rectangle 350"/>
                        <wps:cNvSpPr>
                          <a:spLocks noChangeArrowheads="1"/>
                        </wps:cNvSpPr>
                        <wps:spPr bwMode="auto">
                          <a:xfrm>
                            <a:off x="47882" y="47792"/>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Region</w:t>
                              </w:r>
                            </w:p>
                          </w:txbxContent>
                        </wps:txbx>
                        <wps:bodyPr rot="0" vert="horz" wrap="square" lIns="36000" tIns="45720" rIns="36000" bIns="45720" anchor="ctr" anchorCtr="0" upright="1">
                          <a:noAutofit/>
                        </wps:bodyPr>
                      </wps:wsp>
                      <wps:wsp>
                        <wps:cNvPr id="470" name="Rounded Rectangle 351"/>
                        <wps:cNvSpPr>
                          <a:spLocks noChangeArrowheads="1"/>
                        </wps:cNvSpPr>
                        <wps:spPr bwMode="auto">
                          <a:xfrm>
                            <a:off x="25197" y="38431"/>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Non-Tolled</w:t>
                              </w:r>
                            </w:p>
                          </w:txbxContent>
                        </wps:txbx>
                        <wps:bodyPr rot="0" vert="horz" wrap="square" lIns="36000" tIns="45720" rIns="36000" bIns="45720" anchor="ctr" anchorCtr="0" upright="1">
                          <a:noAutofit/>
                        </wps:bodyPr>
                      </wps:wsp>
                      <wps:wsp>
                        <wps:cNvPr id="471" name="Rounded Rectangle 352"/>
                        <wps:cNvSpPr>
                          <a:spLocks noChangeArrowheads="1"/>
                        </wps:cNvSpPr>
                        <wps:spPr bwMode="auto">
                          <a:xfrm>
                            <a:off x="13676" y="38431"/>
                            <a:ext cx="8641" cy="5028"/>
                          </a:xfrm>
                          <a:prstGeom prst="roundRect">
                            <a:avLst>
                              <a:gd name="adj" fmla="val 16667"/>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Tolled</w:t>
                              </w:r>
                            </w:p>
                          </w:txbxContent>
                        </wps:txbx>
                        <wps:bodyPr rot="0" vert="horz" wrap="square" lIns="36000" tIns="45720" rIns="36000" bIns="45720" anchor="ctr" anchorCtr="0" upright="1">
                          <a:noAutofit/>
                        </wps:bodyPr>
                      </wps:wsp>
                      <wps:wsp>
                        <wps:cNvPr id="472" name="Elbow Connector 353"/>
                        <wps:cNvCnPr>
                          <a:cxnSpLocks noChangeShapeType="1"/>
                        </wps:cNvCnPr>
                        <wps:spPr bwMode="auto">
                          <a:xfrm rot="5400000">
                            <a:off x="19071" y="33743"/>
                            <a:ext cx="3613" cy="5764"/>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73" name="Elbow Connector 354"/>
                        <wps:cNvCnPr>
                          <a:cxnSpLocks noChangeShapeType="1"/>
                        </wps:cNvCnPr>
                        <wps:spPr bwMode="auto">
                          <a:xfrm rot="16200000" flipH="1">
                            <a:off x="24832" y="33746"/>
                            <a:ext cx="3613" cy="5758"/>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74" name="Elbow Connector 355"/>
                        <wps:cNvCnPr>
                          <a:cxnSpLocks noChangeShapeType="1"/>
                        </wps:cNvCnPr>
                        <wps:spPr bwMode="auto">
                          <a:xfrm rot="16200000" flipH="1">
                            <a:off x="55434" y="31224"/>
                            <a:ext cx="3613" cy="10801"/>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75" name="Elbow Connector 356"/>
                        <wps:cNvCnPr>
                          <a:cxnSpLocks noChangeShapeType="1"/>
                        </wps:cNvCnPr>
                        <wps:spPr bwMode="auto">
                          <a:xfrm rot="5400000">
                            <a:off x="44814" y="40767"/>
                            <a:ext cx="4333" cy="9718"/>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76" name="Elbow Connector 357"/>
                        <wps:cNvCnPr>
                          <a:cxnSpLocks noChangeShapeType="1"/>
                        </wps:cNvCnPr>
                        <wps:spPr bwMode="auto">
                          <a:xfrm rot="16200000" flipH="1">
                            <a:off x="49854" y="45445"/>
                            <a:ext cx="4333" cy="362"/>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477" name="Elbow Connector 358"/>
                        <wps:cNvCnPr>
                          <a:cxnSpLocks noChangeShapeType="1"/>
                        </wps:cNvCnPr>
                        <wps:spPr bwMode="auto">
                          <a:xfrm rot="16200000" flipH="1">
                            <a:off x="55074" y="40225"/>
                            <a:ext cx="4333" cy="10801"/>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0368EA8C" id="Group 52" o:spid="_x0000_s1075" style="width:468pt;height:282pt;mso-position-horizontal-relative:char;mso-position-vertical-relative:line" coordorigin="12236,15389" coordsize="66967,40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">
                <v:roundrect id="Rounded Rectangle 334" o:spid="_x0000_s1076" style="position:absolute;left:12236;top:15389;width:66967;height:403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Q8UA&#10;AADcAAAADwAAAGRycy9kb3ducmV2LnhtbESPQWvCQBSE74X+h+UVvNVNtUqIWaWIhV56MO1Bby/Z&#10;ZxLMvg3ZrVn/fVcQPA4z8w2Tb4LpxIUG11pW8DZNQBBXVrdcK/j9+XxNQTiPrLGzTAqu5GCzfn7K&#10;MdN25D1dCl+LCGGXoYLG+z6T0lUNGXRT2xNH72QHgz7KoZZ6wDHCTSdnSbKUBluOCw32tG2oOhd/&#10;RsH2+5D2h9Qvr0UwdLS7UI7lXqnJS/hYgfAU/CN8b39pBe+LOdzOx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8xDxQAAANwAAAAPAAAAAAAAAAAAAAAAAJgCAABkcnMv&#10;ZG93bnJldi54bWxQSwUGAAAAAAQABAD1AAAAigMAAAAA&#10;" filled="f" strokecolor="red" strokeweight="1pt">
                  <v:stroke dashstyle="3 1"/>
                  <v:textbox>
                    <w:txbxContent>
                      <w:p w:rsidR="008B57DD" w:rsidRDefault="008B57DD" w:rsidP="00AE1F55"/>
                    </w:txbxContent>
                  </v:textbox>
                </v:roundrect>
                <v:roundrect id="Rounded Rectangle 335" o:spid="_x0000_s1077" style="position:absolute;left:28799;top:16826;width:26644;height:28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SssUA&#10;AADcAAAADwAAAGRycy9kb3ducmV2LnhtbESPT2vCQBTE74V+h+UVvNVNRW2bZpUYKOhR7aG9PbMv&#10;f2j2bZrdJvHbu4LgcZiZ3zDJejSN6KlztWUFL9MIBHFudc2lgq/j5/MbCOeRNTaWScGZHKxXjw8J&#10;xtoOvKf+4EsRIOxiVFB538ZSurwig25qW+LgFbYz6IPsSqk7HALcNHIWRUtpsOawUGFLWUX57+Hf&#10;KDhtnEu/s7LA/vVv955mu2F2+lFq8jSmHyA8jf4evrW3WsF8MYfrmXA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5KyxQAAANwAAAAPAAAAAAAAAAAAAAAAAJgCAABkcnMv&#10;ZG93bnJldi54bWxQSwUGAAAAAAQABAD1AAAAig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Available  Mode Choice</w:t>
                        </w:r>
                      </w:p>
                    </w:txbxContent>
                  </v:textbox>
                </v:roundrect>
                <v:roundrect id="Rounded Rectangle 336" o:spid="_x0000_s1078" style="position:absolute;left:37439;top:21149;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c3KcQA&#10;AADcAAAADwAAAGRycy9kb3ducmV2LnhtbESPQWvCQBSE74L/YXlCb7pR1Lapq8SAoMdqD+3tmX0m&#10;odm3MbtN4r93C4LHYWa+YVab3lSipcaVlhVMJxEI4szqknMFX6fd+A2E88gaK8uk4EYONuvhYIWx&#10;th1/Unv0uQgQdjEqKLyvYyldVpBBN7E1cfAutjHog2xyqRvsAtxUchZFS2mw5LBQYE1pQdnv8c8o&#10;OG+dS77T/ILt6/XwnqSHbnb+Uepl1CcfIDz1/hl+tPdawXyxgP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nNynEAAAA3AAAAA8AAAAAAAAAAAAAAAAAmAIAAGRycy9k&#10;b3ducmV2LnhtbFBLBQYAAAAABAAEAPUAAACJAw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Total CA</w:t>
                        </w:r>
                      </w:p>
                    </w:txbxContent>
                  </v:textbox>
                </v:roundrect>
                <v:roundrect id="Rounded Rectangle 337" o:spid="_x0000_s1079" style="position:absolute;left:19440;top:29790;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WpXsUA&#10;AADcAAAADwAAAGRycy9kb3ducmV2LnhtbESPT2vCQBTE74V+h+UVvNVNpbWaZpU0UKhHtQe9PbMv&#10;f2j2bZpdk/Tbu4LgcZiZ3zDJejSN6KlztWUFL9MIBHFudc2lgp/91/MChPPIGhvLpOCfHKxXjw8J&#10;xtoOvKV+50sRIOxiVFB538ZSurwig25qW+LgFbYz6IPsSqk7HALcNHIWRXNpsOawUGFLWUX57+5s&#10;FJw+nUsPWVlg//63WabZZpidjkpNnsb0A4Sn0d/Dt/a3VvD6NofrmXA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alexQAAANwAAAAPAAAAAAAAAAAAAAAAAJgCAABkcnMv&#10;ZG93bnJldi54bWxQSwUGAAAAAAQABAD1AAAAig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w:t>
                        </w:r>
                      </w:p>
                    </w:txbxContent>
                  </v:textbox>
                </v:roundrect>
                <v:roundrect id="Rounded Rectangle 338" o:spid="_x0000_s1080" style="position:absolute;left:47519;top:29790;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MxcUA&#10;AADcAAAADwAAAGRycy9kb3ducmV2LnhtbESPQWvCQBSE74X+h+UVeqsbpVaN2UgaKOix6kFvz+wz&#10;CWbfptltkv77bqHgcZiZb5hkM5pG9NS52rKC6SQCQVxYXXOp4Hj4eFmCcB5ZY2OZFPyQg036+JBg&#10;rO3An9TvfSkChF2MCirv21hKV1Rk0E1sSxy8q+0M+iC7UuoOhwA3jZxF0Zs0WHNYqLClvKLitv82&#10;Ci7vzmWnvLxiv/jarbJ8N8wuZ6Wen8ZsDcLT6O/h//ZWK3idL+D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zFxQAAANwAAAAPAAAAAAAAAAAAAAAAAJgCAABkcnMv&#10;ZG93bnJldi54bWxQSwUGAAAAAAQABAD1AAAAig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PT</w:t>
                        </w:r>
                      </w:p>
                    </w:txbxContent>
                  </v:textbox>
                </v:roundrect>
                <v:roundrect id="Rounded Rectangle 339" o:spid="_x0000_s1081" style="position:absolute;left:36719;top:38431;width:8640;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Yt8EA&#10;AADcAAAADwAAAGRycy9kb3ducmV2LnhtbERPPW/CMBDdkfofrKvEBk4RUAgYFCJVKiO0A2xHfCQR&#10;8TmNTRL+PR6QOj697/W2N5VoqXGlZQUf4wgEcWZ1ybmC35+v0QKE88gaK8uk4EEOtpu3wRpjbTs+&#10;UHv0uQgh7GJUUHhfx1K6rCCDbmxr4sBdbWPQB9jkUjfYhXBTyUkUzaXBkkNDgTWlBWW3490ouOyc&#10;S05pfsX282+/TNJ9N7mclRq+98kKhKfe/4tf7m+tYDoLa8OZc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mmLfBAAAA3AAAAA8AAAAAAAAAAAAAAAAAmAIAAGRycy9kb3du&#10;cmV2LnhtbFBLBQYAAAAABAAEAPUAAACGAw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Air</w:t>
                        </w:r>
                      </w:p>
                    </w:txbxContent>
                  </v:textbox>
                </v:roundrect>
                <v:roundrect id="Rounded Rectangle 340" o:spid="_x0000_s1082" style="position:absolute;left:47520;top:38431;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9LMQA&#10;AADcAAAADwAAAGRycy9kb3ducmV2LnhtbESPQWvCQBSE74L/YXmCN90oVmvqKjFQqEeth/b2zD6T&#10;YPZtzG6T9N93BaHHYWa+YTa73lSipcaVlhXMphEI4szqknMF58/3ySsI55E1VpZJwS852G2Hgw3G&#10;2nZ8pPbkcxEg7GJUUHhfx1K6rCCDbmpr4uBdbWPQB9nkUjfYBbip5DyKltJgyWGhwJrSgrLb6cco&#10;uOydS77S/Irt6n5YJ+mhm1++lRqP+uQNhKfe/4ef7Q+tYPGyhseZc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qPSzEAAAA3AAAAA8AAAAAAAAAAAAAAAAAmAIAAGRycy9k&#10;b3ducmV2LnhtbFBLBQYAAAAABAAEAPUAAACJAw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Rail</w:t>
                        </w:r>
                      </w:p>
                    </w:txbxContent>
                  </v:textbox>
                </v:roundrect>
                <v:roundrect id="Rounded Rectangle 341" o:spid="_x0000_s1083" style="position:absolute;left:69122;top:38431;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eDMIA&#10;AADcAAAADwAAAGRycy9kb3ducmV2LnhtbERPPW+DMBDdK+U/WFepW2MaRTQlMYgiRWrG0g7pdsEX&#10;QMFngl0g/z4eKnV8et+7bDadGGlwrWUFL8sIBHFldcu1gu+v/fMGhPPIGjvLpOBGDrJ08bDDRNuJ&#10;P2ksfS1CCLsEFTTe94mUrmrIoFvanjhwZzsY9AEOtdQDTiHcdHIVRbE02HJoaLCnoqHqUv4aBad3&#10;5/JjUZ9xfL0e3vLiMK1OP0o9Pc75FoSn2f+L/9wfWsE6DvPDmXAE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F4MwgAAANwAAAAPAAAAAAAAAAAAAAAAAJgCAABkcnMvZG93&#10;bnJldi54bWxQSwUGAAAAAAQABAD1AAAAhw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Ferry</w:t>
                        </w:r>
                      </w:p>
                    </w:txbxContent>
                  </v:textbox>
                </v:roundrect>
                <v:shape id="Elbow Connector 342" o:spid="_x0000_s1084" type="#_x0000_t34" style="position:absolute;left:30953;top:18984;width:3613;height:1799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FVAsUAAADcAAAADwAAAGRycy9kb3ducmV2LnhtbESPT2vCQBTE7wW/w/IEL1I3ESs1ukoR&#10;BLUX/4HXR/Y1WZp9m2ZXk377riD0OMzMb5jFqrOVuFPjjWMF6SgBQZw7bbhQcDlvXt9B+ICssXJM&#10;Cn7Jw2rZe1lgpl3LR7qfQiEihH2GCsoQ6kxKn5dk0Y9cTRy9L9dYDFE2hdQNthFuKzlOkqm0aDgu&#10;lFjTuqT8+3SzCn52n+GQ8qaetbu3m8arGe7NWqlBv/uYgwjUhf/ws73VCibTFB5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FVAsUAAADcAAAADwAAAAAAAAAA&#10;AAAAAAChAgAAZHJzL2Rvd25yZXYueG1sUEsFBgAAAAAEAAQA+QAAAJMDAAAAAA==&#10;" strokecolor="#4579b8 [3044]">
                  <v:stroke endarrow="open"/>
                </v:shape>
                <v:shape id="Elbow Connector 343" o:spid="_x0000_s1085" type="#_x0000_t34" style="position:absolute;left:44993;top:22943;width:3613;height:100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PcUAAADcAAAADwAAAGRycy9kb3ducmV2LnhtbESPQWsCMRSE7wX/Q3hCbzWrrSKrUUQp&#10;tKyXrgU9Pjavm6WblyWJ7vbfN4WCx2FmvmHW28G24kY+NI4VTCcZCOLK6YZrBZ+n16cliBCRNbaO&#10;ScEPBdhuRg9rzLXr+YNuZaxFgnDIUYGJsculDJUhi2HiOuLkfTlvMSbpa6k99gluWznLsoW02HBa&#10;MNjR3lD1XV6tgvdeng5UXJqdcc883R/9/FwUSj2Oh90KRKQh3sP/7Tet4GUxg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3+PcUAAADcAAAADwAAAAAAAAAA&#10;AAAAAAChAgAAZHJzL2Rvd25yZXYueG1sUEsFBgAAAAAEAAQA+QAAAJMDAAAAAA==&#10;" strokecolor="#4579b8 [3044]">
                  <v:stroke endarrow="open"/>
                </v:shape>
                <v:shape id="Elbow Connector 344" o:spid="_x0000_s1086" type="#_x0000_t34" style="position:absolute;left:44633;top:31224;width:3613;height:1080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9u7sUAAADcAAAADwAAAGRycy9kb3ducmV2LnhtbESPQWvCQBSE70L/w/IKvZS60apodBNE&#10;EGp7qVbw+sg+k6XZt2l2Nem/7woFj8PMfMOs8t7W4kqtN44VjIYJCOLCacOlguPX9mUOwgdkjbVj&#10;UvBLHvLsYbDCVLuO93Q9hFJECPsUFVQhNKmUvqjIoh+6hjh6Z9daDFG2pdQtdhFuazlOkpm0aDgu&#10;VNjQpqLi+3CxCn52H+FzxNtm0e2mF40n8/xuNko9PfbrJYhAfbiH/9tvWsFk9gq3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9u7sUAAADcAAAADwAAAAAAAAAA&#10;AAAAAAChAgAAZHJzL2Rvd25yZXYueG1sUEsFBgAAAAAEAAQA+QAAAJMDAAAAAA==&#10;" strokecolor="#4579b8 [3044]">
                  <v:stroke endarrow="open"/>
                </v:shape>
                <v:shape id="Elbow Connector 345" o:spid="_x0000_s1087" type="#_x0000_t34" style="position:absolute;left:50033;top:36625;width:361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jD0sQAAADcAAAADwAAAGRycy9kb3ducmV2LnhtbESPT2sCMRTE74LfITzBm2b9S9kaRZRC&#10;y3qpFtrjY/O6Wbp5WZLU3X77RhA8DjPzG2az620jruRD7VjBbJqBIC6drrlS8HF5mTyBCBFZY+OY&#10;FPxRgN12ONhgrl3H73Q9x0okCIccFZgY21zKUBqyGKauJU7et/MWY5K+ktpjl+C2kfMsW0uLNacF&#10;gy0dDJU/51+r4K2TlyMVX/XeuAXPDie/+iwKpcajfv8MIlIfH+F7+1UrWK6XcDu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MPSxAAAANwAAAAPAAAAAAAAAAAA&#10;AAAAAKECAABkcnMvZG93bnJldi54bWxQSwUGAAAAAAQABAD5AAAAkgMAAAAA&#10;" strokecolor="#4579b8 [3044]">
                  <v:stroke endarrow="open"/>
                </v:shape>
                <v:shape id="Elbow Connector 346" o:spid="_x0000_s1088" type="#_x0000_t34" style="position:absolute;left:60835;top:25823;width:3613;height:2160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RmScQAAADcAAAADwAAAGRycy9kb3ducmV2LnhtbESPQWsCMRSE74L/ITzBm2bVKmVrFFEK&#10;LeulWmiPj83rZunmZUlSd/vvjSB4HGbmG2a97W0jLuRD7VjBbJqBIC6drrlS8Hl+nTyDCBFZY+OY&#10;FPxTgO1mOFhjrl3HH3Q5xUokCIccFZgY21zKUBqyGKauJU7ej/MWY5K+ktpjl+C2kfMsW0mLNacF&#10;gy3tDZW/pz+r4L2T5wMV3/XOuAXP9ke//CoKpcajfvcCIlIfH+F7+00reFot4XYmHQG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GZJxAAAANwAAAAPAAAAAAAAAAAA&#10;AAAAAKECAABkcnMvZG93bnJldi54bWxQSwUGAAAAAAQABAD5AAAAkgMAAAAA&#10;" strokecolor="#4579b8 [3044]">
                  <v:stroke endarrow="open"/>
                </v:shape>
                <v:roundrect id="Rounded Rectangle 347" o:spid="_x0000_s1089" style="position:absolute;left:58321;top:38431;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j48QA&#10;AADcAAAADwAAAGRycy9kb3ducmV2LnhtbESPQWvCQBSE7wX/w/IEb3WjSKrRVWKgUI9VD3p7Zp9J&#10;MPs2ZrdJ+u+7hUKPw8x8w2x2g6lFR62rLCuYTSMQxLnVFRcKzqf31yUI55E11pZJwTc52G1HLxtM&#10;tO35k7qjL0SAsEtQQel9k0jp8pIMuqltiIN3t61BH2RbSN1iH+CmlvMoiqXBisNCiQ1lJeWP45dR&#10;cNs7l16y4o7d2/OwSrNDP79dlZqMh3QNwtPg/8N/7Q+tYBHH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ZY+PEAAAA3AAAAA8AAAAAAAAAAAAAAAAAmAIAAGRycy9k&#10;b3ducmV2LnhtbFBLBQYAAAAABAAEAPUAAACJAw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Bus</w:t>
                        </w:r>
                      </w:p>
                    </w:txbxContent>
                  </v:textbox>
                </v:roundrect>
                <v:roundrect id="Rounded Rectangle 348" o:spid="_x0000_s1090" style="position:absolute;left:58321;top:47792;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GeMQA&#10;AADcAAAADwAAAGRycy9kb3ducmV2LnhtbESPQWvCQBSE70L/w/IK3symUrRGV4mBgh6rHurtmX0m&#10;wezbNLsm6b/vFgSPw8x8w6w2g6lFR62rLCt4i2IQxLnVFRcKTsfPyQcI55E11pZJwS852KxfRitM&#10;tO35i7qDL0SAsEtQQel9k0jp8pIMusg2xMG72tagD7ItpG6xD3BTy2kcz6TBisNCiQ1lJeW3w90o&#10;uGydS7+z4ord/Ge/SLN9P72clRq/DukShKfBP8OP9k4reJ/N4f9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VxnjEAAAA3AAAAA8AAAAAAAAAAAAAAAAAmAIAAGRycy9k&#10;b3ducmV2LnhtbFBLBQYAAAAABAAEAPUAAACJAw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Regional</w:t>
                        </w:r>
                      </w:p>
                    </w:txbxContent>
                  </v:textbox>
                </v:roundrect>
                <v:roundrect id="Rounded Rectangle 349" o:spid="_x0000_s1091" style="position:absolute;left:37802;top:47792;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pSCsIA&#10;AADcAAAADwAAAGRycy9kb3ducmV2LnhtbERPPW+DMBDdK+U/WFepW2MaRTQlMYgiRWrG0g7pdsEX&#10;QMFngl0g/z4eKnV8et+7bDadGGlwrWUFL8sIBHFldcu1gu+v/fMGhPPIGjvLpOBGDrJ08bDDRNuJ&#10;P2ksfS1CCLsEFTTe94mUrmrIoFvanjhwZzsY9AEOtdQDTiHcdHIVRbE02HJoaLCnoqHqUv4aBad3&#10;5/JjUZ9xfL0e3vLiMK1OP0o9Pc75FoSn2f+L/9wfWsE6DmvDmXAE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lIKwgAAANwAAAAPAAAAAAAAAAAAAAAAAJgCAABkcnMvZG93&#10;bnJldi54bWxQSwUGAAAAAAQABAD1AAAAhw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City</w:t>
                        </w:r>
                      </w:p>
                    </w:txbxContent>
                  </v:textbox>
                </v:roundrect>
                <v:roundrect id="Rounded Rectangle 350" o:spid="_x0000_s1092" style="position:absolute;left:47882;top:47792;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3kcUA&#10;AADcAAAADwAAAGRycy9kb3ducmV2LnhtbESPT2vCQBTE74LfYXmCt7qpiNU0q8SAUI+1PdjbM/vy&#10;h2bfxuyapN++Wyh4HGbmN0yyH00jeupcbVnB8yICQZxbXXOp4PPj+LQB4TyyxsYyKfghB/vddJJg&#10;rO3A79SffSkChF2MCirv21hKl1dk0C1sSxy8wnYGfZBdKXWHQ4CbRi6jaC0N1hwWKmwpqyj/Pt+N&#10;guvBufSSlQX2L7fTNs1Ow/L6pdR8NqavIDyN/hH+b79pBav1Fv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veRxQAAANwAAAAPAAAAAAAAAAAAAAAAAJgCAABkcnMv&#10;ZG93bnJldi54bWxQSwUGAAAAAAQABAD1AAAAig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Region</w:t>
                        </w:r>
                      </w:p>
                    </w:txbxContent>
                  </v:textbox>
                </v:roundrect>
                <v:roundrect id="Rounded Rectangle 351" o:spid="_x0000_s1093" style="position:absolute;left:25197;top:38431;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I0cIA&#10;AADcAAAADwAAAGRycy9kb3ducmV2LnhtbERPPW+DMBDdK+U/WFepW2MaRSElMYgiRWrG0g7pdsEX&#10;QMFngl0g/74eKnV8et/7bDadGGlwrWUFL8sIBHFldcu1gq/Pw/MWhPPIGjvLpOBODrJ08bDHRNuJ&#10;P2gsfS1CCLsEFTTe94mUrmrIoFvanjhwFzsY9AEOtdQDTiHcdHIVRRtpsOXQ0GBPRUPVtfwxCs5v&#10;zuWnor7gGN+Or3lxnFbnb6WeHud8B8LT7P/Ff+53rWAdh/nh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cjRwgAAANwAAAAPAAAAAAAAAAAAAAAAAJgCAABkcnMvZG93&#10;bnJldi54bWxQSwUGAAAAAAQABAD1AAAAhw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Non-Tolled</w:t>
                        </w:r>
                      </w:p>
                    </w:txbxContent>
                  </v:textbox>
                </v:roundrect>
                <v:roundrect id="Rounded Rectangle 352" o:spid="_x0000_s1094" style="position:absolute;left:13676;top:38431;width:8641;height:50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SsUA&#10;AADcAAAADwAAAGRycy9kb3ducmV2LnhtbESPQWvCQBSE7wX/w/IEb3WjSNWYjcRAoR5re9DbM/tM&#10;gtm3MbtN0n/fLRR6HGbmGybZj6YRPXWutqxgMY9AEBdW11wq+Px4fd6AcB5ZY2OZFHyTg306eUow&#10;1nbgd+pPvhQBwi5GBZX3bSylKyoy6Oa2JQ7ezXYGfZBdKXWHQ4CbRi6j6EUarDksVNhSXlFxP30Z&#10;BdeDc9k5L2/Yrx/HbZYfh+X1otRsOmY7EJ5G/x/+a79pBav1An7PhCM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W1KxQAAANwAAAAPAAAAAAAAAAAAAAAAAJgCAABkcnMv&#10;ZG93bnJldi54bWxQSwUGAAAAAAQABAD1AAAAigMAAAAA&#10;" filled="f" strokecolor="black [3213]" strokeweight="2pt">
                  <v:textbox inset="1mm,,1mm">
                    <w:txbxContent>
                      <w:p w:rsidR="008B57DD" w:rsidRDefault="008B57DD" w:rsidP="00AE1F55">
                        <w:pPr>
                          <w:pStyle w:val="NormalWeb"/>
                          <w:spacing w:before="0" w:beforeAutospacing="0" w:after="0" w:afterAutospacing="0"/>
                          <w:jc w:val="center"/>
                        </w:pPr>
                        <w:r>
                          <w:rPr>
                            <w:rFonts w:asciiTheme="minorHAnsi" w:hAnsi="Calibri" w:cstheme="minorBidi"/>
                            <w:color w:val="000000" w:themeColor="text1"/>
                            <w:kern w:val="24"/>
                            <w:sz w:val="20"/>
                            <w:szCs w:val="20"/>
                            <w:lang w:val="en-GB"/>
                          </w:rPr>
                          <w:t>Tolled</w:t>
                        </w:r>
                      </w:p>
                    </w:txbxContent>
                  </v:textbox>
                </v:roundrect>
                <v:shape id="Elbow Connector 353" o:spid="_x0000_s1095" type="#_x0000_t34" style="position:absolute;left:19071;top:33743;width:3613;height:576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pdqMUAAADcAAAADwAAAGRycy9kb3ducmV2LnhtbESPT2sCMRTE7wW/Q3iCF9Gs0la7NYoI&#10;gn8uVgWvj83rbujmZd1Ed/vtTUHocZiZ3zCzRWtLcafaG8cKRsMEBHHmtOFcwfm0HkxB+ICssXRM&#10;Cn7Jw2LeeZlhql3DX3Q/hlxECPsUFRQhVKmUPivIoh+6ijh63662GKKsc6lrbCLclnKcJO/SouG4&#10;UGBFq4Kyn+PNKrhu9+Ew4nX10Wzfbhovpr8zK6V63Xb5CSJQG/7Dz/ZGK3idjOHv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4pdqMUAAADcAAAADwAAAAAAAAAA&#10;AAAAAAChAgAAZHJzL2Rvd25yZXYueG1sUEsFBgAAAAAEAAQA+QAAAJMDAAAAAA==&#10;" strokecolor="#4579b8 [3044]">
                  <v:stroke endarrow="open"/>
                </v:shape>
                <v:shape id="Elbow Connector 354" o:spid="_x0000_s1096" type="#_x0000_t34" style="position:absolute;left:24832;top:33746;width:3613;height:575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jNe8QAAADcAAAADwAAAGRycy9kb3ducmV2LnhtbESPT2sCMRTE7wW/Q3iCt5pV+4/VKKII&#10;lvVSLdTjY/PcLG5eliS622/fFAo9DjPzG2ax6m0j7uRD7VjBZJyBIC6drrlS8HnaPb6BCBFZY+OY&#10;FHxTgNVy8LDAXLuOP+h+jJVIEA45KjAxtrmUoTRkMYxdS5y8i/MWY5K+ktpjl+C2kdMse5EWa04L&#10;BlvaGCqvx5tV8N7J05aKc702bsaTzcE/fxWFUqNhv56DiNTH//Bfe68VPL3O4P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M17xAAAANwAAAAPAAAAAAAAAAAA&#10;AAAAAKECAABkcnMvZG93bnJldi54bWxQSwUGAAAAAAQABAD5AAAAkgMAAAAA&#10;" strokecolor="#4579b8 [3044]">
                  <v:stroke endarrow="open"/>
                </v:shape>
                <v:shape id="Elbow Connector 355" o:spid="_x0000_s1097" type="#_x0000_t34" style="position:absolute;left:55434;top:31224;width:3613;height:1080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VD8UAAADcAAAADwAAAGRycy9kb3ducmV2LnhtbESPW2sCMRSE3wv+h3AE3zTrpRe2RhGl&#10;oKwv1UL7eNicbpZuTpYkddd/bwpCH4eZ+YZZrnvbiAv5UDtWMJ1kIIhLp2uuFHyc38YvIEJE1tg4&#10;JgVXCrBeDR6WmGvX8TtdTrESCcIhRwUmxjaXMpSGLIaJa4mT9+28xZikr6T22CW4beQsy56kxZrT&#10;gsGWtobKn9OvVXDo5HlHxVe9MW7O0+3RP34WhVKjYb95BRGpj//he3uvFSyeF/B3Jh0B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VD8UAAADcAAAADwAAAAAAAAAA&#10;AAAAAAChAgAAZHJzL2Rvd25yZXYueG1sUEsFBgAAAAAEAAQA+QAAAJMDAAAAAA==&#10;" strokecolor="#4579b8 [3044]">
                  <v:stroke endarrow="open"/>
                </v:shape>
                <v:shape id="Elbow Connector 356" o:spid="_x0000_s1098" type="#_x0000_t34" style="position:absolute;left:44814;top:40767;width:4333;height:971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PF3MYAAADcAAAADwAAAGRycy9kb3ducmV2LnhtbESPT2vCQBTE70K/w/IKXqTZKLV/0qxS&#10;BKHqxarQ6yP7mizNvk2zq4nf3hUEj8PM/IbJ572txYlabxwrGCcpCOLCacOlgsN++fQGwgdkjbVj&#10;UnAmD/PZwyDHTLuOv+m0C6WIEPYZKqhCaDIpfVGRRZ+4hjh6v661GKJsS6lb7CLc1nKSpi/SouG4&#10;UGFDi4qKv93RKvhfbcJ2zMvmvVtNjxp/zGhtFkoNH/vPDxCB+nAP39pfWsHz6xSuZ+IR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jxdzGAAAA3AAAAA8AAAAAAAAA&#10;AAAAAAAAoQIAAGRycy9kb3ducmV2LnhtbFBLBQYAAAAABAAEAPkAAACUAwAAAAA=&#10;" strokecolor="#4579b8 [3044]">
                  <v:stroke endarrow="open"/>
                </v:shape>
                <v:shape id="Elbow Connector 357" o:spid="_x0000_s1099" type="#_x0000_t34" style="position:absolute;left:49854;top:45445;width:4333;height:36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9u48UAAADcAAAADwAAAGRycy9kb3ducmV2LnhtbESPQWsCMRSE70L/Q3hCb5q1Vlu2RhGl&#10;UFkv1UJ7fGxeN4ublyVJ3e2/N4LgcZiZb5jFqreNOJMPtWMFk3EGgrh0uuZKwdfxffQKIkRkjY1j&#10;UvBPAVbLh8ECc+06/qTzIVYiQTjkqMDE2OZShtKQxTB2LXHyfp23GJP0ldQeuwS3jXzKsrm0WHNa&#10;MNjSxlB5OvxZBbtOHrdU/NRr46Y82ez97LsolHoc9us3EJH6eA/f2h9awfPL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9u48UAAADcAAAADwAAAAAAAAAA&#10;AAAAAAChAgAAZHJzL2Rvd25yZXYueG1sUEsFBgAAAAAEAAQA+QAAAJMDAAAAAA==&#10;" strokecolor="#4579b8 [3044]">
                  <v:stroke endarrow="open"/>
                </v:shape>
                <v:shape id="Elbow Connector 358" o:spid="_x0000_s1100" type="#_x0000_t34" style="position:absolute;left:55074;top:40225;width:4333;height:1080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PLeMUAAADcAAAADwAAAGRycy9kb3ducmV2LnhtbESPQWsCMRSE70L/Q3hCb5q11lq2RhGl&#10;UFkv1UJ7fGxeN4ublyVJ3e2/N4LgcZiZb5jFqreNOJMPtWMFk3EGgrh0uuZKwdfxffQKIkRkjY1j&#10;UvBPAVbLh8ECc+06/qTzIVYiQTjkqMDE2OZShtKQxTB2LXHyfp23GJP0ldQeuwS3jXzKshdpsea0&#10;YLCljaHydPizCnadPG6p+KnXxk15stn72XdRKPU47NdvICL18R6+tT+0guf5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PLeMUAAADcAAAADwAAAAAAAAAA&#10;AAAAAAChAgAAZHJzL2Rvd25yZXYueG1sUEsFBgAAAAAEAAQA+QAAAJMDAAAAAA==&#10;" strokecolor="#4579b8 [3044]">
                  <v:stroke endarrow="open"/>
                </v:shape>
                <w10:anchorlock/>
              </v:group>
            </w:pict>
          </mc:Fallback>
        </mc:AlternateContent>
      </w:r>
    </w:p>
    <w:p w:rsidR="00A566D5" w:rsidRDefault="00A566D5" w:rsidP="008954FE">
      <w:bookmarkStart w:id="26" w:name="_Toc395520248"/>
    </w:p>
    <w:p w:rsidR="004A60B7" w:rsidRPr="00A42D28" w:rsidRDefault="004A60B7" w:rsidP="00A566D5">
      <w:pPr>
        <w:pStyle w:val="Hdg3"/>
      </w:pPr>
      <w:r w:rsidRPr="00A42D28">
        <w:t>Highway Assignment</w:t>
      </w:r>
      <w:bookmarkEnd w:id="26"/>
    </w:p>
    <w:p w:rsidR="004A60B7" w:rsidRPr="00A42D28" w:rsidRDefault="004A60B7" w:rsidP="00A4081F">
      <w:pPr>
        <w:pStyle w:val="NumberedParas"/>
      </w:pPr>
      <w:r w:rsidRPr="00A42D28">
        <w:t>The highway assignments in NTM are undertaken using a link based capacity restraint process with the speed/flow relationships reflecting the effect of volume, HGV composition, road type, lanes, frontage type, gradient, and road condition on achievable travel speeds. Three highway assignments are undertaken to represent peak, inter-peak and night time travel so that appropriate costs by time of day are generated for use in the model. The three time period assignments are aggregated to create 24 hour flows on the highway network.</w:t>
      </w:r>
    </w:p>
    <w:p w:rsidR="004A60B7" w:rsidRPr="00A42D28" w:rsidRDefault="004A60B7" w:rsidP="00A4081F">
      <w:pPr>
        <w:pStyle w:val="NumberedParas"/>
      </w:pPr>
      <w:r w:rsidRPr="00A42D28">
        <w:t>The key difference between the assignment periods is the magnitude and pattern of travel demand and trip purpose composition. However, there are also variations in network restrictions, e.g. truck bans for certain times of the day. Public transport service patterns and frequency may also differ by time of day. These differences are applicable both in the base year and in future years.</w:t>
      </w:r>
    </w:p>
    <w:p w:rsidR="004A60B7" w:rsidRPr="00A42D28" w:rsidRDefault="004A60B7" w:rsidP="00A4081F">
      <w:pPr>
        <w:pStyle w:val="NumberedParas"/>
      </w:pPr>
      <w:r w:rsidRPr="00A42D28">
        <w:t>The transport networks represented in the NTM include:</w:t>
      </w:r>
    </w:p>
    <w:p w:rsidR="004A60B7" w:rsidRPr="00A42D28" w:rsidRDefault="004A60B7" w:rsidP="00273D5E">
      <w:pPr>
        <w:pStyle w:val="BulletLevel1"/>
      </w:pPr>
      <w:r w:rsidRPr="00A42D28">
        <w:t xml:space="preserve">Road – including all expressways and National  roads, plus the main county roads in traffic terms along with other county roads required for zone connectivity; </w:t>
      </w:r>
    </w:p>
    <w:p w:rsidR="004A60B7" w:rsidRPr="00A42D28" w:rsidRDefault="004A60B7" w:rsidP="00273D5E">
      <w:pPr>
        <w:pStyle w:val="BulletLevel1"/>
      </w:pPr>
      <w:r w:rsidRPr="00A42D28">
        <w:t xml:space="preserve">All rail routes and services; </w:t>
      </w:r>
    </w:p>
    <w:p w:rsidR="004A60B7" w:rsidRPr="00A42D28" w:rsidRDefault="004A60B7" w:rsidP="00273D5E">
      <w:pPr>
        <w:pStyle w:val="BulletLevel1"/>
      </w:pPr>
      <w:r w:rsidRPr="00A42D28">
        <w:t>Long distance bus services;</w:t>
      </w:r>
    </w:p>
    <w:p w:rsidR="004A60B7" w:rsidRPr="00A42D28" w:rsidRDefault="004A60B7" w:rsidP="00273D5E">
      <w:pPr>
        <w:pStyle w:val="BulletLevel1"/>
      </w:pPr>
      <w:r w:rsidRPr="00A42D28">
        <w:t>Airports and internal domestic air services; and</w:t>
      </w:r>
    </w:p>
    <w:p w:rsidR="004A60B7" w:rsidRPr="00A42D28" w:rsidRDefault="004A60B7" w:rsidP="00273D5E">
      <w:pPr>
        <w:pStyle w:val="BulletLevel1"/>
      </w:pPr>
      <w:r w:rsidRPr="00A42D28">
        <w:t>Waterways including River Danube and the existing, and proposed linkages to Constanta Port.</w:t>
      </w:r>
    </w:p>
    <w:p w:rsidR="004A60B7" w:rsidRPr="00A42D28" w:rsidRDefault="004A60B7" w:rsidP="004A60B7">
      <w:pPr>
        <w:spacing w:before="120" w:after="120" w:line="276" w:lineRule="auto"/>
        <w:contextualSpacing/>
        <w:jc w:val="both"/>
        <w:rPr>
          <w:rFonts w:cs="Arial"/>
          <w:sz w:val="22"/>
          <w:szCs w:val="22"/>
        </w:rPr>
      </w:pPr>
    </w:p>
    <w:p w:rsidR="004A60B7" w:rsidRPr="00A42D28" w:rsidRDefault="004A60B7" w:rsidP="00A566D5">
      <w:pPr>
        <w:pStyle w:val="Hdg3"/>
      </w:pPr>
      <w:bookmarkStart w:id="27" w:name="_Toc395520249"/>
      <w:r w:rsidRPr="00A42D28">
        <w:t>Public Transport Assignment</w:t>
      </w:r>
      <w:bookmarkEnd w:id="27"/>
    </w:p>
    <w:p w:rsidR="004A60B7" w:rsidRPr="00A42D28" w:rsidRDefault="004A60B7" w:rsidP="00A4081F">
      <w:pPr>
        <w:pStyle w:val="NumberedParas"/>
      </w:pPr>
      <w:r w:rsidRPr="00A42D28">
        <w:t xml:space="preserve">Public transport assignments are undertaken separately by mode of travel. The rail assignment is done in three parts to represent the three main train service types in Romania, each of which has a different fare scale. Separate assignments are then undertaken for inter urban bus passengers and air passengers. </w:t>
      </w:r>
    </w:p>
    <w:p w:rsidR="004A60B7" w:rsidRPr="00A42D28" w:rsidRDefault="004A60B7" w:rsidP="00A4081F">
      <w:pPr>
        <w:pStyle w:val="NumberedParas"/>
      </w:pPr>
      <w:r w:rsidRPr="00A42D28">
        <w:t>The public transport system is described in terms of the following components:</w:t>
      </w:r>
    </w:p>
    <w:p w:rsidR="004A60B7" w:rsidRPr="00A42D28" w:rsidRDefault="004A60B7" w:rsidP="00273D5E">
      <w:pPr>
        <w:pStyle w:val="BulletLevel1"/>
      </w:pPr>
      <w:r w:rsidRPr="00A42D28">
        <w:t>The physical network:</w:t>
      </w:r>
    </w:p>
    <w:p w:rsidR="004A60B7" w:rsidRPr="00A42D28" w:rsidRDefault="004A60B7" w:rsidP="00273D5E">
      <w:pPr>
        <w:pStyle w:val="BulletLevel1"/>
      </w:pPr>
      <w:r w:rsidRPr="00A42D28">
        <w:t>Nodes;</w:t>
      </w:r>
    </w:p>
    <w:p w:rsidR="004A60B7" w:rsidRPr="00A42D28" w:rsidRDefault="004A60B7" w:rsidP="00273D5E">
      <w:pPr>
        <w:pStyle w:val="BulletLevel1"/>
      </w:pPr>
      <w:r w:rsidRPr="00A42D28">
        <w:t>Links; and</w:t>
      </w:r>
    </w:p>
    <w:p w:rsidR="004A60B7" w:rsidRPr="00A42D28" w:rsidRDefault="004A60B7" w:rsidP="00273D5E">
      <w:pPr>
        <w:pStyle w:val="BulletLevel1"/>
      </w:pPr>
      <w:r w:rsidRPr="00A42D28">
        <w:t>Interchanges.</w:t>
      </w:r>
    </w:p>
    <w:p w:rsidR="004A60B7" w:rsidRPr="00A42D28" w:rsidRDefault="004A60B7" w:rsidP="00273D5E">
      <w:pPr>
        <w:pStyle w:val="BulletLevel1"/>
      </w:pPr>
      <w:r w:rsidRPr="00A42D28">
        <w:t>The public transport services:</w:t>
      </w:r>
    </w:p>
    <w:p w:rsidR="004A60B7" w:rsidRPr="00A42D28" w:rsidRDefault="004A60B7" w:rsidP="00273D5E">
      <w:pPr>
        <w:pStyle w:val="BulletLevel1"/>
      </w:pPr>
      <w:r w:rsidRPr="00A42D28">
        <w:t>Public transport modes;</w:t>
      </w:r>
      <w:r w:rsidRPr="00A42D28">
        <w:tab/>
      </w:r>
    </w:p>
    <w:p w:rsidR="004A60B7" w:rsidRPr="00A42D28" w:rsidRDefault="004A60B7" w:rsidP="00273D5E">
      <w:pPr>
        <w:pStyle w:val="BulletLevel1"/>
      </w:pPr>
      <w:r w:rsidRPr="00A42D28">
        <w:t>Representation of public transport routes (time table information);</w:t>
      </w:r>
    </w:p>
    <w:p w:rsidR="004A60B7" w:rsidRPr="00A42D28" w:rsidRDefault="004A60B7" w:rsidP="00273D5E">
      <w:pPr>
        <w:pStyle w:val="BulletLevel1"/>
      </w:pPr>
      <w:r w:rsidRPr="00A42D28">
        <w:t>Routeing;</w:t>
      </w:r>
    </w:p>
    <w:p w:rsidR="004A60B7" w:rsidRPr="00A42D28" w:rsidRDefault="004A60B7" w:rsidP="00273D5E">
      <w:pPr>
        <w:pStyle w:val="BulletLevel1"/>
      </w:pPr>
      <w:r w:rsidRPr="00A42D28">
        <w:t>Service frequency;</w:t>
      </w:r>
    </w:p>
    <w:p w:rsidR="004A60B7" w:rsidRPr="00A42D28" w:rsidRDefault="004A60B7" w:rsidP="00273D5E">
      <w:pPr>
        <w:pStyle w:val="BulletLevel1"/>
      </w:pPr>
      <w:r w:rsidRPr="00A42D28">
        <w:t>Dwell time; and</w:t>
      </w:r>
    </w:p>
    <w:p w:rsidR="004A60B7" w:rsidRPr="00A42D28" w:rsidRDefault="004A60B7" w:rsidP="00273D5E">
      <w:pPr>
        <w:pStyle w:val="BulletLevel1"/>
      </w:pPr>
      <w:r w:rsidRPr="00A42D28">
        <w:t xml:space="preserve">Stopping pattern </w:t>
      </w:r>
    </w:p>
    <w:p w:rsidR="004A60B7" w:rsidRPr="00A42D28" w:rsidRDefault="004A60B7" w:rsidP="00A566D5">
      <w:pPr>
        <w:pStyle w:val="Hdg3"/>
      </w:pPr>
      <w:r w:rsidRPr="00A42D28">
        <w:t>Public transport fares.</w:t>
      </w:r>
    </w:p>
    <w:p w:rsidR="004A60B7" w:rsidRPr="00A42D28" w:rsidRDefault="004A60B7" w:rsidP="00A4081F">
      <w:pPr>
        <w:pStyle w:val="NumberedParas"/>
      </w:pPr>
      <w:bookmarkStart w:id="28" w:name="_Toc322419451"/>
      <w:bookmarkStart w:id="29" w:name="_Toc322420263"/>
      <w:bookmarkStart w:id="30" w:name="_Toc322422051"/>
      <w:bookmarkEnd w:id="28"/>
      <w:bookmarkEnd w:id="29"/>
      <w:bookmarkEnd w:id="30"/>
      <w:r w:rsidRPr="00A42D28">
        <w:t>Bus stops, and rail stations, are represented as nodes in the transport network. In the rail network the station nodes are coded with a boarding time factor in minutes which in the base case is taken to represent an element of rail reliability (average train delay), preference for using the station (ease of interchange), and station quality and range of services. In testing the effect of rail proposals the base year boarding penalty can be adjusted to reflect:</w:t>
      </w:r>
    </w:p>
    <w:p w:rsidR="004A60B7" w:rsidRPr="00A42D28" w:rsidRDefault="004A60B7" w:rsidP="00273D5E">
      <w:pPr>
        <w:pStyle w:val="BulletLevel1"/>
      </w:pPr>
      <w:r w:rsidRPr="00A42D28">
        <w:t>Improved reliability which is modelled by reducing the element of the boarding penalty that relates to average lateness; and/or</w:t>
      </w:r>
    </w:p>
    <w:p w:rsidR="004A60B7" w:rsidRPr="00A42D28" w:rsidRDefault="004A60B7" w:rsidP="00273D5E">
      <w:pPr>
        <w:pStyle w:val="BulletLevel1"/>
      </w:pPr>
      <w:r w:rsidRPr="00A42D28">
        <w:t>Improvements to a station which result in rail becoming a more attractive option and which can be modelled by reducing the element of the boarding penalty that reflects station attractiveness.</w:t>
      </w:r>
    </w:p>
    <w:p w:rsidR="004A60B7" w:rsidRPr="00A42D28" w:rsidRDefault="004A60B7" w:rsidP="00A4081F">
      <w:pPr>
        <w:pStyle w:val="NumberedParas"/>
      </w:pPr>
      <w:r w:rsidRPr="00A42D28">
        <w:t>Rail stations are separately identified and are connected to the adjacent road network by a walk link. All rail stations in Romania have been included in the rail network model definition.</w:t>
      </w:r>
    </w:p>
    <w:p w:rsidR="004A60B7" w:rsidRPr="00A42D28" w:rsidRDefault="004A60B7" w:rsidP="00A4081F">
      <w:pPr>
        <w:pStyle w:val="NumberedParas"/>
      </w:pPr>
      <w:r w:rsidRPr="00A42D28">
        <w:t xml:space="preserve">Airports are defined as separate nodes that link to the network of air routes and also to the highway network to enable representation of access by car/taxi or bus, and the rail network where a rail exists to the airport. </w:t>
      </w:r>
    </w:p>
    <w:p w:rsidR="004A60B7" w:rsidRPr="00A42D28" w:rsidRDefault="004A60B7" w:rsidP="00A4081F">
      <w:pPr>
        <w:pStyle w:val="NumberedParas"/>
      </w:pPr>
      <w:r w:rsidRPr="00A42D28">
        <w:t xml:space="preserve">Ports on the River Danube are individually represented and have links to the adjacent highway network as well as the waterway network. </w:t>
      </w:r>
    </w:p>
    <w:p w:rsidR="004A60B7" w:rsidRPr="00A42D28" w:rsidRDefault="004A60B7" w:rsidP="00A566D5">
      <w:pPr>
        <w:pStyle w:val="Hdg3"/>
        <w:rPr>
          <w:lang w:eastAsia="en-GB"/>
        </w:rPr>
      </w:pPr>
      <w:bookmarkStart w:id="31" w:name="_Toc395520250"/>
      <w:r w:rsidRPr="00A42D28">
        <w:rPr>
          <w:lang w:eastAsia="en-GB"/>
        </w:rPr>
        <w:t>NTM Capabilities</w:t>
      </w:r>
      <w:bookmarkEnd w:id="31"/>
    </w:p>
    <w:p w:rsidR="004A60B7" w:rsidRDefault="004A60B7" w:rsidP="00A4081F">
      <w:pPr>
        <w:pStyle w:val="NumberedParas"/>
      </w:pPr>
      <w:r w:rsidRPr="00A42D28">
        <w:t xml:space="preserve">This section summarises the type of transport operations and specific interventions that the NTM is capable of representing, </w:t>
      </w:r>
      <w:r w:rsidR="00E065B6">
        <w:t xml:space="preserve">which are set out in </w:t>
      </w:r>
      <w:r w:rsidRPr="00E065B6">
        <w:t xml:space="preserve">Table </w:t>
      </w:r>
      <w:r w:rsidR="00E065B6">
        <w:t>2</w:t>
      </w:r>
      <w:r w:rsidRPr="00E065B6">
        <w:t>.2.</w:t>
      </w:r>
      <w:r w:rsidRPr="00A42D28">
        <w:t xml:space="preserve"> Where there are areas that cannot be fully modelled in the NTM, such as new/modernised airports, and passenger ferry services separate bespoke demand models have been constructed</w:t>
      </w:r>
      <w:r w:rsidR="00E065B6">
        <w:t>.</w:t>
      </w:r>
    </w:p>
    <w:p w:rsidR="005A341C" w:rsidRDefault="005A341C" w:rsidP="00A4081F">
      <w:pPr>
        <w:pStyle w:val="NumberedParas"/>
        <w:numPr>
          <w:ilvl w:val="0"/>
          <w:numId w:val="0"/>
        </w:numPr>
        <w:ind w:left="964"/>
        <w:sectPr w:rsidR="005A341C" w:rsidSect="00933C17">
          <w:headerReference w:type="default" r:id="rId48"/>
          <w:pgSz w:w="11907" w:h="16840" w:code="9"/>
          <w:pgMar w:top="1418" w:right="709" w:bottom="1418" w:left="907" w:header="357" w:footer="567" w:gutter="0"/>
          <w:cols w:space="187"/>
          <w:docGrid w:linePitch="360"/>
        </w:sectPr>
      </w:pPr>
    </w:p>
    <w:p w:rsidR="005A341C" w:rsidRDefault="005A341C" w:rsidP="00A4081F">
      <w:pPr>
        <w:pStyle w:val="NumberedParas"/>
        <w:numPr>
          <w:ilvl w:val="0"/>
          <w:numId w:val="0"/>
        </w:numPr>
        <w:ind w:left="964"/>
      </w:pPr>
    </w:p>
    <w:p w:rsidR="005A341C" w:rsidRPr="008F1964" w:rsidRDefault="005A341C" w:rsidP="00A4081F">
      <w:pPr>
        <w:pStyle w:val="NumberedParas"/>
        <w:numPr>
          <w:ilvl w:val="0"/>
          <w:numId w:val="0"/>
        </w:numPr>
        <w:ind w:left="964"/>
        <w:rPr>
          <w:lang w:eastAsia="en-GB"/>
        </w:rPr>
      </w:pPr>
      <w:r w:rsidRPr="008F1964">
        <w:rPr>
          <w:lang w:eastAsia="en-GB"/>
        </w:rPr>
        <w:t xml:space="preserve">Table </w:t>
      </w:r>
      <w:r w:rsidR="008F1964">
        <w:rPr>
          <w:lang w:eastAsia="en-GB"/>
        </w:rPr>
        <w:t>2</w:t>
      </w:r>
      <w:r w:rsidRPr="008F1964">
        <w:rPr>
          <w:lang w:eastAsia="en-GB"/>
        </w:rPr>
        <w:t>.2 NTM Capabilities</w:t>
      </w:r>
    </w:p>
    <w:tbl>
      <w:tblPr>
        <w:tblW w:w="1474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5529"/>
        <w:gridCol w:w="1275"/>
        <w:gridCol w:w="1418"/>
        <w:gridCol w:w="1559"/>
        <w:gridCol w:w="1134"/>
        <w:gridCol w:w="1559"/>
      </w:tblGrid>
      <w:tr w:rsidR="005A341C" w:rsidRPr="008F1964" w:rsidTr="008F1964">
        <w:trPr>
          <w:cantSplit/>
          <w:trHeight w:val="168"/>
          <w:tblHeader/>
        </w:trPr>
        <w:tc>
          <w:tcPr>
            <w:tcW w:w="7797" w:type="dxa"/>
            <w:gridSpan w:val="2"/>
            <w:vMerge w:val="restart"/>
            <w:shd w:val="clear" w:color="auto" w:fill="B8CCE4" w:themeFill="accent1" w:themeFillTint="66"/>
            <w:vAlign w:val="center"/>
          </w:tcPr>
          <w:p w:rsidR="005A341C" w:rsidRPr="008F1964" w:rsidRDefault="005A341C" w:rsidP="008F1964">
            <w:pPr>
              <w:keepNext/>
              <w:spacing w:before="120" w:after="120" w:line="276" w:lineRule="auto"/>
              <w:contextualSpacing/>
              <w:outlineLvl w:val="3"/>
              <w:rPr>
                <w:rFonts w:cs="Arial"/>
                <w:b/>
                <w:sz w:val="22"/>
                <w:szCs w:val="22"/>
              </w:rPr>
            </w:pPr>
            <w:r w:rsidRPr="008F1964">
              <w:rPr>
                <w:rFonts w:cs="Arial"/>
                <w:b/>
                <w:sz w:val="22"/>
                <w:szCs w:val="22"/>
              </w:rPr>
              <w:t>Intervention</w:t>
            </w:r>
          </w:p>
        </w:tc>
        <w:tc>
          <w:tcPr>
            <w:tcW w:w="6945" w:type="dxa"/>
            <w:gridSpan w:val="5"/>
            <w:tcBorders>
              <w:bottom w:val="single" w:sz="4" w:space="0" w:color="auto"/>
            </w:tcBorders>
            <w:shd w:val="clear" w:color="auto" w:fill="B8CCE4" w:themeFill="accent1" w:themeFillTint="66"/>
          </w:tcPr>
          <w:p w:rsidR="005A341C" w:rsidRPr="008F1964" w:rsidRDefault="005A341C" w:rsidP="00CB693F">
            <w:pPr>
              <w:keepNext/>
              <w:spacing w:before="120" w:after="120" w:line="276" w:lineRule="auto"/>
              <w:contextualSpacing/>
              <w:jc w:val="center"/>
              <w:outlineLvl w:val="3"/>
              <w:rPr>
                <w:rFonts w:cs="Arial"/>
                <w:b/>
                <w:sz w:val="22"/>
                <w:szCs w:val="22"/>
              </w:rPr>
            </w:pPr>
            <w:r w:rsidRPr="008F1964">
              <w:rPr>
                <w:rFonts w:cs="Arial"/>
                <w:b/>
                <w:sz w:val="22"/>
                <w:szCs w:val="22"/>
              </w:rPr>
              <w:t>Treatment in Model</w:t>
            </w:r>
          </w:p>
        </w:tc>
      </w:tr>
      <w:tr w:rsidR="005A341C" w:rsidRPr="008F1964" w:rsidTr="008F1964">
        <w:tc>
          <w:tcPr>
            <w:tcW w:w="7797" w:type="dxa"/>
            <w:gridSpan w:val="2"/>
            <w:vMerge/>
            <w:shd w:val="clear" w:color="auto" w:fill="B8CCE4" w:themeFill="accent1" w:themeFillTint="66"/>
          </w:tcPr>
          <w:p w:rsidR="005A341C" w:rsidRPr="008F1964" w:rsidRDefault="005A341C" w:rsidP="00CB693F">
            <w:pPr>
              <w:spacing w:before="120" w:after="120" w:line="276" w:lineRule="auto"/>
              <w:contextualSpacing/>
              <w:rPr>
                <w:rFonts w:cs="Arial"/>
                <w:sz w:val="22"/>
                <w:szCs w:val="22"/>
              </w:rPr>
            </w:pPr>
          </w:p>
        </w:tc>
        <w:tc>
          <w:tcPr>
            <w:tcW w:w="1275" w:type="dxa"/>
            <w:shd w:val="clear" w:color="auto" w:fill="B8CCE4" w:themeFill="accent1" w:themeFillTint="66"/>
            <w:vAlign w:val="center"/>
          </w:tcPr>
          <w:p w:rsidR="005A341C" w:rsidRPr="008F1964" w:rsidRDefault="005A341C" w:rsidP="008F1964">
            <w:pPr>
              <w:spacing w:before="120" w:after="120" w:line="276" w:lineRule="auto"/>
              <w:contextualSpacing/>
              <w:jc w:val="center"/>
              <w:rPr>
                <w:rFonts w:cs="Arial"/>
                <w:b/>
                <w:sz w:val="22"/>
                <w:szCs w:val="22"/>
              </w:rPr>
            </w:pPr>
            <w:r w:rsidRPr="008F1964">
              <w:rPr>
                <w:rFonts w:cs="Arial"/>
                <w:b/>
                <w:sz w:val="22"/>
                <w:szCs w:val="22"/>
              </w:rPr>
              <w:t>Modelled</w:t>
            </w:r>
          </w:p>
        </w:tc>
        <w:tc>
          <w:tcPr>
            <w:tcW w:w="1418" w:type="dxa"/>
            <w:shd w:val="clear" w:color="auto" w:fill="B8CCE4" w:themeFill="accent1" w:themeFillTint="66"/>
            <w:vAlign w:val="center"/>
          </w:tcPr>
          <w:p w:rsidR="005A341C" w:rsidRPr="008F1964" w:rsidRDefault="005A341C" w:rsidP="008F1964">
            <w:pPr>
              <w:spacing w:before="120" w:after="120" w:line="276" w:lineRule="auto"/>
              <w:contextualSpacing/>
              <w:jc w:val="center"/>
              <w:rPr>
                <w:rFonts w:cs="Arial"/>
                <w:b/>
                <w:sz w:val="22"/>
                <w:szCs w:val="22"/>
              </w:rPr>
            </w:pPr>
            <w:r w:rsidRPr="008F1964">
              <w:rPr>
                <w:rFonts w:cs="Arial"/>
                <w:b/>
                <w:sz w:val="22"/>
                <w:szCs w:val="22"/>
              </w:rPr>
              <w:t>Frequency</w:t>
            </w:r>
          </w:p>
        </w:tc>
        <w:tc>
          <w:tcPr>
            <w:tcW w:w="1559" w:type="dxa"/>
            <w:shd w:val="clear" w:color="auto" w:fill="B8CCE4" w:themeFill="accent1" w:themeFillTint="66"/>
            <w:vAlign w:val="center"/>
          </w:tcPr>
          <w:p w:rsidR="005A341C" w:rsidRPr="008F1964" w:rsidRDefault="005A341C" w:rsidP="008F1964">
            <w:pPr>
              <w:spacing w:before="120" w:after="120" w:line="276" w:lineRule="auto"/>
              <w:contextualSpacing/>
              <w:jc w:val="center"/>
              <w:rPr>
                <w:rFonts w:cs="Arial"/>
                <w:b/>
                <w:sz w:val="22"/>
                <w:szCs w:val="22"/>
              </w:rPr>
            </w:pPr>
            <w:r w:rsidRPr="008F1964">
              <w:rPr>
                <w:rFonts w:cs="Arial"/>
                <w:b/>
                <w:sz w:val="22"/>
                <w:szCs w:val="22"/>
              </w:rPr>
              <w:t>Distribution</w:t>
            </w:r>
          </w:p>
        </w:tc>
        <w:tc>
          <w:tcPr>
            <w:tcW w:w="1134" w:type="dxa"/>
            <w:shd w:val="clear" w:color="auto" w:fill="B8CCE4" w:themeFill="accent1" w:themeFillTint="66"/>
            <w:vAlign w:val="center"/>
          </w:tcPr>
          <w:p w:rsidR="005A341C" w:rsidRPr="008F1964" w:rsidRDefault="005A341C" w:rsidP="008F1964">
            <w:pPr>
              <w:spacing w:before="120" w:after="120" w:line="276" w:lineRule="auto"/>
              <w:contextualSpacing/>
              <w:jc w:val="center"/>
              <w:rPr>
                <w:rFonts w:cs="Arial"/>
                <w:b/>
                <w:sz w:val="22"/>
                <w:szCs w:val="22"/>
              </w:rPr>
            </w:pPr>
            <w:r w:rsidRPr="008F1964">
              <w:rPr>
                <w:rFonts w:cs="Arial"/>
                <w:b/>
                <w:sz w:val="22"/>
                <w:szCs w:val="22"/>
              </w:rPr>
              <w:t>Mode Choice</w:t>
            </w:r>
          </w:p>
        </w:tc>
        <w:tc>
          <w:tcPr>
            <w:tcW w:w="1559" w:type="dxa"/>
            <w:shd w:val="clear" w:color="auto" w:fill="B8CCE4" w:themeFill="accent1" w:themeFillTint="66"/>
            <w:vAlign w:val="center"/>
          </w:tcPr>
          <w:p w:rsidR="005A341C" w:rsidRPr="008F1964" w:rsidRDefault="005A341C" w:rsidP="008F1964">
            <w:pPr>
              <w:spacing w:before="120" w:after="120" w:line="276" w:lineRule="auto"/>
              <w:contextualSpacing/>
              <w:jc w:val="center"/>
              <w:rPr>
                <w:rFonts w:cs="Arial"/>
                <w:b/>
                <w:sz w:val="22"/>
                <w:szCs w:val="22"/>
              </w:rPr>
            </w:pPr>
            <w:r w:rsidRPr="008F1964">
              <w:rPr>
                <w:rFonts w:cs="Arial"/>
                <w:b/>
                <w:sz w:val="22"/>
                <w:szCs w:val="22"/>
              </w:rPr>
              <w:t>Assignment</w:t>
            </w: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b/>
                <w:sz w:val="22"/>
                <w:szCs w:val="22"/>
              </w:rPr>
              <w:t>Road Improvements</w:t>
            </w: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New Infrastructure</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Change in speed limits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Heavy vehicle restrictions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Road User Charges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Road Closures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Rehabilitation</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vertAlign w:val="superscript"/>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eastAsia="Calibri" w:cs="Arial"/>
                <w:sz w:val="22"/>
                <w:szCs w:val="22"/>
              </w:rPr>
            </w:pPr>
            <w:r w:rsidRPr="008F1964">
              <w:rPr>
                <w:rFonts w:eastAsia="Calibri" w:cs="Arial"/>
                <w:sz w:val="22"/>
                <w:szCs w:val="22"/>
              </w:rPr>
              <w:t>Driver Information Systems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No</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b/>
                <w:sz w:val="22"/>
                <w:szCs w:val="22"/>
              </w:rPr>
              <w:t>Railway Projects</w:t>
            </w: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Lines, conventional and high speed.</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Electrification</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Improvements to Existing Lines, including reconstruction</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services, higher frequencies and new connections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Changes in Fares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Rolling Stock: carriages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Rolling Stock: Locomotives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Rehabilitation of Bridges and Tunnels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Signalling systems / Advanced Telematics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No</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Modernisation of stations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b/>
                <w:sz w:val="22"/>
                <w:szCs w:val="22"/>
              </w:rPr>
              <w:t>Improvements to Inter-City Bus Services</w:t>
            </w: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Improvements to roads which will affect existing Services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services, higher frequencies and new connections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Changes in Fares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buses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bus stations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Modernisation of existing bus stations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Integration of bus and rail services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b/>
                <w:sz w:val="22"/>
                <w:szCs w:val="22"/>
              </w:rPr>
              <w:t>Air Transport</w:t>
            </w: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services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Changes in Fares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aeroplanes / Airport Modernisation / Air Traffic Control Systems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No</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Integration of internal air and rail services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cs="Arial"/>
                <w:b/>
                <w:sz w:val="22"/>
                <w:szCs w:val="22"/>
              </w:rPr>
              <w:t>Freight Transport</w:t>
            </w: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Improvements to existing roads, and new roads.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Changes in Rates, including infrastructure charges on CFR</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Road User Charges for HGV</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Restrictions on HGV movements, e.g. at weekends, or weight limits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Improvements to the River Danube and Channels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Modernisation of Danube ports</w:t>
            </w:r>
          </w:p>
        </w:tc>
        <w:tc>
          <w:tcPr>
            <w:tcW w:w="1275" w:type="dxa"/>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restart"/>
            <w:vAlign w:val="center"/>
          </w:tcPr>
          <w:p w:rsidR="005A341C" w:rsidRPr="008F1964" w:rsidRDefault="005A341C" w:rsidP="008F1964">
            <w:pPr>
              <w:spacing w:before="120" w:after="120" w:line="276" w:lineRule="auto"/>
              <w:contextualSpacing/>
              <w:jc w:val="center"/>
              <w:rPr>
                <w:rFonts w:eastAsia="Calibri" w:cs="Arial"/>
                <w:sz w:val="22"/>
                <w:szCs w:val="22"/>
              </w:rPr>
            </w:pPr>
            <w:r w:rsidRPr="008F1964">
              <w:rPr>
                <w:rFonts w:eastAsia="Calibri" w:cs="Arial"/>
                <w:b/>
                <w:sz w:val="22"/>
                <w:szCs w:val="22"/>
              </w:rPr>
              <w:t>Intermodal Transport</w:t>
            </w: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or improved intermodal terminals, including logistics centres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container services by rail</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or improved rail stations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New or improved bus stations</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r w:rsidR="005A341C" w:rsidRPr="008F1964" w:rsidTr="008F1964">
        <w:tc>
          <w:tcPr>
            <w:tcW w:w="2268" w:type="dxa"/>
            <w:vMerge/>
            <w:vAlign w:val="center"/>
          </w:tcPr>
          <w:p w:rsidR="005A341C" w:rsidRPr="008F1964" w:rsidRDefault="005A341C" w:rsidP="008F1964">
            <w:pPr>
              <w:spacing w:before="120" w:after="120" w:line="276" w:lineRule="auto"/>
              <w:contextualSpacing/>
              <w:jc w:val="center"/>
              <w:rPr>
                <w:rFonts w:eastAsia="Calibri" w:cs="Arial"/>
                <w:sz w:val="22"/>
                <w:szCs w:val="22"/>
              </w:rPr>
            </w:pPr>
          </w:p>
        </w:tc>
        <w:tc>
          <w:tcPr>
            <w:tcW w:w="5529" w:type="dxa"/>
            <w:vAlign w:val="center"/>
          </w:tcPr>
          <w:p w:rsidR="005A341C" w:rsidRPr="008F1964" w:rsidRDefault="005A341C" w:rsidP="00751DE2">
            <w:pPr>
              <w:spacing w:before="120" w:after="120" w:line="276" w:lineRule="auto"/>
              <w:contextualSpacing/>
              <w:rPr>
                <w:rFonts w:cs="Arial"/>
                <w:sz w:val="22"/>
                <w:szCs w:val="22"/>
              </w:rPr>
            </w:pPr>
            <w:r w:rsidRPr="008F1964">
              <w:rPr>
                <w:rFonts w:eastAsia="Calibri" w:cs="Arial"/>
                <w:sz w:val="22"/>
                <w:szCs w:val="22"/>
              </w:rPr>
              <w:t>Integration of bus and rail</w:t>
            </w:r>
          </w:p>
        </w:tc>
        <w:tc>
          <w:tcPr>
            <w:tcW w:w="1275"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eastAsia="Calibri" w:cs="Arial"/>
                <w:sz w:val="22"/>
                <w:szCs w:val="22"/>
              </w:rPr>
              <w:t>Yes</w:t>
            </w:r>
          </w:p>
        </w:tc>
        <w:tc>
          <w:tcPr>
            <w:tcW w:w="1418"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134"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c>
          <w:tcPr>
            <w:tcW w:w="1559" w:type="dxa"/>
            <w:vAlign w:val="center"/>
          </w:tcPr>
          <w:p w:rsidR="005A341C" w:rsidRPr="008F1964" w:rsidRDefault="005A341C" w:rsidP="008F1964">
            <w:pPr>
              <w:spacing w:before="120" w:after="120" w:line="276" w:lineRule="auto"/>
              <w:contextualSpacing/>
              <w:jc w:val="center"/>
              <w:rPr>
                <w:rFonts w:cs="Arial"/>
                <w:sz w:val="22"/>
                <w:szCs w:val="22"/>
              </w:rPr>
            </w:pPr>
            <w:r w:rsidRPr="008F1964">
              <w:rPr>
                <w:rFonts w:cs="Arial"/>
                <w:sz w:val="22"/>
                <w:szCs w:val="22"/>
              </w:rPr>
              <w:t>*</w:t>
            </w:r>
          </w:p>
        </w:tc>
      </w:tr>
    </w:tbl>
    <w:p w:rsidR="005A341C" w:rsidRDefault="005A341C" w:rsidP="00A4081F">
      <w:pPr>
        <w:pStyle w:val="NumberedParas"/>
        <w:numPr>
          <w:ilvl w:val="0"/>
          <w:numId w:val="0"/>
        </w:numPr>
        <w:ind w:left="964"/>
      </w:pPr>
    </w:p>
    <w:p w:rsidR="005A341C" w:rsidRDefault="005A341C" w:rsidP="00A4081F">
      <w:pPr>
        <w:pStyle w:val="NumberedParas"/>
        <w:numPr>
          <w:ilvl w:val="0"/>
          <w:numId w:val="0"/>
        </w:numPr>
        <w:ind w:left="964"/>
      </w:pPr>
    </w:p>
    <w:p w:rsidR="005A341C" w:rsidRDefault="005A341C" w:rsidP="00A4081F">
      <w:pPr>
        <w:pStyle w:val="NumberedParas"/>
        <w:numPr>
          <w:ilvl w:val="0"/>
          <w:numId w:val="0"/>
        </w:numPr>
        <w:ind w:left="964"/>
        <w:sectPr w:rsidR="005A341C" w:rsidSect="005A341C">
          <w:pgSz w:w="16840" w:h="11907" w:orient="landscape" w:code="9"/>
          <w:pgMar w:top="907" w:right="1418" w:bottom="709" w:left="1418" w:header="357" w:footer="567" w:gutter="0"/>
          <w:cols w:space="187"/>
          <w:docGrid w:linePitch="360"/>
        </w:sectPr>
      </w:pPr>
    </w:p>
    <w:p w:rsidR="005A341C" w:rsidRPr="008F7A40" w:rsidRDefault="005A341C" w:rsidP="00A566D5">
      <w:pPr>
        <w:pStyle w:val="Hdg3"/>
      </w:pPr>
      <w:r w:rsidRPr="008F7A40">
        <w:t>Dimensions of the NTM</w:t>
      </w:r>
    </w:p>
    <w:p w:rsidR="005A341C" w:rsidRPr="008F7A40" w:rsidRDefault="005A341C" w:rsidP="00A4081F">
      <w:pPr>
        <w:pStyle w:val="NumberedParas"/>
      </w:pPr>
      <w:r w:rsidRPr="008F7A40">
        <w:t xml:space="preserve">The main physical dimensions of the NTM transport system base year representations are shown in Table </w:t>
      </w:r>
      <w:r w:rsidR="008F1964">
        <w:t>2.3</w:t>
      </w:r>
      <w:r w:rsidRPr="008F1964">
        <w:t>. The</w:t>
      </w:r>
      <w:r w:rsidRPr="008F7A40">
        <w:t xml:space="preserve"> NTM contains a detailed representation of the inter-urban transport networks and the services that operate on it. </w:t>
      </w:r>
    </w:p>
    <w:p w:rsidR="005A341C" w:rsidRPr="008F1964" w:rsidRDefault="005A341C" w:rsidP="008F1964">
      <w:pPr>
        <w:pStyle w:val="Body"/>
        <w:spacing w:before="120" w:after="0"/>
        <w:ind w:left="851"/>
        <w:rPr>
          <w:i w:val="0"/>
        </w:rPr>
      </w:pPr>
      <w:r w:rsidRPr="008F1964">
        <w:rPr>
          <w:rFonts w:cs="Arial"/>
          <w:b/>
          <w:i w:val="0"/>
          <w:color w:val="000000"/>
        </w:rPr>
        <w:t xml:space="preserve">Table </w:t>
      </w:r>
      <w:r w:rsidR="008F1964">
        <w:rPr>
          <w:rFonts w:cs="Arial"/>
          <w:b/>
          <w:i w:val="0"/>
          <w:color w:val="000000"/>
        </w:rPr>
        <w:t>2.3</w:t>
      </w:r>
      <w:r w:rsidRPr="008F1964">
        <w:rPr>
          <w:rFonts w:cs="Arial"/>
          <w:b/>
          <w:i w:val="0"/>
          <w:color w:val="000000"/>
        </w:rPr>
        <w:t xml:space="preserve"> NTM Base Year Model Dimensions (Internal Network)</w:t>
      </w:r>
    </w:p>
    <w:tbl>
      <w:tblPr>
        <w:tblpPr w:leftFromText="181" w:rightFromText="181" w:vertAnchor="text" w:horzAnchor="page" w:tblpX="1759" w:tblpY="148"/>
        <w:tblW w:w="6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1445"/>
        <w:gridCol w:w="1535"/>
        <w:gridCol w:w="1980"/>
      </w:tblGrid>
      <w:tr w:rsidR="005A341C" w:rsidRPr="00C8675F" w:rsidTr="008F1964">
        <w:trPr>
          <w:trHeight w:val="477"/>
        </w:trPr>
        <w:tc>
          <w:tcPr>
            <w:tcW w:w="1244" w:type="dxa"/>
            <w:shd w:val="clear" w:color="000000" w:fill="B8CCE4"/>
            <w:vAlign w:val="center"/>
            <w:hideMark/>
          </w:tcPr>
          <w:p w:rsidR="005A341C" w:rsidRPr="00C8675F" w:rsidRDefault="005A341C" w:rsidP="008F1964">
            <w:pPr>
              <w:jc w:val="center"/>
              <w:rPr>
                <w:rFonts w:cs="Arial"/>
                <w:b/>
                <w:bCs/>
                <w:color w:val="000000"/>
                <w:sz w:val="22"/>
                <w:szCs w:val="22"/>
              </w:rPr>
            </w:pPr>
            <w:r>
              <w:rPr>
                <w:rFonts w:cs="Arial"/>
                <w:b/>
                <w:bCs/>
                <w:color w:val="000000"/>
                <w:sz w:val="22"/>
                <w:szCs w:val="22"/>
              </w:rPr>
              <w:t>Variable</w:t>
            </w:r>
          </w:p>
        </w:tc>
        <w:tc>
          <w:tcPr>
            <w:tcW w:w="1445" w:type="dxa"/>
            <w:shd w:val="clear" w:color="000000" w:fill="B8CCE4"/>
            <w:vAlign w:val="center"/>
            <w:hideMark/>
          </w:tcPr>
          <w:p w:rsidR="005A341C" w:rsidRDefault="005A341C" w:rsidP="008F1964">
            <w:pPr>
              <w:jc w:val="center"/>
              <w:rPr>
                <w:rFonts w:cs="Arial"/>
                <w:b/>
                <w:bCs/>
                <w:color w:val="000000"/>
                <w:sz w:val="22"/>
                <w:szCs w:val="22"/>
              </w:rPr>
            </w:pPr>
            <w:r>
              <w:rPr>
                <w:rFonts w:cs="Arial"/>
                <w:b/>
                <w:bCs/>
                <w:color w:val="000000"/>
                <w:sz w:val="22"/>
                <w:szCs w:val="22"/>
              </w:rPr>
              <w:t>Mode</w:t>
            </w:r>
          </w:p>
        </w:tc>
        <w:tc>
          <w:tcPr>
            <w:tcW w:w="3515" w:type="dxa"/>
            <w:gridSpan w:val="2"/>
            <w:shd w:val="clear" w:color="000000" w:fill="B8CCE4"/>
            <w:vAlign w:val="center"/>
            <w:hideMark/>
          </w:tcPr>
          <w:p w:rsidR="005A341C" w:rsidRDefault="005A341C" w:rsidP="008F1964">
            <w:pPr>
              <w:jc w:val="center"/>
              <w:rPr>
                <w:rFonts w:cs="Arial"/>
                <w:b/>
                <w:bCs/>
                <w:color w:val="000000"/>
                <w:sz w:val="22"/>
                <w:szCs w:val="22"/>
              </w:rPr>
            </w:pPr>
            <w:r>
              <w:rPr>
                <w:rFonts w:cs="Arial"/>
                <w:b/>
                <w:bCs/>
                <w:color w:val="000000"/>
                <w:sz w:val="22"/>
                <w:szCs w:val="22"/>
              </w:rPr>
              <w:t>Total</w:t>
            </w:r>
          </w:p>
        </w:tc>
      </w:tr>
      <w:tr w:rsidR="005A341C" w:rsidRPr="00C8675F" w:rsidTr="008F1964">
        <w:trPr>
          <w:trHeight w:val="340"/>
        </w:trPr>
        <w:tc>
          <w:tcPr>
            <w:tcW w:w="1244" w:type="dxa"/>
            <w:shd w:val="clear" w:color="auto" w:fill="auto"/>
            <w:vAlign w:val="center"/>
            <w:hideMark/>
          </w:tcPr>
          <w:p w:rsidR="005A341C" w:rsidRPr="008B3976" w:rsidRDefault="005A341C" w:rsidP="008F1964">
            <w:pPr>
              <w:jc w:val="center"/>
              <w:rPr>
                <w:rFonts w:cs="Arial"/>
                <w:b/>
                <w:color w:val="000000"/>
                <w:sz w:val="22"/>
                <w:szCs w:val="22"/>
              </w:rPr>
            </w:pPr>
            <w:r w:rsidRPr="008B3976">
              <w:rPr>
                <w:rFonts w:cs="Arial"/>
                <w:b/>
                <w:color w:val="000000"/>
                <w:sz w:val="22"/>
                <w:szCs w:val="22"/>
              </w:rPr>
              <w:t>Zones</w:t>
            </w:r>
          </w:p>
        </w:tc>
        <w:tc>
          <w:tcPr>
            <w:tcW w:w="1445" w:type="dxa"/>
            <w:shd w:val="clear" w:color="auto" w:fill="auto"/>
            <w:vAlign w:val="center"/>
            <w:hideMark/>
          </w:tcPr>
          <w:p w:rsidR="005A341C" w:rsidRPr="008B3976" w:rsidRDefault="005A341C" w:rsidP="008F1964">
            <w:pPr>
              <w:jc w:val="center"/>
              <w:rPr>
                <w:rFonts w:cs="Arial"/>
                <w:color w:val="000000"/>
                <w:sz w:val="22"/>
                <w:szCs w:val="22"/>
              </w:rPr>
            </w:pPr>
            <w:r w:rsidRPr="008B3976">
              <w:rPr>
                <w:rFonts w:cs="Arial"/>
                <w:color w:val="000000"/>
                <w:sz w:val="22"/>
                <w:szCs w:val="22"/>
              </w:rPr>
              <w:t>All</w:t>
            </w:r>
          </w:p>
        </w:tc>
        <w:tc>
          <w:tcPr>
            <w:tcW w:w="3515" w:type="dxa"/>
            <w:gridSpan w:val="2"/>
            <w:shd w:val="clear" w:color="auto" w:fill="auto"/>
            <w:vAlign w:val="center"/>
            <w:hideMark/>
          </w:tcPr>
          <w:p w:rsidR="005A341C" w:rsidRDefault="005A341C" w:rsidP="008F1964">
            <w:pPr>
              <w:jc w:val="center"/>
              <w:rPr>
                <w:rFonts w:cs="Arial"/>
                <w:color w:val="000000"/>
                <w:sz w:val="22"/>
                <w:szCs w:val="22"/>
              </w:rPr>
            </w:pPr>
            <w:r>
              <w:rPr>
                <w:rFonts w:cs="Arial"/>
                <w:color w:val="000000"/>
                <w:sz w:val="22"/>
                <w:szCs w:val="22"/>
              </w:rPr>
              <w:t>1,169 (134 external)</w:t>
            </w:r>
          </w:p>
        </w:tc>
      </w:tr>
      <w:tr w:rsidR="005A341C" w:rsidRPr="00C8675F" w:rsidTr="008F1964">
        <w:trPr>
          <w:trHeight w:val="340"/>
        </w:trPr>
        <w:tc>
          <w:tcPr>
            <w:tcW w:w="2689" w:type="dxa"/>
            <w:gridSpan w:val="2"/>
            <w:shd w:val="clear" w:color="auto" w:fill="B8CCE4"/>
            <w:vAlign w:val="center"/>
            <w:hideMark/>
          </w:tcPr>
          <w:p w:rsidR="005A341C" w:rsidRPr="008B3976" w:rsidRDefault="005A341C" w:rsidP="008F1964">
            <w:pPr>
              <w:jc w:val="center"/>
              <w:rPr>
                <w:rFonts w:cs="Arial"/>
                <w:color w:val="000000"/>
                <w:sz w:val="22"/>
                <w:szCs w:val="22"/>
              </w:rPr>
            </w:pPr>
          </w:p>
        </w:tc>
        <w:tc>
          <w:tcPr>
            <w:tcW w:w="1535" w:type="dxa"/>
            <w:shd w:val="clear" w:color="auto" w:fill="auto"/>
            <w:vAlign w:val="center"/>
            <w:hideMark/>
          </w:tcPr>
          <w:p w:rsidR="005A341C" w:rsidRPr="008B3976" w:rsidRDefault="005A341C" w:rsidP="008F1964">
            <w:pPr>
              <w:jc w:val="center"/>
              <w:rPr>
                <w:rFonts w:cs="Arial"/>
                <w:b/>
                <w:color w:val="000000"/>
                <w:sz w:val="22"/>
                <w:szCs w:val="22"/>
              </w:rPr>
            </w:pPr>
            <w:r w:rsidRPr="008B3976">
              <w:rPr>
                <w:rFonts w:cs="Arial"/>
                <w:b/>
                <w:color w:val="000000"/>
                <w:sz w:val="22"/>
                <w:szCs w:val="22"/>
              </w:rPr>
              <w:t>Nodes</w:t>
            </w:r>
          </w:p>
        </w:tc>
        <w:tc>
          <w:tcPr>
            <w:tcW w:w="1980" w:type="dxa"/>
            <w:shd w:val="clear" w:color="auto" w:fill="auto"/>
            <w:vAlign w:val="center"/>
            <w:hideMark/>
          </w:tcPr>
          <w:p w:rsidR="005A341C" w:rsidRPr="008B3976" w:rsidRDefault="005A341C" w:rsidP="008F1964">
            <w:pPr>
              <w:jc w:val="center"/>
              <w:rPr>
                <w:rFonts w:cs="Arial"/>
                <w:b/>
                <w:color w:val="000000"/>
                <w:sz w:val="22"/>
                <w:szCs w:val="22"/>
              </w:rPr>
            </w:pPr>
            <w:r w:rsidRPr="008B3976">
              <w:rPr>
                <w:rFonts w:cs="Arial"/>
                <w:b/>
                <w:color w:val="000000"/>
                <w:sz w:val="22"/>
                <w:szCs w:val="22"/>
              </w:rPr>
              <w:t>Links</w:t>
            </w:r>
          </w:p>
        </w:tc>
      </w:tr>
      <w:tr w:rsidR="005A341C" w:rsidRPr="00C8675F" w:rsidTr="008F1964">
        <w:trPr>
          <w:trHeight w:val="340"/>
        </w:trPr>
        <w:tc>
          <w:tcPr>
            <w:tcW w:w="1244" w:type="dxa"/>
            <w:vMerge w:val="restart"/>
            <w:shd w:val="clear" w:color="auto" w:fill="auto"/>
            <w:vAlign w:val="center"/>
            <w:hideMark/>
          </w:tcPr>
          <w:p w:rsidR="005A341C" w:rsidRPr="008B3976" w:rsidRDefault="005A341C" w:rsidP="008F1964">
            <w:pPr>
              <w:jc w:val="center"/>
              <w:rPr>
                <w:rFonts w:cs="Arial"/>
                <w:b/>
                <w:color w:val="000000"/>
                <w:sz w:val="22"/>
                <w:szCs w:val="22"/>
              </w:rPr>
            </w:pPr>
            <w:r w:rsidRPr="008B3976">
              <w:rPr>
                <w:rFonts w:cs="Arial"/>
                <w:b/>
                <w:color w:val="000000"/>
                <w:sz w:val="22"/>
                <w:szCs w:val="22"/>
              </w:rPr>
              <w:t>Transport Networks</w:t>
            </w:r>
          </w:p>
        </w:tc>
        <w:tc>
          <w:tcPr>
            <w:tcW w:w="1445" w:type="dxa"/>
            <w:shd w:val="clear" w:color="auto" w:fill="auto"/>
            <w:vAlign w:val="center"/>
            <w:hideMark/>
          </w:tcPr>
          <w:p w:rsidR="005A341C" w:rsidRPr="008B3976" w:rsidRDefault="005A341C" w:rsidP="008F1964">
            <w:pPr>
              <w:jc w:val="center"/>
              <w:rPr>
                <w:rFonts w:cs="Arial"/>
                <w:color w:val="000000"/>
                <w:sz w:val="22"/>
                <w:szCs w:val="22"/>
              </w:rPr>
            </w:pPr>
            <w:r w:rsidRPr="008B3976">
              <w:rPr>
                <w:rFonts w:cs="Arial"/>
                <w:color w:val="000000"/>
                <w:sz w:val="22"/>
                <w:szCs w:val="22"/>
              </w:rPr>
              <w:t>Road</w:t>
            </w:r>
          </w:p>
        </w:tc>
        <w:tc>
          <w:tcPr>
            <w:tcW w:w="1535" w:type="dxa"/>
            <w:shd w:val="clear" w:color="auto" w:fill="auto"/>
            <w:vAlign w:val="center"/>
            <w:hideMark/>
          </w:tcPr>
          <w:p w:rsidR="005A341C" w:rsidRDefault="005A341C" w:rsidP="008F1964">
            <w:pPr>
              <w:jc w:val="center"/>
              <w:rPr>
                <w:rFonts w:cs="Arial"/>
                <w:color w:val="000000"/>
                <w:sz w:val="22"/>
                <w:szCs w:val="22"/>
              </w:rPr>
            </w:pPr>
            <w:r>
              <w:rPr>
                <w:rFonts w:cs="Arial"/>
                <w:color w:val="000000"/>
                <w:sz w:val="22"/>
                <w:szCs w:val="22"/>
              </w:rPr>
              <w:t>9,430</w:t>
            </w:r>
          </w:p>
        </w:tc>
        <w:tc>
          <w:tcPr>
            <w:tcW w:w="1980" w:type="dxa"/>
            <w:shd w:val="clear" w:color="auto" w:fill="auto"/>
            <w:vAlign w:val="center"/>
            <w:hideMark/>
          </w:tcPr>
          <w:p w:rsidR="005A341C" w:rsidRDefault="005A341C" w:rsidP="008F1964">
            <w:pPr>
              <w:jc w:val="center"/>
              <w:rPr>
                <w:rFonts w:cs="Arial"/>
                <w:color w:val="000000"/>
                <w:sz w:val="22"/>
                <w:szCs w:val="22"/>
              </w:rPr>
            </w:pPr>
            <w:r>
              <w:rPr>
                <w:rFonts w:cs="Arial"/>
                <w:color w:val="000000"/>
                <w:sz w:val="22"/>
                <w:szCs w:val="22"/>
              </w:rPr>
              <w:t>20,882</w:t>
            </w:r>
          </w:p>
        </w:tc>
      </w:tr>
      <w:tr w:rsidR="005A341C" w:rsidRPr="00C8675F" w:rsidTr="008F1964">
        <w:trPr>
          <w:trHeight w:val="340"/>
        </w:trPr>
        <w:tc>
          <w:tcPr>
            <w:tcW w:w="1244" w:type="dxa"/>
            <w:vMerge/>
            <w:shd w:val="clear" w:color="auto" w:fill="auto"/>
            <w:vAlign w:val="center"/>
            <w:hideMark/>
          </w:tcPr>
          <w:p w:rsidR="005A341C" w:rsidRPr="008B3976" w:rsidRDefault="005A341C" w:rsidP="008F1964">
            <w:pPr>
              <w:jc w:val="center"/>
              <w:rPr>
                <w:rFonts w:cs="Arial"/>
                <w:b/>
                <w:color w:val="000000"/>
                <w:sz w:val="22"/>
                <w:szCs w:val="22"/>
              </w:rPr>
            </w:pPr>
          </w:p>
        </w:tc>
        <w:tc>
          <w:tcPr>
            <w:tcW w:w="1445" w:type="dxa"/>
            <w:shd w:val="clear" w:color="auto" w:fill="auto"/>
            <w:vAlign w:val="center"/>
            <w:hideMark/>
          </w:tcPr>
          <w:p w:rsidR="005A341C" w:rsidRPr="008B3976" w:rsidRDefault="005A341C" w:rsidP="008F1964">
            <w:pPr>
              <w:jc w:val="center"/>
              <w:rPr>
                <w:rFonts w:cs="Arial"/>
                <w:color w:val="000000"/>
                <w:sz w:val="22"/>
                <w:szCs w:val="22"/>
              </w:rPr>
            </w:pPr>
            <w:r w:rsidRPr="008B3976">
              <w:rPr>
                <w:rFonts w:cs="Arial"/>
                <w:color w:val="000000"/>
                <w:sz w:val="22"/>
                <w:szCs w:val="22"/>
              </w:rPr>
              <w:t>Rail</w:t>
            </w:r>
          </w:p>
        </w:tc>
        <w:tc>
          <w:tcPr>
            <w:tcW w:w="1535" w:type="dxa"/>
            <w:shd w:val="clear" w:color="auto" w:fill="auto"/>
            <w:vAlign w:val="center"/>
            <w:hideMark/>
          </w:tcPr>
          <w:p w:rsidR="005A341C" w:rsidRDefault="005A341C" w:rsidP="008F1964">
            <w:pPr>
              <w:jc w:val="center"/>
              <w:rPr>
                <w:rFonts w:cs="Arial"/>
                <w:color w:val="000000"/>
                <w:sz w:val="22"/>
                <w:szCs w:val="22"/>
              </w:rPr>
            </w:pPr>
            <w:r>
              <w:rPr>
                <w:rFonts w:cs="Arial"/>
                <w:color w:val="000000"/>
                <w:sz w:val="22"/>
                <w:szCs w:val="22"/>
              </w:rPr>
              <w:t>2,466</w:t>
            </w:r>
          </w:p>
        </w:tc>
        <w:tc>
          <w:tcPr>
            <w:tcW w:w="1980" w:type="dxa"/>
            <w:shd w:val="clear" w:color="auto" w:fill="auto"/>
            <w:vAlign w:val="center"/>
            <w:hideMark/>
          </w:tcPr>
          <w:p w:rsidR="005A341C" w:rsidRDefault="005A341C" w:rsidP="008F1964">
            <w:pPr>
              <w:jc w:val="center"/>
              <w:rPr>
                <w:rFonts w:cs="Arial"/>
                <w:color w:val="000000"/>
                <w:sz w:val="22"/>
                <w:szCs w:val="22"/>
              </w:rPr>
            </w:pPr>
            <w:r>
              <w:rPr>
                <w:rFonts w:cs="Arial"/>
                <w:color w:val="000000"/>
                <w:sz w:val="22"/>
                <w:szCs w:val="22"/>
              </w:rPr>
              <w:t>5,028</w:t>
            </w:r>
          </w:p>
        </w:tc>
      </w:tr>
      <w:tr w:rsidR="005A341C" w:rsidRPr="00C8675F" w:rsidTr="008F1964">
        <w:trPr>
          <w:trHeight w:val="340"/>
        </w:trPr>
        <w:tc>
          <w:tcPr>
            <w:tcW w:w="1244" w:type="dxa"/>
            <w:vMerge/>
            <w:shd w:val="clear" w:color="auto" w:fill="auto"/>
            <w:vAlign w:val="center"/>
            <w:hideMark/>
          </w:tcPr>
          <w:p w:rsidR="005A341C" w:rsidRPr="008B3976" w:rsidRDefault="005A341C" w:rsidP="008F1964">
            <w:pPr>
              <w:jc w:val="center"/>
              <w:rPr>
                <w:rFonts w:cs="Arial"/>
                <w:b/>
                <w:bCs/>
                <w:color w:val="000000"/>
                <w:sz w:val="22"/>
                <w:szCs w:val="22"/>
              </w:rPr>
            </w:pPr>
          </w:p>
        </w:tc>
        <w:tc>
          <w:tcPr>
            <w:tcW w:w="1445" w:type="dxa"/>
            <w:shd w:val="clear" w:color="auto" w:fill="auto"/>
            <w:vAlign w:val="center"/>
            <w:hideMark/>
          </w:tcPr>
          <w:p w:rsidR="005A341C" w:rsidRPr="008B3976" w:rsidRDefault="005A341C" w:rsidP="008F1964">
            <w:pPr>
              <w:jc w:val="center"/>
              <w:rPr>
                <w:rFonts w:cs="Arial"/>
                <w:bCs/>
                <w:color w:val="000000"/>
                <w:sz w:val="22"/>
                <w:szCs w:val="22"/>
              </w:rPr>
            </w:pPr>
            <w:r w:rsidRPr="008B3976">
              <w:rPr>
                <w:rFonts w:cs="Arial"/>
                <w:bCs/>
                <w:color w:val="000000"/>
                <w:sz w:val="22"/>
                <w:szCs w:val="22"/>
              </w:rPr>
              <w:t>Water</w:t>
            </w:r>
          </w:p>
        </w:tc>
        <w:tc>
          <w:tcPr>
            <w:tcW w:w="1535" w:type="dxa"/>
            <w:shd w:val="clear" w:color="auto" w:fill="auto"/>
            <w:vAlign w:val="center"/>
            <w:hideMark/>
          </w:tcPr>
          <w:p w:rsidR="005A341C" w:rsidRPr="00074703" w:rsidRDefault="005A341C" w:rsidP="008F1964">
            <w:pPr>
              <w:jc w:val="center"/>
              <w:rPr>
                <w:rFonts w:cs="Arial"/>
                <w:color w:val="000000"/>
                <w:sz w:val="22"/>
                <w:szCs w:val="22"/>
              </w:rPr>
            </w:pPr>
            <w:r>
              <w:rPr>
                <w:rFonts w:cs="Arial"/>
                <w:color w:val="000000"/>
                <w:sz w:val="22"/>
                <w:szCs w:val="22"/>
              </w:rPr>
              <w:t>66</w:t>
            </w:r>
          </w:p>
        </w:tc>
        <w:tc>
          <w:tcPr>
            <w:tcW w:w="1980" w:type="dxa"/>
            <w:shd w:val="clear" w:color="auto" w:fill="auto"/>
            <w:vAlign w:val="center"/>
            <w:hideMark/>
          </w:tcPr>
          <w:p w:rsidR="005A341C" w:rsidRPr="00074703" w:rsidRDefault="005A341C" w:rsidP="008F1964">
            <w:pPr>
              <w:jc w:val="center"/>
              <w:rPr>
                <w:rFonts w:cs="Arial"/>
                <w:bCs/>
                <w:color w:val="000000"/>
                <w:sz w:val="22"/>
                <w:szCs w:val="22"/>
              </w:rPr>
            </w:pPr>
            <w:r>
              <w:rPr>
                <w:rFonts w:cs="Arial"/>
                <w:bCs/>
                <w:color w:val="000000"/>
                <w:sz w:val="22"/>
                <w:szCs w:val="22"/>
              </w:rPr>
              <w:t>132</w:t>
            </w:r>
          </w:p>
        </w:tc>
      </w:tr>
      <w:tr w:rsidR="005A341C" w:rsidRPr="00C8675F" w:rsidTr="008F1964">
        <w:trPr>
          <w:trHeight w:val="340"/>
        </w:trPr>
        <w:tc>
          <w:tcPr>
            <w:tcW w:w="1244" w:type="dxa"/>
            <w:vMerge/>
            <w:shd w:val="clear" w:color="auto" w:fill="auto"/>
            <w:vAlign w:val="center"/>
            <w:hideMark/>
          </w:tcPr>
          <w:p w:rsidR="005A341C" w:rsidRPr="008B3976" w:rsidRDefault="005A341C" w:rsidP="008F1964">
            <w:pPr>
              <w:jc w:val="center"/>
              <w:rPr>
                <w:rFonts w:cs="Arial"/>
                <w:b/>
                <w:bCs/>
                <w:color w:val="000000"/>
                <w:sz w:val="22"/>
                <w:szCs w:val="22"/>
              </w:rPr>
            </w:pPr>
          </w:p>
        </w:tc>
        <w:tc>
          <w:tcPr>
            <w:tcW w:w="1445" w:type="dxa"/>
            <w:shd w:val="clear" w:color="auto" w:fill="auto"/>
            <w:vAlign w:val="center"/>
            <w:hideMark/>
          </w:tcPr>
          <w:p w:rsidR="005A341C" w:rsidRPr="008B3976" w:rsidRDefault="005A341C" w:rsidP="008F1964">
            <w:pPr>
              <w:jc w:val="center"/>
              <w:rPr>
                <w:rFonts w:cs="Arial"/>
                <w:bCs/>
                <w:color w:val="000000"/>
                <w:sz w:val="22"/>
                <w:szCs w:val="22"/>
              </w:rPr>
            </w:pPr>
            <w:r w:rsidRPr="008B3976">
              <w:rPr>
                <w:rFonts w:cs="Arial"/>
                <w:bCs/>
                <w:color w:val="000000"/>
                <w:sz w:val="22"/>
                <w:szCs w:val="22"/>
              </w:rPr>
              <w:t>Air</w:t>
            </w:r>
          </w:p>
        </w:tc>
        <w:tc>
          <w:tcPr>
            <w:tcW w:w="1535" w:type="dxa"/>
            <w:shd w:val="clear" w:color="auto" w:fill="auto"/>
            <w:vAlign w:val="center"/>
            <w:hideMark/>
          </w:tcPr>
          <w:p w:rsidR="005A341C" w:rsidRPr="00074703" w:rsidRDefault="005A341C" w:rsidP="008F1964">
            <w:pPr>
              <w:jc w:val="center"/>
              <w:rPr>
                <w:rFonts w:cs="Arial"/>
                <w:color w:val="000000"/>
                <w:sz w:val="22"/>
                <w:szCs w:val="22"/>
              </w:rPr>
            </w:pPr>
            <w:r>
              <w:rPr>
                <w:rFonts w:cs="Arial"/>
                <w:color w:val="000000"/>
                <w:sz w:val="22"/>
                <w:szCs w:val="22"/>
              </w:rPr>
              <w:t>15</w:t>
            </w:r>
          </w:p>
        </w:tc>
        <w:tc>
          <w:tcPr>
            <w:tcW w:w="1980" w:type="dxa"/>
            <w:shd w:val="clear" w:color="auto" w:fill="auto"/>
            <w:vAlign w:val="center"/>
            <w:hideMark/>
          </w:tcPr>
          <w:p w:rsidR="005A341C" w:rsidRPr="00074703" w:rsidRDefault="005A341C" w:rsidP="008F1964">
            <w:pPr>
              <w:jc w:val="center"/>
              <w:rPr>
                <w:rFonts w:cs="Arial"/>
                <w:bCs/>
                <w:color w:val="000000"/>
                <w:sz w:val="22"/>
                <w:szCs w:val="22"/>
              </w:rPr>
            </w:pPr>
            <w:r>
              <w:rPr>
                <w:rFonts w:cs="Arial"/>
                <w:bCs/>
                <w:color w:val="000000"/>
                <w:sz w:val="22"/>
                <w:szCs w:val="22"/>
              </w:rPr>
              <w:t>30</w:t>
            </w:r>
          </w:p>
        </w:tc>
      </w:tr>
      <w:tr w:rsidR="005A341C" w:rsidRPr="00C8675F" w:rsidTr="008F1964">
        <w:trPr>
          <w:trHeight w:val="340"/>
        </w:trPr>
        <w:tc>
          <w:tcPr>
            <w:tcW w:w="1244" w:type="dxa"/>
            <w:vMerge w:val="restart"/>
            <w:shd w:val="clear" w:color="auto" w:fill="auto"/>
            <w:vAlign w:val="center"/>
            <w:hideMark/>
          </w:tcPr>
          <w:p w:rsidR="005A341C" w:rsidRDefault="005A341C" w:rsidP="008F1964">
            <w:pPr>
              <w:jc w:val="center"/>
              <w:rPr>
                <w:rFonts w:cs="Arial"/>
                <w:b/>
                <w:bCs/>
                <w:color w:val="000000"/>
                <w:sz w:val="22"/>
                <w:szCs w:val="22"/>
              </w:rPr>
            </w:pPr>
            <w:r w:rsidRPr="008B3976">
              <w:rPr>
                <w:rFonts w:cs="Arial"/>
                <w:b/>
                <w:bCs/>
                <w:color w:val="000000"/>
                <w:sz w:val="22"/>
                <w:szCs w:val="22"/>
              </w:rPr>
              <w:t>Transport Services</w:t>
            </w:r>
          </w:p>
          <w:p w:rsidR="005A341C" w:rsidRPr="008B3976" w:rsidRDefault="005A341C" w:rsidP="008F1964">
            <w:pPr>
              <w:jc w:val="center"/>
              <w:rPr>
                <w:rFonts w:cs="Arial"/>
                <w:b/>
                <w:bCs/>
                <w:color w:val="000000"/>
                <w:sz w:val="22"/>
                <w:szCs w:val="22"/>
              </w:rPr>
            </w:pPr>
            <w:r>
              <w:rPr>
                <w:rFonts w:cs="Arial"/>
                <w:b/>
                <w:bCs/>
                <w:color w:val="000000"/>
                <w:sz w:val="22"/>
                <w:szCs w:val="22"/>
              </w:rPr>
              <w:t>(All)</w:t>
            </w:r>
          </w:p>
        </w:tc>
        <w:tc>
          <w:tcPr>
            <w:tcW w:w="1445" w:type="dxa"/>
            <w:shd w:val="clear" w:color="auto" w:fill="auto"/>
            <w:vAlign w:val="center"/>
            <w:hideMark/>
          </w:tcPr>
          <w:p w:rsidR="005A341C" w:rsidRPr="008B3976" w:rsidRDefault="005A341C" w:rsidP="008F1964">
            <w:pPr>
              <w:jc w:val="center"/>
              <w:rPr>
                <w:rFonts w:cs="Arial"/>
                <w:bCs/>
                <w:color w:val="000000"/>
                <w:sz w:val="22"/>
                <w:szCs w:val="22"/>
              </w:rPr>
            </w:pPr>
            <w:r w:rsidRPr="008B3976">
              <w:rPr>
                <w:rFonts w:cs="Arial"/>
                <w:bCs/>
                <w:color w:val="000000"/>
                <w:sz w:val="22"/>
                <w:szCs w:val="22"/>
              </w:rPr>
              <w:t>Rail</w:t>
            </w:r>
          </w:p>
        </w:tc>
        <w:tc>
          <w:tcPr>
            <w:tcW w:w="3515" w:type="dxa"/>
            <w:gridSpan w:val="2"/>
            <w:shd w:val="clear" w:color="auto" w:fill="auto"/>
            <w:vAlign w:val="center"/>
            <w:hideMark/>
          </w:tcPr>
          <w:p w:rsidR="005A341C" w:rsidRPr="00074703" w:rsidRDefault="005A341C" w:rsidP="008F1964">
            <w:pPr>
              <w:jc w:val="center"/>
              <w:rPr>
                <w:rFonts w:cs="Arial"/>
                <w:bCs/>
                <w:color w:val="000000"/>
                <w:sz w:val="22"/>
                <w:szCs w:val="22"/>
              </w:rPr>
            </w:pPr>
            <w:r>
              <w:rPr>
                <w:rFonts w:cs="Arial"/>
                <w:bCs/>
                <w:color w:val="000000"/>
                <w:sz w:val="22"/>
                <w:szCs w:val="22"/>
              </w:rPr>
              <w:t>2,240</w:t>
            </w:r>
          </w:p>
        </w:tc>
      </w:tr>
      <w:tr w:rsidR="005A341C" w:rsidRPr="00C8675F" w:rsidTr="008F1964">
        <w:trPr>
          <w:trHeight w:val="340"/>
        </w:trPr>
        <w:tc>
          <w:tcPr>
            <w:tcW w:w="1244" w:type="dxa"/>
            <w:vMerge/>
            <w:shd w:val="clear" w:color="auto" w:fill="auto"/>
            <w:vAlign w:val="center"/>
            <w:hideMark/>
          </w:tcPr>
          <w:p w:rsidR="005A341C" w:rsidRPr="008B3976" w:rsidRDefault="005A341C" w:rsidP="008F1964">
            <w:pPr>
              <w:jc w:val="center"/>
              <w:rPr>
                <w:rFonts w:cs="Arial"/>
                <w:b/>
                <w:bCs/>
                <w:color w:val="000000"/>
                <w:sz w:val="22"/>
                <w:szCs w:val="22"/>
              </w:rPr>
            </w:pPr>
          </w:p>
        </w:tc>
        <w:tc>
          <w:tcPr>
            <w:tcW w:w="1445" w:type="dxa"/>
            <w:shd w:val="clear" w:color="auto" w:fill="auto"/>
            <w:vAlign w:val="center"/>
            <w:hideMark/>
          </w:tcPr>
          <w:p w:rsidR="005A341C" w:rsidRPr="008B3976" w:rsidRDefault="005A341C" w:rsidP="008F1964">
            <w:pPr>
              <w:jc w:val="center"/>
              <w:rPr>
                <w:rFonts w:cs="Arial"/>
                <w:bCs/>
                <w:color w:val="000000"/>
                <w:sz w:val="22"/>
                <w:szCs w:val="22"/>
              </w:rPr>
            </w:pPr>
            <w:r w:rsidRPr="008B3976">
              <w:rPr>
                <w:rFonts w:cs="Arial"/>
                <w:bCs/>
                <w:color w:val="000000"/>
                <w:sz w:val="22"/>
                <w:szCs w:val="22"/>
              </w:rPr>
              <w:t>Bus</w:t>
            </w:r>
          </w:p>
        </w:tc>
        <w:tc>
          <w:tcPr>
            <w:tcW w:w="3515" w:type="dxa"/>
            <w:gridSpan w:val="2"/>
            <w:shd w:val="clear" w:color="auto" w:fill="auto"/>
            <w:vAlign w:val="center"/>
            <w:hideMark/>
          </w:tcPr>
          <w:p w:rsidR="005A341C" w:rsidRPr="00074703" w:rsidRDefault="005A341C" w:rsidP="008F1964">
            <w:pPr>
              <w:jc w:val="center"/>
              <w:rPr>
                <w:rFonts w:cs="Arial"/>
                <w:bCs/>
                <w:color w:val="000000"/>
                <w:sz w:val="22"/>
                <w:szCs w:val="22"/>
              </w:rPr>
            </w:pPr>
            <w:r>
              <w:rPr>
                <w:rFonts w:cs="Arial"/>
                <w:bCs/>
                <w:color w:val="000000"/>
                <w:sz w:val="22"/>
                <w:szCs w:val="22"/>
              </w:rPr>
              <w:t>4,155</w:t>
            </w:r>
          </w:p>
        </w:tc>
      </w:tr>
      <w:tr w:rsidR="005A341C" w:rsidRPr="00C8675F" w:rsidTr="008F1964">
        <w:trPr>
          <w:trHeight w:val="340"/>
        </w:trPr>
        <w:tc>
          <w:tcPr>
            <w:tcW w:w="1244" w:type="dxa"/>
            <w:vMerge/>
            <w:shd w:val="clear" w:color="auto" w:fill="auto"/>
            <w:vAlign w:val="center"/>
            <w:hideMark/>
          </w:tcPr>
          <w:p w:rsidR="005A341C" w:rsidRPr="008B3976" w:rsidRDefault="005A341C" w:rsidP="008F1964">
            <w:pPr>
              <w:jc w:val="center"/>
              <w:rPr>
                <w:rFonts w:cs="Arial"/>
                <w:b/>
                <w:bCs/>
                <w:color w:val="000000"/>
                <w:sz w:val="22"/>
                <w:szCs w:val="22"/>
              </w:rPr>
            </w:pPr>
          </w:p>
        </w:tc>
        <w:tc>
          <w:tcPr>
            <w:tcW w:w="1445" w:type="dxa"/>
            <w:shd w:val="clear" w:color="auto" w:fill="auto"/>
            <w:vAlign w:val="center"/>
            <w:hideMark/>
          </w:tcPr>
          <w:p w:rsidR="005A341C" w:rsidRPr="008B3976" w:rsidRDefault="005A341C" w:rsidP="008F1964">
            <w:pPr>
              <w:jc w:val="center"/>
              <w:rPr>
                <w:rFonts w:cs="Arial"/>
                <w:bCs/>
                <w:color w:val="000000"/>
                <w:sz w:val="22"/>
                <w:szCs w:val="22"/>
              </w:rPr>
            </w:pPr>
            <w:r w:rsidRPr="008B3976">
              <w:rPr>
                <w:rFonts w:cs="Arial"/>
                <w:bCs/>
                <w:color w:val="000000"/>
                <w:sz w:val="22"/>
                <w:szCs w:val="22"/>
              </w:rPr>
              <w:t>Air</w:t>
            </w:r>
          </w:p>
        </w:tc>
        <w:tc>
          <w:tcPr>
            <w:tcW w:w="3515" w:type="dxa"/>
            <w:gridSpan w:val="2"/>
            <w:shd w:val="clear" w:color="auto" w:fill="auto"/>
            <w:vAlign w:val="center"/>
            <w:hideMark/>
          </w:tcPr>
          <w:p w:rsidR="005A341C" w:rsidRPr="00074703" w:rsidRDefault="005A341C" w:rsidP="008F1964">
            <w:pPr>
              <w:jc w:val="center"/>
              <w:rPr>
                <w:rFonts w:cs="Arial"/>
                <w:bCs/>
                <w:color w:val="000000"/>
                <w:sz w:val="22"/>
                <w:szCs w:val="22"/>
              </w:rPr>
            </w:pPr>
            <w:r>
              <w:rPr>
                <w:rFonts w:cs="Arial"/>
                <w:bCs/>
                <w:color w:val="000000"/>
                <w:sz w:val="22"/>
                <w:szCs w:val="22"/>
              </w:rPr>
              <w:t>469</w:t>
            </w:r>
          </w:p>
        </w:tc>
      </w:tr>
    </w:tbl>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Default="005A341C" w:rsidP="00A4081F">
      <w:pPr>
        <w:pStyle w:val="NumberedParas"/>
        <w:numPr>
          <w:ilvl w:val="0"/>
          <w:numId w:val="0"/>
        </w:numPr>
        <w:ind w:left="680"/>
      </w:pPr>
    </w:p>
    <w:p w:rsidR="005A341C" w:rsidRPr="001C6C79" w:rsidRDefault="008F1964" w:rsidP="00A4081F">
      <w:pPr>
        <w:pStyle w:val="NumberedParas"/>
        <w:numPr>
          <w:ilvl w:val="0"/>
          <w:numId w:val="0"/>
        </w:numPr>
        <w:ind w:left="680"/>
      </w:pPr>
      <w:r w:rsidRPr="001C6C79">
        <w:t>Source: AECOM NTM</w:t>
      </w:r>
    </w:p>
    <w:p w:rsidR="005A341C" w:rsidRPr="008F7A40" w:rsidRDefault="005A341C" w:rsidP="00A566D5">
      <w:pPr>
        <w:pStyle w:val="Hdg3"/>
      </w:pPr>
      <w:r w:rsidRPr="008F7A40">
        <w:t>Base Year – Overall Indicators</w:t>
      </w:r>
    </w:p>
    <w:p w:rsidR="005A341C" w:rsidRPr="008F7A40" w:rsidRDefault="005A341C" w:rsidP="00A4081F">
      <w:pPr>
        <w:pStyle w:val="NumberedParas"/>
      </w:pPr>
      <w:r w:rsidRPr="008F7A40">
        <w:t xml:space="preserve">The base year passenger travel demands in the NTM are derived from comprehensive surveys undertaken with car, bus, rail and air passengers. This data was combined with ticket sales data for rail and air movements to produce passenger travel demands by mode as shown in Figure </w:t>
      </w:r>
      <w:r w:rsidR="008F1964">
        <w:t>3.12</w:t>
      </w:r>
      <w:r w:rsidRPr="008F7A40">
        <w:t>. Over  three million inter-urban passenger trips were made on an average day in the  base year.</w:t>
      </w:r>
    </w:p>
    <w:p w:rsidR="005A341C" w:rsidRDefault="005A341C" w:rsidP="008F1964">
      <w:pPr>
        <w:ind w:firstLine="851"/>
        <w:rPr>
          <w:noProof/>
          <w:lang w:val="en-US"/>
        </w:rPr>
      </w:pPr>
      <w:r>
        <w:rPr>
          <w:noProof/>
          <w:lang w:val="ro-RO" w:eastAsia="ro-RO"/>
        </w:rPr>
        <w:drawing>
          <wp:inline distT="0" distB="0" distL="0" distR="0" wp14:anchorId="2C82997A" wp14:editId="2946B9DC">
            <wp:extent cx="5257884" cy="2889849"/>
            <wp:effectExtent l="19050" t="0" r="18966" b="5751"/>
            <wp:docPr id="29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F1964" w:rsidRDefault="008F1964" w:rsidP="008F1964">
      <w:pPr>
        <w:ind w:firstLine="851"/>
        <w:rPr>
          <w:noProof/>
          <w:lang w:val="en-US"/>
        </w:rPr>
      </w:pPr>
    </w:p>
    <w:p w:rsidR="008F1964" w:rsidRPr="001C6C79" w:rsidRDefault="008F1964" w:rsidP="00A4081F">
      <w:pPr>
        <w:pStyle w:val="NumberedParas"/>
        <w:numPr>
          <w:ilvl w:val="0"/>
          <w:numId w:val="0"/>
        </w:numPr>
        <w:ind w:left="680"/>
      </w:pPr>
      <w:r w:rsidRPr="001C6C79">
        <w:t>Source: AECOM NTM</w:t>
      </w:r>
    </w:p>
    <w:p w:rsidR="005A341C" w:rsidRPr="008F7A40" w:rsidRDefault="00055CD4" w:rsidP="008F1964">
      <w:pPr>
        <w:spacing w:before="120"/>
        <w:ind w:left="851"/>
        <w:rPr>
          <w:b/>
          <w:noProof/>
          <w:sz w:val="22"/>
          <w:szCs w:val="22"/>
          <w:lang w:val="en-US"/>
        </w:rPr>
      </w:pPr>
      <w:r>
        <w:rPr>
          <w:b/>
          <w:noProof/>
          <w:sz w:val="22"/>
          <w:szCs w:val="22"/>
          <w:lang w:val="en-US"/>
        </w:rPr>
        <w:t>Figure 2</w:t>
      </w:r>
      <w:r w:rsidR="005A341C" w:rsidRPr="008F1964">
        <w:rPr>
          <w:b/>
          <w:noProof/>
          <w:sz w:val="22"/>
          <w:szCs w:val="22"/>
          <w:lang w:val="en-US"/>
        </w:rPr>
        <w:t>.</w:t>
      </w:r>
      <w:r w:rsidR="008F1964" w:rsidRPr="008F1964">
        <w:rPr>
          <w:b/>
          <w:noProof/>
          <w:sz w:val="22"/>
          <w:szCs w:val="22"/>
          <w:lang w:val="en-US"/>
        </w:rPr>
        <w:t>12</w:t>
      </w:r>
      <w:r w:rsidR="005A341C" w:rsidRPr="008F1964">
        <w:rPr>
          <w:b/>
          <w:noProof/>
          <w:sz w:val="22"/>
          <w:szCs w:val="22"/>
          <w:lang w:val="en-US"/>
        </w:rPr>
        <w:t xml:space="preserve"> NTM Base Passenger Trips</w:t>
      </w:r>
    </w:p>
    <w:p w:rsidR="005A341C" w:rsidRPr="008F7A40" w:rsidRDefault="005A341C" w:rsidP="00A4081F">
      <w:pPr>
        <w:pStyle w:val="NumberedParas"/>
      </w:pPr>
      <w:r w:rsidRPr="008F7A40">
        <w:t>The passenger mode shares in the b</w:t>
      </w:r>
      <w:r w:rsidR="00055CD4">
        <w:t>ase year are shown in Figure 3.13</w:t>
      </w:r>
      <w:r w:rsidRPr="008F7A40">
        <w:t xml:space="preserve"> for car available and non-car available travellers respectively. As expected only a relatively small proportion of car available travellers opt to use public transport, 10%. In the non-car available market the main mode is bus, 77% , followed by rail, 20%. Overall 77% of passenger travel is by car, 18% by bus, and only 5% by rail and air.</w:t>
      </w:r>
    </w:p>
    <w:p w:rsidR="00055CD4" w:rsidRDefault="005A341C" w:rsidP="00055CD4">
      <w:pPr>
        <w:spacing w:before="120" w:after="120" w:line="276" w:lineRule="auto"/>
        <w:ind w:firstLine="284"/>
        <w:rPr>
          <w:b/>
        </w:rPr>
      </w:pPr>
      <w:r w:rsidRPr="008F7A40">
        <w:rPr>
          <w:b/>
        </w:rPr>
        <w:object w:dxaOrig="9629" w:dyaOrig="4925">
          <v:shape id="_x0000_i1026" type="#_x0000_t75" style="width:480pt;height:246pt" o:ole="">
            <v:imagedata r:id="rId50" o:title=""/>
          </v:shape>
          <o:OLEObject Type="Embed" ProgID="Word.Document.12" ShapeID="_x0000_i1026" DrawAspect="Content" ObjectID="_1491205600" r:id="rId51">
            <o:FieldCodes>\s</o:FieldCodes>
          </o:OLEObject>
        </w:object>
      </w:r>
      <w:r w:rsidRPr="008F7A40">
        <w:rPr>
          <w:b/>
        </w:rPr>
        <w:t xml:space="preserve"> </w:t>
      </w:r>
    </w:p>
    <w:p w:rsidR="00055CD4" w:rsidRPr="008F1964" w:rsidRDefault="00055CD4" w:rsidP="00A4081F">
      <w:pPr>
        <w:pStyle w:val="NumberedParas"/>
        <w:numPr>
          <w:ilvl w:val="0"/>
          <w:numId w:val="0"/>
        </w:numPr>
        <w:ind w:left="851"/>
      </w:pPr>
      <w:r w:rsidRPr="008F1964">
        <w:t>Source: AECOM NTM</w:t>
      </w:r>
    </w:p>
    <w:p w:rsidR="005A341C" w:rsidRPr="008F7A40" w:rsidRDefault="00055CD4" w:rsidP="00055CD4">
      <w:pPr>
        <w:spacing w:before="120" w:after="120" w:line="276" w:lineRule="auto"/>
        <w:ind w:left="851"/>
        <w:rPr>
          <w:b/>
          <w:sz w:val="22"/>
          <w:szCs w:val="22"/>
        </w:rPr>
      </w:pPr>
      <w:r>
        <w:rPr>
          <w:b/>
          <w:sz w:val="22"/>
          <w:szCs w:val="22"/>
        </w:rPr>
        <w:t>Figure 2.13</w:t>
      </w:r>
      <w:r w:rsidR="005A341C" w:rsidRPr="008F7A40">
        <w:rPr>
          <w:b/>
          <w:sz w:val="22"/>
          <w:szCs w:val="22"/>
        </w:rPr>
        <w:t xml:space="preserve"> NTM Base Year Passenger Mode Shares</w:t>
      </w:r>
    </w:p>
    <w:p w:rsidR="005A341C" w:rsidRPr="008F7A40" w:rsidRDefault="005A341C" w:rsidP="00A4081F">
      <w:pPr>
        <w:pStyle w:val="NumberedParas"/>
      </w:pPr>
      <w:r w:rsidRPr="008F7A40">
        <w:t>The base year freight demands in the NTM are derived from comprehensive surveys undertaken with road hauliers, individual consignment data for rail freight, and port and airport details of freight handled by commodity. The split of freight traffic between the main modes is as follows:</w:t>
      </w:r>
    </w:p>
    <w:p w:rsidR="005A341C" w:rsidRPr="008F7A40" w:rsidRDefault="005A341C" w:rsidP="00273D5E">
      <w:pPr>
        <w:pStyle w:val="BulletLevel1"/>
      </w:pPr>
      <w:r w:rsidRPr="008F7A40">
        <w:t>Road freight tonne kms</w:t>
      </w:r>
      <w:r w:rsidRPr="008F7A40">
        <w:tab/>
      </w:r>
      <w:r w:rsidRPr="008F7A40">
        <w:tab/>
        <w:t>53.3%</w:t>
      </w:r>
    </w:p>
    <w:p w:rsidR="005A341C" w:rsidRPr="008F7A40" w:rsidRDefault="005A341C" w:rsidP="00273D5E">
      <w:pPr>
        <w:pStyle w:val="BulletLevel1"/>
      </w:pPr>
      <w:r w:rsidRPr="008F7A40">
        <w:t>Rail freight tonne kms</w:t>
      </w:r>
      <w:r w:rsidRPr="008F7A40">
        <w:tab/>
      </w:r>
      <w:r w:rsidRPr="008F7A40">
        <w:tab/>
      </w:r>
      <w:r>
        <w:tab/>
      </w:r>
      <w:r w:rsidRPr="008F7A40">
        <w:t>24.2%</w:t>
      </w:r>
    </w:p>
    <w:p w:rsidR="005A341C" w:rsidRPr="008F7A40" w:rsidRDefault="005A341C" w:rsidP="00273D5E">
      <w:pPr>
        <w:pStyle w:val="BulletLevel1"/>
      </w:pPr>
      <w:r w:rsidRPr="008F7A40">
        <w:t>Waterways tonne kms</w:t>
      </w:r>
      <w:r w:rsidRPr="008F7A40">
        <w:tab/>
      </w:r>
      <w:r w:rsidRPr="008F7A40">
        <w:tab/>
      </w:r>
      <w:r w:rsidR="00055CD4">
        <w:tab/>
      </w:r>
      <w:r w:rsidRPr="008F7A40">
        <w:t>22.5%</w:t>
      </w:r>
    </w:p>
    <w:p w:rsidR="005A341C" w:rsidRPr="00055CD4" w:rsidRDefault="005A341C" w:rsidP="00055CD4">
      <w:pPr>
        <w:pStyle w:val="Caption"/>
        <w:ind w:left="851"/>
        <w:rPr>
          <w:i/>
        </w:rPr>
      </w:pPr>
      <w:r w:rsidRPr="00055CD4">
        <w:rPr>
          <w:i/>
        </w:rPr>
        <w:t>Source: INS</w:t>
      </w:r>
    </w:p>
    <w:p w:rsidR="005A341C" w:rsidRPr="008F7A40" w:rsidRDefault="005A341C" w:rsidP="005A341C">
      <w:pPr>
        <w:rPr>
          <w:sz w:val="22"/>
          <w:szCs w:val="22"/>
        </w:rPr>
      </w:pPr>
    </w:p>
    <w:p w:rsidR="005A341C" w:rsidRPr="008F7A40" w:rsidRDefault="005A341C" w:rsidP="0070064A">
      <w:pPr>
        <w:pStyle w:val="Hdg3"/>
      </w:pPr>
      <w:r w:rsidRPr="008F7A40">
        <w:t>NTM Reference Case Scenario (2020)</w:t>
      </w:r>
    </w:p>
    <w:p w:rsidR="005A341C" w:rsidRPr="0070064A" w:rsidRDefault="005A341C" w:rsidP="005A341C">
      <w:pPr>
        <w:pStyle w:val="Body"/>
        <w:spacing w:before="120"/>
        <w:ind w:left="0"/>
        <w:rPr>
          <w:b/>
          <w:i w:val="0"/>
        </w:rPr>
      </w:pPr>
      <w:r w:rsidRPr="0070064A">
        <w:rPr>
          <w:b/>
          <w:i w:val="0"/>
        </w:rPr>
        <w:t>Travel Demand Growth</w:t>
      </w:r>
    </w:p>
    <w:p w:rsidR="005A341C" w:rsidRPr="008F7A40" w:rsidRDefault="005A341C" w:rsidP="00A4081F">
      <w:pPr>
        <w:pStyle w:val="NumberedParas"/>
      </w:pPr>
      <w:r w:rsidRPr="008F7A40">
        <w:t>The NTM uses economic and demographic factors for Romania and neighbouring countries, together with the transport network structure and conditions as inputs to its forecasts. The main drivers of forecast demand are GDP, population, employment, economically active population, and car ownership.</w:t>
      </w:r>
    </w:p>
    <w:p w:rsidR="005A341C" w:rsidRPr="008F7A40" w:rsidRDefault="005A341C" w:rsidP="00A4081F">
      <w:pPr>
        <w:pStyle w:val="NumberedParas"/>
      </w:pPr>
      <w:r w:rsidRPr="008F7A40">
        <w:t>Between 2011 and 2020 the current predicted change in the drivers of travel demand is:</w:t>
      </w:r>
    </w:p>
    <w:p w:rsidR="005A341C" w:rsidRPr="008F7A40" w:rsidRDefault="005A341C" w:rsidP="00273D5E">
      <w:pPr>
        <w:pStyle w:val="BulletLevel1"/>
      </w:pPr>
      <w:r w:rsidRPr="008F7A40">
        <w:t>GDP increases by 26.4%;</w:t>
      </w:r>
    </w:p>
    <w:p w:rsidR="005A341C" w:rsidRPr="008F7A40" w:rsidRDefault="005A341C" w:rsidP="00273D5E">
      <w:pPr>
        <w:pStyle w:val="BulletLevel1"/>
      </w:pPr>
      <w:r w:rsidRPr="008F7A40">
        <w:t>Population decreases by 1.8%;</w:t>
      </w:r>
    </w:p>
    <w:p w:rsidR="005A341C" w:rsidRPr="008F7A40" w:rsidRDefault="005A341C" w:rsidP="00273D5E">
      <w:pPr>
        <w:pStyle w:val="BulletLevel1"/>
      </w:pPr>
      <w:r w:rsidRPr="008F7A40">
        <w:t xml:space="preserve">Employment increases by 3.6%; </w:t>
      </w:r>
    </w:p>
    <w:p w:rsidR="005A341C" w:rsidRPr="008F7A40" w:rsidRDefault="005A341C" w:rsidP="00273D5E">
      <w:pPr>
        <w:pStyle w:val="BulletLevel1"/>
      </w:pPr>
      <w:r w:rsidRPr="008F7A40">
        <w:t xml:space="preserve">Economically active population decreases by -3.4%; and </w:t>
      </w:r>
    </w:p>
    <w:p w:rsidR="005A341C" w:rsidRPr="008F7A40" w:rsidRDefault="005A341C" w:rsidP="00273D5E">
      <w:pPr>
        <w:pStyle w:val="BulletLevel1"/>
      </w:pPr>
      <w:r w:rsidRPr="008F7A40">
        <w:t>Car ownership increases by 29%.</w:t>
      </w:r>
    </w:p>
    <w:p w:rsidR="005A341C" w:rsidRPr="00055CD4" w:rsidRDefault="005A341C" w:rsidP="00055CD4">
      <w:pPr>
        <w:pStyle w:val="Caption"/>
        <w:ind w:left="851"/>
        <w:rPr>
          <w:i/>
        </w:rPr>
      </w:pPr>
      <w:r w:rsidRPr="00055CD4">
        <w:rPr>
          <w:i/>
        </w:rPr>
        <w:t>Source: National Committee of Prognosis, EIU, IMF, OECD</w:t>
      </w:r>
    </w:p>
    <w:p w:rsidR="005A341C" w:rsidRPr="00490DBE" w:rsidRDefault="005A341C" w:rsidP="00A4081F">
      <w:pPr>
        <w:pStyle w:val="NumberedParas"/>
      </w:pPr>
      <w:r w:rsidRPr="00490DBE">
        <w:t>The NTM model outputs are the absolute travel demands, and changes between the base situati</w:t>
      </w:r>
      <w:r w:rsidR="00055CD4">
        <w:t>on and future years. Figure 3.14</w:t>
      </w:r>
      <w:r w:rsidRPr="00490DBE">
        <w:t xml:space="preserve"> shows the forecast changes in passenger and freight demands by mode between the model base year 2011 and the reference case in 2020, both in terms of trips made and kilometres travelled/transported.</w:t>
      </w:r>
    </w:p>
    <w:p w:rsidR="005A341C" w:rsidRDefault="005A341C" w:rsidP="00055CD4">
      <w:pPr>
        <w:ind w:firstLine="284"/>
      </w:pPr>
      <w:r>
        <w:rPr>
          <w:noProof/>
          <w:lang w:val="ro-RO" w:eastAsia="ro-RO"/>
        </w:rPr>
        <w:drawing>
          <wp:inline distT="0" distB="0" distL="0" distR="0" wp14:anchorId="1954ECEA" wp14:editId="6A118520">
            <wp:extent cx="5272405" cy="3218180"/>
            <wp:effectExtent l="0" t="0" r="0" b="0"/>
            <wp:docPr id="2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srcRect/>
                    <a:stretch>
                      <a:fillRect/>
                    </a:stretch>
                  </pic:blipFill>
                  <pic:spPr bwMode="auto">
                    <a:xfrm>
                      <a:off x="0" y="0"/>
                      <a:ext cx="5272405" cy="3218180"/>
                    </a:xfrm>
                    <a:prstGeom prst="rect">
                      <a:avLst/>
                    </a:prstGeom>
                    <a:noFill/>
                    <a:ln w="9525">
                      <a:noFill/>
                      <a:miter lim="800000"/>
                      <a:headEnd/>
                      <a:tailEnd/>
                    </a:ln>
                  </pic:spPr>
                </pic:pic>
              </a:graphicData>
            </a:graphic>
          </wp:inline>
        </w:drawing>
      </w:r>
    </w:p>
    <w:p w:rsidR="00055CD4" w:rsidRPr="001C6C79" w:rsidRDefault="00055CD4" w:rsidP="00A4081F">
      <w:pPr>
        <w:pStyle w:val="NumberedParas"/>
        <w:numPr>
          <w:ilvl w:val="0"/>
          <w:numId w:val="0"/>
        </w:numPr>
        <w:ind w:left="680"/>
      </w:pPr>
      <w:r w:rsidRPr="001C6C79">
        <w:t>Source: AECOM NTM</w:t>
      </w:r>
    </w:p>
    <w:p w:rsidR="005A341C" w:rsidRPr="00055CD4" w:rsidRDefault="00055CD4" w:rsidP="00055CD4">
      <w:pPr>
        <w:pStyle w:val="Body"/>
        <w:spacing w:before="120"/>
        <w:ind w:left="851"/>
        <w:rPr>
          <w:b/>
          <w:i w:val="0"/>
        </w:rPr>
      </w:pPr>
      <w:r>
        <w:rPr>
          <w:b/>
          <w:i w:val="0"/>
        </w:rPr>
        <w:t>Figure 2.14</w:t>
      </w:r>
      <w:r w:rsidR="005A341C" w:rsidRPr="00055CD4">
        <w:rPr>
          <w:b/>
          <w:i w:val="0"/>
        </w:rPr>
        <w:t xml:space="preserve"> Change in Passenger and Freight Demand 2011 – 2020 Reference Case</w:t>
      </w:r>
    </w:p>
    <w:p w:rsidR="005A341C" w:rsidRPr="00490DBE" w:rsidRDefault="005A341C" w:rsidP="00A4081F">
      <w:pPr>
        <w:pStyle w:val="NumberedParas"/>
      </w:pPr>
      <w:r w:rsidRPr="00490DBE">
        <w:t>The total increase in daily passenger trips in the 2020 Reference Case is forecast to be 10.7% with a 26.6% increase in total passenger km. Freight demands experience similar patterns of growth with tonnes up by 26% and tonne km by 34%.</w:t>
      </w:r>
    </w:p>
    <w:p w:rsidR="005A341C" w:rsidRDefault="005A341C" w:rsidP="00A4081F">
      <w:pPr>
        <w:pStyle w:val="NumberedParas"/>
      </w:pPr>
      <w:r w:rsidRPr="00490DBE">
        <w:t>Car ownership levels in Romania are still at relatively low levels which means that car ownership is forecast to grow strongly, 19.3% of population have a car available in 2011 rising to 24.9% by 2020. As car ownership rises, the proportion of the population that is “captive” to public transport declines. This reduction in the captive market, changes the dynamics of the public transport sector, with an increasing need to compete with road for people who now have a car available.</w:t>
      </w:r>
    </w:p>
    <w:p w:rsidR="005A341C" w:rsidRDefault="005A341C" w:rsidP="005A341C">
      <w:pPr>
        <w:pStyle w:val="Body"/>
        <w:spacing w:before="120"/>
        <w:ind w:left="0"/>
      </w:pPr>
    </w:p>
    <w:p w:rsidR="005A341C" w:rsidRDefault="005A341C" w:rsidP="00055CD4">
      <w:pPr>
        <w:pStyle w:val="Body"/>
        <w:spacing w:before="120"/>
        <w:ind w:left="0" w:firstLine="851"/>
        <w:rPr>
          <w:noProof/>
          <w:lang w:val="en-US"/>
        </w:rPr>
      </w:pPr>
      <w:r>
        <w:rPr>
          <w:noProof/>
          <w:lang w:val="ro-RO" w:eastAsia="ro-RO"/>
        </w:rPr>
        <w:drawing>
          <wp:inline distT="0" distB="0" distL="0" distR="0" wp14:anchorId="3D2D1EB3" wp14:editId="06FF9F75">
            <wp:extent cx="5253639" cy="3056332"/>
            <wp:effectExtent l="11354" t="5687" r="7412" b="1856"/>
            <wp:docPr id="28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55CD4" w:rsidRPr="001C6C79" w:rsidRDefault="00055CD4" w:rsidP="00A4081F">
      <w:pPr>
        <w:pStyle w:val="NumberedParas"/>
        <w:numPr>
          <w:ilvl w:val="0"/>
          <w:numId w:val="0"/>
        </w:numPr>
        <w:ind w:left="680"/>
      </w:pPr>
      <w:r w:rsidRPr="001C6C79">
        <w:t>Source: AECOM NTM</w:t>
      </w:r>
    </w:p>
    <w:p w:rsidR="005A341C" w:rsidRPr="00055CD4" w:rsidRDefault="005A341C" w:rsidP="00055CD4">
      <w:pPr>
        <w:pStyle w:val="Body"/>
        <w:spacing w:before="120"/>
        <w:ind w:left="851"/>
        <w:rPr>
          <w:b/>
          <w:i w:val="0"/>
        </w:rPr>
      </w:pPr>
      <w:r w:rsidRPr="00055CD4">
        <w:rPr>
          <w:b/>
          <w:i w:val="0"/>
          <w:noProof/>
          <w:lang w:val="en-US"/>
        </w:rPr>
        <w:t xml:space="preserve">Figure </w:t>
      </w:r>
      <w:r w:rsidR="00055CD4">
        <w:rPr>
          <w:b/>
          <w:i w:val="0"/>
          <w:noProof/>
          <w:lang w:val="en-US"/>
        </w:rPr>
        <w:t>2.15</w:t>
      </w:r>
      <w:r w:rsidRPr="00055CD4">
        <w:rPr>
          <w:b/>
          <w:i w:val="0"/>
          <w:noProof/>
          <w:lang w:val="en-US"/>
        </w:rPr>
        <w:t xml:space="preserve">  Car Ownership Growth, 2011 - 2020</w:t>
      </w:r>
    </w:p>
    <w:p w:rsidR="005A341C" w:rsidRPr="00490DBE" w:rsidRDefault="005A341C" w:rsidP="00A4081F">
      <w:pPr>
        <w:pStyle w:val="NumberedParas"/>
      </w:pPr>
      <w:r>
        <w:t>The 2020 Reference Scenario</w:t>
      </w:r>
      <w:r w:rsidRPr="00490DBE">
        <w:t xml:space="preserve"> contains a number of committed highway schemes, but in comparison relatively little investment in rail. The 20.9% reduction in rail trips is mainly driven by the growth in car ownership levels, and committed investment in the highway network, which makes car travel more attractive. Bus travel is forecast to increase slightly by 1.2%. Like rail, the bus sector will be adversely affected by the growth in car ownership, but will benefit from the highway investment projects which provide faster journey times. Car trips are forecast to increase by 15.1%, reflecting of the increase in car ownership, and the committed investments in the highway network.</w:t>
      </w:r>
    </w:p>
    <w:p w:rsidR="005A341C" w:rsidRPr="00490DBE" w:rsidRDefault="005A341C" w:rsidP="00A4081F">
      <w:pPr>
        <w:pStyle w:val="NumberedParas"/>
      </w:pPr>
      <w:r w:rsidRPr="00490DBE">
        <w:t>The forecast increase in total passenger km (of 26.6%) is due to a number of factors, including:</w:t>
      </w:r>
    </w:p>
    <w:p w:rsidR="005A341C" w:rsidRPr="00490DBE" w:rsidRDefault="005A341C" w:rsidP="00273D5E">
      <w:pPr>
        <w:pStyle w:val="BulletLevel1"/>
      </w:pPr>
      <w:r w:rsidRPr="00490DBE">
        <w:t>Significantly increased speeds on a number of corridors due to the almost doubling of the motorway network by 2020 (from 550kms to 993kms), which encourages greater interaction between major cities and leads to an increase in journey distances; and</w:t>
      </w:r>
    </w:p>
    <w:p w:rsidR="005A341C" w:rsidRDefault="005A341C" w:rsidP="00273D5E">
      <w:pPr>
        <w:pStyle w:val="BulletLevel1"/>
      </w:pPr>
      <w:r w:rsidRPr="00490DBE">
        <w:t>Growth in household incomes of 29% and therefore lower cost of operating a car, which leads to a propensity for individuals to make longer distance trips.</w:t>
      </w:r>
    </w:p>
    <w:p w:rsidR="005A341C" w:rsidRDefault="005A341C" w:rsidP="005A341C">
      <w:pPr>
        <w:spacing w:before="120" w:after="120" w:line="276" w:lineRule="auto"/>
        <w:contextualSpacing/>
        <w:rPr>
          <w:sz w:val="22"/>
          <w:szCs w:val="22"/>
        </w:rPr>
      </w:pPr>
    </w:p>
    <w:p w:rsidR="005A341C" w:rsidRPr="00476AD7" w:rsidRDefault="005A341C" w:rsidP="00476AD7">
      <w:pPr>
        <w:spacing w:before="120" w:after="120" w:line="276" w:lineRule="auto"/>
        <w:contextualSpacing/>
        <w:rPr>
          <w:b/>
          <w:sz w:val="22"/>
          <w:szCs w:val="22"/>
        </w:rPr>
      </w:pPr>
      <w:r w:rsidRPr="00476AD7">
        <w:rPr>
          <w:b/>
          <w:sz w:val="22"/>
          <w:szCs w:val="22"/>
        </w:rPr>
        <w:t>Passenger and Freight Flows</w:t>
      </w:r>
    </w:p>
    <w:p w:rsidR="005A341C" w:rsidRDefault="005A341C" w:rsidP="00A4081F">
      <w:pPr>
        <w:pStyle w:val="NumberedParas"/>
      </w:pPr>
      <w:r>
        <w:t>The following sections provide an overview of the situation in 2011 and 2020 with respect to the passenger and freight flows on the road, rail, and waterways networks.</w:t>
      </w:r>
    </w:p>
    <w:p w:rsidR="005A341C" w:rsidRPr="009D6F82" w:rsidRDefault="005A341C" w:rsidP="00A4081F">
      <w:pPr>
        <w:pStyle w:val="NumberedParas"/>
      </w:pPr>
      <w:r>
        <w:t>The current dominant position of r</w:t>
      </w:r>
      <w:r w:rsidRPr="009D6F82">
        <w:t xml:space="preserve">oad transport for passenger trips is clear to see in 2011 with significant rail shares only on the radial routes from Bucharest. </w:t>
      </w:r>
    </w:p>
    <w:p w:rsidR="005A341C" w:rsidRDefault="005A341C" w:rsidP="005A341C">
      <w:pPr>
        <w:spacing w:before="120" w:after="120" w:line="276" w:lineRule="auto"/>
        <w:contextualSpacing/>
        <w:rPr>
          <w:sz w:val="22"/>
          <w:szCs w:val="22"/>
        </w:rPr>
      </w:pPr>
    </w:p>
    <w:p w:rsidR="005A341C" w:rsidRDefault="005A341C" w:rsidP="00055CD4">
      <w:pPr>
        <w:spacing w:before="120" w:after="120" w:line="276" w:lineRule="auto"/>
        <w:ind w:firstLine="851"/>
        <w:contextualSpacing/>
        <w:rPr>
          <w:noProof/>
          <w:sz w:val="22"/>
          <w:szCs w:val="22"/>
          <w:lang w:val="en-US"/>
        </w:rPr>
      </w:pPr>
      <w:r>
        <w:rPr>
          <w:noProof/>
          <w:sz w:val="22"/>
          <w:szCs w:val="22"/>
          <w:lang w:val="ro-RO" w:eastAsia="ro-RO"/>
        </w:rPr>
        <w:drawing>
          <wp:inline distT="0" distB="0" distL="0" distR="0" wp14:anchorId="17950A99" wp14:editId="4BC440CF">
            <wp:extent cx="5949315" cy="5046980"/>
            <wp:effectExtent l="19050" t="0" r="0" b="0"/>
            <wp:docPr id="288" name="Picture 1" descr="Passengers_RoadBusRail_Base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sengers_RoadBusRail_Base2011.pn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9315" cy="5046980"/>
                    </a:xfrm>
                    <a:prstGeom prst="rect">
                      <a:avLst/>
                    </a:prstGeom>
                    <a:noFill/>
                    <a:ln w="9525">
                      <a:noFill/>
                      <a:miter lim="800000"/>
                      <a:headEnd/>
                      <a:tailEnd/>
                    </a:ln>
                  </pic:spPr>
                </pic:pic>
              </a:graphicData>
            </a:graphic>
          </wp:inline>
        </w:drawing>
      </w:r>
    </w:p>
    <w:p w:rsidR="00055CD4" w:rsidRPr="001C6C79" w:rsidRDefault="00055CD4" w:rsidP="00A4081F">
      <w:pPr>
        <w:pStyle w:val="NumberedParas"/>
        <w:numPr>
          <w:ilvl w:val="0"/>
          <w:numId w:val="0"/>
        </w:numPr>
        <w:ind w:left="680"/>
      </w:pPr>
      <w:r w:rsidRPr="001C6C79">
        <w:t>Source: AECOM NTM</w:t>
      </w:r>
    </w:p>
    <w:p w:rsidR="005A341C" w:rsidRPr="00D446FA" w:rsidRDefault="005A341C" w:rsidP="00055CD4">
      <w:pPr>
        <w:spacing w:before="120" w:after="120" w:line="276" w:lineRule="auto"/>
        <w:ind w:left="851"/>
        <w:contextualSpacing/>
        <w:rPr>
          <w:b/>
          <w:sz w:val="22"/>
          <w:szCs w:val="22"/>
        </w:rPr>
      </w:pPr>
      <w:r w:rsidRPr="00055CD4">
        <w:rPr>
          <w:b/>
          <w:sz w:val="22"/>
          <w:szCs w:val="22"/>
        </w:rPr>
        <w:t>Figure 2.</w:t>
      </w:r>
      <w:r w:rsidR="00055CD4">
        <w:rPr>
          <w:b/>
          <w:sz w:val="22"/>
          <w:szCs w:val="22"/>
        </w:rPr>
        <w:t>1</w:t>
      </w:r>
      <w:r w:rsidRPr="00055CD4">
        <w:rPr>
          <w:b/>
          <w:sz w:val="22"/>
          <w:szCs w:val="22"/>
        </w:rPr>
        <w:t>6 Daily</w:t>
      </w:r>
      <w:r w:rsidRPr="00D446FA">
        <w:rPr>
          <w:b/>
          <w:sz w:val="22"/>
          <w:szCs w:val="22"/>
        </w:rPr>
        <w:t xml:space="preserve"> Passenge</w:t>
      </w:r>
      <w:r w:rsidR="00055CD4">
        <w:rPr>
          <w:b/>
          <w:sz w:val="22"/>
          <w:szCs w:val="22"/>
        </w:rPr>
        <w:t>r Trip Volumes in Romania, by M</w:t>
      </w:r>
      <w:r w:rsidRPr="00D446FA">
        <w:rPr>
          <w:b/>
          <w:sz w:val="22"/>
          <w:szCs w:val="22"/>
        </w:rPr>
        <w:t>ode, 2011</w:t>
      </w:r>
    </w:p>
    <w:p w:rsidR="005A341C" w:rsidRPr="00620DF3" w:rsidRDefault="005A341C" w:rsidP="00A4081F">
      <w:pPr>
        <w:pStyle w:val="NumberedParas"/>
      </w:pPr>
      <w:r w:rsidRPr="00620DF3">
        <w:t>By 2020 the contribution made by rail to passenger trip volumes has declined further and passenger trip volumes are dominated by road trips.</w:t>
      </w:r>
      <w:r>
        <w:t xml:space="preserve">  This is the forecast situation without the interventions proposed by the Master Plan, with only the current committed projects in place.  Essentially it rerpresents a “business-as-usual” scenario.</w:t>
      </w:r>
    </w:p>
    <w:p w:rsidR="005A341C" w:rsidRDefault="005A341C" w:rsidP="005A341C">
      <w:pPr>
        <w:spacing w:before="120" w:after="120" w:line="276" w:lineRule="auto"/>
        <w:contextualSpacing/>
        <w:rPr>
          <w:sz w:val="22"/>
          <w:szCs w:val="22"/>
        </w:rPr>
      </w:pPr>
    </w:p>
    <w:p w:rsidR="005A341C" w:rsidRDefault="005A341C" w:rsidP="00055CD4">
      <w:pPr>
        <w:spacing w:before="120" w:after="120" w:line="276" w:lineRule="auto"/>
        <w:ind w:firstLine="851"/>
        <w:contextualSpacing/>
        <w:rPr>
          <w:noProof/>
          <w:sz w:val="22"/>
          <w:szCs w:val="22"/>
          <w:lang w:val="en-US"/>
        </w:rPr>
      </w:pPr>
      <w:r>
        <w:rPr>
          <w:noProof/>
          <w:sz w:val="22"/>
          <w:szCs w:val="22"/>
          <w:lang w:val="ro-RO" w:eastAsia="ro-RO"/>
        </w:rPr>
        <w:drawing>
          <wp:inline distT="0" distB="0" distL="0" distR="0" wp14:anchorId="42F72C00" wp14:editId="1F5FDDEF">
            <wp:extent cx="5937885" cy="5059045"/>
            <wp:effectExtent l="19050" t="0" r="5715" b="0"/>
            <wp:docPr id="63" name="Picture 1" descr="PassengerFlows_RoadRailBus_Ref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sengerFlows_RoadRailBus_Ref2020.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37885" cy="5059045"/>
                    </a:xfrm>
                    <a:prstGeom prst="rect">
                      <a:avLst/>
                    </a:prstGeom>
                    <a:noFill/>
                    <a:ln w="9525">
                      <a:noFill/>
                      <a:miter lim="800000"/>
                      <a:headEnd/>
                      <a:tailEnd/>
                    </a:ln>
                  </pic:spPr>
                </pic:pic>
              </a:graphicData>
            </a:graphic>
          </wp:inline>
        </w:drawing>
      </w:r>
    </w:p>
    <w:p w:rsidR="00055CD4" w:rsidRPr="008F1964" w:rsidRDefault="00055CD4" w:rsidP="00A4081F">
      <w:pPr>
        <w:pStyle w:val="NumberedParas"/>
        <w:numPr>
          <w:ilvl w:val="0"/>
          <w:numId w:val="0"/>
        </w:numPr>
        <w:ind w:left="851"/>
      </w:pPr>
      <w:r w:rsidRPr="008F1964">
        <w:t>Source: AECOM NTM</w:t>
      </w:r>
    </w:p>
    <w:p w:rsidR="005A341C" w:rsidRDefault="005A341C" w:rsidP="00055CD4">
      <w:pPr>
        <w:spacing w:before="120" w:after="120" w:line="276" w:lineRule="auto"/>
        <w:ind w:left="851"/>
        <w:contextualSpacing/>
        <w:rPr>
          <w:b/>
          <w:sz w:val="22"/>
          <w:szCs w:val="22"/>
        </w:rPr>
      </w:pPr>
      <w:r w:rsidRPr="00055CD4">
        <w:rPr>
          <w:b/>
          <w:sz w:val="22"/>
          <w:szCs w:val="22"/>
        </w:rPr>
        <w:t>Figure 2.</w:t>
      </w:r>
      <w:r w:rsidR="00055CD4">
        <w:rPr>
          <w:b/>
          <w:sz w:val="22"/>
          <w:szCs w:val="22"/>
        </w:rPr>
        <w:t>1</w:t>
      </w:r>
      <w:r w:rsidRPr="00055CD4">
        <w:rPr>
          <w:b/>
          <w:sz w:val="22"/>
          <w:szCs w:val="22"/>
        </w:rPr>
        <w:t xml:space="preserve">7 Daily Passenger Trip Volumes in Romania, by </w:t>
      </w:r>
      <w:r w:rsidR="00055CD4">
        <w:rPr>
          <w:b/>
          <w:sz w:val="22"/>
          <w:szCs w:val="22"/>
        </w:rPr>
        <w:t>M</w:t>
      </w:r>
      <w:r w:rsidRPr="00055CD4">
        <w:rPr>
          <w:b/>
          <w:sz w:val="22"/>
          <w:szCs w:val="22"/>
        </w:rPr>
        <w:t>ode, 2020</w:t>
      </w:r>
    </w:p>
    <w:p w:rsidR="005A341C" w:rsidRPr="00893108" w:rsidRDefault="005A341C" w:rsidP="00A4081F">
      <w:pPr>
        <w:pStyle w:val="NumberedParas"/>
      </w:pPr>
      <w:r w:rsidRPr="00620DF3">
        <w:t>There is a much larger share of non-road freight than non-road passenger movements. The main freight movements by road are into Bucharest, and by rail into Constanta port. The role of the River Danube as a freight artery is clearly illustrated. Corridor IV (N) is an important road corridor, as well as flows between industrial centres as Craiova and Pitesti. There is also a strong road freight movement in the Pitesti-Ploiesti-Buzau-Bacau corridor</w:t>
      </w:r>
      <w:r>
        <w:t>.</w:t>
      </w:r>
    </w:p>
    <w:p w:rsidR="005A341C" w:rsidRPr="00620DF3" w:rsidRDefault="005A341C" w:rsidP="00A4081F">
      <w:pPr>
        <w:pStyle w:val="NumberedParas"/>
      </w:pPr>
      <w:r w:rsidRPr="00620DF3">
        <w:t>The major cross-border flows are to Bulgaria at Giurgiu and the Hungarian border. For rail, the border crossing with the Ukraine at Siret and Moldova at Ungheni are also of some importance. The largest cross border flows in terms of tonnes is on the Danube at Iron Gates.</w:t>
      </w:r>
    </w:p>
    <w:p w:rsidR="005A341C" w:rsidRDefault="005A341C" w:rsidP="00055CD4">
      <w:pPr>
        <w:spacing w:before="120" w:after="120" w:line="276" w:lineRule="auto"/>
        <w:ind w:firstLine="851"/>
        <w:contextualSpacing/>
        <w:rPr>
          <w:noProof/>
          <w:sz w:val="22"/>
          <w:szCs w:val="22"/>
          <w:lang w:val="en-US"/>
        </w:rPr>
      </w:pPr>
      <w:r>
        <w:rPr>
          <w:noProof/>
          <w:sz w:val="22"/>
          <w:szCs w:val="22"/>
          <w:lang w:val="ro-RO" w:eastAsia="ro-RO"/>
        </w:rPr>
        <w:drawing>
          <wp:inline distT="0" distB="0" distL="0" distR="0" wp14:anchorId="3BD1DCD0" wp14:editId="7D10D9DF">
            <wp:extent cx="5937885" cy="5046980"/>
            <wp:effectExtent l="19050" t="0" r="5715" b="0"/>
            <wp:docPr id="62" name="Picture 1" descr="FreightTonnes_RoadRailWater_Base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ightTonnes_RoadRailWater_Base2011.pn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37885" cy="5046980"/>
                    </a:xfrm>
                    <a:prstGeom prst="rect">
                      <a:avLst/>
                    </a:prstGeom>
                    <a:noFill/>
                    <a:ln w="9525">
                      <a:noFill/>
                      <a:miter lim="800000"/>
                      <a:headEnd/>
                      <a:tailEnd/>
                    </a:ln>
                  </pic:spPr>
                </pic:pic>
              </a:graphicData>
            </a:graphic>
          </wp:inline>
        </w:drawing>
      </w:r>
    </w:p>
    <w:p w:rsidR="00055CD4" w:rsidRPr="008F1964" w:rsidRDefault="00055CD4" w:rsidP="00A4081F">
      <w:pPr>
        <w:pStyle w:val="NumberedParas"/>
        <w:numPr>
          <w:ilvl w:val="0"/>
          <w:numId w:val="0"/>
        </w:numPr>
        <w:ind w:left="851"/>
      </w:pPr>
      <w:r w:rsidRPr="008F1964">
        <w:t>Source: AECOM NTM</w:t>
      </w:r>
    </w:p>
    <w:p w:rsidR="005A341C" w:rsidRDefault="005A341C" w:rsidP="00055CD4">
      <w:pPr>
        <w:spacing w:before="120" w:after="120" w:line="276" w:lineRule="auto"/>
        <w:ind w:left="851"/>
        <w:contextualSpacing/>
        <w:rPr>
          <w:b/>
          <w:sz w:val="22"/>
          <w:szCs w:val="22"/>
        </w:rPr>
      </w:pPr>
      <w:r w:rsidRPr="00055CD4">
        <w:rPr>
          <w:b/>
          <w:sz w:val="22"/>
          <w:szCs w:val="22"/>
        </w:rPr>
        <w:t xml:space="preserve">Figure </w:t>
      </w:r>
      <w:r w:rsidR="00055CD4">
        <w:rPr>
          <w:b/>
          <w:sz w:val="22"/>
          <w:szCs w:val="22"/>
        </w:rPr>
        <w:t>2.18</w:t>
      </w:r>
      <w:r w:rsidRPr="00055CD4">
        <w:rPr>
          <w:b/>
          <w:sz w:val="22"/>
          <w:szCs w:val="22"/>
        </w:rPr>
        <w:t xml:space="preserve"> Daily Freight Volumes (Tonnes) in Romania by Mode, 2011</w:t>
      </w:r>
    </w:p>
    <w:p w:rsidR="005A341C" w:rsidRPr="00680511" w:rsidRDefault="005A341C" w:rsidP="00A4081F">
      <w:pPr>
        <w:pStyle w:val="NumberedParas"/>
      </w:pPr>
      <w:r w:rsidRPr="00680511">
        <w:t>By 2020, the increase in freight tonne km is more closely aligned with the change in tonnes carried than was observed for passenger growth. This is because reducing the journey time and cost of freight transport will not, in itself, necessarily lead to longer journeys. For freight the average distance moved is also dependant on changes in the distribution of economic activities, that is where goods are produced, or imported, and consumed or exported.</w:t>
      </w:r>
    </w:p>
    <w:p w:rsidR="005A341C" w:rsidRPr="00680511" w:rsidRDefault="005A341C" w:rsidP="005A341C">
      <w:pPr>
        <w:spacing w:before="120" w:after="120" w:line="276" w:lineRule="auto"/>
        <w:contextualSpacing/>
        <w:rPr>
          <w:sz w:val="22"/>
          <w:szCs w:val="22"/>
        </w:rPr>
      </w:pPr>
    </w:p>
    <w:p w:rsidR="005A341C" w:rsidRDefault="005A341C" w:rsidP="00055CD4">
      <w:pPr>
        <w:spacing w:before="120" w:after="120" w:line="276" w:lineRule="auto"/>
        <w:ind w:firstLine="851"/>
        <w:contextualSpacing/>
        <w:rPr>
          <w:noProof/>
          <w:sz w:val="22"/>
          <w:szCs w:val="22"/>
          <w:lang w:val="en-US"/>
        </w:rPr>
      </w:pPr>
      <w:r>
        <w:rPr>
          <w:noProof/>
          <w:sz w:val="22"/>
          <w:szCs w:val="22"/>
          <w:lang w:val="ro-RO" w:eastAsia="ro-RO"/>
        </w:rPr>
        <w:drawing>
          <wp:inline distT="0" distB="0" distL="0" distR="0" wp14:anchorId="0A8336B4" wp14:editId="66D64013">
            <wp:extent cx="5937885" cy="5082540"/>
            <wp:effectExtent l="19050" t="0" r="5715" b="0"/>
            <wp:docPr id="61" name="Picture 1" descr="FreightFlows_RoadRailWater_Ref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ightFlows_RoadRailWater_Ref2020.pn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37885" cy="5082540"/>
                    </a:xfrm>
                    <a:prstGeom prst="rect">
                      <a:avLst/>
                    </a:prstGeom>
                    <a:noFill/>
                    <a:ln w="9525">
                      <a:noFill/>
                      <a:miter lim="800000"/>
                      <a:headEnd/>
                      <a:tailEnd/>
                    </a:ln>
                  </pic:spPr>
                </pic:pic>
              </a:graphicData>
            </a:graphic>
          </wp:inline>
        </w:drawing>
      </w:r>
    </w:p>
    <w:p w:rsidR="00055CD4" w:rsidRPr="008F1964" w:rsidRDefault="00055CD4" w:rsidP="00A4081F">
      <w:pPr>
        <w:pStyle w:val="NumberedParas"/>
        <w:numPr>
          <w:ilvl w:val="0"/>
          <w:numId w:val="0"/>
        </w:numPr>
        <w:ind w:left="851"/>
      </w:pPr>
      <w:r w:rsidRPr="008F1964">
        <w:t>Source: AECOM NTM</w:t>
      </w:r>
    </w:p>
    <w:p w:rsidR="005A341C" w:rsidRDefault="005A341C" w:rsidP="00055CD4">
      <w:pPr>
        <w:spacing w:before="120" w:after="120" w:line="276" w:lineRule="auto"/>
        <w:ind w:left="851"/>
        <w:contextualSpacing/>
        <w:rPr>
          <w:b/>
          <w:sz w:val="22"/>
          <w:szCs w:val="22"/>
        </w:rPr>
      </w:pPr>
      <w:r w:rsidRPr="00055CD4">
        <w:rPr>
          <w:b/>
          <w:sz w:val="22"/>
          <w:szCs w:val="22"/>
        </w:rPr>
        <w:t xml:space="preserve">Figure </w:t>
      </w:r>
      <w:r w:rsidR="00055CD4">
        <w:rPr>
          <w:b/>
          <w:sz w:val="22"/>
          <w:szCs w:val="22"/>
        </w:rPr>
        <w:t>2.19</w:t>
      </w:r>
      <w:r w:rsidRPr="00055CD4">
        <w:rPr>
          <w:b/>
          <w:sz w:val="22"/>
          <w:szCs w:val="22"/>
        </w:rPr>
        <w:t xml:space="preserve"> Daily</w:t>
      </w:r>
      <w:r>
        <w:rPr>
          <w:b/>
          <w:sz w:val="22"/>
          <w:szCs w:val="22"/>
        </w:rPr>
        <w:t xml:space="preserve"> Freight Volume (Tonnes) in Romania by Mode, 2020</w:t>
      </w:r>
    </w:p>
    <w:p w:rsidR="005A341C" w:rsidRPr="00D446FA" w:rsidRDefault="005A341C" w:rsidP="00A4081F">
      <w:pPr>
        <w:pStyle w:val="NumberedParas"/>
      </w:pPr>
      <w:r>
        <w:t>This section has presented an overview of the National Model with some key statistics.  The Model, in conjunction with the CBA tool, was subsequently used to test, and evaluate, a large number of potential interventions.  These tests and the results are described in Chapters 5-10 of this Report.</w:t>
      </w:r>
    </w:p>
    <w:p w:rsidR="00D02107" w:rsidRDefault="00D02107">
      <w:pPr>
        <w:rPr>
          <w:sz w:val="22"/>
          <w:szCs w:val="22"/>
        </w:rPr>
      </w:pPr>
      <w:r>
        <w:rPr>
          <w:sz w:val="22"/>
          <w:szCs w:val="22"/>
        </w:rPr>
        <w:br w:type="page"/>
      </w:r>
    </w:p>
    <w:p w:rsidR="00433238" w:rsidRDefault="00433238" w:rsidP="007A3F69"/>
    <w:p w:rsidR="007A3F69" w:rsidRPr="008E03B0" w:rsidRDefault="007A3F69" w:rsidP="00045287">
      <w:pPr>
        <w:pStyle w:val="Hdg2"/>
      </w:pPr>
      <w:bookmarkStart w:id="32" w:name="_Toc413056032"/>
      <w:r>
        <w:t>Cost-Benefit Analysis</w:t>
      </w:r>
      <w:bookmarkEnd w:id="32"/>
    </w:p>
    <w:p w:rsidR="007A3F69" w:rsidRDefault="007A3F69" w:rsidP="007A3F69"/>
    <w:p w:rsidR="00B14568" w:rsidRPr="00284015" w:rsidRDefault="00B14568" w:rsidP="00A4081F">
      <w:pPr>
        <w:pStyle w:val="NumberedParas"/>
      </w:pPr>
      <w:r w:rsidRPr="00284015">
        <w:t xml:space="preserve">Cost Benefit Analysis (CBA) is a standard method used to assess the performance of a project or intervention in terms of measuring the return on investment.  </w:t>
      </w:r>
    </w:p>
    <w:p w:rsidR="00B14568" w:rsidRPr="00284015" w:rsidRDefault="00B14568" w:rsidP="00A4081F">
      <w:pPr>
        <w:pStyle w:val="NumberedParas"/>
      </w:pPr>
      <w:r w:rsidRPr="00284015">
        <w:t xml:space="preserve">The approach that should be adopted in undertaking CBA is set out in the National Assessment Guidelines for Transport Projects, Vol 2 Part C developed as part of the Masterplan study.  The guidance has  been developed to meet the requirements set out in the </w:t>
      </w:r>
      <w:r w:rsidRPr="00284015">
        <w:rPr>
          <w:color w:val="9E0880"/>
        </w:rPr>
        <w:t>‘General Guidelines for Cost Benefit Analysis of Projects to be supported by the Structural Instruments’</w:t>
      </w:r>
      <w:r w:rsidRPr="00284015">
        <w:t xml:space="preserve"> published by the Ministry of Economy and Finance, Authority for Coordination of Structural Instruments.</w:t>
      </w:r>
    </w:p>
    <w:p w:rsidR="00B14568" w:rsidRPr="00DC6FAB" w:rsidRDefault="00B14568" w:rsidP="00A4081F">
      <w:pPr>
        <w:pStyle w:val="NumberedParas"/>
      </w:pPr>
      <w:r w:rsidRPr="00DC6FAB">
        <w:t xml:space="preserve">The following documents have also informed the advice contained in this guidance: </w:t>
      </w:r>
    </w:p>
    <w:p w:rsidR="00B14568" w:rsidRPr="00DC6FAB" w:rsidRDefault="00B14568" w:rsidP="00273D5E">
      <w:pPr>
        <w:pStyle w:val="BulletLevel1"/>
        <w:numPr>
          <w:ilvl w:val="0"/>
          <w:numId w:val="59"/>
        </w:numPr>
      </w:pPr>
      <w:r w:rsidRPr="00DC6FAB">
        <w:t xml:space="preserve">Developing Harmonised European Approaches for Transport Costing and Project Assessment (HEATCO), </w:t>
      </w:r>
      <w:r w:rsidRPr="00DC6FAB">
        <w:rPr>
          <w:color w:val="9E0880"/>
        </w:rPr>
        <w:t>‘HEATCO Deliverable 5. Proposal for Harmonised Guidelines’</w:t>
      </w:r>
      <w:r w:rsidRPr="00DC6FAB">
        <w:t>, 2006;</w:t>
      </w:r>
    </w:p>
    <w:p w:rsidR="00B14568" w:rsidRPr="00DC6FAB" w:rsidRDefault="00B14568" w:rsidP="00273D5E">
      <w:pPr>
        <w:pStyle w:val="BulletLevel1"/>
        <w:numPr>
          <w:ilvl w:val="0"/>
          <w:numId w:val="59"/>
        </w:numPr>
      </w:pPr>
      <w:r w:rsidRPr="00DC6FAB">
        <w:t>European Commission (EC), ‘Guidance on the Methodology for Carrying out Cost-Benefit Analysis: Working Document 4’, 2006;</w:t>
      </w:r>
    </w:p>
    <w:p w:rsidR="00B14568" w:rsidRPr="00DC6FAB" w:rsidRDefault="00B14568" w:rsidP="00273D5E">
      <w:pPr>
        <w:pStyle w:val="BulletLevel1"/>
        <w:numPr>
          <w:ilvl w:val="0"/>
          <w:numId w:val="59"/>
        </w:numPr>
      </w:pPr>
      <w:r w:rsidRPr="00DC6FAB">
        <w:t xml:space="preserve">Internalisation Measures and Policies for All external Cost of Transport (IMPACT), </w:t>
      </w:r>
      <w:r w:rsidRPr="00DC6FAB">
        <w:rPr>
          <w:color w:val="9E0880"/>
        </w:rPr>
        <w:t>‘Handbook on estimation of external costs in the transport sector’</w:t>
      </w:r>
      <w:r w:rsidRPr="00DC6FAB">
        <w:t>, 2008;</w:t>
      </w:r>
    </w:p>
    <w:p w:rsidR="00B14568" w:rsidRPr="00DC6FAB" w:rsidRDefault="00B14568" w:rsidP="00273D5E">
      <w:pPr>
        <w:pStyle w:val="BulletLevel1"/>
        <w:numPr>
          <w:ilvl w:val="0"/>
          <w:numId w:val="59"/>
        </w:numPr>
      </w:pPr>
      <w:r w:rsidRPr="00DC6FAB">
        <w:t>Ministry of Economy and Finance – Authority for the Coordination of Structural Instruments, ‘Cost Benefit Analysis of Transport Projects to be supported by the Cohesion Fund and the European Regional Development Fund in 2007-2013’, 2008</w:t>
      </w:r>
    </w:p>
    <w:p w:rsidR="00B14568" w:rsidRPr="00DC6FAB" w:rsidRDefault="00B14568" w:rsidP="00273D5E">
      <w:pPr>
        <w:pStyle w:val="BulletLevel1"/>
        <w:numPr>
          <w:ilvl w:val="0"/>
          <w:numId w:val="59"/>
        </w:numPr>
      </w:pPr>
      <w:r w:rsidRPr="00DC6FAB">
        <w:t>New Energy Externalities Developments for Sustainability (NEEDS), ‘NEEDS Deliverable 2.1. Value Transfer Techniques and Expected Uncertainties’, 2009;</w:t>
      </w:r>
    </w:p>
    <w:p w:rsidR="00B14568" w:rsidRPr="00DC6FAB" w:rsidRDefault="00B14568" w:rsidP="00273D5E">
      <w:pPr>
        <w:pStyle w:val="BulletLevel1"/>
        <w:numPr>
          <w:ilvl w:val="0"/>
          <w:numId w:val="59"/>
        </w:numPr>
      </w:pPr>
      <w:r w:rsidRPr="00DC6FAB">
        <w:t xml:space="preserve">Unification of accounts for and marginal costs for Transport Efficiency (UNITE), </w:t>
      </w:r>
      <w:r w:rsidRPr="00DC6FAB">
        <w:rPr>
          <w:color w:val="9E0880"/>
        </w:rPr>
        <w:t>‘Valuation Conversions for UNITE’</w:t>
      </w:r>
      <w:r w:rsidRPr="00DC6FAB">
        <w:t xml:space="preserve">, 2001. </w:t>
      </w:r>
    </w:p>
    <w:p w:rsidR="00B14568" w:rsidRPr="00DC6FAB" w:rsidRDefault="00B14568" w:rsidP="00273D5E">
      <w:pPr>
        <w:pStyle w:val="BulletLevel1"/>
        <w:numPr>
          <w:ilvl w:val="0"/>
          <w:numId w:val="59"/>
        </w:numPr>
      </w:pPr>
      <w:r w:rsidRPr="00DC6FAB">
        <w:t>UK Department for Transport (UK DfT), ‘</w:t>
      </w:r>
      <w:r w:rsidRPr="00DC6FAB">
        <w:rPr>
          <w:color w:val="9E0880"/>
        </w:rPr>
        <w:t>Web-based Transport Appraisal Guidance (WebTAG)’</w:t>
      </w:r>
      <w:r w:rsidRPr="00DC6FAB">
        <w:t>, 2002, 2010.</w:t>
      </w:r>
    </w:p>
    <w:p w:rsidR="00B14568" w:rsidRPr="00DC6FAB" w:rsidRDefault="00B14568" w:rsidP="00273D5E">
      <w:pPr>
        <w:pStyle w:val="BulletLevel1"/>
        <w:numPr>
          <w:ilvl w:val="0"/>
          <w:numId w:val="59"/>
        </w:numPr>
      </w:pPr>
      <w:r w:rsidRPr="00DC6FAB">
        <w:t>Government of Romania, ‘Government Decision No28 on the approval of general framework contents of the technical-economic documentations for public investments and the methodology for developing general cost estimates for investment objectives and works’, 2008</w:t>
      </w:r>
    </w:p>
    <w:p w:rsidR="00B14568" w:rsidRPr="00284015" w:rsidRDefault="00B14568" w:rsidP="00A4081F">
      <w:pPr>
        <w:pStyle w:val="NumberedParas"/>
      </w:pPr>
      <w:r w:rsidRPr="00284015">
        <w:t xml:space="preserve">There are three stages to Cost Benefit Analysis, economic analysis, financial analysis and risk analysis.  As outlined in the National Assessment Guidelines for Transport Projects at a strategy stage only economic analysis is required as this indicates which projects provide the greatest total benefit to society for the cost invested.  Financial and risk analysis follows at the more detailed scheme appraisal stage.  </w:t>
      </w:r>
    </w:p>
    <w:p w:rsidR="00B14568" w:rsidRPr="00284015" w:rsidRDefault="00B14568" w:rsidP="00A4081F">
      <w:pPr>
        <w:pStyle w:val="NumberedParas"/>
      </w:pPr>
      <w:r w:rsidRPr="00284015">
        <w:t>The flow chart for the CBA process is shown below:</w:t>
      </w:r>
    </w:p>
    <w:p w:rsidR="00B14568" w:rsidRPr="00284015" w:rsidRDefault="00B14568" w:rsidP="00B14568">
      <w:pPr>
        <w:spacing w:before="120" w:after="120" w:line="276" w:lineRule="auto"/>
        <w:rPr>
          <w:sz w:val="22"/>
          <w:szCs w:val="22"/>
        </w:rPr>
      </w:pPr>
    </w:p>
    <w:p w:rsidR="00B14568" w:rsidRDefault="00B14568" w:rsidP="00B14568">
      <w:r>
        <w:rPr>
          <w:noProof/>
          <w:lang w:val="ro-RO" w:eastAsia="ro-RO"/>
        </w:rPr>
        <w:drawing>
          <wp:inline distT="0" distB="0" distL="0" distR="0" wp14:anchorId="44650AF1" wp14:editId="7361AAEC">
            <wp:extent cx="6006662" cy="6526924"/>
            <wp:effectExtent l="0" t="38100" r="0" b="45720"/>
            <wp:docPr id="221" name="Diagram 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B14568" w:rsidRPr="00284015" w:rsidRDefault="00B14568" w:rsidP="00B14568">
      <w:pPr>
        <w:spacing w:before="120" w:after="120" w:line="276" w:lineRule="auto"/>
        <w:rPr>
          <w:sz w:val="22"/>
          <w:szCs w:val="22"/>
        </w:rPr>
      </w:pPr>
    </w:p>
    <w:p w:rsidR="00B14568" w:rsidRPr="00284015" w:rsidRDefault="00B14568" w:rsidP="00B14568">
      <w:pPr>
        <w:spacing w:before="120" w:after="120" w:line="276" w:lineRule="auto"/>
        <w:rPr>
          <w:b/>
          <w:i/>
          <w:sz w:val="22"/>
          <w:szCs w:val="22"/>
        </w:rPr>
      </w:pPr>
      <w:r w:rsidRPr="00284015">
        <w:rPr>
          <w:b/>
          <w:i/>
          <w:sz w:val="22"/>
          <w:szCs w:val="22"/>
        </w:rPr>
        <w:t>Purpose of Economic Cost Benefit Analysis</w:t>
      </w:r>
    </w:p>
    <w:p w:rsidR="00B14568" w:rsidRPr="00284015" w:rsidRDefault="00B14568" w:rsidP="00A4081F">
      <w:pPr>
        <w:pStyle w:val="NumberedParas"/>
      </w:pPr>
      <w:r w:rsidRPr="00284015">
        <w:t xml:space="preserve">The main purpose of the economic analysis is to assess whether the project’s benefits exceed its costs and whether it is therefore worthwhile to progress in a strict economic sense.  Other factors are considered using Multi-Criteriate Analysis (MCA), see the following paragraph.  The analysis is conducted from the view point of the whole of society, not just the project owners.  </w:t>
      </w:r>
    </w:p>
    <w:p w:rsidR="00B14568" w:rsidRPr="00284015" w:rsidRDefault="00B14568" w:rsidP="00A4081F">
      <w:pPr>
        <w:pStyle w:val="NumberedParas"/>
      </w:pPr>
      <w:r w:rsidRPr="00284015">
        <w:t xml:space="preserve">To capture the range of economic impacts the analysis includes both elements with direct monetary value, such as construction and maintenance costs and vehicle operating cost savings; as well as elements without direct market value such as time savings, accident reduction and environmental impacts.  In order to allow consistent comparison of costs and benefits across a project all impacts are monetised (i.e. attached a monetary value) and then aggregated to determine the net benefits of the project. From this it can be determined whether the project is desirable and worth implementing.  However it is important to recognise that not all project impacts can be monetised and it is therefore important to consider the results of the CBA in conjunction with the wider Multi-Criteria Appraisal (MCA), which considers these non-monetised impacts. </w:t>
      </w:r>
    </w:p>
    <w:p w:rsidR="00B14568" w:rsidRPr="00284015" w:rsidRDefault="00B14568" w:rsidP="00B14568">
      <w:pPr>
        <w:spacing w:before="120" w:after="120" w:line="276" w:lineRule="auto"/>
        <w:rPr>
          <w:b/>
          <w:i/>
          <w:sz w:val="22"/>
          <w:szCs w:val="22"/>
        </w:rPr>
      </w:pPr>
      <w:r w:rsidRPr="00284015">
        <w:rPr>
          <w:b/>
          <w:i/>
          <w:sz w:val="22"/>
          <w:szCs w:val="22"/>
        </w:rPr>
        <w:t>Purpose of Financial Cost Benefit Analysis</w:t>
      </w:r>
    </w:p>
    <w:p w:rsidR="00B14568" w:rsidRPr="00284015" w:rsidRDefault="00B14568" w:rsidP="00A4081F">
      <w:pPr>
        <w:pStyle w:val="NumberedParas"/>
      </w:pPr>
      <w:r w:rsidRPr="00284015">
        <w:t>The main purpose of the financial analysis is to assess the financial profitability and sustainability of the project from the viewpoint of the project owners.  This is done by considering the financial cash flow for the project; this includes both outflows in terms of investment, maintenance and operating costs; and inflows in terms of funding sources and user revenues/charges.  Simplistically this analysis shows whether the project will generate a positive net cash flow over the appraisal period (profitability) and whether the cumulative net cash flow since project inception is never less than zero (sustainability).</w:t>
      </w:r>
    </w:p>
    <w:p w:rsidR="00B14568" w:rsidRPr="00284015" w:rsidRDefault="00B14568" w:rsidP="00A4081F">
      <w:pPr>
        <w:pStyle w:val="NumberedParas"/>
      </w:pPr>
      <w:r w:rsidRPr="00284015">
        <w:t xml:space="preserve">The analysis initially considers the project’s financial profitability without EU funding to assess whether EU funding is needed.  For projects seeking EU funding this is required to demonstrate that the project is eligible for EU funding. </w:t>
      </w:r>
    </w:p>
    <w:p w:rsidR="00B14568" w:rsidRPr="00284015" w:rsidRDefault="00B14568" w:rsidP="00A4081F">
      <w:pPr>
        <w:pStyle w:val="NumberedParas"/>
      </w:pPr>
      <w:r w:rsidRPr="00284015">
        <w:t>For a project to be viable the financial analysis needs to demonstrate that the funding sources (including, if relevant an EU grant) and revenue generated by the project are sufficient to offset the project costs, and that the funding and revenue are appropriately profiled across the appraisal period to ensure that in any year the project will not require any additional external bridging funding.</w:t>
      </w:r>
    </w:p>
    <w:p w:rsidR="00B14568" w:rsidRPr="00284015" w:rsidRDefault="00B14568" w:rsidP="00B14568">
      <w:pPr>
        <w:spacing w:before="120" w:after="120" w:line="276" w:lineRule="auto"/>
        <w:rPr>
          <w:b/>
          <w:i/>
          <w:sz w:val="22"/>
          <w:szCs w:val="22"/>
        </w:rPr>
      </w:pPr>
      <w:r w:rsidRPr="00284015">
        <w:rPr>
          <w:b/>
          <w:i/>
          <w:sz w:val="22"/>
          <w:szCs w:val="22"/>
        </w:rPr>
        <w:t>Purpose of Risk Assessment</w:t>
      </w:r>
    </w:p>
    <w:p w:rsidR="00B14568" w:rsidRPr="00284015" w:rsidRDefault="00B14568" w:rsidP="00A4081F">
      <w:pPr>
        <w:pStyle w:val="NumberedParas"/>
      </w:pPr>
      <w:r w:rsidRPr="00284015">
        <w:t>Project appraisal is a forecasting process and as such has inherent uncertainties.  These uncertainties come from both data limitations in the existing situation, and uncertainties as to how aspects, such as demand for travel, costs for infrastructure etc will change over time.  The risk assessment considers these uncertainties and their impact on the outcomes of both the economic and financial appraisal.</w:t>
      </w:r>
    </w:p>
    <w:p w:rsidR="00B14568" w:rsidRPr="00284015" w:rsidRDefault="00B14568" w:rsidP="00B14568">
      <w:pPr>
        <w:spacing w:before="120" w:after="120" w:line="276" w:lineRule="auto"/>
        <w:rPr>
          <w:b/>
          <w:i/>
          <w:sz w:val="22"/>
          <w:szCs w:val="22"/>
        </w:rPr>
      </w:pPr>
      <w:r w:rsidRPr="00284015">
        <w:rPr>
          <w:b/>
          <w:i/>
          <w:sz w:val="22"/>
          <w:szCs w:val="22"/>
        </w:rPr>
        <w:t xml:space="preserve">Cost Benefit </w:t>
      </w:r>
      <w:r>
        <w:rPr>
          <w:b/>
          <w:i/>
          <w:sz w:val="22"/>
          <w:szCs w:val="22"/>
        </w:rPr>
        <w:t>A</w:t>
      </w:r>
      <w:r w:rsidRPr="00284015">
        <w:rPr>
          <w:b/>
          <w:i/>
          <w:sz w:val="22"/>
          <w:szCs w:val="22"/>
        </w:rPr>
        <w:t>nalysis within Masterplan study</w:t>
      </w:r>
    </w:p>
    <w:p w:rsidR="00B14568" w:rsidRPr="00284015" w:rsidRDefault="00B14568" w:rsidP="00A4081F">
      <w:pPr>
        <w:pStyle w:val="NumberedParas"/>
      </w:pPr>
      <w:r w:rsidRPr="00284015">
        <w:t>Economic Cost Benefit Appraisal has been undertaken for schemes as part of the Masterplan selection and prioritisation process.  To assist in this a CBA Tool has been developed by AECOM that interfaces with the National Transport Model to undertake multi-modal CBA analysis of projects.</w:t>
      </w:r>
    </w:p>
    <w:p w:rsidR="00B14568" w:rsidRPr="00284015" w:rsidRDefault="00B14568" w:rsidP="00A4081F">
      <w:pPr>
        <w:pStyle w:val="NumberedParas"/>
      </w:pPr>
      <w:r w:rsidRPr="00284015">
        <w:t>The CBA Tool is an Excel based program for estimating the economic impact of a project or a scenario (consisting of more than one projects), building on the theoretical background of welfare economics.  The CBA Tool uses data automatically extracted from the National Transport model, along with scheme cost estimates to calculate the economic impact of a project in a manner consistent with requirements of the</w:t>
      </w:r>
      <w:r w:rsidRPr="00284015">
        <w:rPr>
          <w:color w:val="000000" w:themeColor="text1"/>
        </w:rPr>
        <w:t xml:space="preserve"> National Assessment Guidelines for Transport Projects.</w:t>
      </w:r>
    </w:p>
    <w:p w:rsidR="00B14568" w:rsidRPr="00284015" w:rsidRDefault="00B14568" w:rsidP="00A4081F">
      <w:pPr>
        <w:pStyle w:val="NumberedParas"/>
      </w:pPr>
      <w:r w:rsidRPr="00284015">
        <w:t>The main functions of the CBA Tool are:</w:t>
      </w:r>
    </w:p>
    <w:p w:rsidR="00B14568" w:rsidRPr="00284015" w:rsidRDefault="00B14568" w:rsidP="00273D5E">
      <w:pPr>
        <w:pStyle w:val="BulletLevel1"/>
      </w:pPr>
      <w:r w:rsidRPr="00284015">
        <w:t>to import the outputs of the National Transport Model;</w:t>
      </w:r>
    </w:p>
    <w:p w:rsidR="00B14568" w:rsidRPr="00284015" w:rsidRDefault="00B14568" w:rsidP="00273D5E">
      <w:pPr>
        <w:pStyle w:val="BulletLevel1"/>
      </w:pPr>
      <w:r w:rsidRPr="00284015">
        <w:t>to use appropriate values to express anticipated benefits in monetary terms;</w:t>
      </w:r>
    </w:p>
    <w:p w:rsidR="00B14568" w:rsidRPr="00284015" w:rsidRDefault="00B14568" w:rsidP="00273D5E">
      <w:pPr>
        <w:pStyle w:val="BulletLevel1"/>
      </w:pPr>
      <w:r w:rsidRPr="00284015">
        <w:t>to analyse the value of the anticipated benefits, by discounting and applying conversion factors where applicable;</w:t>
      </w:r>
    </w:p>
    <w:p w:rsidR="00B14568" w:rsidRPr="00284015" w:rsidRDefault="00B14568" w:rsidP="00273D5E">
      <w:pPr>
        <w:pStyle w:val="BulletLevel1"/>
      </w:pPr>
      <w:r w:rsidRPr="00284015">
        <w:t>to produce key economic indicators, by comparing anticipated benefits to estimated costs.</w:t>
      </w:r>
    </w:p>
    <w:p w:rsidR="00B14568" w:rsidRPr="00284015" w:rsidRDefault="00B14568" w:rsidP="00A4081F">
      <w:pPr>
        <w:pStyle w:val="NumberedParas"/>
      </w:pPr>
      <w:r w:rsidRPr="00284015">
        <w:t>Costs elements considered in the multi-modal analysis include:</w:t>
      </w:r>
    </w:p>
    <w:p w:rsidR="00B14568" w:rsidRPr="00284015" w:rsidRDefault="00B14568" w:rsidP="00273D5E">
      <w:pPr>
        <w:pStyle w:val="BulletLevel1"/>
      </w:pPr>
      <w:r w:rsidRPr="00284015">
        <w:t>Investment costs,</w:t>
      </w:r>
    </w:p>
    <w:p w:rsidR="00B14568" w:rsidRPr="00284015" w:rsidRDefault="00B14568" w:rsidP="00273D5E">
      <w:pPr>
        <w:pStyle w:val="BulletLevel1"/>
      </w:pPr>
      <w:r w:rsidRPr="00284015">
        <w:t>Changes in maintenance cost,</w:t>
      </w:r>
    </w:p>
    <w:p w:rsidR="00B14568" w:rsidRPr="00284015" w:rsidRDefault="00B14568" w:rsidP="00273D5E">
      <w:pPr>
        <w:pStyle w:val="BulletLevel1"/>
      </w:pPr>
      <w:r w:rsidRPr="00284015">
        <w:t>Changes in operating costs (for operating new infrastructure/services).</w:t>
      </w:r>
    </w:p>
    <w:p w:rsidR="00B14568" w:rsidRPr="00284015" w:rsidRDefault="00B14568" w:rsidP="00A4081F">
      <w:pPr>
        <w:pStyle w:val="NumberedParas"/>
      </w:pPr>
      <w:r w:rsidRPr="00284015">
        <w:t>Benefits considered in the multi-modal analysis include:</w:t>
      </w:r>
    </w:p>
    <w:p w:rsidR="00B14568" w:rsidRPr="00284015" w:rsidRDefault="00B14568" w:rsidP="00273D5E">
      <w:pPr>
        <w:pStyle w:val="BulletLevel1"/>
      </w:pPr>
      <w:r w:rsidRPr="00284015">
        <w:t>Vehicle operating cost changes for users (Freight and road passengers)</w:t>
      </w:r>
    </w:p>
    <w:p w:rsidR="00B14568" w:rsidRPr="00284015" w:rsidRDefault="00B14568" w:rsidP="00273D5E">
      <w:pPr>
        <w:pStyle w:val="BulletLevel1"/>
      </w:pPr>
      <w:r w:rsidRPr="00284015">
        <w:t>Time savings for users,</w:t>
      </w:r>
    </w:p>
    <w:p w:rsidR="00B14568" w:rsidRPr="00284015" w:rsidRDefault="00B14568" w:rsidP="00273D5E">
      <w:pPr>
        <w:pStyle w:val="BulletLevel1"/>
      </w:pPr>
      <w:r w:rsidRPr="00284015">
        <w:t>Variations in external costs:</w:t>
      </w:r>
    </w:p>
    <w:p w:rsidR="00B14568" w:rsidRPr="00284015" w:rsidRDefault="00B14568" w:rsidP="00660414">
      <w:pPr>
        <w:pStyle w:val="ListParagraph"/>
        <w:numPr>
          <w:ilvl w:val="0"/>
          <w:numId w:val="58"/>
        </w:numPr>
        <w:spacing w:before="120" w:after="120" w:line="276" w:lineRule="auto"/>
        <w:ind w:left="1134" w:hanging="425"/>
        <w:contextualSpacing/>
        <w:rPr>
          <w:sz w:val="22"/>
          <w:szCs w:val="22"/>
        </w:rPr>
      </w:pPr>
      <w:r w:rsidRPr="00284015">
        <w:rPr>
          <w:sz w:val="22"/>
          <w:szCs w:val="22"/>
        </w:rPr>
        <w:t xml:space="preserve">Emissions (greenhouse gas and local pollution), </w:t>
      </w:r>
    </w:p>
    <w:p w:rsidR="00B14568" w:rsidRPr="00284015" w:rsidRDefault="00B14568" w:rsidP="00660414">
      <w:pPr>
        <w:pStyle w:val="ListParagraph"/>
        <w:numPr>
          <w:ilvl w:val="0"/>
          <w:numId w:val="58"/>
        </w:numPr>
        <w:spacing w:before="120" w:after="120" w:line="276" w:lineRule="auto"/>
        <w:ind w:left="1134" w:hanging="425"/>
        <w:contextualSpacing/>
        <w:rPr>
          <w:sz w:val="22"/>
          <w:szCs w:val="22"/>
        </w:rPr>
      </w:pPr>
      <w:r w:rsidRPr="00284015">
        <w:rPr>
          <w:sz w:val="22"/>
          <w:szCs w:val="22"/>
        </w:rPr>
        <w:t>Noise,</w:t>
      </w:r>
    </w:p>
    <w:p w:rsidR="00B14568" w:rsidRPr="00284015" w:rsidRDefault="00B14568" w:rsidP="00660414">
      <w:pPr>
        <w:pStyle w:val="ListParagraph"/>
        <w:numPr>
          <w:ilvl w:val="0"/>
          <w:numId w:val="58"/>
        </w:numPr>
        <w:spacing w:before="120" w:after="120" w:line="276" w:lineRule="auto"/>
        <w:ind w:left="1134" w:hanging="425"/>
        <w:contextualSpacing/>
        <w:rPr>
          <w:sz w:val="22"/>
          <w:szCs w:val="22"/>
        </w:rPr>
      </w:pPr>
      <w:r w:rsidRPr="00284015">
        <w:rPr>
          <w:sz w:val="22"/>
          <w:szCs w:val="22"/>
        </w:rPr>
        <w:t>Accidents,</w:t>
      </w:r>
    </w:p>
    <w:p w:rsidR="00B14568" w:rsidRPr="00284015" w:rsidRDefault="00B14568" w:rsidP="00660414">
      <w:pPr>
        <w:pStyle w:val="ListParagraph"/>
        <w:numPr>
          <w:ilvl w:val="0"/>
          <w:numId w:val="58"/>
        </w:numPr>
        <w:spacing w:before="120" w:after="120" w:line="276" w:lineRule="auto"/>
        <w:ind w:left="1134" w:hanging="425"/>
        <w:contextualSpacing/>
        <w:rPr>
          <w:sz w:val="22"/>
          <w:szCs w:val="22"/>
        </w:rPr>
      </w:pPr>
      <w:r w:rsidRPr="00284015">
        <w:rPr>
          <w:sz w:val="22"/>
          <w:szCs w:val="22"/>
        </w:rPr>
        <w:t>Congestion costs.</w:t>
      </w:r>
    </w:p>
    <w:p w:rsidR="00B14568" w:rsidRPr="00284015" w:rsidRDefault="00B14568" w:rsidP="00A4081F">
      <w:pPr>
        <w:pStyle w:val="NumberedParas"/>
      </w:pPr>
      <w:r w:rsidRPr="00284015">
        <w:t>Costs and benefits can be positive or negative depending upon the nature of the project being assessed.</w:t>
      </w:r>
    </w:p>
    <w:p w:rsidR="00B14568" w:rsidRPr="00284015" w:rsidRDefault="00B14568" w:rsidP="00A4081F">
      <w:pPr>
        <w:pStyle w:val="NumberedParas"/>
      </w:pPr>
      <w:r w:rsidRPr="00284015">
        <w:t>Key indicators from the analysis are:</w:t>
      </w:r>
    </w:p>
    <w:p w:rsidR="00B14568" w:rsidRPr="00284015" w:rsidRDefault="00B14568" w:rsidP="00273D5E">
      <w:pPr>
        <w:pStyle w:val="BulletLevel1"/>
      </w:pPr>
      <w:r w:rsidRPr="00284015">
        <w:t xml:space="preserve">Present Value of Benefits (PVB) – total discounted benefits during the appraisal period </w:t>
      </w:r>
    </w:p>
    <w:p w:rsidR="00B14568" w:rsidRPr="00284015" w:rsidRDefault="00B14568" w:rsidP="00273D5E">
      <w:pPr>
        <w:pStyle w:val="BulletLevel1"/>
      </w:pPr>
      <w:r w:rsidRPr="00284015">
        <w:t xml:space="preserve">Present Value of Costs (PVC) – total discounted economic costs incurred during the appraisal period </w:t>
      </w:r>
    </w:p>
    <w:p w:rsidR="00B14568" w:rsidRPr="00284015" w:rsidRDefault="00B14568" w:rsidP="00273D5E">
      <w:pPr>
        <w:pStyle w:val="BulletLevel1"/>
      </w:pPr>
      <w:r w:rsidRPr="00284015">
        <w:t>Economic Net Present value (ENPV) –the absolute size of the project net benefits.</w:t>
      </w:r>
    </w:p>
    <w:p w:rsidR="00B14568" w:rsidRPr="00284015" w:rsidRDefault="00B14568" w:rsidP="00273D5E">
      <w:pPr>
        <w:pStyle w:val="BulletLevel1"/>
      </w:pPr>
      <w:r w:rsidRPr="00284015">
        <w:t xml:space="preserve">Benefit to Cost Ratio (BCR) – the ratio between total benefit and costs.  This gives the relative size of the project net benefits but is independent of project size </w:t>
      </w:r>
    </w:p>
    <w:p w:rsidR="00B14568" w:rsidRDefault="00B14568" w:rsidP="00273D5E">
      <w:pPr>
        <w:pStyle w:val="BulletLevel1"/>
      </w:pPr>
      <w:r w:rsidRPr="00284015">
        <w:t xml:space="preserve">Economic Internal Rate of Return (EIRR) – Similar to BCR it is independent of project size and gives an indication of the scale of benefits relative to the investment cost. </w:t>
      </w:r>
    </w:p>
    <w:p w:rsidR="00B14568" w:rsidRDefault="00B14568" w:rsidP="00B14568"/>
    <w:p w:rsidR="00B14568" w:rsidRDefault="00B14568" w:rsidP="00B14568">
      <w:pPr>
        <w:rPr>
          <w:sz w:val="22"/>
          <w:szCs w:val="20"/>
        </w:rPr>
      </w:pPr>
      <w:r>
        <w:br w:type="page"/>
      </w:r>
    </w:p>
    <w:p w:rsidR="00B14568" w:rsidRDefault="00055CD4" w:rsidP="00A4081F">
      <w:pPr>
        <w:pStyle w:val="NumberedParas"/>
      </w:pPr>
      <w:r>
        <w:t>The too</w:t>
      </w:r>
      <w:r w:rsidR="00B14568">
        <w:t>l is fully described in Volume 2, Appendix A of the Appraisal Guidance.  It produces a wide range of outputs, describing all the various inputs and outputs for all modes.  Some of the screens are reproduced below:</w:t>
      </w:r>
    </w:p>
    <w:p w:rsidR="00B14568" w:rsidRDefault="00B14568" w:rsidP="00B14568">
      <w:pPr>
        <w:spacing w:before="120" w:after="120" w:line="276" w:lineRule="auto"/>
        <w:rPr>
          <w:sz w:val="22"/>
          <w:szCs w:val="22"/>
        </w:rPr>
      </w:pPr>
      <w:r>
        <w:rPr>
          <w:noProof/>
          <w:lang w:val="ro-RO" w:eastAsia="ro-RO"/>
        </w:rPr>
        <w:drawing>
          <wp:anchor distT="0" distB="0" distL="114300" distR="114300" simplePos="0" relativeHeight="251665920" behindDoc="0" locked="0" layoutInCell="1" allowOverlap="1" wp14:anchorId="04E704BE" wp14:editId="2DAD9ACE">
            <wp:simplePos x="0" y="0"/>
            <wp:positionH relativeFrom="margin">
              <wp:posOffset>3046095</wp:posOffset>
            </wp:positionH>
            <wp:positionV relativeFrom="paragraph">
              <wp:posOffset>2618105</wp:posOffset>
            </wp:positionV>
            <wp:extent cx="2694940" cy="730885"/>
            <wp:effectExtent l="57150" t="38100" r="29210" b="12065"/>
            <wp:wrapNone/>
            <wp:docPr id="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694940" cy="730885"/>
                    </a:xfrm>
                    <a:prstGeom prst="rect">
                      <a:avLst/>
                    </a:prstGeom>
                    <a:noFill/>
                    <a:ln w="28575">
                      <a:solidFill>
                        <a:srgbClr val="000000"/>
                      </a:solidFill>
                      <a:miter lim="800000"/>
                      <a:headEnd/>
                      <a:tailEnd/>
                    </a:ln>
                  </pic:spPr>
                </pic:pic>
              </a:graphicData>
            </a:graphic>
          </wp:anchor>
        </w:drawing>
      </w:r>
      <w:r>
        <w:rPr>
          <w:noProof/>
          <w:lang w:val="ro-RO" w:eastAsia="ro-RO"/>
        </w:rPr>
        <w:drawing>
          <wp:anchor distT="0" distB="0" distL="114300" distR="114300" simplePos="0" relativeHeight="251658752" behindDoc="0" locked="0" layoutInCell="1" allowOverlap="1" wp14:anchorId="7818A9FF" wp14:editId="653EA1AE">
            <wp:simplePos x="0" y="0"/>
            <wp:positionH relativeFrom="column">
              <wp:posOffset>3061335</wp:posOffset>
            </wp:positionH>
            <wp:positionV relativeFrom="paragraph">
              <wp:posOffset>34925</wp:posOffset>
            </wp:positionV>
            <wp:extent cx="2679700" cy="2450465"/>
            <wp:effectExtent l="57150" t="38100" r="44450" b="26035"/>
            <wp:wrapNone/>
            <wp:docPr id="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679700" cy="2450465"/>
                    </a:xfrm>
                    <a:prstGeom prst="rect">
                      <a:avLst/>
                    </a:prstGeom>
                    <a:noFill/>
                    <a:ln w="28575">
                      <a:solidFill>
                        <a:srgbClr val="000000"/>
                      </a:solidFill>
                      <a:miter lim="800000"/>
                      <a:headEnd/>
                      <a:tailEnd/>
                    </a:ln>
                  </pic:spPr>
                </pic:pic>
              </a:graphicData>
            </a:graphic>
          </wp:anchor>
        </w:drawing>
      </w:r>
      <w:r>
        <w:rPr>
          <w:noProof/>
          <w:lang w:val="ro-RO" w:eastAsia="ro-RO"/>
        </w:rPr>
        <w:drawing>
          <wp:inline distT="0" distB="0" distL="0" distR="0" wp14:anchorId="2ECD8EC4" wp14:editId="1EEAC707">
            <wp:extent cx="2895600" cy="2720340"/>
            <wp:effectExtent l="57150" t="38100" r="38100" b="22860"/>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895600" cy="2720340"/>
                    </a:xfrm>
                    <a:prstGeom prst="rect">
                      <a:avLst/>
                    </a:prstGeom>
                    <a:noFill/>
                    <a:ln w="28575" cmpd="sng">
                      <a:solidFill>
                        <a:srgbClr val="000000"/>
                      </a:solidFill>
                      <a:miter lim="800000"/>
                      <a:headEnd/>
                      <a:tailEnd/>
                    </a:ln>
                    <a:effectLst/>
                  </pic:spPr>
                </pic:pic>
              </a:graphicData>
            </a:graphic>
          </wp:inline>
        </w:drawing>
      </w:r>
    </w:p>
    <w:p w:rsidR="00B14568" w:rsidRDefault="00B14568" w:rsidP="00B14568">
      <w:pPr>
        <w:spacing w:before="120" w:after="120" w:line="276" w:lineRule="auto"/>
        <w:rPr>
          <w:sz w:val="22"/>
          <w:szCs w:val="22"/>
        </w:rPr>
      </w:pPr>
      <w:r>
        <w:rPr>
          <w:noProof/>
          <w:lang w:val="ro-RO" w:eastAsia="ro-RO"/>
        </w:rPr>
        <w:drawing>
          <wp:anchor distT="0" distB="0" distL="114300" distR="114300" simplePos="0" relativeHeight="251673088" behindDoc="0" locked="0" layoutInCell="1" allowOverlap="1" wp14:anchorId="2FE21882" wp14:editId="0FD2F936">
            <wp:simplePos x="0" y="0"/>
            <wp:positionH relativeFrom="column">
              <wp:posOffset>2698115</wp:posOffset>
            </wp:positionH>
            <wp:positionV relativeFrom="paragraph">
              <wp:posOffset>581154</wp:posOffset>
            </wp:positionV>
            <wp:extent cx="3042920" cy="1420495"/>
            <wp:effectExtent l="57150" t="38100" r="43180" b="27305"/>
            <wp:wrapNone/>
            <wp:docPr id="3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042920" cy="1420495"/>
                    </a:xfrm>
                    <a:prstGeom prst="rect">
                      <a:avLst/>
                    </a:prstGeom>
                    <a:noFill/>
                    <a:ln w="28575">
                      <a:solidFill>
                        <a:srgbClr val="000000"/>
                      </a:solidFill>
                      <a:miter lim="800000"/>
                      <a:headEnd/>
                      <a:tailEnd/>
                    </a:ln>
                  </pic:spPr>
                </pic:pic>
              </a:graphicData>
            </a:graphic>
          </wp:anchor>
        </w:drawing>
      </w:r>
      <w:r>
        <w:rPr>
          <w:noProof/>
          <w:lang w:val="ro-RO" w:eastAsia="ro-RO"/>
        </w:rPr>
        <w:drawing>
          <wp:inline distT="0" distB="0" distL="0" distR="0" wp14:anchorId="2BAF591F" wp14:editId="00FABF33">
            <wp:extent cx="2537460" cy="1958340"/>
            <wp:effectExtent l="57150" t="38100" r="34290" b="2286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537460" cy="1958340"/>
                    </a:xfrm>
                    <a:prstGeom prst="rect">
                      <a:avLst/>
                    </a:prstGeom>
                    <a:noFill/>
                    <a:ln w="28575" cmpd="sng">
                      <a:solidFill>
                        <a:srgbClr val="000000"/>
                      </a:solidFill>
                      <a:miter lim="800000"/>
                      <a:headEnd/>
                      <a:tailEnd/>
                    </a:ln>
                    <a:effectLst/>
                  </pic:spPr>
                </pic:pic>
              </a:graphicData>
            </a:graphic>
          </wp:inline>
        </w:drawing>
      </w:r>
    </w:p>
    <w:p w:rsidR="00B14568" w:rsidRPr="00284015" w:rsidRDefault="00B14568" w:rsidP="00B14568">
      <w:pPr>
        <w:spacing w:before="120" w:after="120" w:line="276" w:lineRule="auto"/>
        <w:rPr>
          <w:sz w:val="22"/>
          <w:szCs w:val="22"/>
        </w:rPr>
      </w:pPr>
    </w:p>
    <w:p w:rsidR="00B14568" w:rsidRDefault="00B14568" w:rsidP="007A3F69"/>
    <w:p w:rsidR="00B14568" w:rsidRDefault="00B14568" w:rsidP="007A3F69"/>
    <w:p w:rsidR="00D02107" w:rsidRDefault="00D02107">
      <w:r>
        <w:br w:type="page"/>
      </w:r>
    </w:p>
    <w:p w:rsidR="007A3F69" w:rsidRDefault="007A3F69" w:rsidP="007A3F69"/>
    <w:p w:rsidR="007A3F69" w:rsidRDefault="007A3F69" w:rsidP="00045287">
      <w:pPr>
        <w:pStyle w:val="Hdg2"/>
      </w:pPr>
      <w:bookmarkStart w:id="33" w:name="_Toc413056033"/>
      <w:r>
        <w:t>Prioritisation of Projects</w:t>
      </w:r>
      <w:bookmarkEnd w:id="33"/>
    </w:p>
    <w:p w:rsidR="00FA0D69" w:rsidRDefault="00FA0D69" w:rsidP="00FA0D69">
      <w:pPr>
        <w:pStyle w:val="Hdg3"/>
      </w:pPr>
      <w:r>
        <w:t>Overview</w:t>
      </w:r>
    </w:p>
    <w:p w:rsidR="00FA0D69" w:rsidRDefault="00FA0D69" w:rsidP="00A4081F">
      <w:pPr>
        <w:pStyle w:val="NumberedParas"/>
      </w:pPr>
      <w:r>
        <w:t xml:space="preserve">Projects prioritisation forms a critical step in producing the Master Plan programme of investments </w:t>
      </w:r>
      <w:r w:rsidRPr="00841145">
        <w:t xml:space="preserve">as the investment needs </w:t>
      </w:r>
      <w:r>
        <w:t xml:space="preserve">identified </w:t>
      </w:r>
      <w:r w:rsidRPr="00841145">
        <w:t>are far greater than the a</w:t>
      </w:r>
      <w:r>
        <w:t>vailable financial allocations. This implies the necessity of ranking projects considering a set of predefined evaluation criteria, which will assure a fair and neutral project prioritisation. Adding the funding restrictions to the list of ranked projects leads to obtaining of the implementation calendar.</w:t>
      </w:r>
    </w:p>
    <w:p w:rsidR="00FA0D69" w:rsidRPr="006E2241" w:rsidRDefault="00FA0D69" w:rsidP="00A4081F">
      <w:pPr>
        <w:pStyle w:val="NumberedParas"/>
      </w:pPr>
      <w:r w:rsidRPr="006E2241">
        <w:t xml:space="preserve">The first phase appraisal for a strategy is aimed at </w:t>
      </w:r>
      <w:r>
        <w:t>discarding the projects having a low economic performance, having in view one of the high-level objectives of the Master Plan, which is “Economic Efficiency”</w:t>
      </w:r>
      <w:r w:rsidRPr="006E2241">
        <w:t>. The projects which emerge from this will be strong candidates for inclusion in one or both of the development scenarios based on “</w:t>
      </w:r>
      <w:r>
        <w:t>E</w:t>
      </w:r>
      <w:r w:rsidRPr="006E2241">
        <w:t xml:space="preserve">conomic </w:t>
      </w:r>
      <w:r>
        <w:t>S</w:t>
      </w:r>
      <w:r w:rsidRPr="006E2241">
        <w:t xml:space="preserve">ustainability” </w:t>
      </w:r>
      <w:r>
        <w:t xml:space="preserve">– termed “ES” - </w:t>
      </w:r>
      <w:r w:rsidRPr="006E2241">
        <w:t>or “</w:t>
      </w:r>
      <w:r>
        <w:t>E</w:t>
      </w:r>
      <w:r w:rsidRPr="006E2241">
        <w:t xml:space="preserve">conomic and </w:t>
      </w:r>
      <w:r>
        <w:t>E</w:t>
      </w:r>
      <w:r w:rsidRPr="006E2241">
        <w:t xml:space="preserve">nvironmental </w:t>
      </w:r>
      <w:r>
        <w:t>S</w:t>
      </w:r>
      <w:r w:rsidRPr="006E2241">
        <w:t>ustainability”</w:t>
      </w:r>
      <w:r>
        <w:t xml:space="preserve"> – termed “EES”</w:t>
      </w:r>
      <w:r w:rsidRPr="006E2241">
        <w:t>.</w:t>
      </w:r>
    </w:p>
    <w:p w:rsidR="00FA0D69" w:rsidRPr="006E2241" w:rsidRDefault="00FA0D69" w:rsidP="00A4081F">
      <w:pPr>
        <w:pStyle w:val="NumberedParas"/>
      </w:pPr>
      <w:r w:rsidRPr="006E2241">
        <w:t xml:space="preserve">This requires a broad, but robust, appraisal of projects.  The appraisal </w:t>
      </w:r>
      <w:r w:rsidR="0017437D">
        <w:t>was</w:t>
      </w:r>
      <w:r w:rsidRPr="006E2241">
        <w:t xml:space="preserve"> undertaken using a Cost Benefit Analysis (CBA) and a </w:t>
      </w:r>
      <w:r>
        <w:t>summary Multi Criteria Analysis (MCA).</w:t>
      </w:r>
    </w:p>
    <w:p w:rsidR="00FA0D69" w:rsidRDefault="00FA0D69" w:rsidP="00A4081F">
      <w:pPr>
        <w:pStyle w:val="NumberedParas"/>
        <w:rPr>
          <w:lang w:val="en-US"/>
        </w:rPr>
      </w:pPr>
      <w:bookmarkStart w:id="34" w:name="_Toc339635036"/>
      <w:bookmarkStart w:id="35" w:name="_Toc339883944"/>
      <w:bookmarkStart w:id="36" w:name="_Toc340138758"/>
      <w:bookmarkStart w:id="37" w:name="_Toc340139427"/>
      <w:bookmarkStart w:id="38" w:name="_Toc340140094"/>
      <w:bookmarkStart w:id="39" w:name="_Toc340140761"/>
      <w:bookmarkStart w:id="40" w:name="_Toc340141428"/>
      <w:bookmarkStart w:id="41" w:name="_Toc340830254"/>
      <w:bookmarkStart w:id="42" w:name="_Toc340830429"/>
      <w:bookmarkStart w:id="43" w:name="_Toc341083812"/>
      <w:r>
        <w:rPr>
          <w:lang w:val="en-US"/>
        </w:rPr>
        <w:t xml:space="preserve">The overall process of project appraisal is illustrated in </w:t>
      </w:r>
      <w:r w:rsidR="001B024D">
        <w:rPr>
          <w:lang w:val="en-US"/>
        </w:rPr>
        <w:t>Figure 2.20</w:t>
      </w:r>
      <w:r w:rsidRPr="001B024D">
        <w:rPr>
          <w:lang w:val="en-US"/>
        </w:rPr>
        <w:t xml:space="preserve"> below</w:t>
      </w:r>
      <w:r w:rsidR="001B024D">
        <w:rPr>
          <w:lang w:val="en-US"/>
        </w:rPr>
        <w:t>.</w:t>
      </w:r>
    </w:p>
    <w:p w:rsidR="00FA0D69" w:rsidRDefault="00CB693F" w:rsidP="00FA0D69">
      <w:pPr>
        <w:ind w:left="1134"/>
      </w:pPr>
      <w:r>
        <w:rPr>
          <w:noProof/>
          <w:lang w:val="ro-RO" w:eastAsia="ro-RO"/>
        </w:rPr>
        <w:drawing>
          <wp:inline distT="0" distB="0" distL="0" distR="0" wp14:anchorId="2E85BF33" wp14:editId="5C04DFCB">
            <wp:extent cx="4162926" cy="381438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163190" cy="3814627"/>
                    </a:xfrm>
                    <a:prstGeom prst="rect">
                      <a:avLst/>
                    </a:prstGeom>
                    <a:noFill/>
                    <a:ln>
                      <a:noFill/>
                    </a:ln>
                  </pic:spPr>
                </pic:pic>
              </a:graphicData>
            </a:graphic>
          </wp:inline>
        </w:drawing>
      </w:r>
    </w:p>
    <w:p w:rsidR="001B024D" w:rsidRPr="001B024D" w:rsidRDefault="001B024D" w:rsidP="001B024D">
      <w:pPr>
        <w:spacing w:before="120" w:after="120" w:line="276" w:lineRule="auto"/>
        <w:ind w:left="851"/>
        <w:jc w:val="both"/>
        <w:rPr>
          <w:rFonts w:cs="Arial"/>
          <w:b/>
          <w:sz w:val="22"/>
          <w:lang w:val="ro-RO"/>
        </w:rPr>
      </w:pPr>
      <w:r>
        <w:rPr>
          <w:rFonts w:cs="Arial"/>
          <w:b/>
          <w:sz w:val="22"/>
          <w:lang w:val="ro-RO"/>
        </w:rPr>
        <w:t>Figure 2.20</w:t>
      </w:r>
      <w:r w:rsidRPr="001B024D">
        <w:rPr>
          <w:rFonts w:cs="Arial"/>
          <w:b/>
          <w:sz w:val="22"/>
          <w:lang w:val="ro-RO"/>
        </w:rPr>
        <w:t xml:space="preserve"> Project and Scenario Appraisal Process</w:t>
      </w:r>
    </w:p>
    <w:p w:rsidR="00FA0D69" w:rsidRDefault="00FA0D69" w:rsidP="00A4081F">
      <w:pPr>
        <w:pStyle w:val="NumberedParas"/>
        <w:rPr>
          <w:lang w:val="en-US"/>
        </w:rPr>
      </w:pPr>
      <w:r>
        <w:rPr>
          <w:lang w:val="en-US"/>
        </w:rPr>
        <w:t>The process of generating projects based on the problem analysis and identification of the interventions that best address the specific problems has been described in Sections 2.2-2.4. Sections 2.5 and 2.6 describe</w:t>
      </w:r>
      <w:r w:rsidR="001B024D">
        <w:rPr>
          <w:lang w:val="en-US"/>
        </w:rPr>
        <w:t>d</w:t>
      </w:r>
      <w:r>
        <w:rPr>
          <w:lang w:val="en-US"/>
        </w:rPr>
        <w:t xml:space="preserve"> the main evaluation tools used in the project appraisal stage, which are the National Transport Model and the Cost-Benefit Analysis.</w:t>
      </w:r>
    </w:p>
    <w:p w:rsidR="00FA0D69" w:rsidRDefault="00FA0D69" w:rsidP="00A4081F">
      <w:pPr>
        <w:pStyle w:val="NumberedParas"/>
        <w:rPr>
          <w:lang w:val="en-US"/>
        </w:rPr>
      </w:pPr>
      <w:r>
        <w:rPr>
          <w:lang w:val="en-US"/>
        </w:rPr>
        <w:t xml:space="preserve"> The following sections describe how projects </w:t>
      </w:r>
      <w:r w:rsidR="0017437D">
        <w:rPr>
          <w:lang w:val="en-US"/>
        </w:rPr>
        <w:t xml:space="preserve">were </w:t>
      </w:r>
      <w:r>
        <w:rPr>
          <w:lang w:val="en-US"/>
        </w:rPr>
        <w:t>appraised individually and then incorporated into the two “Do Something” Scenarios, the Economic Sustainability Scenario (“ES”) and the Economic and Environmental Sustainability Scenario (“EES”).</w:t>
      </w:r>
    </w:p>
    <w:p w:rsidR="00FA0D69" w:rsidRDefault="00FA0D69" w:rsidP="00A4081F">
      <w:pPr>
        <w:pStyle w:val="NumberedParas"/>
        <w:rPr>
          <w:lang w:val="en-US"/>
        </w:rPr>
      </w:pPr>
      <w:r>
        <w:rPr>
          <w:lang w:val="en-US"/>
        </w:rPr>
        <w:t>Individual projects have been tested before assembly into the “ES” and “EES” scenarios.  This is because it is a firm requirement of the EU that each of projects in the Master Plan must be justified in economic terms, before consolidation into scenarios.  If the scenarios were assembled first there is danger that a form of “cross-subsidization” would occur, that is, while the scenario as a whole might produce economic benefits, which might disguise the fact that the economic benefits from some projects might offset disbenefits from others.</w:t>
      </w:r>
    </w:p>
    <w:p w:rsidR="00FA0D69" w:rsidRDefault="00FA0D69" w:rsidP="00A4081F">
      <w:pPr>
        <w:pStyle w:val="NumberedParas"/>
        <w:rPr>
          <w:lang w:val="en-US"/>
        </w:rPr>
      </w:pPr>
      <w:r>
        <w:rPr>
          <w:lang w:val="en-US"/>
        </w:rPr>
        <w:t xml:space="preserve">Therefore, the initial list of projects has been processed using the economic value as the sole criterion.  All projects for consideration in the Master Plan will have to meet this criterion (EIRR &gt; 3%) and this is consistent with EU requirements. This minimum value for EIRR was defined </w:t>
      </w:r>
      <w:r>
        <w:t>considering the uncertainty margin inherent to the high level of analysis, having in mind that the economic discount rate is 5% for the next EU programming period.</w:t>
      </w:r>
    </w:p>
    <w:p w:rsidR="00FA0D69" w:rsidRDefault="00FA0D69" w:rsidP="00A4081F">
      <w:pPr>
        <w:pStyle w:val="NumberedParas"/>
        <w:rPr>
          <w:lang w:val="en-US"/>
        </w:rPr>
      </w:pPr>
      <w:r>
        <w:rPr>
          <w:lang w:val="en-US"/>
        </w:rPr>
        <w:t>The projects which pass the economic criterion have been combined into the ES and EES Scenario.</w:t>
      </w:r>
    </w:p>
    <w:bookmarkEnd w:id="34"/>
    <w:bookmarkEnd w:id="35"/>
    <w:bookmarkEnd w:id="36"/>
    <w:bookmarkEnd w:id="37"/>
    <w:bookmarkEnd w:id="38"/>
    <w:bookmarkEnd w:id="39"/>
    <w:bookmarkEnd w:id="40"/>
    <w:bookmarkEnd w:id="41"/>
    <w:bookmarkEnd w:id="42"/>
    <w:bookmarkEnd w:id="43"/>
    <w:p w:rsidR="00FA0D69" w:rsidRPr="00033257" w:rsidRDefault="00FA0D69" w:rsidP="00FA0D69">
      <w:pPr>
        <w:pStyle w:val="Hdg3"/>
      </w:pPr>
      <w:r w:rsidRPr="00033257">
        <w:t xml:space="preserve">Selection of Projects for the </w:t>
      </w:r>
      <w:r>
        <w:t>ES and EES</w:t>
      </w:r>
      <w:r w:rsidRPr="00033257">
        <w:t xml:space="preserve"> Scen</w:t>
      </w:r>
      <w:r>
        <w:t>arios</w:t>
      </w:r>
    </w:p>
    <w:p w:rsidR="00FA0D69" w:rsidRPr="00033257" w:rsidRDefault="00FA0D69" w:rsidP="00A4081F">
      <w:pPr>
        <w:pStyle w:val="NumberedParas"/>
        <w:rPr>
          <w:lang w:val="en-US"/>
        </w:rPr>
      </w:pPr>
      <w:r w:rsidRPr="00033257">
        <w:rPr>
          <w:lang w:val="en-US"/>
        </w:rPr>
        <w:t xml:space="preserve">The output from the project appraisal </w:t>
      </w:r>
      <w:r w:rsidR="0017437D">
        <w:rPr>
          <w:lang w:val="en-US"/>
        </w:rPr>
        <w:t>is</w:t>
      </w:r>
      <w:r w:rsidRPr="00033257">
        <w:rPr>
          <w:lang w:val="en-US"/>
        </w:rPr>
        <w:t xml:space="preserve"> a list of projects with scores out of 10</w:t>
      </w:r>
      <w:r>
        <w:rPr>
          <w:lang w:val="en-US"/>
        </w:rPr>
        <w:t>0</w:t>
      </w:r>
      <w:r w:rsidRPr="00033257">
        <w:rPr>
          <w:lang w:val="en-US"/>
        </w:rPr>
        <w:t xml:space="preserve"> </w:t>
      </w:r>
      <w:r>
        <w:rPr>
          <w:lang w:val="en-US"/>
        </w:rPr>
        <w:t xml:space="preserve">for each Scenario. </w:t>
      </w:r>
      <w:r w:rsidRPr="00033257">
        <w:rPr>
          <w:lang w:val="en-US"/>
        </w:rPr>
        <w:t xml:space="preserve">A critical step </w:t>
      </w:r>
      <w:r w:rsidR="0017437D">
        <w:rPr>
          <w:lang w:val="en-US"/>
        </w:rPr>
        <w:t>was then to</w:t>
      </w:r>
      <w:r w:rsidRPr="00033257">
        <w:rPr>
          <w:lang w:val="en-US"/>
        </w:rPr>
        <w:t xml:space="preserve"> determine which proje</w:t>
      </w:r>
      <w:r>
        <w:rPr>
          <w:lang w:val="en-US"/>
        </w:rPr>
        <w:t>cts should then have priority and for this the</w:t>
      </w:r>
      <w:r w:rsidRPr="00033257">
        <w:rPr>
          <w:lang w:val="en-US"/>
        </w:rPr>
        <w:t xml:space="preserve"> approach is to assign weights to each score for each criterion to give an overall projec</w:t>
      </w:r>
      <w:r>
        <w:rPr>
          <w:lang w:val="en-US"/>
        </w:rPr>
        <w:t>t score.</w:t>
      </w:r>
    </w:p>
    <w:p w:rsidR="00FA0D69" w:rsidRPr="001B024D" w:rsidRDefault="00FA0D69" w:rsidP="00A4081F">
      <w:pPr>
        <w:pStyle w:val="NumberedParas"/>
        <w:rPr>
          <w:lang w:val="en-US"/>
        </w:rPr>
      </w:pPr>
      <w:r>
        <w:rPr>
          <w:lang w:val="en-US"/>
        </w:rPr>
        <w:t>The weighting of the projects and their score depend</w:t>
      </w:r>
      <w:r w:rsidR="0017437D">
        <w:rPr>
          <w:lang w:val="en-US"/>
        </w:rPr>
        <w:t>s</w:t>
      </w:r>
      <w:r>
        <w:rPr>
          <w:lang w:val="en-US"/>
        </w:rPr>
        <w:t xml:space="preserve"> on the characteristics of the two scenarios.  For the ES Scenario</w:t>
      </w:r>
      <w:r w:rsidR="0017437D">
        <w:rPr>
          <w:lang w:val="en-US"/>
        </w:rPr>
        <w:t>,</w:t>
      </w:r>
      <w:r>
        <w:rPr>
          <w:lang w:val="en-US"/>
        </w:rPr>
        <w:t xml:space="preserve"> projects have a higher weighting for the economic criteria than for the EES Scenario. The weighting system, based on past consultations with MT and JASPERS, are presented in </w:t>
      </w:r>
      <w:r w:rsidR="001B024D">
        <w:rPr>
          <w:lang w:val="en-US"/>
        </w:rPr>
        <w:t>Table 2.21.</w:t>
      </w:r>
    </w:p>
    <w:p w:rsidR="00FA0D69" w:rsidRPr="001B024D" w:rsidRDefault="00FA0D69" w:rsidP="001B024D">
      <w:pPr>
        <w:spacing w:before="120" w:after="120" w:line="276" w:lineRule="auto"/>
        <w:ind w:left="851"/>
        <w:jc w:val="both"/>
        <w:rPr>
          <w:rFonts w:cs="Arial"/>
          <w:b/>
          <w:sz w:val="22"/>
          <w:lang w:val="ro-RO"/>
        </w:rPr>
      </w:pPr>
      <w:r w:rsidRPr="001B024D">
        <w:rPr>
          <w:rFonts w:cs="Arial"/>
          <w:b/>
          <w:sz w:val="22"/>
          <w:lang w:val="ro-RO"/>
        </w:rPr>
        <w:t>Table 2.</w:t>
      </w:r>
      <w:r w:rsidR="001B024D">
        <w:rPr>
          <w:rFonts w:cs="Arial"/>
          <w:b/>
          <w:sz w:val="22"/>
          <w:lang w:val="ro-RO"/>
        </w:rPr>
        <w:t>21</w:t>
      </w:r>
      <w:r w:rsidRPr="001B024D">
        <w:rPr>
          <w:rFonts w:cs="Arial"/>
          <w:b/>
          <w:sz w:val="22"/>
          <w:lang w:val="ro-RO"/>
        </w:rPr>
        <w:t xml:space="preserve"> Criteria and Weights for ES and EES Scenarios</w:t>
      </w:r>
    </w:p>
    <w:tbl>
      <w:tblPr>
        <w:tblStyle w:val="TableGrid"/>
        <w:tblW w:w="0" w:type="auto"/>
        <w:tblInd w:w="851" w:type="dxa"/>
        <w:tblLook w:val="04A0" w:firstRow="1" w:lastRow="0" w:firstColumn="1" w:lastColumn="0" w:noHBand="0" w:noVBand="1"/>
      </w:tblPr>
      <w:tblGrid>
        <w:gridCol w:w="3369"/>
        <w:gridCol w:w="1913"/>
        <w:gridCol w:w="1914"/>
      </w:tblGrid>
      <w:tr w:rsidR="00FA0D69" w:rsidRPr="002768B4" w:rsidTr="001B024D">
        <w:trPr>
          <w:trHeight w:val="764"/>
        </w:trPr>
        <w:tc>
          <w:tcPr>
            <w:tcW w:w="3369" w:type="dxa"/>
            <w:shd w:val="clear" w:color="auto" w:fill="B8CCE4" w:themeFill="accent1" w:themeFillTint="66"/>
            <w:vAlign w:val="center"/>
          </w:tcPr>
          <w:p w:rsidR="00FA0D69" w:rsidRPr="002768B4" w:rsidRDefault="00FA0D69" w:rsidP="001B024D">
            <w:pPr>
              <w:rPr>
                <w:rFonts w:cs="Arial"/>
                <w:b/>
                <w:color w:val="000000"/>
                <w:sz w:val="22"/>
                <w:szCs w:val="22"/>
                <w:lang w:val="en-US"/>
              </w:rPr>
            </w:pPr>
            <w:r w:rsidRPr="002768B4">
              <w:rPr>
                <w:rFonts w:cs="Arial"/>
                <w:b/>
                <w:color w:val="000000"/>
                <w:sz w:val="22"/>
                <w:szCs w:val="22"/>
                <w:lang w:val="en-US"/>
              </w:rPr>
              <w:t>Criteria</w:t>
            </w:r>
          </w:p>
        </w:tc>
        <w:tc>
          <w:tcPr>
            <w:tcW w:w="1913" w:type="dxa"/>
            <w:shd w:val="clear" w:color="auto" w:fill="B8CCE4" w:themeFill="accent1" w:themeFillTint="66"/>
            <w:vAlign w:val="center"/>
          </w:tcPr>
          <w:p w:rsidR="00FA0D69" w:rsidRPr="002768B4" w:rsidRDefault="00FA0D69" w:rsidP="00CB693F">
            <w:pPr>
              <w:jc w:val="center"/>
              <w:rPr>
                <w:rFonts w:cs="Arial"/>
                <w:b/>
                <w:color w:val="000000"/>
                <w:sz w:val="22"/>
                <w:szCs w:val="22"/>
                <w:lang w:val="en-US"/>
              </w:rPr>
            </w:pPr>
            <w:r w:rsidRPr="002768B4">
              <w:rPr>
                <w:rFonts w:cs="Arial"/>
                <w:b/>
                <w:color w:val="000000"/>
                <w:sz w:val="22"/>
                <w:szCs w:val="22"/>
                <w:lang w:val="en-US"/>
              </w:rPr>
              <w:t>ES</w:t>
            </w:r>
          </w:p>
        </w:tc>
        <w:tc>
          <w:tcPr>
            <w:tcW w:w="1914" w:type="dxa"/>
            <w:shd w:val="clear" w:color="auto" w:fill="B8CCE4" w:themeFill="accent1" w:themeFillTint="66"/>
            <w:vAlign w:val="center"/>
          </w:tcPr>
          <w:p w:rsidR="00FA0D69" w:rsidRPr="002768B4" w:rsidRDefault="00FA0D69" w:rsidP="00CB693F">
            <w:pPr>
              <w:jc w:val="center"/>
              <w:rPr>
                <w:rFonts w:cs="Arial"/>
                <w:b/>
                <w:color w:val="000000"/>
                <w:sz w:val="22"/>
                <w:szCs w:val="22"/>
                <w:lang w:val="en-US"/>
              </w:rPr>
            </w:pPr>
            <w:r w:rsidRPr="002768B4">
              <w:rPr>
                <w:rFonts w:cs="Arial"/>
                <w:b/>
                <w:color w:val="000000"/>
                <w:sz w:val="22"/>
                <w:szCs w:val="22"/>
                <w:lang w:val="en-US"/>
              </w:rPr>
              <w:t>EES</w:t>
            </w:r>
          </w:p>
        </w:tc>
      </w:tr>
      <w:tr w:rsidR="00FA0D69" w:rsidRPr="002768B4" w:rsidTr="001B024D">
        <w:trPr>
          <w:trHeight w:hRule="exact" w:val="567"/>
        </w:trPr>
        <w:tc>
          <w:tcPr>
            <w:tcW w:w="3369" w:type="dxa"/>
            <w:vAlign w:val="center"/>
          </w:tcPr>
          <w:p w:rsidR="00FA0D69" w:rsidRPr="00660BC1" w:rsidRDefault="00FA0D69" w:rsidP="00CB693F">
            <w:pPr>
              <w:rPr>
                <w:rFonts w:cs="Arial"/>
                <w:color w:val="000000"/>
                <w:sz w:val="22"/>
                <w:szCs w:val="22"/>
                <w:lang w:val="en-US"/>
              </w:rPr>
            </w:pPr>
            <w:r w:rsidRPr="00660BC1">
              <w:rPr>
                <w:rFonts w:cs="Arial"/>
                <w:color w:val="000000"/>
                <w:sz w:val="22"/>
                <w:szCs w:val="22"/>
                <w:lang w:val="en-US"/>
              </w:rPr>
              <w:t>Economic Efficiency</w:t>
            </w:r>
          </w:p>
        </w:tc>
        <w:tc>
          <w:tcPr>
            <w:tcW w:w="1913" w:type="dxa"/>
            <w:vAlign w:val="center"/>
          </w:tcPr>
          <w:p w:rsidR="00FA0D69" w:rsidRPr="002768B4" w:rsidRDefault="00FA0D69" w:rsidP="00CB693F">
            <w:pPr>
              <w:jc w:val="center"/>
              <w:rPr>
                <w:sz w:val="22"/>
                <w:szCs w:val="22"/>
                <w:lang w:val="en-US"/>
              </w:rPr>
            </w:pPr>
            <w:r>
              <w:rPr>
                <w:sz w:val="22"/>
                <w:szCs w:val="22"/>
                <w:lang w:val="en-US"/>
              </w:rPr>
              <w:t>70%</w:t>
            </w:r>
          </w:p>
        </w:tc>
        <w:tc>
          <w:tcPr>
            <w:tcW w:w="1914" w:type="dxa"/>
            <w:vAlign w:val="center"/>
          </w:tcPr>
          <w:p w:rsidR="00FA0D69" w:rsidRPr="002768B4" w:rsidRDefault="00FA0D69" w:rsidP="00CB693F">
            <w:pPr>
              <w:jc w:val="center"/>
              <w:rPr>
                <w:sz w:val="22"/>
                <w:szCs w:val="22"/>
                <w:lang w:val="en-US"/>
              </w:rPr>
            </w:pPr>
            <w:r>
              <w:rPr>
                <w:sz w:val="22"/>
                <w:szCs w:val="22"/>
                <w:lang w:val="en-US"/>
              </w:rPr>
              <w:t>50%</w:t>
            </w:r>
          </w:p>
        </w:tc>
      </w:tr>
      <w:tr w:rsidR="00FA0D69" w:rsidRPr="002768B4" w:rsidTr="001B024D">
        <w:trPr>
          <w:trHeight w:hRule="exact" w:val="567"/>
        </w:trPr>
        <w:tc>
          <w:tcPr>
            <w:tcW w:w="3369" w:type="dxa"/>
            <w:vAlign w:val="center"/>
          </w:tcPr>
          <w:p w:rsidR="00FA0D69" w:rsidRPr="00660BC1" w:rsidRDefault="00FA0D69" w:rsidP="00CB693F">
            <w:pPr>
              <w:rPr>
                <w:rFonts w:cs="Arial"/>
                <w:color w:val="000000"/>
                <w:sz w:val="22"/>
                <w:szCs w:val="22"/>
                <w:lang w:val="en-US"/>
              </w:rPr>
            </w:pPr>
            <w:r w:rsidRPr="00660BC1">
              <w:rPr>
                <w:rFonts w:cs="Arial"/>
                <w:color w:val="000000"/>
                <w:sz w:val="22"/>
                <w:szCs w:val="22"/>
                <w:lang w:val="en-US"/>
              </w:rPr>
              <w:t>Trans-European Integration</w:t>
            </w:r>
            <w:r w:rsidRPr="002768B4">
              <w:rPr>
                <w:rFonts w:cs="Arial"/>
                <w:color w:val="000000"/>
                <w:sz w:val="22"/>
                <w:szCs w:val="22"/>
                <w:lang w:val="en-US"/>
              </w:rPr>
              <w:t>/TEN-T Policy</w:t>
            </w:r>
          </w:p>
        </w:tc>
        <w:tc>
          <w:tcPr>
            <w:tcW w:w="1913" w:type="dxa"/>
            <w:vAlign w:val="center"/>
          </w:tcPr>
          <w:p w:rsidR="00FA0D69" w:rsidRPr="002768B4" w:rsidRDefault="00FA0D69" w:rsidP="00CB693F">
            <w:pPr>
              <w:jc w:val="center"/>
              <w:rPr>
                <w:sz w:val="22"/>
                <w:szCs w:val="22"/>
                <w:lang w:val="en-US"/>
              </w:rPr>
            </w:pPr>
            <w:r>
              <w:rPr>
                <w:sz w:val="22"/>
                <w:szCs w:val="22"/>
                <w:lang w:val="en-US"/>
              </w:rPr>
              <w:t>30%</w:t>
            </w:r>
          </w:p>
        </w:tc>
        <w:tc>
          <w:tcPr>
            <w:tcW w:w="1914" w:type="dxa"/>
            <w:vAlign w:val="center"/>
          </w:tcPr>
          <w:p w:rsidR="00FA0D69" w:rsidRPr="002768B4" w:rsidRDefault="00FA0D69" w:rsidP="00CB693F">
            <w:pPr>
              <w:jc w:val="center"/>
              <w:rPr>
                <w:sz w:val="22"/>
                <w:szCs w:val="22"/>
                <w:lang w:val="en-US"/>
              </w:rPr>
            </w:pPr>
            <w:r>
              <w:rPr>
                <w:sz w:val="22"/>
                <w:szCs w:val="22"/>
                <w:lang w:val="en-US"/>
              </w:rPr>
              <w:t>20%</w:t>
            </w:r>
          </w:p>
        </w:tc>
      </w:tr>
      <w:tr w:rsidR="0013282C" w:rsidRPr="002768B4" w:rsidTr="001B024D">
        <w:trPr>
          <w:trHeight w:hRule="exact" w:val="567"/>
        </w:trPr>
        <w:tc>
          <w:tcPr>
            <w:tcW w:w="3369" w:type="dxa"/>
            <w:vAlign w:val="center"/>
          </w:tcPr>
          <w:p w:rsidR="0013282C" w:rsidRPr="00660BC1" w:rsidRDefault="0013282C" w:rsidP="00CB693F">
            <w:pPr>
              <w:rPr>
                <w:rFonts w:cs="Arial"/>
                <w:color w:val="000000"/>
                <w:sz w:val="22"/>
                <w:szCs w:val="22"/>
                <w:lang w:val="en-US"/>
              </w:rPr>
            </w:pPr>
            <w:r w:rsidRPr="00660BC1">
              <w:rPr>
                <w:rFonts w:cs="Arial"/>
                <w:color w:val="000000"/>
                <w:sz w:val="22"/>
                <w:szCs w:val="22"/>
                <w:lang w:val="en-US"/>
              </w:rPr>
              <w:t>Environmental Impact</w:t>
            </w:r>
          </w:p>
        </w:tc>
        <w:tc>
          <w:tcPr>
            <w:tcW w:w="1913" w:type="dxa"/>
            <w:vAlign w:val="center"/>
          </w:tcPr>
          <w:p w:rsidR="0013282C" w:rsidRPr="002768B4" w:rsidRDefault="0013282C" w:rsidP="00CB693F">
            <w:pPr>
              <w:jc w:val="center"/>
              <w:rPr>
                <w:sz w:val="22"/>
                <w:szCs w:val="22"/>
                <w:lang w:val="en-US"/>
              </w:rPr>
            </w:pPr>
            <w:r>
              <w:rPr>
                <w:sz w:val="22"/>
                <w:szCs w:val="22"/>
                <w:lang w:val="en-US"/>
              </w:rPr>
              <w:t>-</w:t>
            </w:r>
          </w:p>
        </w:tc>
        <w:tc>
          <w:tcPr>
            <w:tcW w:w="1914" w:type="dxa"/>
            <w:vAlign w:val="center"/>
          </w:tcPr>
          <w:p w:rsidR="0013282C" w:rsidRPr="002768B4" w:rsidRDefault="0013282C" w:rsidP="00CB693F">
            <w:pPr>
              <w:jc w:val="center"/>
              <w:rPr>
                <w:sz w:val="22"/>
                <w:szCs w:val="22"/>
                <w:lang w:val="en-US"/>
              </w:rPr>
            </w:pPr>
            <w:r>
              <w:rPr>
                <w:sz w:val="22"/>
                <w:szCs w:val="22"/>
                <w:lang w:val="en-US"/>
              </w:rPr>
              <w:t>20%</w:t>
            </w:r>
          </w:p>
        </w:tc>
      </w:tr>
      <w:tr w:rsidR="0013282C" w:rsidRPr="002768B4" w:rsidTr="001B024D">
        <w:trPr>
          <w:trHeight w:hRule="exact" w:val="567"/>
        </w:trPr>
        <w:tc>
          <w:tcPr>
            <w:tcW w:w="3369" w:type="dxa"/>
            <w:vAlign w:val="center"/>
          </w:tcPr>
          <w:p w:rsidR="0013282C" w:rsidRPr="00660BC1" w:rsidRDefault="0013282C" w:rsidP="00CB693F">
            <w:pPr>
              <w:rPr>
                <w:rFonts w:cs="Arial"/>
                <w:color w:val="000000"/>
                <w:sz w:val="22"/>
                <w:szCs w:val="22"/>
                <w:lang w:val="en-US"/>
              </w:rPr>
            </w:pPr>
            <w:r w:rsidRPr="00660BC1">
              <w:rPr>
                <w:rFonts w:cs="Arial"/>
                <w:color w:val="000000"/>
                <w:sz w:val="22"/>
                <w:szCs w:val="22"/>
                <w:lang w:val="en-US"/>
              </w:rPr>
              <w:t>Sustainability</w:t>
            </w:r>
          </w:p>
        </w:tc>
        <w:tc>
          <w:tcPr>
            <w:tcW w:w="3827" w:type="dxa"/>
            <w:gridSpan w:val="2"/>
            <w:vAlign w:val="center"/>
          </w:tcPr>
          <w:p w:rsidR="0013282C" w:rsidRPr="002768B4" w:rsidRDefault="0013282C" w:rsidP="002B1857">
            <w:pPr>
              <w:jc w:val="center"/>
              <w:rPr>
                <w:sz w:val="22"/>
                <w:szCs w:val="22"/>
                <w:lang w:val="en-US"/>
              </w:rPr>
            </w:pPr>
            <w:r w:rsidRPr="002768B4">
              <w:rPr>
                <w:sz w:val="22"/>
                <w:szCs w:val="22"/>
                <w:lang w:val="en-US"/>
              </w:rPr>
              <w:t>Not scored but dealt with the distribution of funds by mode</w:t>
            </w:r>
          </w:p>
        </w:tc>
      </w:tr>
      <w:tr w:rsidR="00FA0D69" w:rsidRPr="002768B4" w:rsidTr="001B024D">
        <w:trPr>
          <w:trHeight w:hRule="exact" w:val="567"/>
        </w:trPr>
        <w:tc>
          <w:tcPr>
            <w:tcW w:w="3369" w:type="dxa"/>
            <w:vAlign w:val="center"/>
          </w:tcPr>
          <w:p w:rsidR="00FA0D69" w:rsidRPr="00660BC1" w:rsidRDefault="00FA0D69" w:rsidP="00CB693F">
            <w:pPr>
              <w:rPr>
                <w:rFonts w:cs="Arial"/>
                <w:color w:val="000000"/>
                <w:sz w:val="22"/>
                <w:szCs w:val="22"/>
                <w:lang w:val="en-US"/>
              </w:rPr>
            </w:pPr>
            <w:r w:rsidRPr="00660BC1">
              <w:rPr>
                <w:rFonts w:cs="Arial"/>
                <w:color w:val="000000"/>
                <w:sz w:val="22"/>
                <w:szCs w:val="22"/>
                <w:lang w:val="en-US"/>
              </w:rPr>
              <w:t>Balanced Economic Development</w:t>
            </w:r>
          </w:p>
        </w:tc>
        <w:tc>
          <w:tcPr>
            <w:tcW w:w="1913" w:type="dxa"/>
            <w:vAlign w:val="center"/>
          </w:tcPr>
          <w:p w:rsidR="00FA0D69" w:rsidRPr="002768B4" w:rsidRDefault="00FA0D69" w:rsidP="00CB693F">
            <w:pPr>
              <w:jc w:val="center"/>
              <w:rPr>
                <w:sz w:val="22"/>
                <w:szCs w:val="22"/>
                <w:lang w:val="en-US"/>
              </w:rPr>
            </w:pPr>
            <w:r>
              <w:rPr>
                <w:sz w:val="22"/>
                <w:szCs w:val="22"/>
                <w:lang w:val="en-US"/>
              </w:rPr>
              <w:t>-</w:t>
            </w:r>
          </w:p>
        </w:tc>
        <w:tc>
          <w:tcPr>
            <w:tcW w:w="1914" w:type="dxa"/>
            <w:vAlign w:val="center"/>
          </w:tcPr>
          <w:p w:rsidR="00FA0D69" w:rsidRPr="002768B4" w:rsidRDefault="00FA0D69" w:rsidP="00CB693F">
            <w:pPr>
              <w:jc w:val="center"/>
              <w:rPr>
                <w:sz w:val="22"/>
                <w:szCs w:val="22"/>
                <w:lang w:val="en-US"/>
              </w:rPr>
            </w:pPr>
            <w:r>
              <w:rPr>
                <w:sz w:val="22"/>
                <w:szCs w:val="22"/>
                <w:lang w:val="en-US"/>
              </w:rPr>
              <w:t>10%</w:t>
            </w:r>
          </w:p>
        </w:tc>
      </w:tr>
    </w:tbl>
    <w:p w:rsidR="001B024D" w:rsidRPr="008F1964" w:rsidRDefault="001B024D" w:rsidP="00A4081F">
      <w:pPr>
        <w:pStyle w:val="NumberedParas"/>
        <w:numPr>
          <w:ilvl w:val="0"/>
          <w:numId w:val="0"/>
        </w:numPr>
        <w:ind w:left="851"/>
      </w:pPr>
      <w:r>
        <w:t>Source: AECOM / MT / Jaspers</w:t>
      </w:r>
    </w:p>
    <w:p w:rsidR="00FA0D69" w:rsidRDefault="00FA0D69" w:rsidP="00A4081F">
      <w:pPr>
        <w:pStyle w:val="NumberedParas"/>
        <w:rPr>
          <w:lang w:val="en-US"/>
        </w:rPr>
      </w:pPr>
      <w:r w:rsidRPr="00033257">
        <w:rPr>
          <w:lang w:val="en-US"/>
        </w:rPr>
        <w:t xml:space="preserve">Each project </w:t>
      </w:r>
      <w:r w:rsidR="0017437D">
        <w:rPr>
          <w:lang w:val="en-US"/>
        </w:rPr>
        <w:t>was</w:t>
      </w:r>
      <w:r w:rsidRPr="00033257">
        <w:rPr>
          <w:lang w:val="en-US"/>
        </w:rPr>
        <w:t xml:space="preserve"> scored for each scenario using the above weights.  A ranking of projects within each scenario </w:t>
      </w:r>
      <w:r>
        <w:rPr>
          <w:lang w:val="en-US"/>
        </w:rPr>
        <w:t>was</w:t>
      </w:r>
      <w:r w:rsidRPr="00033257">
        <w:rPr>
          <w:lang w:val="en-US"/>
        </w:rPr>
        <w:t xml:space="preserve"> then be made.</w:t>
      </w:r>
      <w:r>
        <w:rPr>
          <w:lang w:val="en-US"/>
        </w:rPr>
        <w:t xml:space="preserve"> </w:t>
      </w:r>
    </w:p>
    <w:p w:rsidR="00FA0D69" w:rsidRPr="006E2241" w:rsidRDefault="00FA0D69" w:rsidP="00A4081F">
      <w:pPr>
        <w:pStyle w:val="NumberedParas"/>
      </w:pPr>
      <w:r w:rsidRPr="00033257">
        <w:rPr>
          <w:lang w:val="en-US"/>
        </w:rPr>
        <w:t xml:space="preserve">Based on the results of the project appraisal, </w:t>
      </w:r>
      <w:r>
        <w:rPr>
          <w:lang w:val="en-US"/>
        </w:rPr>
        <w:t xml:space="preserve">there are identified </w:t>
      </w:r>
      <w:r w:rsidRPr="00033257">
        <w:rPr>
          <w:lang w:val="en-US"/>
        </w:rPr>
        <w:t>projects which are strong candidates for inclusion in the two development scenarios “economic sustainability” and “economic and environmental sustainability”. Typically:</w:t>
      </w:r>
    </w:p>
    <w:p w:rsidR="00FA0D69" w:rsidRPr="00025996" w:rsidRDefault="00FA0D69" w:rsidP="00273D5E">
      <w:pPr>
        <w:pStyle w:val="BulletLevel1"/>
      </w:pPr>
      <w:r w:rsidRPr="00025996">
        <w:t xml:space="preserve">Projects that have limited economic benefits and significant environmental disbenefits </w:t>
      </w:r>
      <w:r w:rsidR="0017437D">
        <w:t>w</w:t>
      </w:r>
      <w:r w:rsidRPr="00025996">
        <w:t>e</w:t>
      </w:r>
      <w:r w:rsidR="0017437D">
        <w:t>re</w:t>
      </w:r>
      <w:r w:rsidRPr="00025996">
        <w:t xml:space="preserve"> dropped;</w:t>
      </w:r>
    </w:p>
    <w:p w:rsidR="00FA0D69" w:rsidRPr="00025996" w:rsidRDefault="00FA0D69" w:rsidP="00273D5E">
      <w:pPr>
        <w:pStyle w:val="BulletLevel1"/>
      </w:pPr>
      <w:r w:rsidRPr="00025996">
        <w:t xml:space="preserve">Projects which have high economic benefits and significant environmental disbenefits </w:t>
      </w:r>
      <w:r w:rsidR="0017437D">
        <w:t>were</w:t>
      </w:r>
      <w:r w:rsidRPr="00025996">
        <w:t xml:space="preserve"> included in the “economic sustainability” scenario;</w:t>
      </w:r>
    </w:p>
    <w:p w:rsidR="00FA0D69" w:rsidRPr="00025996" w:rsidRDefault="00FA0D69" w:rsidP="00273D5E">
      <w:pPr>
        <w:pStyle w:val="BulletLevel1"/>
      </w:pPr>
      <w:r w:rsidRPr="00025996">
        <w:t xml:space="preserve">Projects that have limited economic benefits but positive environmental benefits </w:t>
      </w:r>
      <w:r w:rsidR="0017437D">
        <w:t xml:space="preserve">were </w:t>
      </w:r>
      <w:r w:rsidRPr="00025996">
        <w:t>included in the “economic and environmental sustainability” scenario; and</w:t>
      </w:r>
    </w:p>
    <w:p w:rsidR="00FA0D69" w:rsidRPr="00025996" w:rsidRDefault="00FA0D69" w:rsidP="00273D5E">
      <w:pPr>
        <w:pStyle w:val="BulletLevel1"/>
      </w:pPr>
      <w:r w:rsidRPr="00025996">
        <w:t xml:space="preserve">Projects which have high economic benefits and are neutral or positive in environmental terms </w:t>
      </w:r>
      <w:r w:rsidR="0017437D">
        <w:t>were</w:t>
      </w:r>
      <w:r w:rsidRPr="00025996">
        <w:t xml:space="preserve"> included in both scenarios.</w:t>
      </w:r>
    </w:p>
    <w:p w:rsidR="00FA0D69" w:rsidRDefault="00FA0D69" w:rsidP="00FA0D69">
      <w:pPr>
        <w:pStyle w:val="Hdg3"/>
      </w:pPr>
      <w:bookmarkStart w:id="44" w:name="_Toc340830441"/>
      <w:bookmarkStart w:id="45" w:name="_Toc341083825"/>
      <w:r>
        <w:t xml:space="preserve">Appraisal </w:t>
      </w:r>
      <w:r w:rsidRPr="00A905D9">
        <w:t xml:space="preserve">of the </w:t>
      </w:r>
      <w:r>
        <w:t>ES and EES Scenarios:</w:t>
      </w:r>
      <w:r w:rsidRPr="00A905D9">
        <w:t xml:space="preserve"> </w:t>
      </w:r>
      <w:bookmarkEnd w:id="44"/>
      <w:bookmarkEnd w:id="45"/>
      <w:r w:rsidRPr="006E2241">
        <w:t>Application of Multi Criteria Analysis</w:t>
      </w:r>
    </w:p>
    <w:p w:rsidR="00FA0D69" w:rsidRPr="006E2241" w:rsidRDefault="00FA0D69" w:rsidP="00A4081F">
      <w:pPr>
        <w:pStyle w:val="NumberedParas"/>
      </w:pPr>
      <w:r>
        <w:t>The Master Plan represents the direction of the country’s transport for the next 15-20 years.  It is therefore important that a broad appraisal is made at the strategic level so that the overall impact of the Master Plan is known and assessed.  This assessment will be made using the following criteria.</w:t>
      </w:r>
    </w:p>
    <w:p w:rsidR="00FA0D69" w:rsidRPr="00025996" w:rsidRDefault="00FA0D69" w:rsidP="00273D5E">
      <w:pPr>
        <w:pStyle w:val="BulletLevel1"/>
      </w:pPr>
      <w:r w:rsidRPr="00025996">
        <w:t>Economic Impacts</w:t>
      </w:r>
    </w:p>
    <w:p w:rsidR="00FA0D69" w:rsidRPr="00025996" w:rsidRDefault="00FA0D69" w:rsidP="005E50B3">
      <w:pPr>
        <w:pStyle w:val="ListParagraph"/>
        <w:numPr>
          <w:ilvl w:val="0"/>
          <w:numId w:val="26"/>
        </w:numPr>
        <w:spacing w:before="120" w:after="120"/>
        <w:ind w:left="1281" w:hanging="357"/>
        <w:rPr>
          <w:sz w:val="22"/>
          <w:szCs w:val="22"/>
        </w:rPr>
      </w:pPr>
      <w:r w:rsidRPr="00025996">
        <w:rPr>
          <w:sz w:val="22"/>
          <w:szCs w:val="22"/>
        </w:rPr>
        <w:t>EIRR</w:t>
      </w:r>
    </w:p>
    <w:p w:rsidR="00FA0D69" w:rsidRPr="00025996" w:rsidRDefault="00FA0D69" w:rsidP="00273D5E">
      <w:pPr>
        <w:pStyle w:val="BulletLevel1"/>
      </w:pPr>
      <w:r w:rsidRPr="00025996">
        <w:t>Transport Policy</w:t>
      </w:r>
    </w:p>
    <w:p w:rsidR="00FA0D69" w:rsidRPr="00025996" w:rsidRDefault="00FA0D69" w:rsidP="005E50B3">
      <w:pPr>
        <w:pStyle w:val="ListParagraph"/>
        <w:numPr>
          <w:ilvl w:val="0"/>
          <w:numId w:val="26"/>
        </w:numPr>
        <w:spacing w:before="120" w:after="120"/>
        <w:ind w:left="1281" w:hanging="357"/>
        <w:rPr>
          <w:sz w:val="22"/>
          <w:szCs w:val="22"/>
        </w:rPr>
      </w:pPr>
      <w:r>
        <w:rPr>
          <w:sz w:val="22"/>
          <w:szCs w:val="22"/>
        </w:rPr>
        <w:t>On TEN-T Core/Comprehensive</w:t>
      </w:r>
    </w:p>
    <w:p w:rsidR="00FA0D69" w:rsidRPr="00025996" w:rsidRDefault="00FA0D69" w:rsidP="00273D5E">
      <w:pPr>
        <w:pStyle w:val="BulletLevel1"/>
      </w:pPr>
      <w:r>
        <w:t>Environmental Impacts</w:t>
      </w:r>
    </w:p>
    <w:p w:rsidR="00FA0D69" w:rsidRPr="0050604E" w:rsidRDefault="00FA0D69" w:rsidP="005E50B3">
      <w:pPr>
        <w:pStyle w:val="ListParagraph"/>
        <w:numPr>
          <w:ilvl w:val="0"/>
          <w:numId w:val="26"/>
        </w:numPr>
        <w:spacing w:before="120" w:after="120"/>
        <w:ind w:left="1281" w:hanging="357"/>
        <w:rPr>
          <w:sz w:val="22"/>
          <w:szCs w:val="22"/>
        </w:rPr>
      </w:pPr>
      <w:r w:rsidRPr="0050604E">
        <w:rPr>
          <w:sz w:val="22"/>
          <w:szCs w:val="22"/>
        </w:rPr>
        <w:t>Impact on Natura 2000 sites</w:t>
      </w:r>
    </w:p>
    <w:p w:rsidR="00FA0D69" w:rsidRDefault="00FA0D69" w:rsidP="00273D5E">
      <w:pPr>
        <w:pStyle w:val="BulletLevel1"/>
      </w:pPr>
      <w:r>
        <w:t>Sustainability</w:t>
      </w:r>
    </w:p>
    <w:p w:rsidR="00FA0D69" w:rsidRPr="0050604E" w:rsidRDefault="00FA0D69" w:rsidP="005E50B3">
      <w:pPr>
        <w:pStyle w:val="ListParagraph"/>
        <w:numPr>
          <w:ilvl w:val="0"/>
          <w:numId w:val="26"/>
        </w:numPr>
        <w:spacing w:before="120" w:after="120"/>
        <w:ind w:left="1281" w:hanging="357"/>
        <w:rPr>
          <w:sz w:val="22"/>
          <w:szCs w:val="22"/>
        </w:rPr>
      </w:pPr>
      <w:r>
        <w:rPr>
          <w:sz w:val="22"/>
          <w:szCs w:val="22"/>
        </w:rPr>
        <w:t>Transfer of T</w:t>
      </w:r>
      <w:r w:rsidRPr="0050604E">
        <w:rPr>
          <w:sz w:val="22"/>
          <w:szCs w:val="22"/>
        </w:rPr>
        <w:t>raffic to Sustainable Modes</w:t>
      </w:r>
    </w:p>
    <w:p w:rsidR="00FA0D69" w:rsidRDefault="00FA0D69" w:rsidP="00273D5E">
      <w:pPr>
        <w:pStyle w:val="BulletLevel1"/>
      </w:pPr>
      <w:r w:rsidRPr="00660BC1">
        <w:t>Balanced Economic Development</w:t>
      </w:r>
    </w:p>
    <w:p w:rsidR="00FA0D69" w:rsidRPr="0050604E" w:rsidRDefault="00FA0D69" w:rsidP="005E50B3">
      <w:pPr>
        <w:pStyle w:val="ListParagraph"/>
        <w:numPr>
          <w:ilvl w:val="0"/>
          <w:numId w:val="26"/>
        </w:numPr>
        <w:rPr>
          <w:sz w:val="22"/>
          <w:szCs w:val="22"/>
        </w:rPr>
      </w:pPr>
      <w:r>
        <w:rPr>
          <w:color w:val="000000"/>
          <w:sz w:val="22"/>
          <w:szCs w:val="22"/>
          <w:lang w:val="en-US"/>
        </w:rPr>
        <w:t>A</w:t>
      </w:r>
      <w:r w:rsidRPr="00660BC1">
        <w:rPr>
          <w:color w:val="000000"/>
          <w:sz w:val="22"/>
          <w:szCs w:val="22"/>
          <w:lang w:val="en-US"/>
        </w:rPr>
        <w:t>ccessibility of less accessible regions</w:t>
      </w:r>
    </w:p>
    <w:p w:rsidR="00FA0D69" w:rsidRDefault="00FA0D69" w:rsidP="00A4081F">
      <w:pPr>
        <w:pStyle w:val="NumberedParas"/>
        <w:rPr>
          <w:lang w:val="en-US"/>
        </w:rPr>
      </w:pPr>
      <w:r w:rsidRPr="001B024D">
        <w:rPr>
          <w:lang w:val="en-US"/>
        </w:rPr>
        <w:t>The weighting and scoring systems for the ES and EES scenarios are presented in Tables</w:t>
      </w:r>
      <w:r w:rsidR="001B024D" w:rsidRPr="001B024D">
        <w:rPr>
          <w:lang w:val="en-US"/>
        </w:rPr>
        <w:t xml:space="preserve"> 2.22</w:t>
      </w:r>
      <w:r w:rsidRPr="001B024D">
        <w:rPr>
          <w:lang w:val="en-US"/>
        </w:rPr>
        <w:t xml:space="preserve"> and </w:t>
      </w:r>
      <w:r w:rsidR="001B024D" w:rsidRPr="001B024D">
        <w:rPr>
          <w:lang w:val="en-US"/>
        </w:rPr>
        <w:t>2.23</w:t>
      </w:r>
      <w:r w:rsidRPr="001B024D">
        <w:rPr>
          <w:lang w:val="en-US"/>
        </w:rPr>
        <w:t>. These have</w:t>
      </w:r>
      <w:r>
        <w:rPr>
          <w:lang w:val="en-US"/>
        </w:rPr>
        <w:t xml:space="preserve"> been agreed with the Ministry of Transport and reflect the high-level objectives of the Master Plan as defined in the Terms of Reference.</w:t>
      </w:r>
    </w:p>
    <w:p w:rsidR="00E07A21" w:rsidRDefault="00E07A21">
      <w:pPr>
        <w:rPr>
          <w:sz w:val="22"/>
          <w:szCs w:val="22"/>
          <w:lang w:val="en-US"/>
        </w:rPr>
      </w:pPr>
      <w:r>
        <w:rPr>
          <w:lang w:val="en-US"/>
        </w:rPr>
        <w:br w:type="page"/>
      </w:r>
    </w:p>
    <w:p w:rsidR="00FA0D69" w:rsidRDefault="001B024D" w:rsidP="001B024D">
      <w:pPr>
        <w:ind w:left="851"/>
        <w:rPr>
          <w:lang w:val="ro-RO"/>
        </w:rPr>
      </w:pPr>
      <w:r>
        <w:rPr>
          <w:rFonts w:cs="Arial"/>
          <w:b/>
          <w:bCs/>
          <w:color w:val="000000"/>
          <w:sz w:val="22"/>
          <w:szCs w:val="22"/>
          <w:lang w:val="en-US"/>
        </w:rPr>
        <w:t>Table 2.22</w:t>
      </w:r>
      <w:r w:rsidR="00FA0D69">
        <w:rPr>
          <w:rFonts w:cs="Arial"/>
          <w:b/>
          <w:bCs/>
          <w:color w:val="000000"/>
          <w:sz w:val="22"/>
          <w:szCs w:val="22"/>
          <w:lang w:val="en-US"/>
        </w:rPr>
        <w:t xml:space="preserve"> </w:t>
      </w:r>
      <w:r w:rsidR="00FA0D69" w:rsidRPr="00660BC1">
        <w:rPr>
          <w:rFonts w:cs="Arial"/>
          <w:b/>
          <w:bCs/>
          <w:color w:val="000000"/>
          <w:sz w:val="22"/>
          <w:szCs w:val="22"/>
          <w:lang w:val="en-US"/>
        </w:rPr>
        <w:t>Economic Sustainability Scenario</w:t>
      </w:r>
    </w:p>
    <w:tbl>
      <w:tblPr>
        <w:tblW w:w="9611" w:type="dxa"/>
        <w:tblInd w:w="851" w:type="dxa"/>
        <w:tblLook w:val="04A0" w:firstRow="1" w:lastRow="0" w:firstColumn="1" w:lastColumn="0" w:noHBand="0" w:noVBand="1"/>
      </w:tblPr>
      <w:tblGrid>
        <w:gridCol w:w="571"/>
        <w:gridCol w:w="1513"/>
        <w:gridCol w:w="1476"/>
        <w:gridCol w:w="1280"/>
        <w:gridCol w:w="950"/>
        <w:gridCol w:w="2038"/>
        <w:gridCol w:w="1783"/>
      </w:tblGrid>
      <w:tr w:rsidR="00FA0D69" w:rsidRPr="001B024D" w:rsidTr="001B024D">
        <w:trPr>
          <w:trHeight w:val="1002"/>
        </w:trPr>
        <w:tc>
          <w:tcPr>
            <w:tcW w:w="272"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No.</w:t>
            </w:r>
          </w:p>
        </w:tc>
        <w:tc>
          <w:tcPr>
            <w:tcW w:w="720"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Master Plan High-Level Objective</w:t>
            </w:r>
          </w:p>
        </w:tc>
        <w:tc>
          <w:tcPr>
            <w:tcW w:w="702"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Criteria</w:t>
            </w:r>
          </w:p>
        </w:tc>
        <w:tc>
          <w:tcPr>
            <w:tcW w:w="609"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Indicator/ Reference</w:t>
            </w:r>
          </w:p>
        </w:tc>
        <w:tc>
          <w:tcPr>
            <w:tcW w:w="452"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Weight</w:t>
            </w:r>
          </w:p>
        </w:tc>
        <w:tc>
          <w:tcPr>
            <w:tcW w:w="1189"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Scoring criteria</w:t>
            </w:r>
          </w:p>
        </w:tc>
        <w:tc>
          <w:tcPr>
            <w:tcW w:w="1056" w:type="pct"/>
            <w:tcBorders>
              <w:top w:val="single" w:sz="8" w:space="0" w:color="auto"/>
              <w:left w:val="nil"/>
              <w:bottom w:val="nil"/>
              <w:right w:val="single" w:sz="8" w:space="0" w:color="auto"/>
            </w:tcBorders>
            <w:shd w:val="clear" w:color="auto" w:fill="B8CCE4" w:themeFill="accent1" w:themeFillTint="66"/>
            <w:vAlign w:val="center"/>
            <w:hideMark/>
          </w:tcPr>
          <w:p w:rsidR="00FA0D69" w:rsidRPr="001B024D" w:rsidRDefault="00FA0D69" w:rsidP="00CB693F">
            <w:pPr>
              <w:jc w:val="center"/>
              <w:rPr>
                <w:rFonts w:cs="Arial"/>
                <w:b/>
                <w:bCs/>
                <w:sz w:val="22"/>
                <w:szCs w:val="22"/>
                <w:lang w:val="en-US"/>
              </w:rPr>
            </w:pPr>
            <w:r w:rsidRPr="001B024D">
              <w:rPr>
                <w:rFonts w:cs="Arial"/>
                <w:b/>
                <w:bCs/>
                <w:sz w:val="22"/>
                <w:szCs w:val="22"/>
                <w:lang w:val="en-US"/>
              </w:rPr>
              <w:t>Scoring (points)</w:t>
            </w:r>
          </w:p>
        </w:tc>
      </w:tr>
      <w:tr w:rsidR="00FA0D69" w:rsidRPr="001B024D" w:rsidTr="001B024D">
        <w:trPr>
          <w:trHeight w:val="402"/>
        </w:trPr>
        <w:tc>
          <w:tcPr>
            <w:tcW w:w="272"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A</w:t>
            </w:r>
          </w:p>
        </w:tc>
        <w:tc>
          <w:tcPr>
            <w:tcW w:w="720"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Economic Efficiency</w:t>
            </w:r>
          </w:p>
        </w:tc>
        <w:tc>
          <w:tcPr>
            <w:tcW w:w="70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Economic Performance</w:t>
            </w:r>
          </w:p>
        </w:tc>
        <w:tc>
          <w:tcPr>
            <w:tcW w:w="609"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EIRR</w:t>
            </w:r>
          </w:p>
        </w:tc>
        <w:tc>
          <w:tcPr>
            <w:tcW w:w="45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70%</w:t>
            </w:r>
          </w:p>
        </w:tc>
        <w:tc>
          <w:tcPr>
            <w:tcW w:w="1189" w:type="pct"/>
            <w:tcBorders>
              <w:top w:val="single" w:sz="8" w:space="0" w:color="auto"/>
              <w:left w:val="nil"/>
              <w:bottom w:val="single" w:sz="4" w:space="0" w:color="auto"/>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5%</w:t>
            </w:r>
          </w:p>
        </w:tc>
        <w:tc>
          <w:tcPr>
            <w:tcW w:w="1056" w:type="pct"/>
            <w:tcBorders>
              <w:top w:val="single" w:sz="8" w:space="0" w:color="auto"/>
              <w:left w:val="nil"/>
              <w:bottom w:val="single" w:sz="4" w:space="0" w:color="auto"/>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0</w:t>
            </w:r>
          </w:p>
        </w:tc>
      </w:tr>
      <w:tr w:rsidR="00FA0D69" w:rsidRPr="001B024D" w:rsidTr="001B024D">
        <w:trPr>
          <w:trHeight w:val="402"/>
        </w:trPr>
        <w:tc>
          <w:tcPr>
            <w:tcW w:w="272" w:type="pct"/>
            <w:vMerge/>
            <w:tcBorders>
              <w:top w:val="single" w:sz="8" w:space="0" w:color="auto"/>
              <w:left w:val="single" w:sz="8"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20"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02"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609"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452"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1189" w:type="pct"/>
            <w:tcBorders>
              <w:top w:val="nil"/>
              <w:left w:val="nil"/>
              <w:bottom w:val="nil"/>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Maximum EIRR</w:t>
            </w:r>
          </w:p>
        </w:tc>
        <w:tc>
          <w:tcPr>
            <w:tcW w:w="1056" w:type="pct"/>
            <w:tcBorders>
              <w:top w:val="nil"/>
              <w:left w:val="nil"/>
              <w:bottom w:val="nil"/>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100</w:t>
            </w:r>
          </w:p>
        </w:tc>
      </w:tr>
      <w:tr w:rsidR="00FA0D69" w:rsidRPr="001B024D" w:rsidTr="001B024D">
        <w:trPr>
          <w:trHeight w:val="402"/>
        </w:trPr>
        <w:tc>
          <w:tcPr>
            <w:tcW w:w="272" w:type="pct"/>
            <w:vMerge/>
            <w:tcBorders>
              <w:top w:val="single" w:sz="8" w:space="0" w:color="auto"/>
              <w:left w:val="single" w:sz="8"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20"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02"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609"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452" w:type="pct"/>
            <w:vMerge/>
            <w:tcBorders>
              <w:top w:val="single" w:sz="8" w:space="0" w:color="auto"/>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1189" w:type="pct"/>
            <w:tcBorders>
              <w:top w:val="single" w:sz="4" w:space="0" w:color="auto"/>
              <w:left w:val="nil"/>
              <w:bottom w:val="single" w:sz="8" w:space="0" w:color="auto"/>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&gt; 5% &lt; highest EIRR%</w:t>
            </w:r>
          </w:p>
        </w:tc>
        <w:tc>
          <w:tcPr>
            <w:tcW w:w="1056" w:type="pct"/>
            <w:tcBorders>
              <w:top w:val="single" w:sz="4" w:space="0" w:color="auto"/>
              <w:left w:val="nil"/>
              <w:bottom w:val="single" w:sz="8" w:space="0" w:color="auto"/>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Proportionally from 100 = highest EIRR</w:t>
            </w:r>
          </w:p>
        </w:tc>
      </w:tr>
      <w:tr w:rsidR="00FA0D69" w:rsidRPr="001B024D" w:rsidTr="001B024D">
        <w:trPr>
          <w:trHeight w:val="402"/>
        </w:trPr>
        <w:tc>
          <w:tcPr>
            <w:tcW w:w="272" w:type="pct"/>
            <w:vMerge w:val="restart"/>
            <w:tcBorders>
              <w:top w:val="nil"/>
              <w:left w:val="single" w:sz="8"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B</w:t>
            </w:r>
          </w:p>
        </w:tc>
        <w:tc>
          <w:tcPr>
            <w:tcW w:w="720"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Trans-European Integration</w:t>
            </w:r>
          </w:p>
        </w:tc>
        <w:tc>
          <w:tcPr>
            <w:tcW w:w="70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Relation with TEN-T network</w:t>
            </w:r>
          </w:p>
        </w:tc>
        <w:tc>
          <w:tcPr>
            <w:tcW w:w="60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TEN-T Regulation</w:t>
            </w:r>
          </w:p>
        </w:tc>
        <w:tc>
          <w:tcPr>
            <w:tcW w:w="45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30%</w:t>
            </w:r>
          </w:p>
        </w:tc>
        <w:tc>
          <w:tcPr>
            <w:tcW w:w="1189" w:type="pct"/>
            <w:tcBorders>
              <w:top w:val="nil"/>
              <w:left w:val="nil"/>
              <w:bottom w:val="single" w:sz="4" w:space="0" w:color="auto"/>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 xml:space="preserve">Core TEN-T link </w:t>
            </w:r>
          </w:p>
        </w:tc>
        <w:tc>
          <w:tcPr>
            <w:tcW w:w="1056" w:type="pct"/>
            <w:tcBorders>
              <w:top w:val="nil"/>
              <w:left w:val="nil"/>
              <w:bottom w:val="single" w:sz="4" w:space="0" w:color="auto"/>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100</w:t>
            </w:r>
          </w:p>
        </w:tc>
      </w:tr>
      <w:tr w:rsidR="00FA0D69" w:rsidRPr="001B024D" w:rsidTr="001B024D">
        <w:trPr>
          <w:trHeight w:val="402"/>
        </w:trPr>
        <w:tc>
          <w:tcPr>
            <w:tcW w:w="272" w:type="pct"/>
            <w:vMerge/>
            <w:tcBorders>
              <w:top w:val="nil"/>
              <w:left w:val="single" w:sz="8"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20"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02"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609"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452"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1189" w:type="pct"/>
            <w:tcBorders>
              <w:top w:val="nil"/>
              <w:left w:val="nil"/>
              <w:bottom w:val="single" w:sz="4" w:space="0" w:color="auto"/>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 xml:space="preserve">Comprehensive TEN-T link </w:t>
            </w:r>
          </w:p>
        </w:tc>
        <w:tc>
          <w:tcPr>
            <w:tcW w:w="1056" w:type="pct"/>
            <w:tcBorders>
              <w:top w:val="nil"/>
              <w:left w:val="nil"/>
              <w:bottom w:val="single" w:sz="4" w:space="0" w:color="auto"/>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30</w:t>
            </w:r>
          </w:p>
        </w:tc>
      </w:tr>
      <w:tr w:rsidR="00FA0D69" w:rsidRPr="001B024D" w:rsidTr="001B024D">
        <w:trPr>
          <w:trHeight w:val="402"/>
        </w:trPr>
        <w:tc>
          <w:tcPr>
            <w:tcW w:w="272" w:type="pct"/>
            <w:vMerge/>
            <w:tcBorders>
              <w:top w:val="nil"/>
              <w:left w:val="single" w:sz="8"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20"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702"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609"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452" w:type="pct"/>
            <w:vMerge/>
            <w:tcBorders>
              <w:top w:val="nil"/>
              <w:left w:val="single" w:sz="4" w:space="0" w:color="auto"/>
              <w:bottom w:val="single" w:sz="8" w:space="0" w:color="000000"/>
              <w:right w:val="single" w:sz="4" w:space="0" w:color="auto"/>
            </w:tcBorders>
            <w:vAlign w:val="center"/>
            <w:hideMark/>
          </w:tcPr>
          <w:p w:rsidR="00FA0D69" w:rsidRPr="001B024D" w:rsidRDefault="00FA0D69" w:rsidP="00CB693F">
            <w:pPr>
              <w:rPr>
                <w:rFonts w:cs="Arial"/>
                <w:color w:val="000000"/>
                <w:sz w:val="22"/>
                <w:szCs w:val="22"/>
                <w:lang w:val="en-US"/>
              </w:rPr>
            </w:pPr>
          </w:p>
        </w:tc>
        <w:tc>
          <w:tcPr>
            <w:tcW w:w="1189" w:type="pct"/>
            <w:tcBorders>
              <w:top w:val="nil"/>
              <w:left w:val="nil"/>
              <w:bottom w:val="single" w:sz="8" w:space="0" w:color="auto"/>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 xml:space="preserve">Other links </w:t>
            </w:r>
          </w:p>
        </w:tc>
        <w:tc>
          <w:tcPr>
            <w:tcW w:w="1056" w:type="pct"/>
            <w:tcBorders>
              <w:top w:val="nil"/>
              <w:left w:val="nil"/>
              <w:bottom w:val="single" w:sz="8" w:space="0" w:color="auto"/>
              <w:right w:val="single" w:sz="8"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0</w:t>
            </w:r>
          </w:p>
        </w:tc>
      </w:tr>
      <w:tr w:rsidR="00FA0D69" w:rsidRPr="001B024D" w:rsidTr="001B024D">
        <w:trPr>
          <w:trHeight w:val="402"/>
        </w:trPr>
        <w:tc>
          <w:tcPr>
            <w:tcW w:w="272" w:type="pct"/>
            <w:tcBorders>
              <w:top w:val="nil"/>
              <w:left w:val="single" w:sz="8"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C</w:t>
            </w:r>
          </w:p>
        </w:tc>
        <w:tc>
          <w:tcPr>
            <w:tcW w:w="720" w:type="pc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Sustainability</w:t>
            </w:r>
          </w:p>
        </w:tc>
        <w:tc>
          <w:tcPr>
            <w:tcW w:w="702" w:type="pc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rPr>
                <w:rFonts w:cs="Arial"/>
                <w:color w:val="000000"/>
                <w:sz w:val="22"/>
                <w:szCs w:val="22"/>
                <w:lang w:val="en-US"/>
              </w:rPr>
            </w:pPr>
            <w:r w:rsidRPr="001B024D">
              <w:rPr>
                <w:rFonts w:cs="Arial"/>
                <w:color w:val="000000"/>
                <w:sz w:val="22"/>
                <w:szCs w:val="22"/>
                <w:lang w:val="en-US"/>
              </w:rPr>
              <w:t>Contribution to cleaner transport modes policy</w:t>
            </w:r>
          </w:p>
        </w:tc>
        <w:tc>
          <w:tcPr>
            <w:tcW w:w="609" w:type="pct"/>
            <w:tcBorders>
              <w:top w:val="nil"/>
              <w:left w:val="single" w:sz="4" w:space="0" w:color="auto"/>
              <w:bottom w:val="single" w:sz="8" w:space="0" w:color="000000"/>
              <w:right w:val="single" w:sz="4" w:space="0" w:color="auto"/>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White Paper</w:t>
            </w:r>
          </w:p>
        </w:tc>
        <w:tc>
          <w:tcPr>
            <w:tcW w:w="2697" w:type="pct"/>
            <w:gridSpan w:val="3"/>
            <w:tcBorders>
              <w:top w:val="single" w:sz="8" w:space="0" w:color="auto"/>
              <w:left w:val="single" w:sz="4" w:space="0" w:color="auto"/>
              <w:bottom w:val="single" w:sz="8" w:space="0" w:color="000000"/>
              <w:right w:val="single" w:sz="8" w:space="0" w:color="000000"/>
            </w:tcBorders>
            <w:shd w:val="clear" w:color="000000" w:fill="FFFFFF"/>
            <w:vAlign w:val="center"/>
            <w:hideMark/>
          </w:tcPr>
          <w:p w:rsidR="00FA0D69" w:rsidRPr="001B024D" w:rsidRDefault="00FA0D69" w:rsidP="00CB693F">
            <w:pPr>
              <w:jc w:val="center"/>
              <w:rPr>
                <w:rFonts w:cs="Arial"/>
                <w:color w:val="000000"/>
                <w:sz w:val="22"/>
                <w:szCs w:val="22"/>
                <w:lang w:val="en-US"/>
              </w:rPr>
            </w:pPr>
            <w:r w:rsidRPr="001B024D">
              <w:rPr>
                <w:rFonts w:cs="Arial"/>
                <w:color w:val="000000"/>
                <w:sz w:val="22"/>
                <w:szCs w:val="22"/>
                <w:lang w:val="en-US"/>
              </w:rPr>
              <w:t xml:space="preserve">Not scored under MCA but dealt with via pre-allocation of funding per sectors: </w:t>
            </w:r>
            <w:r w:rsidRPr="001B024D">
              <w:rPr>
                <w:rFonts w:cs="Arial"/>
                <w:color w:val="000000"/>
                <w:sz w:val="22"/>
                <w:szCs w:val="22"/>
                <w:lang w:val="en-US"/>
              </w:rPr>
              <w:br/>
              <w:t>this scenario assumes 51% roads, 44% for rail and 5% for Ports, IWT, Intermodal and Aviation</w:t>
            </w:r>
          </w:p>
        </w:tc>
      </w:tr>
    </w:tbl>
    <w:p w:rsidR="001B024D" w:rsidRPr="008F1964" w:rsidRDefault="001B024D" w:rsidP="00A4081F">
      <w:pPr>
        <w:pStyle w:val="NumberedParas"/>
        <w:numPr>
          <w:ilvl w:val="0"/>
          <w:numId w:val="0"/>
        </w:numPr>
        <w:ind w:left="851"/>
      </w:pPr>
      <w:r>
        <w:t>Source: AECOM / MT / Jaspers</w:t>
      </w:r>
    </w:p>
    <w:p w:rsidR="00FA0D69" w:rsidRDefault="001B024D" w:rsidP="001B024D">
      <w:pPr>
        <w:ind w:left="851"/>
        <w:rPr>
          <w:lang w:val="ro-RO"/>
        </w:rPr>
      </w:pPr>
      <w:r w:rsidRPr="001B024D">
        <w:rPr>
          <w:rFonts w:cs="Arial"/>
          <w:b/>
          <w:bCs/>
          <w:color w:val="000000"/>
          <w:sz w:val="22"/>
          <w:szCs w:val="22"/>
          <w:lang w:val="en-US"/>
        </w:rPr>
        <w:t>Table 2.23</w:t>
      </w:r>
      <w:r w:rsidR="00FA0D69" w:rsidRPr="001B024D">
        <w:rPr>
          <w:rFonts w:cs="Arial"/>
          <w:b/>
          <w:bCs/>
          <w:color w:val="000000"/>
          <w:sz w:val="22"/>
          <w:szCs w:val="22"/>
          <w:lang w:val="en-US"/>
        </w:rPr>
        <w:t xml:space="preserve">  Economic</w:t>
      </w:r>
      <w:r w:rsidR="00FA0D69">
        <w:rPr>
          <w:rFonts w:cs="Arial"/>
          <w:b/>
          <w:bCs/>
          <w:color w:val="000000"/>
          <w:sz w:val="22"/>
          <w:szCs w:val="22"/>
          <w:lang w:val="en-US"/>
        </w:rPr>
        <w:t xml:space="preserve"> and Environmental</w:t>
      </w:r>
      <w:r w:rsidR="00FA0D69" w:rsidRPr="00660BC1">
        <w:rPr>
          <w:rFonts w:cs="Arial"/>
          <w:b/>
          <w:bCs/>
          <w:color w:val="000000"/>
          <w:sz w:val="22"/>
          <w:szCs w:val="22"/>
          <w:lang w:val="en-US"/>
        </w:rPr>
        <w:t xml:space="preserve"> Sustainability Scenario</w:t>
      </w:r>
    </w:p>
    <w:tbl>
      <w:tblPr>
        <w:tblW w:w="9611" w:type="dxa"/>
        <w:tblInd w:w="851" w:type="dxa"/>
        <w:tblLook w:val="04A0" w:firstRow="1" w:lastRow="0" w:firstColumn="1" w:lastColumn="0" w:noHBand="0" w:noVBand="1"/>
      </w:tblPr>
      <w:tblGrid>
        <w:gridCol w:w="571"/>
        <w:gridCol w:w="1623"/>
        <w:gridCol w:w="1598"/>
        <w:gridCol w:w="1390"/>
        <w:gridCol w:w="950"/>
        <w:gridCol w:w="1770"/>
        <w:gridCol w:w="1709"/>
      </w:tblGrid>
      <w:tr w:rsidR="00FA0D69" w:rsidRPr="001353B3" w:rsidTr="00414827">
        <w:trPr>
          <w:trHeight w:val="1002"/>
          <w:tblHeader/>
        </w:trPr>
        <w:tc>
          <w:tcPr>
            <w:tcW w:w="297"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No.</w:t>
            </w:r>
          </w:p>
        </w:tc>
        <w:tc>
          <w:tcPr>
            <w:tcW w:w="844"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Master Plan High-Level Objective</w:t>
            </w:r>
          </w:p>
        </w:tc>
        <w:tc>
          <w:tcPr>
            <w:tcW w:w="831"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Criteria</w:t>
            </w:r>
          </w:p>
        </w:tc>
        <w:tc>
          <w:tcPr>
            <w:tcW w:w="723"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Indicator/ Reference</w:t>
            </w:r>
          </w:p>
        </w:tc>
        <w:tc>
          <w:tcPr>
            <w:tcW w:w="494"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Weight</w:t>
            </w:r>
          </w:p>
        </w:tc>
        <w:tc>
          <w:tcPr>
            <w:tcW w:w="921" w:type="pct"/>
            <w:tcBorders>
              <w:top w:val="single" w:sz="8" w:space="0" w:color="auto"/>
              <w:left w:val="nil"/>
              <w:bottom w:val="nil"/>
              <w:right w:val="single" w:sz="4"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Scoring criteria</w:t>
            </w:r>
          </w:p>
        </w:tc>
        <w:tc>
          <w:tcPr>
            <w:tcW w:w="889" w:type="pct"/>
            <w:tcBorders>
              <w:top w:val="single" w:sz="8" w:space="0" w:color="auto"/>
              <w:left w:val="nil"/>
              <w:bottom w:val="nil"/>
              <w:right w:val="single" w:sz="8" w:space="0" w:color="auto"/>
            </w:tcBorders>
            <w:shd w:val="clear" w:color="auto" w:fill="B8CCE4" w:themeFill="accent1" w:themeFillTint="66"/>
            <w:vAlign w:val="center"/>
            <w:hideMark/>
          </w:tcPr>
          <w:p w:rsidR="00FA0D69" w:rsidRPr="00660BC1" w:rsidRDefault="00FA0D69" w:rsidP="00CB693F">
            <w:pPr>
              <w:jc w:val="center"/>
              <w:rPr>
                <w:rFonts w:cs="Arial"/>
                <w:b/>
                <w:bCs/>
                <w:sz w:val="22"/>
                <w:szCs w:val="22"/>
                <w:lang w:val="en-US"/>
              </w:rPr>
            </w:pPr>
            <w:r w:rsidRPr="00660BC1">
              <w:rPr>
                <w:rFonts w:cs="Arial"/>
                <w:b/>
                <w:bCs/>
                <w:sz w:val="22"/>
                <w:szCs w:val="22"/>
                <w:lang w:val="en-US"/>
              </w:rPr>
              <w:t>Scoring (points)</w:t>
            </w:r>
          </w:p>
        </w:tc>
      </w:tr>
      <w:tr w:rsidR="00FA0D69" w:rsidRPr="00660BC1" w:rsidTr="00414827">
        <w:trPr>
          <w:trHeight w:val="402"/>
        </w:trPr>
        <w:tc>
          <w:tcPr>
            <w:tcW w:w="297"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A</w:t>
            </w:r>
          </w:p>
        </w:tc>
        <w:tc>
          <w:tcPr>
            <w:tcW w:w="84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Economic Efficiency</w:t>
            </w:r>
          </w:p>
        </w:tc>
        <w:tc>
          <w:tcPr>
            <w:tcW w:w="831"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Economic Performance</w:t>
            </w:r>
          </w:p>
        </w:tc>
        <w:tc>
          <w:tcPr>
            <w:tcW w:w="723"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EIRR</w:t>
            </w:r>
          </w:p>
        </w:tc>
        <w:tc>
          <w:tcPr>
            <w:tcW w:w="49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50%</w:t>
            </w:r>
          </w:p>
        </w:tc>
        <w:tc>
          <w:tcPr>
            <w:tcW w:w="921" w:type="pct"/>
            <w:tcBorders>
              <w:top w:val="single" w:sz="8" w:space="0" w:color="auto"/>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5%</w:t>
            </w:r>
          </w:p>
        </w:tc>
        <w:tc>
          <w:tcPr>
            <w:tcW w:w="889" w:type="pct"/>
            <w:tcBorders>
              <w:top w:val="single" w:sz="8" w:space="0" w:color="auto"/>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0</w:t>
            </w:r>
          </w:p>
        </w:tc>
      </w:tr>
      <w:tr w:rsidR="00FA0D69" w:rsidRPr="00660BC1" w:rsidTr="00414827">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nil"/>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Maximum EIRR</w:t>
            </w:r>
          </w:p>
        </w:tc>
        <w:tc>
          <w:tcPr>
            <w:tcW w:w="889" w:type="pct"/>
            <w:tcBorders>
              <w:top w:val="nil"/>
              <w:left w:val="nil"/>
              <w:bottom w:val="nil"/>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100</w:t>
            </w:r>
          </w:p>
        </w:tc>
      </w:tr>
      <w:tr w:rsidR="00FA0D69" w:rsidRPr="00660BC1" w:rsidTr="00414827">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single" w:sz="4" w:space="0" w:color="auto"/>
              <w:left w:val="nil"/>
              <w:bottom w:val="single" w:sz="8"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&gt; 5% &lt; highest EIRR%</w:t>
            </w:r>
          </w:p>
        </w:tc>
        <w:tc>
          <w:tcPr>
            <w:tcW w:w="889" w:type="pct"/>
            <w:tcBorders>
              <w:top w:val="single" w:sz="4" w:space="0" w:color="auto"/>
              <w:left w:val="nil"/>
              <w:bottom w:val="single" w:sz="8"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Proportionally from 100 = highest EIRR</w:t>
            </w:r>
          </w:p>
        </w:tc>
      </w:tr>
      <w:tr w:rsidR="00FA0D69" w:rsidRPr="00660BC1" w:rsidTr="00414827">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B</w:t>
            </w:r>
          </w:p>
        </w:tc>
        <w:tc>
          <w:tcPr>
            <w:tcW w:w="84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Trans-European Integration</w:t>
            </w:r>
          </w:p>
        </w:tc>
        <w:tc>
          <w:tcPr>
            <w:tcW w:w="83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Relation with TEN-T network</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TEN-T Regulation</w:t>
            </w:r>
          </w:p>
        </w:tc>
        <w:tc>
          <w:tcPr>
            <w:tcW w:w="4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20%</w:t>
            </w: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 xml:space="preserve">Core TEN-T link </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 xml:space="preserve">Comprehensive TEN-T link </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50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nil"/>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Secondary connectivity with TEN-T</w:t>
            </w:r>
          </w:p>
        </w:tc>
        <w:tc>
          <w:tcPr>
            <w:tcW w:w="889" w:type="pct"/>
            <w:tcBorders>
              <w:top w:val="nil"/>
              <w:left w:val="nil"/>
              <w:bottom w:val="nil"/>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single" w:sz="4" w:space="0" w:color="auto"/>
              <w:left w:val="nil"/>
              <w:bottom w:val="single" w:sz="8"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 xml:space="preserve">Other links </w:t>
            </w:r>
          </w:p>
        </w:tc>
        <w:tc>
          <w:tcPr>
            <w:tcW w:w="889" w:type="pct"/>
            <w:tcBorders>
              <w:top w:val="single" w:sz="4" w:space="0" w:color="auto"/>
              <w:left w:val="nil"/>
              <w:bottom w:val="single" w:sz="8"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0</w:t>
            </w:r>
          </w:p>
        </w:tc>
      </w:tr>
      <w:tr w:rsidR="00FA0D69" w:rsidRPr="00660BC1" w:rsidTr="00414827">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C</w:t>
            </w:r>
          </w:p>
        </w:tc>
        <w:tc>
          <w:tcPr>
            <w:tcW w:w="84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Environmental Impact</w:t>
            </w:r>
          </w:p>
        </w:tc>
        <w:tc>
          <w:tcPr>
            <w:tcW w:w="83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Potential environmental impact (in particular on NATURA 2000 sites)</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SEA</w:t>
            </w:r>
          </w:p>
        </w:tc>
        <w:tc>
          <w:tcPr>
            <w:tcW w:w="4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20%</w:t>
            </w:r>
          </w:p>
        </w:tc>
        <w:tc>
          <w:tcPr>
            <w:tcW w:w="921" w:type="pct"/>
            <w:tcBorders>
              <w:top w:val="nil"/>
              <w:left w:val="single" w:sz="4" w:space="0" w:color="auto"/>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 xml:space="preserve">Very high </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single" w:sz="4" w:space="0" w:color="auto"/>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High</w:t>
            </w:r>
          </w:p>
        </w:tc>
        <w:tc>
          <w:tcPr>
            <w:tcW w:w="889" w:type="pct"/>
            <w:tcBorders>
              <w:top w:val="single" w:sz="4" w:space="0" w:color="auto"/>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-80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Moderate</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-50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Low</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-30</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8"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None</w:t>
            </w:r>
          </w:p>
        </w:tc>
        <w:tc>
          <w:tcPr>
            <w:tcW w:w="889" w:type="pct"/>
            <w:tcBorders>
              <w:top w:val="nil"/>
              <w:left w:val="single" w:sz="4" w:space="0" w:color="auto"/>
              <w:bottom w:val="single" w:sz="8"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0</w:t>
            </w:r>
          </w:p>
        </w:tc>
      </w:tr>
      <w:tr w:rsidR="00FA0D69" w:rsidRPr="00660BC1" w:rsidTr="00414827">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D</w:t>
            </w:r>
          </w:p>
        </w:tc>
        <w:tc>
          <w:tcPr>
            <w:tcW w:w="84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Sustainability</w:t>
            </w:r>
          </w:p>
        </w:tc>
        <w:tc>
          <w:tcPr>
            <w:tcW w:w="83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Pr>
                <w:rFonts w:cs="Arial"/>
                <w:color w:val="000000"/>
                <w:sz w:val="22"/>
                <w:szCs w:val="22"/>
                <w:lang w:val="en-US"/>
              </w:rPr>
              <w:t xml:space="preserve">Contribution to </w:t>
            </w:r>
            <w:r w:rsidRPr="00660BC1">
              <w:rPr>
                <w:rFonts w:cs="Arial"/>
                <w:color w:val="000000"/>
                <w:sz w:val="22"/>
                <w:szCs w:val="22"/>
                <w:lang w:val="en-US"/>
              </w:rPr>
              <w:t>cleaner transport modes policy</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White Paper</w:t>
            </w:r>
          </w:p>
        </w:tc>
        <w:tc>
          <w:tcPr>
            <w:tcW w:w="2304" w:type="pct"/>
            <w:gridSpan w:val="3"/>
            <w:vMerge w:val="restart"/>
            <w:tcBorders>
              <w:top w:val="single" w:sz="8" w:space="0" w:color="auto"/>
              <w:left w:val="single" w:sz="4" w:space="0" w:color="auto"/>
              <w:bottom w:val="single" w:sz="8" w:space="0" w:color="000000"/>
              <w:right w:val="single" w:sz="8" w:space="0" w:color="000000"/>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 xml:space="preserve">Not scored under MCA but dealt with via pre-allocation of funding per sectors: </w:t>
            </w:r>
            <w:r w:rsidRPr="00660BC1">
              <w:rPr>
                <w:rFonts w:cs="Arial"/>
                <w:color w:val="000000"/>
                <w:sz w:val="22"/>
                <w:szCs w:val="22"/>
                <w:lang w:val="en-US"/>
              </w:rPr>
              <w:br/>
              <w:t>this scenario assumes 51% roads, 44% for rail and 5% for Ports, IWT, Intermodal and Aviation</w:t>
            </w:r>
          </w:p>
        </w:tc>
      </w:tr>
      <w:tr w:rsidR="00FA0D69" w:rsidRPr="00660BC1" w:rsidTr="00414827">
        <w:trPr>
          <w:trHeight w:val="4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2304" w:type="pct"/>
            <w:gridSpan w:val="3"/>
            <w:vMerge/>
            <w:tcBorders>
              <w:top w:val="single" w:sz="8" w:space="0" w:color="auto"/>
              <w:left w:val="single" w:sz="4" w:space="0" w:color="auto"/>
              <w:bottom w:val="single" w:sz="8" w:space="0" w:color="000000"/>
              <w:right w:val="single" w:sz="8" w:space="0" w:color="000000"/>
            </w:tcBorders>
            <w:vAlign w:val="center"/>
            <w:hideMark/>
          </w:tcPr>
          <w:p w:rsidR="00FA0D69" w:rsidRPr="00660BC1" w:rsidRDefault="00FA0D69" w:rsidP="00CB693F">
            <w:pPr>
              <w:rPr>
                <w:rFonts w:cs="Arial"/>
                <w:color w:val="000000"/>
                <w:sz w:val="22"/>
                <w:szCs w:val="22"/>
                <w:lang w:val="en-US"/>
              </w:rPr>
            </w:pPr>
          </w:p>
        </w:tc>
      </w:tr>
      <w:tr w:rsidR="00FA0D69" w:rsidRPr="00660BC1" w:rsidTr="00414827">
        <w:trPr>
          <w:trHeight w:val="7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E</w:t>
            </w:r>
          </w:p>
        </w:tc>
        <w:tc>
          <w:tcPr>
            <w:tcW w:w="84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Balanced Economic Development</w:t>
            </w:r>
          </w:p>
        </w:tc>
        <w:tc>
          <w:tcPr>
            <w:tcW w:w="83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Improving the accessibility of less accessible regions</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GTMP accessibility maps</w:t>
            </w:r>
          </w:p>
        </w:tc>
        <w:tc>
          <w:tcPr>
            <w:tcW w:w="49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w:t>
            </w:r>
          </w:p>
        </w:tc>
        <w:tc>
          <w:tcPr>
            <w:tcW w:w="921" w:type="pct"/>
            <w:tcBorders>
              <w:top w:val="single" w:sz="8" w:space="0" w:color="auto"/>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Improving link to an area with low accessibility both to foreign and domestic markets</w:t>
            </w:r>
          </w:p>
        </w:tc>
        <w:tc>
          <w:tcPr>
            <w:tcW w:w="889" w:type="pct"/>
            <w:tcBorders>
              <w:top w:val="single" w:sz="8" w:space="0" w:color="auto"/>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100</w:t>
            </w:r>
          </w:p>
        </w:tc>
      </w:tr>
      <w:tr w:rsidR="00FA0D69" w:rsidRPr="00660BC1" w:rsidTr="00414827">
        <w:trPr>
          <w:trHeight w:val="7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Improving link to an area with low accessibility to foreign markets</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70</w:t>
            </w:r>
          </w:p>
        </w:tc>
      </w:tr>
      <w:tr w:rsidR="00FA0D69" w:rsidRPr="00660BC1" w:rsidTr="00414827">
        <w:trPr>
          <w:trHeight w:val="7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4"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Improving link to an area with low accessibility to domestic markets</w:t>
            </w:r>
          </w:p>
        </w:tc>
        <w:tc>
          <w:tcPr>
            <w:tcW w:w="889" w:type="pct"/>
            <w:tcBorders>
              <w:top w:val="nil"/>
              <w:left w:val="nil"/>
              <w:bottom w:val="single" w:sz="4"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50</w:t>
            </w:r>
          </w:p>
        </w:tc>
      </w:tr>
      <w:tr w:rsidR="00FA0D69" w:rsidRPr="00660BC1" w:rsidTr="00414827">
        <w:trPr>
          <w:trHeight w:val="702"/>
        </w:trPr>
        <w:tc>
          <w:tcPr>
            <w:tcW w:w="297" w:type="pct"/>
            <w:vMerge/>
            <w:tcBorders>
              <w:top w:val="nil"/>
              <w:left w:val="single" w:sz="8"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44"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831"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723" w:type="pct"/>
            <w:vMerge/>
            <w:tcBorders>
              <w:top w:val="nil"/>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494" w:type="pct"/>
            <w:vMerge/>
            <w:tcBorders>
              <w:top w:val="single" w:sz="8" w:space="0" w:color="auto"/>
              <w:left w:val="single" w:sz="4" w:space="0" w:color="auto"/>
              <w:bottom w:val="single" w:sz="8" w:space="0" w:color="000000"/>
              <w:right w:val="single" w:sz="4" w:space="0" w:color="auto"/>
            </w:tcBorders>
            <w:vAlign w:val="center"/>
            <w:hideMark/>
          </w:tcPr>
          <w:p w:rsidR="00FA0D69" w:rsidRPr="00660BC1" w:rsidRDefault="00FA0D69" w:rsidP="00CB693F">
            <w:pPr>
              <w:rPr>
                <w:rFonts w:cs="Arial"/>
                <w:color w:val="000000"/>
                <w:sz w:val="22"/>
                <w:szCs w:val="22"/>
                <w:lang w:val="en-US"/>
              </w:rPr>
            </w:pPr>
          </w:p>
        </w:tc>
        <w:tc>
          <w:tcPr>
            <w:tcW w:w="921" w:type="pct"/>
            <w:tcBorders>
              <w:top w:val="nil"/>
              <w:left w:val="nil"/>
              <w:bottom w:val="single" w:sz="8" w:space="0" w:color="auto"/>
              <w:right w:val="single" w:sz="4" w:space="0" w:color="auto"/>
            </w:tcBorders>
            <w:shd w:val="clear" w:color="000000" w:fill="FFFFFF"/>
            <w:vAlign w:val="center"/>
            <w:hideMark/>
          </w:tcPr>
          <w:p w:rsidR="00FA0D69" w:rsidRPr="00660BC1" w:rsidRDefault="00FA0D69" w:rsidP="00CB693F">
            <w:pPr>
              <w:rPr>
                <w:rFonts w:cs="Arial"/>
                <w:color w:val="000000"/>
                <w:sz w:val="22"/>
                <w:szCs w:val="22"/>
                <w:lang w:val="en-US"/>
              </w:rPr>
            </w:pPr>
            <w:r w:rsidRPr="00660BC1">
              <w:rPr>
                <w:rFonts w:cs="Arial"/>
                <w:color w:val="000000"/>
                <w:sz w:val="22"/>
                <w:szCs w:val="22"/>
                <w:lang w:val="en-US"/>
              </w:rPr>
              <w:t>Links to areas with good accessibility</w:t>
            </w:r>
          </w:p>
        </w:tc>
        <w:tc>
          <w:tcPr>
            <w:tcW w:w="889" w:type="pct"/>
            <w:tcBorders>
              <w:top w:val="nil"/>
              <w:left w:val="nil"/>
              <w:bottom w:val="single" w:sz="8" w:space="0" w:color="auto"/>
              <w:right w:val="single" w:sz="8" w:space="0" w:color="auto"/>
            </w:tcBorders>
            <w:shd w:val="clear" w:color="000000" w:fill="FFFFFF"/>
            <w:vAlign w:val="center"/>
            <w:hideMark/>
          </w:tcPr>
          <w:p w:rsidR="00FA0D69" w:rsidRPr="00660BC1" w:rsidRDefault="00FA0D69" w:rsidP="00CB693F">
            <w:pPr>
              <w:jc w:val="center"/>
              <w:rPr>
                <w:rFonts w:cs="Arial"/>
                <w:color w:val="000000"/>
                <w:sz w:val="22"/>
                <w:szCs w:val="22"/>
                <w:lang w:val="en-US"/>
              </w:rPr>
            </w:pPr>
            <w:r w:rsidRPr="00660BC1">
              <w:rPr>
                <w:rFonts w:cs="Arial"/>
                <w:color w:val="000000"/>
                <w:sz w:val="22"/>
                <w:szCs w:val="22"/>
                <w:lang w:val="en-US"/>
              </w:rPr>
              <w:t>0</w:t>
            </w:r>
          </w:p>
        </w:tc>
      </w:tr>
    </w:tbl>
    <w:p w:rsidR="00414827" w:rsidRPr="008F1964" w:rsidRDefault="00414827" w:rsidP="00A4081F">
      <w:pPr>
        <w:pStyle w:val="NumberedParas"/>
        <w:numPr>
          <w:ilvl w:val="0"/>
          <w:numId w:val="0"/>
        </w:numPr>
        <w:ind w:left="851"/>
      </w:pPr>
      <w:r>
        <w:t>Source: AECOM / MT / Jaspers</w:t>
      </w:r>
    </w:p>
    <w:p w:rsidR="00FA0D69" w:rsidRDefault="00FA0D69" w:rsidP="00FA0D69">
      <w:pPr>
        <w:pStyle w:val="Hdg3"/>
      </w:pPr>
      <w:r>
        <w:t>Description of the Evaluation Criteria</w:t>
      </w:r>
    </w:p>
    <w:p w:rsidR="00FA0D69" w:rsidRPr="008063EB" w:rsidRDefault="00FA0D69" w:rsidP="005E50B3">
      <w:pPr>
        <w:pStyle w:val="Body"/>
        <w:numPr>
          <w:ilvl w:val="0"/>
          <w:numId w:val="27"/>
        </w:numPr>
        <w:rPr>
          <w:b/>
          <w:lang w:val="ro-RO"/>
        </w:rPr>
      </w:pPr>
      <w:r w:rsidRPr="008063EB">
        <w:rPr>
          <w:b/>
          <w:lang w:val="ro-RO"/>
        </w:rPr>
        <w:t>Economic Efficiency</w:t>
      </w:r>
    </w:p>
    <w:p w:rsidR="00FA0D69" w:rsidRPr="00414827" w:rsidRDefault="00FA0D69" w:rsidP="00A4081F">
      <w:pPr>
        <w:pStyle w:val="NumberedParas"/>
      </w:pPr>
      <w:r w:rsidRPr="00E2456C">
        <w:t>The Transport Economic Impacts criterion relates to the direct economic impacts of th</w:t>
      </w:r>
      <w:r w:rsidRPr="00033257">
        <w:t>e project on the effic</w:t>
      </w:r>
      <w:r>
        <w:t>iency of the transport system, evaluated by the EIRR (E</w:t>
      </w:r>
      <w:r w:rsidR="00414827">
        <w:t>conomic Internal Rate of Return</w:t>
      </w:r>
      <w:r w:rsidRPr="00414827">
        <w:t>).</w:t>
      </w:r>
    </w:p>
    <w:p w:rsidR="00FA0D69" w:rsidRPr="008063EB" w:rsidRDefault="00FA0D69" w:rsidP="005E50B3">
      <w:pPr>
        <w:pStyle w:val="Body"/>
        <w:numPr>
          <w:ilvl w:val="0"/>
          <w:numId w:val="27"/>
        </w:numPr>
        <w:rPr>
          <w:b/>
          <w:lang w:val="ro-RO"/>
        </w:rPr>
      </w:pPr>
      <w:r>
        <w:rPr>
          <w:b/>
          <w:lang w:val="ro-RO"/>
        </w:rPr>
        <w:t>Trans-European Integration</w:t>
      </w:r>
    </w:p>
    <w:p w:rsidR="00FA0D69" w:rsidRDefault="00FA0D69" w:rsidP="00A4081F">
      <w:pPr>
        <w:pStyle w:val="NumberedParas"/>
      </w:pPr>
      <w:r>
        <w:t>On TEN-T Core or Comprehensive: this sub</w:t>
      </w:r>
      <w:r w:rsidRPr="00033257">
        <w:t xml:space="preserve"> </w:t>
      </w:r>
      <w:r>
        <w:t>criterion reflects the fact that it is both Romania’s and the EU’s policy to improve the quality of the most important routes within and across the country.  In addition, the routes selected for the core TEN-T have already been the subject of careful analysis and evaluation, so it is logical that the Master Plan should favour projects which improve these routes.  The inclusion of a National Network criterion acknowledges the fact that the TEN-T network is not comprehensive geographically and there are many large and medium sized cities which are connected only by national roads, and lines designated “core” on the railway network.</w:t>
      </w:r>
    </w:p>
    <w:p w:rsidR="00FA0D69" w:rsidRPr="00414827" w:rsidRDefault="00FA0D69" w:rsidP="00A4081F">
      <w:pPr>
        <w:pStyle w:val="NumberedParas"/>
      </w:pPr>
      <w:r w:rsidRPr="00414827">
        <w:t>Maps of the TEN-T network in Romania are provided in Appendix B.</w:t>
      </w:r>
    </w:p>
    <w:p w:rsidR="00FA0D69" w:rsidRPr="008063EB" w:rsidRDefault="00FA0D69" w:rsidP="005E50B3">
      <w:pPr>
        <w:pStyle w:val="Body"/>
        <w:keepNext/>
        <w:numPr>
          <w:ilvl w:val="0"/>
          <w:numId w:val="27"/>
        </w:numPr>
        <w:ind w:left="924" w:hanging="357"/>
        <w:rPr>
          <w:b/>
          <w:lang w:val="ro-RO"/>
        </w:rPr>
      </w:pPr>
      <w:r w:rsidRPr="008063EB">
        <w:rPr>
          <w:b/>
          <w:lang w:val="ro-RO"/>
        </w:rPr>
        <w:t>Environment</w:t>
      </w:r>
      <w:r>
        <w:rPr>
          <w:b/>
          <w:lang w:val="ro-RO"/>
        </w:rPr>
        <w:t>al Impact</w:t>
      </w:r>
    </w:p>
    <w:p w:rsidR="00FA0D69" w:rsidRDefault="00FA0D69" w:rsidP="00A4081F">
      <w:pPr>
        <w:pStyle w:val="NumberedParas"/>
      </w:pPr>
      <w:r w:rsidRPr="006E2241">
        <w:rPr>
          <w:b/>
          <w:i/>
        </w:rPr>
        <w:t>Natura</w:t>
      </w:r>
      <w:r w:rsidRPr="006E2241">
        <w:t xml:space="preserve"> </w:t>
      </w:r>
      <w:r w:rsidRPr="006E2241">
        <w:rPr>
          <w:b/>
          <w:i/>
        </w:rPr>
        <w:t xml:space="preserve">2000 </w:t>
      </w:r>
      <w:r w:rsidRPr="006E2241">
        <w:t xml:space="preserve">relates to the Natura 2000 network of sites that contain the most important habitats across Europe.  Natura 2000 sites have EU legislation to protect them.  This sub-objective should appraise the extent, if any, to which the strategy, or </w:t>
      </w:r>
      <w:r>
        <w:t xml:space="preserve">the major </w:t>
      </w:r>
      <w:r w:rsidRPr="006E2241">
        <w:t>project</w:t>
      </w:r>
      <w:r>
        <w:t>s</w:t>
      </w:r>
      <w:r w:rsidRPr="006E2241">
        <w:t xml:space="preserve"> within a strategy, </w:t>
      </w:r>
      <w:r>
        <w:t>is</w:t>
      </w:r>
      <w:r w:rsidRPr="006E2241">
        <w:t xml:space="preserve"> likely to impact on these sites in terms of numbers and magnitude.  The habitat and species in these locations are protected, so any impact from a project is likely to be seen as significant. </w:t>
      </w:r>
    </w:p>
    <w:p w:rsidR="00FA0D69" w:rsidRPr="006E2241" w:rsidRDefault="00FA0D69" w:rsidP="00A4081F">
      <w:pPr>
        <w:pStyle w:val="NumberedParas"/>
      </w:pPr>
      <w:r w:rsidRPr="006E2241">
        <w:t xml:space="preserve">The assessment </w:t>
      </w:r>
      <w:r>
        <w:t>is also considering</w:t>
      </w:r>
      <w:r w:rsidRPr="006E2241">
        <w:t xml:space="preserve"> the extent, if any, the project is likely to impact on biodiversity features outside Natura 2000 sites, rating the importance of these features and any inter-relationships, as well as providing a description of the impact on biodiversity, including the effects on its distinctive quality and local diversity. </w:t>
      </w:r>
    </w:p>
    <w:p w:rsidR="00FA0D69" w:rsidRPr="008063EB" w:rsidRDefault="00FA0D69" w:rsidP="005E50B3">
      <w:pPr>
        <w:pStyle w:val="Body"/>
        <w:numPr>
          <w:ilvl w:val="0"/>
          <w:numId w:val="27"/>
        </w:numPr>
        <w:rPr>
          <w:b/>
          <w:lang w:val="ro-RO"/>
        </w:rPr>
      </w:pPr>
      <w:r w:rsidRPr="008063EB">
        <w:rPr>
          <w:b/>
          <w:lang w:val="ro-RO"/>
        </w:rPr>
        <w:t>Transfer of Traffic to Sustainable Modes</w:t>
      </w:r>
    </w:p>
    <w:p w:rsidR="00FA0D69" w:rsidRDefault="00FA0D69" w:rsidP="00A4081F">
      <w:pPr>
        <w:pStyle w:val="NumberedParas"/>
      </w:pPr>
      <w:r>
        <w:t xml:space="preserve"> Sustainability includes the transfer of traffic to sustainable modes of transport and reflects both national and EU policy towards “sustainable” modes of transport.  These are those modes, which, in the long term, have lower emissions and energy consumption per passenger km, and which have better safety records.  In practice this means rail and water transport, and to some extent long distance bus.  The National Model provides a means of quantifying the transfer of passengers and freight to these sustainable modes of transport, as a basis for assessing the impact of each scenario.</w:t>
      </w:r>
    </w:p>
    <w:p w:rsidR="00FA0D69" w:rsidRDefault="00FA0D69" w:rsidP="005E50B3">
      <w:pPr>
        <w:pStyle w:val="Body"/>
        <w:numPr>
          <w:ilvl w:val="0"/>
          <w:numId w:val="27"/>
        </w:numPr>
        <w:rPr>
          <w:b/>
          <w:lang w:val="ro-RO"/>
        </w:rPr>
      </w:pPr>
      <w:r>
        <w:rPr>
          <w:b/>
          <w:lang w:val="ro-RO"/>
        </w:rPr>
        <w:t>Balanced Economic Development</w:t>
      </w:r>
    </w:p>
    <w:p w:rsidR="00FA0D69" w:rsidRDefault="00FA0D69" w:rsidP="00A4081F">
      <w:pPr>
        <w:pStyle w:val="NumberedParas"/>
        <w:rPr>
          <w:lang w:val="en-US"/>
        </w:rPr>
      </w:pPr>
      <w:r>
        <w:rPr>
          <w:lang w:val="en-US"/>
        </w:rPr>
        <w:t xml:space="preserve">It comprised the improvements towards areas </w:t>
      </w:r>
      <w:r w:rsidRPr="00660BC1">
        <w:rPr>
          <w:lang w:val="en-US"/>
        </w:rPr>
        <w:t>with low accessibility both to foreign and domestic markets</w:t>
      </w:r>
      <w:r>
        <w:rPr>
          <w:lang w:val="en-US"/>
        </w:rPr>
        <w:t>. A comprehensive analysis on the accessibility was produced using the National Transport Model and its results were then used to quantify this criterion.</w:t>
      </w:r>
    </w:p>
    <w:p w:rsidR="00FA0D69" w:rsidRDefault="00FA0D69" w:rsidP="00FA0D69">
      <w:pPr>
        <w:rPr>
          <w:rFonts w:cs="Arial"/>
          <w:color w:val="000000"/>
          <w:sz w:val="22"/>
          <w:szCs w:val="22"/>
          <w:lang w:val="en-US"/>
        </w:rPr>
      </w:pPr>
    </w:p>
    <w:p w:rsidR="00FA0D69" w:rsidRPr="006E2241" w:rsidRDefault="00FA0D69" w:rsidP="00FA0D69">
      <w:pPr>
        <w:pStyle w:val="Hdg3"/>
      </w:pPr>
      <w:r w:rsidRPr="003933BD">
        <w:t>Selection of the Preferred Scenario</w:t>
      </w:r>
    </w:p>
    <w:p w:rsidR="00FA0D69" w:rsidRPr="00033257" w:rsidRDefault="00FA0D69" w:rsidP="00A4081F">
      <w:pPr>
        <w:pStyle w:val="NumberedParas"/>
      </w:pPr>
      <w:r w:rsidRPr="00033257">
        <w:t xml:space="preserve">At the end of </w:t>
      </w:r>
      <w:r>
        <w:t xml:space="preserve">appraisal </w:t>
      </w:r>
      <w:r w:rsidRPr="00033257">
        <w:t>stage, the optimised strategies for the development of Romania’s transport system have been developed based on “economic sustainability” and “economic and environmenta</w:t>
      </w:r>
      <w:r>
        <w:t>l sustainability” respectively.</w:t>
      </w:r>
      <w:r w:rsidRPr="00033257">
        <w:t xml:space="preserve"> The final stage of the process </w:t>
      </w:r>
      <w:r w:rsidR="0017437D">
        <w:t>was</w:t>
      </w:r>
      <w:r w:rsidRPr="00033257">
        <w:t xml:space="preserve"> to determine an overall recommended strategy.</w:t>
      </w:r>
    </w:p>
    <w:p w:rsidR="00FA0D69" w:rsidRPr="00033257" w:rsidRDefault="00FA0D69" w:rsidP="00A4081F">
      <w:pPr>
        <w:pStyle w:val="NumberedParas"/>
      </w:pPr>
      <w:r w:rsidRPr="00033257">
        <w:t>The recommended strategy seek</w:t>
      </w:r>
      <w:r>
        <w:t>s</w:t>
      </w:r>
      <w:r w:rsidRPr="00033257">
        <w:t xml:space="preserve"> to synthesise the two scenario strategies by combining the strongest elements of both scenarios, within the likely funding available.  Given that both scenarios refer to economic sustainability it is likely that there will be substantial overlap between them.  Projects that are advocated under both scenarios are likely to be included in the final recommended strategy, plus some projects which are included in one but not the other.</w:t>
      </w:r>
    </w:p>
    <w:p w:rsidR="00FA0D69" w:rsidRDefault="00FA0D69" w:rsidP="00A4081F">
      <w:pPr>
        <w:pStyle w:val="NumberedParas"/>
      </w:pPr>
      <w:r>
        <w:t xml:space="preserve">Outputs from the CBA and MCA </w:t>
      </w:r>
      <w:r w:rsidRPr="006E2241">
        <w:t xml:space="preserve">provide a succinct and objective assessment of the main impacts of each </w:t>
      </w:r>
      <w:r>
        <w:t>scenario</w:t>
      </w:r>
      <w:r w:rsidRPr="006E2241">
        <w:t xml:space="preserve">.  This allows </w:t>
      </w:r>
      <w:r>
        <w:t xml:space="preserve">the </w:t>
      </w:r>
      <w:r w:rsidRPr="006E2241">
        <w:t xml:space="preserve">appraisers to consider the benefits and disbenefits of each </w:t>
      </w:r>
      <w:r>
        <w:t>scenario</w:t>
      </w:r>
      <w:r w:rsidRPr="006E2241">
        <w:t>, based on a consistent, transparent and auditable approach</w:t>
      </w:r>
      <w:r>
        <w:t>.</w:t>
      </w:r>
    </w:p>
    <w:p w:rsidR="00FA0D69" w:rsidRPr="00FA0D69" w:rsidRDefault="00FA0D69" w:rsidP="00A4081F">
      <w:pPr>
        <w:pStyle w:val="NumberedParas"/>
      </w:pPr>
      <w:r>
        <w:t>Chapter 12 includes the results of the prioritisation process and the recommendations of the preferred scenario</w:t>
      </w:r>
      <w:r w:rsidR="00414827">
        <w:t>.</w:t>
      </w:r>
    </w:p>
    <w:p w:rsidR="0017437D" w:rsidRDefault="0017437D">
      <w:r>
        <w:br w:type="page"/>
      </w:r>
    </w:p>
    <w:p w:rsidR="007A3F69" w:rsidRDefault="007A3F69" w:rsidP="00045287">
      <w:pPr>
        <w:pStyle w:val="Hdg2"/>
      </w:pPr>
      <w:bookmarkStart w:id="46" w:name="_Toc413056034"/>
      <w:r>
        <w:t>Ex-Ante Conditionalities</w:t>
      </w:r>
      <w:bookmarkEnd w:id="46"/>
    </w:p>
    <w:p w:rsidR="00005AA0" w:rsidRPr="00005AA0" w:rsidRDefault="00005AA0" w:rsidP="00A4081F">
      <w:pPr>
        <w:pStyle w:val="NumberedParas"/>
        <w:rPr>
          <w:rFonts w:ascii="Times New Roman" w:hAnsi="Times New Roman"/>
          <w:lang w:val="en-US" w:eastAsia="en-GB"/>
        </w:rPr>
      </w:pPr>
      <w:r w:rsidRPr="00D77BF2">
        <w:rPr>
          <w:lang w:val="en-US" w:eastAsia="en-GB"/>
        </w:rPr>
        <w:t>The document “</w:t>
      </w:r>
      <w:r w:rsidRPr="00D77BF2">
        <w:t>Guidance</w:t>
      </w:r>
      <w:r w:rsidRPr="00D77BF2">
        <w:rPr>
          <w:lang w:val="en-US" w:eastAsia="en-GB"/>
        </w:rPr>
        <w:t xml:space="preserve"> on Ex ante Conditionalities for the European Structural and Investment</w:t>
      </w:r>
      <w:r w:rsidRPr="00005AA0">
        <w:rPr>
          <w:lang w:val="en-US" w:eastAsia="en-GB"/>
        </w:rPr>
        <w:t xml:space="preserve"> </w:t>
      </w:r>
      <w:r w:rsidRPr="0017437D">
        <w:t>Funds</w:t>
      </w:r>
      <w:r w:rsidRPr="00005AA0">
        <w:rPr>
          <w:lang w:val="en-US" w:eastAsia="en-GB"/>
        </w:rPr>
        <w:t xml:space="preserve"> PART II” </w:t>
      </w:r>
      <w:r>
        <w:rPr>
          <w:rStyle w:val="FootnoteReference"/>
          <w:lang w:val="en-US" w:eastAsia="en-GB"/>
        </w:rPr>
        <w:footnoteReference w:id="5"/>
      </w:r>
      <w:r w:rsidRPr="00005AA0">
        <w:rPr>
          <w:lang w:val="en-US" w:eastAsia="en-GB"/>
        </w:rPr>
        <w:t xml:space="preserve"> states that the Thematic Objective transport objective for transport is: </w:t>
      </w:r>
    </w:p>
    <w:p w:rsidR="00005AA0" w:rsidRPr="00005AA0" w:rsidRDefault="00005AA0" w:rsidP="00CB693F">
      <w:pPr>
        <w:pStyle w:val="ListParagraph"/>
        <w:pBdr>
          <w:top w:val="single" w:sz="4" w:space="1" w:color="auto"/>
          <w:left w:val="single" w:sz="4" w:space="4" w:color="auto"/>
          <w:bottom w:val="single" w:sz="4" w:space="1" w:color="auto"/>
          <w:right w:val="single" w:sz="4" w:space="4" w:color="auto"/>
        </w:pBdr>
        <w:autoSpaceDE w:val="0"/>
        <w:autoSpaceDN w:val="0"/>
        <w:adjustRightInd w:val="0"/>
        <w:ind w:left="680"/>
        <w:rPr>
          <w:i/>
          <w:sz w:val="22"/>
          <w:szCs w:val="22"/>
          <w:lang w:val="en-US" w:eastAsia="en-GB"/>
        </w:rPr>
      </w:pPr>
      <w:r w:rsidRPr="00005AA0">
        <w:rPr>
          <w:i/>
          <w:sz w:val="22"/>
          <w:szCs w:val="22"/>
          <w:lang w:val="en-US" w:eastAsia="en-GB"/>
        </w:rPr>
        <w:t>Promoting sustainable transport and removing bottlenecks in key network infrastructures (referred to in Article 9(7))</w:t>
      </w:r>
    </w:p>
    <w:p w:rsidR="00005AA0" w:rsidRPr="00005AA0" w:rsidRDefault="00005AA0" w:rsidP="00A4081F">
      <w:pPr>
        <w:pStyle w:val="NumberedParas"/>
        <w:rPr>
          <w:lang w:val="en-US" w:eastAsia="en-GB"/>
        </w:rPr>
      </w:pPr>
      <w:r>
        <w:rPr>
          <w:lang w:val="en-US" w:eastAsia="en-GB"/>
        </w:rPr>
        <w:t>The</w:t>
      </w:r>
      <w:r w:rsidRPr="00005AA0">
        <w:rPr>
          <w:lang w:val="en-US" w:eastAsia="en-GB"/>
        </w:rPr>
        <w:t xml:space="preserve"> corresponding ex-ante conditionality is:</w:t>
      </w:r>
    </w:p>
    <w:p w:rsidR="00005AA0" w:rsidRPr="00005AA0" w:rsidRDefault="00005AA0" w:rsidP="00CB693F">
      <w:pPr>
        <w:pStyle w:val="ListParagraph"/>
        <w:widowControl w:val="0"/>
        <w:pBdr>
          <w:top w:val="single" w:sz="4" w:space="1" w:color="auto"/>
          <w:left w:val="single" w:sz="4" w:space="4" w:color="auto"/>
          <w:bottom w:val="single" w:sz="4" w:space="1" w:color="auto"/>
          <w:right w:val="single" w:sz="4" w:space="4" w:color="auto"/>
        </w:pBdr>
        <w:autoSpaceDE w:val="0"/>
        <w:autoSpaceDN w:val="0"/>
        <w:adjustRightInd w:val="0"/>
        <w:spacing w:before="120" w:after="120" w:line="276" w:lineRule="auto"/>
        <w:ind w:left="680"/>
        <w:rPr>
          <w:b/>
          <w:bCs/>
          <w:i/>
          <w:sz w:val="22"/>
          <w:szCs w:val="22"/>
        </w:rPr>
      </w:pPr>
      <w:r w:rsidRPr="00005AA0">
        <w:rPr>
          <w:i/>
          <w:sz w:val="22"/>
          <w:szCs w:val="22"/>
          <w:lang w:val="en-US" w:eastAsia="en-GB"/>
        </w:rPr>
        <w:t>The existence of a comprehensive plan or plans or framework or frameworks for transport investment in accordance with the Member States’ institutional set-up (including public transport at regional and local level) which supports infrastructure development and improves connectivity to the TEN-T comprehensive and core networks.</w:t>
      </w:r>
    </w:p>
    <w:p w:rsidR="00005AA0" w:rsidRDefault="00005AA0" w:rsidP="00A4081F">
      <w:pPr>
        <w:pStyle w:val="NumberedParas"/>
      </w:pPr>
      <w:r w:rsidRPr="00946B41">
        <w:t xml:space="preserve">The Master Plan </w:t>
      </w:r>
      <w:r>
        <w:t xml:space="preserve">is a comprehensive plan for all modes of transport, developed using quantified measures for the economic contribution of projects, their contribution to the Core TEN-T, and their contribution to national and regional development.  The key assessment tools are the National Transport Model, which assesses the demand for travel based on observed data and mode choice </w:t>
      </w:r>
      <w:r w:rsidRPr="00D77BF2">
        <w:t>relationships</w:t>
      </w:r>
      <w:r>
        <w:t>, and takes into account the level of service offered and travel times and costs for the different modes of transport.  It provides an integrated, neutral, and holistic for assessing transport interventions.  The CBA procedure, developed especially for the Master Plan, uses EC-recommended procedures to evaluate the economic benefits of an intervention taking into account the benefits to existing travellers and freight, diverted and traffic from other routes and modes, and newly-generated traffic.  It values travellers time, costs, vehicle operating costs, and environmental impacts such as vehicle emissions and noise, using accepted values, and compares these with the investment and operating costs.  The outputs are produced in the EC-approved format for Funding Applications to the Structural Funds.</w:t>
      </w:r>
    </w:p>
    <w:p w:rsidR="00DE269D" w:rsidRDefault="00DE269D" w:rsidP="00A4081F">
      <w:pPr>
        <w:pStyle w:val="NumberedParas"/>
      </w:pPr>
      <w:r>
        <w:t>Table 2.24 shows the ex-ante conditionalities and the way the Master Plan follows them.</w:t>
      </w:r>
    </w:p>
    <w:p w:rsidR="007A3F69" w:rsidRDefault="007A3F69" w:rsidP="0018508A"/>
    <w:p w:rsidR="00DE269D" w:rsidRDefault="00DE269D" w:rsidP="0018508A">
      <w:pPr>
        <w:sectPr w:rsidR="00DE269D" w:rsidSect="00933C17">
          <w:pgSz w:w="11907" w:h="16840" w:code="9"/>
          <w:pgMar w:top="1418" w:right="709" w:bottom="1418" w:left="907" w:header="357" w:footer="567" w:gutter="0"/>
          <w:cols w:space="187"/>
          <w:docGrid w:linePitch="360"/>
        </w:sectPr>
      </w:pPr>
    </w:p>
    <w:p w:rsidR="00DE269D" w:rsidRPr="00EF7388" w:rsidRDefault="00DE269D" w:rsidP="00EF7388">
      <w:pPr>
        <w:ind w:left="851"/>
        <w:rPr>
          <w:rFonts w:cs="Arial"/>
          <w:b/>
          <w:bCs/>
          <w:color w:val="000000"/>
          <w:sz w:val="22"/>
          <w:szCs w:val="22"/>
          <w:lang w:val="en-US"/>
        </w:rPr>
      </w:pPr>
      <w:r>
        <w:rPr>
          <w:rFonts w:cs="Arial"/>
          <w:b/>
          <w:bCs/>
          <w:color w:val="000000"/>
          <w:sz w:val="22"/>
          <w:szCs w:val="22"/>
          <w:lang w:val="en-US"/>
        </w:rPr>
        <w:t>Table 2.24 Ex-ante conditionalities</w:t>
      </w:r>
    </w:p>
    <w:tbl>
      <w:tblPr>
        <w:tblStyle w:val="TableGrid"/>
        <w:tblW w:w="5000" w:type="pct"/>
        <w:tblLook w:val="04A0" w:firstRow="1" w:lastRow="0" w:firstColumn="1" w:lastColumn="0" w:noHBand="0" w:noVBand="1"/>
      </w:tblPr>
      <w:tblGrid>
        <w:gridCol w:w="8669"/>
        <w:gridCol w:w="1035"/>
        <w:gridCol w:w="4516"/>
      </w:tblGrid>
      <w:tr w:rsidR="00DE269D" w:rsidRPr="002742DE" w:rsidTr="00DE269D">
        <w:trPr>
          <w:trHeight w:val="544"/>
          <w:tblHeader/>
        </w:trPr>
        <w:tc>
          <w:tcPr>
            <w:tcW w:w="3048" w:type="pct"/>
            <w:vMerge w:val="restart"/>
            <w:shd w:val="clear" w:color="auto" w:fill="B8CCE4" w:themeFill="accent1" w:themeFillTint="66"/>
            <w:vAlign w:val="center"/>
          </w:tcPr>
          <w:p w:rsidR="00DE269D" w:rsidRPr="002742DE" w:rsidRDefault="00DE269D" w:rsidP="00DE269D">
            <w:pPr>
              <w:spacing w:line="222" w:lineRule="exact"/>
              <w:jc w:val="center"/>
              <w:rPr>
                <w:rFonts w:cs="Arial"/>
                <w:b/>
                <w:sz w:val="20"/>
                <w:szCs w:val="20"/>
              </w:rPr>
            </w:pPr>
            <w:r w:rsidRPr="002742DE">
              <w:rPr>
                <w:rFonts w:cs="Arial"/>
                <w:b/>
                <w:sz w:val="20"/>
                <w:szCs w:val="20"/>
              </w:rPr>
              <w:t>Criteria for fulfilment</w:t>
            </w:r>
          </w:p>
        </w:tc>
        <w:tc>
          <w:tcPr>
            <w:tcW w:w="1952" w:type="pct"/>
            <w:gridSpan w:val="2"/>
            <w:shd w:val="clear" w:color="auto" w:fill="B8CCE4" w:themeFill="accent1" w:themeFillTint="66"/>
            <w:vAlign w:val="center"/>
          </w:tcPr>
          <w:p w:rsidR="00DE269D" w:rsidRPr="002742DE" w:rsidRDefault="00DE269D" w:rsidP="00DE269D">
            <w:pPr>
              <w:spacing w:before="39"/>
              <w:ind w:left="642" w:right="-20"/>
              <w:jc w:val="center"/>
              <w:rPr>
                <w:rFonts w:cs="Arial"/>
                <w:b/>
                <w:sz w:val="20"/>
                <w:szCs w:val="20"/>
              </w:rPr>
            </w:pPr>
            <w:r w:rsidRPr="002742DE">
              <w:rPr>
                <w:rFonts w:cs="Arial"/>
                <w:b/>
                <w:sz w:val="20"/>
                <w:szCs w:val="20"/>
              </w:rPr>
              <w:t>Criteria fulfilled?</w:t>
            </w:r>
          </w:p>
        </w:tc>
      </w:tr>
      <w:tr w:rsidR="00DE269D" w:rsidRPr="002742DE" w:rsidTr="00DE269D">
        <w:trPr>
          <w:trHeight w:val="759"/>
          <w:tblHeader/>
        </w:trPr>
        <w:tc>
          <w:tcPr>
            <w:tcW w:w="3048" w:type="pct"/>
            <w:vMerge/>
            <w:shd w:val="clear" w:color="auto" w:fill="B8CCE4" w:themeFill="accent1" w:themeFillTint="66"/>
            <w:vAlign w:val="center"/>
          </w:tcPr>
          <w:p w:rsidR="00DE269D" w:rsidRPr="002742DE" w:rsidRDefault="00DE269D" w:rsidP="00DE269D">
            <w:pPr>
              <w:spacing w:line="222" w:lineRule="exact"/>
              <w:jc w:val="center"/>
              <w:rPr>
                <w:rFonts w:cs="Arial"/>
                <w:b/>
                <w:sz w:val="20"/>
                <w:szCs w:val="20"/>
              </w:rPr>
            </w:pPr>
          </w:p>
        </w:tc>
        <w:tc>
          <w:tcPr>
            <w:tcW w:w="364" w:type="pct"/>
            <w:shd w:val="clear" w:color="auto" w:fill="B8CCE4" w:themeFill="accent1" w:themeFillTint="66"/>
            <w:vAlign w:val="center"/>
          </w:tcPr>
          <w:p w:rsidR="00DE269D" w:rsidRPr="002742DE" w:rsidRDefault="00DE269D" w:rsidP="00DE269D">
            <w:pPr>
              <w:spacing w:before="39"/>
              <w:ind w:right="-20"/>
              <w:jc w:val="center"/>
              <w:rPr>
                <w:rFonts w:cs="Arial"/>
                <w:b/>
                <w:sz w:val="20"/>
                <w:szCs w:val="20"/>
              </w:rPr>
            </w:pPr>
            <w:r w:rsidRPr="002742DE">
              <w:rPr>
                <w:rFonts w:cs="Arial"/>
                <w:b/>
                <w:sz w:val="20"/>
                <w:szCs w:val="20"/>
              </w:rPr>
              <w:t>YES / NO</w:t>
            </w:r>
          </w:p>
        </w:tc>
        <w:tc>
          <w:tcPr>
            <w:tcW w:w="1589" w:type="pct"/>
            <w:shd w:val="clear" w:color="auto" w:fill="B8CCE4" w:themeFill="accent1" w:themeFillTint="66"/>
            <w:vAlign w:val="center"/>
          </w:tcPr>
          <w:p w:rsidR="00DE269D" w:rsidRPr="002742DE" w:rsidRDefault="00DE269D" w:rsidP="00DE269D">
            <w:pPr>
              <w:spacing w:before="39"/>
              <w:ind w:left="642" w:right="-20"/>
              <w:jc w:val="center"/>
              <w:rPr>
                <w:rFonts w:cs="Arial"/>
                <w:b/>
                <w:sz w:val="20"/>
                <w:szCs w:val="20"/>
              </w:rPr>
            </w:pPr>
            <w:r w:rsidRPr="002742DE">
              <w:rPr>
                <w:rFonts w:cs="Arial"/>
                <w:b/>
                <w:sz w:val="20"/>
                <w:szCs w:val="20"/>
              </w:rPr>
              <w:t>Elements of non-fulfilment</w:t>
            </w:r>
          </w:p>
        </w:tc>
      </w:tr>
      <w:tr w:rsidR="00DE269D" w:rsidRPr="002A1C7F" w:rsidTr="00DE269D">
        <w:tc>
          <w:tcPr>
            <w:tcW w:w="3048" w:type="pct"/>
            <w:vAlign w:val="center"/>
          </w:tcPr>
          <w:p w:rsidR="00DE269D" w:rsidRPr="002A1C7F" w:rsidRDefault="00DE269D" w:rsidP="00DE269D">
            <w:pPr>
              <w:spacing w:line="222" w:lineRule="exact"/>
              <w:rPr>
                <w:rFonts w:cs="Arial"/>
                <w:b/>
                <w:sz w:val="20"/>
                <w:szCs w:val="20"/>
              </w:rPr>
            </w:pP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34"/>
                <w:sz w:val="20"/>
                <w:szCs w:val="20"/>
              </w:rPr>
              <w:t xml:space="preserve"> </w:t>
            </w:r>
            <w:r w:rsidRPr="002A1C7F">
              <w:rPr>
                <w:rFonts w:cs="Arial"/>
                <w:b/>
                <w:i/>
                <w:sz w:val="20"/>
                <w:szCs w:val="20"/>
              </w:rPr>
              <w:t>e</w:t>
            </w:r>
            <w:r w:rsidRPr="002A1C7F">
              <w:rPr>
                <w:rFonts w:cs="Arial"/>
                <w:b/>
                <w:i/>
                <w:spacing w:val="1"/>
                <w:sz w:val="20"/>
                <w:szCs w:val="20"/>
              </w:rPr>
              <w:t>x</w:t>
            </w:r>
            <w:r w:rsidRPr="002A1C7F">
              <w:rPr>
                <w:rFonts w:cs="Arial"/>
                <w:b/>
                <w:i/>
                <w:sz w:val="20"/>
                <w:szCs w:val="20"/>
              </w:rPr>
              <w:t>i</w:t>
            </w:r>
            <w:r w:rsidRPr="002A1C7F">
              <w:rPr>
                <w:rFonts w:cs="Arial"/>
                <w:b/>
                <w:i/>
                <w:spacing w:val="-1"/>
                <w:sz w:val="20"/>
                <w:szCs w:val="20"/>
              </w:rPr>
              <w:t>s</w:t>
            </w:r>
            <w:r w:rsidRPr="002A1C7F">
              <w:rPr>
                <w:rFonts w:cs="Arial"/>
                <w:b/>
                <w:i/>
                <w:sz w:val="20"/>
                <w:szCs w:val="20"/>
              </w:rPr>
              <w:t>t</w:t>
            </w:r>
            <w:r w:rsidRPr="002A1C7F">
              <w:rPr>
                <w:rFonts w:cs="Arial"/>
                <w:b/>
                <w:i/>
                <w:spacing w:val="1"/>
                <w:sz w:val="20"/>
                <w:szCs w:val="20"/>
              </w:rPr>
              <w:t>en</w:t>
            </w:r>
            <w:r w:rsidRPr="002A1C7F">
              <w:rPr>
                <w:rFonts w:cs="Arial"/>
                <w:b/>
                <w:i/>
                <w:sz w:val="20"/>
                <w:szCs w:val="20"/>
              </w:rPr>
              <w:t>ce</w:t>
            </w:r>
            <w:r w:rsidRPr="002A1C7F">
              <w:rPr>
                <w:rFonts w:cs="Arial"/>
                <w:b/>
                <w:i/>
                <w:spacing w:val="30"/>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34"/>
                <w:sz w:val="20"/>
                <w:szCs w:val="20"/>
              </w:rPr>
              <w:t xml:space="preserve"> </w:t>
            </w:r>
            <w:r w:rsidRPr="002A1C7F">
              <w:rPr>
                <w:rFonts w:cs="Arial"/>
                <w:b/>
                <w:i/>
                <w:sz w:val="20"/>
                <w:szCs w:val="20"/>
              </w:rPr>
              <w:t>a</w:t>
            </w:r>
            <w:r w:rsidRPr="002A1C7F">
              <w:rPr>
                <w:rFonts w:cs="Arial"/>
                <w:b/>
                <w:i/>
                <w:spacing w:val="34"/>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h</w:t>
            </w:r>
            <w:r w:rsidRPr="002A1C7F">
              <w:rPr>
                <w:rFonts w:cs="Arial"/>
                <w:b/>
                <w:i/>
                <w:spacing w:val="-2"/>
                <w:sz w:val="20"/>
                <w:szCs w:val="20"/>
              </w:rPr>
              <w:t>e</w:t>
            </w:r>
            <w:r w:rsidRPr="002A1C7F">
              <w:rPr>
                <w:rFonts w:cs="Arial"/>
                <w:b/>
                <w:i/>
                <w:spacing w:val="1"/>
                <w:sz w:val="20"/>
                <w:szCs w:val="20"/>
              </w:rPr>
              <w:t>n</w:t>
            </w:r>
            <w:r w:rsidRPr="002A1C7F">
              <w:rPr>
                <w:rFonts w:cs="Arial"/>
                <w:b/>
                <w:i/>
                <w:spacing w:val="-1"/>
                <w:sz w:val="20"/>
                <w:szCs w:val="20"/>
              </w:rPr>
              <w:t>s</w:t>
            </w:r>
            <w:r w:rsidRPr="002A1C7F">
              <w:rPr>
                <w:rFonts w:cs="Arial"/>
                <w:b/>
                <w:i/>
                <w:sz w:val="20"/>
                <w:szCs w:val="20"/>
              </w:rPr>
              <w:t>ive</w:t>
            </w:r>
            <w:r w:rsidRPr="002A1C7F">
              <w:rPr>
                <w:rFonts w:cs="Arial"/>
                <w:b/>
                <w:i/>
                <w:spacing w:val="25"/>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1"/>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w:t>
            </w:r>
            <w:r w:rsidRPr="002A1C7F">
              <w:rPr>
                <w:rFonts w:cs="Arial"/>
                <w:b/>
                <w:i/>
                <w:spacing w:val="29"/>
                <w:sz w:val="20"/>
                <w:szCs w:val="20"/>
              </w:rPr>
              <w:t xml:space="preserve"> </w:t>
            </w:r>
            <w:r w:rsidRPr="002A1C7F">
              <w:rPr>
                <w:rFonts w:cs="Arial"/>
                <w:b/>
                <w:i/>
                <w:spacing w:val="1"/>
                <w:sz w:val="20"/>
                <w:szCs w:val="20"/>
              </w:rPr>
              <w:t>p</w:t>
            </w:r>
            <w:r w:rsidRPr="002A1C7F">
              <w:rPr>
                <w:rFonts w:cs="Arial"/>
                <w:b/>
                <w:i/>
                <w:sz w:val="20"/>
                <w:szCs w:val="20"/>
              </w:rPr>
              <w:t>l</w:t>
            </w:r>
            <w:r w:rsidRPr="002A1C7F">
              <w:rPr>
                <w:rFonts w:cs="Arial"/>
                <w:b/>
                <w:i/>
                <w:spacing w:val="1"/>
                <w:sz w:val="20"/>
                <w:szCs w:val="20"/>
              </w:rPr>
              <w:t>a</w:t>
            </w:r>
            <w:r w:rsidRPr="002A1C7F">
              <w:rPr>
                <w:rFonts w:cs="Arial"/>
                <w:b/>
                <w:i/>
                <w:sz w:val="20"/>
                <w:szCs w:val="20"/>
              </w:rPr>
              <w:t>n</w:t>
            </w:r>
            <w:r w:rsidRPr="002A1C7F">
              <w:rPr>
                <w:rFonts w:cs="Arial"/>
                <w:b/>
                <w:i/>
                <w:spacing w:val="35"/>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pacing w:val="1"/>
                <w:sz w:val="20"/>
                <w:szCs w:val="20"/>
              </w:rPr>
              <w:t>p</w:t>
            </w:r>
            <w:r w:rsidRPr="002A1C7F">
              <w:rPr>
                <w:rFonts w:cs="Arial"/>
                <w:b/>
                <w:i/>
                <w:sz w:val="20"/>
                <w:szCs w:val="20"/>
              </w:rPr>
              <w:t>l</w:t>
            </w:r>
            <w:r w:rsidRPr="002A1C7F">
              <w:rPr>
                <w:rFonts w:cs="Arial"/>
                <w:b/>
                <w:i/>
                <w:spacing w:val="-1"/>
                <w:sz w:val="20"/>
                <w:szCs w:val="20"/>
              </w:rPr>
              <w:t>an</w:t>
            </w:r>
            <w:r w:rsidRPr="002A1C7F">
              <w:rPr>
                <w:rFonts w:cs="Arial"/>
                <w:b/>
                <w:i/>
                <w:sz w:val="20"/>
                <w:szCs w:val="20"/>
              </w:rPr>
              <w:t>s</w:t>
            </w:r>
            <w:r w:rsidRPr="002A1C7F">
              <w:rPr>
                <w:rFonts w:cs="Arial"/>
                <w:b/>
                <w:i/>
                <w:spacing w:val="32"/>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z w:val="20"/>
                <w:szCs w:val="20"/>
              </w:rPr>
              <w:t>f</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mew</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28"/>
                <w:sz w:val="20"/>
                <w:szCs w:val="20"/>
              </w:rPr>
              <w:t xml:space="preserve"> </w:t>
            </w:r>
            <w:r w:rsidRPr="002A1C7F">
              <w:rPr>
                <w:rFonts w:cs="Arial"/>
                <w:b/>
                <w:i/>
                <w:spacing w:val="1"/>
                <w:sz w:val="20"/>
                <w:szCs w:val="20"/>
              </w:rPr>
              <w:t>o</w:t>
            </w:r>
            <w:r w:rsidRPr="002A1C7F">
              <w:rPr>
                <w:rFonts w:cs="Arial"/>
                <w:b/>
                <w:i/>
                <w:sz w:val="20"/>
                <w:szCs w:val="20"/>
              </w:rPr>
              <w:t>r</w:t>
            </w:r>
            <w:r w:rsidRPr="002A1C7F">
              <w:rPr>
                <w:rFonts w:cs="Arial"/>
                <w:b/>
                <w:i/>
                <w:spacing w:val="35"/>
                <w:sz w:val="20"/>
                <w:szCs w:val="20"/>
              </w:rPr>
              <w:t xml:space="preserve"> </w:t>
            </w:r>
            <w:r w:rsidRPr="002A1C7F">
              <w:rPr>
                <w:rFonts w:cs="Arial"/>
                <w:b/>
                <w:i/>
                <w:sz w:val="20"/>
                <w:szCs w:val="20"/>
              </w:rPr>
              <w:t>f</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mew</w:t>
            </w:r>
            <w:r w:rsidRPr="002A1C7F">
              <w:rPr>
                <w:rFonts w:cs="Arial"/>
                <w:b/>
                <w:i/>
                <w:spacing w:val="1"/>
                <w:sz w:val="20"/>
                <w:szCs w:val="20"/>
              </w:rPr>
              <w:t>o</w:t>
            </w:r>
            <w:r w:rsidRPr="002A1C7F">
              <w:rPr>
                <w:rFonts w:cs="Arial"/>
                <w:b/>
                <w:i/>
                <w:spacing w:val="2"/>
                <w:sz w:val="20"/>
                <w:szCs w:val="20"/>
              </w:rPr>
              <w:t>r</w:t>
            </w:r>
            <w:r w:rsidRPr="002A1C7F">
              <w:rPr>
                <w:rFonts w:cs="Arial"/>
                <w:b/>
                <w:i/>
                <w:sz w:val="20"/>
                <w:szCs w:val="20"/>
              </w:rPr>
              <w:t>ks</w:t>
            </w:r>
            <w:r w:rsidRPr="002A1C7F">
              <w:rPr>
                <w:rFonts w:cs="Arial"/>
                <w:b/>
                <w:i/>
                <w:spacing w:val="27"/>
                <w:sz w:val="20"/>
                <w:szCs w:val="20"/>
              </w:rPr>
              <w:t xml:space="preserve"> </w:t>
            </w:r>
            <w:r w:rsidRPr="002A1C7F">
              <w:rPr>
                <w:rFonts w:cs="Arial"/>
                <w:b/>
                <w:i/>
                <w:sz w:val="20"/>
                <w:szCs w:val="20"/>
              </w:rPr>
              <w:t>f</w:t>
            </w:r>
            <w:r w:rsidRPr="002A1C7F">
              <w:rPr>
                <w:rFonts w:cs="Arial"/>
                <w:b/>
                <w:i/>
                <w:spacing w:val="1"/>
                <w:sz w:val="20"/>
                <w:szCs w:val="20"/>
              </w:rPr>
              <w:t>o</w:t>
            </w:r>
            <w:r w:rsidRPr="002A1C7F">
              <w:rPr>
                <w:rFonts w:cs="Arial"/>
                <w:b/>
                <w:i/>
                <w:sz w:val="20"/>
                <w:szCs w:val="20"/>
              </w:rPr>
              <w:t>r</w:t>
            </w:r>
            <w:r w:rsidRPr="002A1C7F">
              <w:rPr>
                <w:rFonts w:cs="Arial"/>
                <w:b/>
                <w:i/>
                <w:spacing w:val="34"/>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1"/>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 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tme</w:t>
            </w:r>
            <w:r w:rsidRPr="002A1C7F">
              <w:rPr>
                <w:rFonts w:cs="Arial"/>
                <w:b/>
                <w:i/>
                <w:spacing w:val="1"/>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w</w:t>
            </w:r>
            <w:r w:rsidRPr="002A1C7F">
              <w:rPr>
                <w:rFonts w:cs="Arial"/>
                <w:b/>
                <w:i/>
                <w:spacing w:val="1"/>
                <w:sz w:val="20"/>
                <w:szCs w:val="20"/>
              </w:rPr>
              <w:t>h</w:t>
            </w:r>
            <w:r w:rsidRPr="002A1C7F">
              <w:rPr>
                <w:rFonts w:cs="Arial"/>
                <w:b/>
                <w:i/>
                <w:sz w:val="20"/>
                <w:szCs w:val="20"/>
              </w:rPr>
              <w:t>ic</w:t>
            </w:r>
            <w:r w:rsidRPr="002A1C7F">
              <w:rPr>
                <w:rFonts w:cs="Arial"/>
                <w:b/>
                <w:i/>
                <w:spacing w:val="1"/>
                <w:sz w:val="20"/>
                <w:szCs w:val="20"/>
              </w:rPr>
              <w:t>h</w:t>
            </w:r>
            <w:r w:rsidRPr="002A1C7F">
              <w:rPr>
                <w:rFonts w:cs="Arial"/>
                <w:b/>
                <w:i/>
                <w:sz w:val="20"/>
                <w:szCs w:val="20"/>
              </w:rPr>
              <w:t>:</w:t>
            </w:r>
          </w:p>
        </w:tc>
        <w:tc>
          <w:tcPr>
            <w:tcW w:w="364" w:type="pct"/>
            <w:vAlign w:val="center"/>
          </w:tcPr>
          <w:p w:rsidR="00DE269D" w:rsidRPr="002A1C7F" w:rsidRDefault="00DE269D" w:rsidP="00DE269D">
            <w:pPr>
              <w:spacing w:line="222" w:lineRule="exact"/>
              <w:jc w:val="center"/>
              <w:rPr>
                <w:rFonts w:cs="Arial"/>
                <w:b/>
                <w:sz w:val="20"/>
                <w:szCs w:val="20"/>
              </w:rPr>
            </w:pPr>
          </w:p>
        </w:tc>
        <w:tc>
          <w:tcPr>
            <w:tcW w:w="1589" w:type="pct"/>
            <w:vAlign w:val="center"/>
          </w:tcPr>
          <w:p w:rsidR="00DE269D" w:rsidRPr="002A1C7F" w:rsidRDefault="00DE269D" w:rsidP="00DE269D">
            <w:pPr>
              <w:spacing w:line="222" w:lineRule="exact"/>
              <w:rPr>
                <w:rFonts w:cs="Arial"/>
                <w:b/>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820"/>
              </w:tabs>
              <w:spacing w:before="60" w:line="240" w:lineRule="auto"/>
              <w:contextualSpacing/>
              <w:jc w:val="left"/>
            </w:pPr>
            <w:r w:rsidRPr="002742DE">
              <w:rPr>
                <w:spacing w:val="3"/>
              </w:rPr>
              <w:t>T</w:t>
            </w:r>
            <w:r w:rsidRPr="002742DE">
              <w:rPr>
                <w:spacing w:val="-1"/>
              </w:rPr>
              <w:t>h</w:t>
            </w:r>
            <w:r w:rsidRPr="002742DE">
              <w:t>e</w:t>
            </w:r>
            <w:r w:rsidRPr="002742DE">
              <w:rPr>
                <w:spacing w:val="7"/>
              </w:rPr>
              <w:t xml:space="preserve"> </w:t>
            </w:r>
            <w:r w:rsidRPr="002742DE">
              <w:rPr>
                <w:spacing w:val="1"/>
              </w:rPr>
              <w:t>r</w:t>
            </w:r>
            <w:r w:rsidRPr="002742DE">
              <w:t>ele</w:t>
            </w:r>
            <w:r w:rsidRPr="002742DE">
              <w:rPr>
                <w:spacing w:val="-1"/>
              </w:rPr>
              <w:t>v</w:t>
            </w:r>
            <w:r w:rsidRPr="002742DE">
              <w:t>a</w:t>
            </w:r>
            <w:r w:rsidRPr="002742DE">
              <w:rPr>
                <w:spacing w:val="-1"/>
              </w:rPr>
              <w:t>n</w:t>
            </w:r>
            <w:r w:rsidRPr="002742DE">
              <w:t>t</w:t>
            </w:r>
            <w:r w:rsidRPr="002742DE">
              <w:rPr>
                <w:spacing w:val="4"/>
              </w:rPr>
              <w:t xml:space="preserve"> </w:t>
            </w:r>
            <w:r w:rsidRPr="002742DE">
              <w:rPr>
                <w:spacing w:val="1"/>
              </w:rPr>
              <w:t>op</w:t>
            </w:r>
            <w:r w:rsidRPr="002742DE">
              <w:t>e</w:t>
            </w:r>
            <w:r w:rsidRPr="002742DE">
              <w:rPr>
                <w:spacing w:val="1"/>
              </w:rPr>
              <w:t>r</w:t>
            </w:r>
            <w:r w:rsidRPr="002742DE">
              <w:t>ati</w:t>
            </w:r>
            <w:r w:rsidRPr="002742DE">
              <w:rPr>
                <w:spacing w:val="1"/>
              </w:rPr>
              <w:t>o</w:t>
            </w:r>
            <w:r w:rsidRPr="002742DE">
              <w:rPr>
                <w:spacing w:val="-1"/>
              </w:rPr>
              <w:t>n</w:t>
            </w:r>
            <w:r w:rsidRPr="002742DE">
              <w:t>al</w:t>
            </w:r>
            <w:r w:rsidRPr="002742DE">
              <w:rPr>
                <w:spacing w:val="1"/>
              </w:rPr>
              <w:t xml:space="preserve"> pro</w:t>
            </w:r>
            <w:r w:rsidRPr="002742DE">
              <w:rPr>
                <w:spacing w:val="-1"/>
              </w:rPr>
              <w:t>g</w:t>
            </w:r>
            <w:r w:rsidRPr="002742DE">
              <w:rPr>
                <w:spacing w:val="1"/>
              </w:rPr>
              <w:t>r</w:t>
            </w:r>
            <w:r w:rsidRPr="002742DE">
              <w:rPr>
                <w:spacing w:val="3"/>
              </w:rPr>
              <w:t>a</w:t>
            </w:r>
            <w:r w:rsidRPr="002742DE">
              <w:rPr>
                <w:spacing w:val="-1"/>
              </w:rPr>
              <w:t>m</w:t>
            </w:r>
            <w:r w:rsidRPr="002742DE">
              <w:rPr>
                <w:spacing w:val="-4"/>
              </w:rPr>
              <w:t>m</w:t>
            </w:r>
            <w:r w:rsidRPr="002742DE">
              <w:t>e</w:t>
            </w:r>
            <w:r w:rsidRPr="002742DE">
              <w:rPr>
                <w:spacing w:val="5"/>
              </w:rPr>
              <w:t xml:space="preserve"> </w:t>
            </w:r>
            <w:r w:rsidRPr="002742DE">
              <w:rPr>
                <w:spacing w:val="3"/>
              </w:rPr>
              <w:t>a</w:t>
            </w:r>
            <w:r w:rsidRPr="002742DE">
              <w:rPr>
                <w:spacing w:val="-1"/>
              </w:rPr>
              <w:t>n</w:t>
            </w:r>
            <w:r w:rsidRPr="002742DE">
              <w:t>d</w:t>
            </w:r>
            <w:r w:rsidRPr="002742DE">
              <w:rPr>
                <w:spacing w:val="10"/>
              </w:rPr>
              <w:t xml:space="preserve"> </w:t>
            </w:r>
            <w:r w:rsidRPr="002742DE">
              <w:rPr>
                <w:spacing w:val="-2"/>
              </w:rPr>
              <w:t>w</w:t>
            </w:r>
            <w:r w:rsidRPr="002742DE">
              <w:rPr>
                <w:spacing w:val="-1"/>
              </w:rPr>
              <w:t>h</w:t>
            </w:r>
            <w:r w:rsidRPr="002742DE">
              <w:t>e</w:t>
            </w:r>
            <w:r w:rsidRPr="002742DE">
              <w:rPr>
                <w:spacing w:val="1"/>
              </w:rPr>
              <w:t>r</w:t>
            </w:r>
            <w:r w:rsidRPr="002742DE">
              <w:t>e</w:t>
            </w:r>
            <w:r w:rsidRPr="002742DE">
              <w:rPr>
                <w:spacing w:val="5"/>
              </w:rPr>
              <w:t xml:space="preserve"> </w:t>
            </w:r>
            <w:r w:rsidRPr="002742DE">
              <w:t>a</w:t>
            </w:r>
            <w:r w:rsidRPr="002742DE">
              <w:rPr>
                <w:spacing w:val="1"/>
              </w:rPr>
              <w:t>ppropr</w:t>
            </w:r>
            <w:r w:rsidRPr="002742DE">
              <w:t>iat</w:t>
            </w:r>
            <w:r w:rsidRPr="002742DE">
              <w:rPr>
                <w:spacing w:val="-2"/>
              </w:rPr>
              <w:t>e</w:t>
            </w:r>
            <w:r w:rsidRPr="002742DE">
              <w:t>, t</w:t>
            </w:r>
            <w:r w:rsidRPr="002742DE">
              <w:rPr>
                <w:spacing w:val="-1"/>
              </w:rPr>
              <w:t>h</w:t>
            </w:r>
            <w:r w:rsidRPr="002742DE">
              <w:t>e</w:t>
            </w:r>
            <w:r w:rsidRPr="002742DE">
              <w:rPr>
                <w:spacing w:val="8"/>
              </w:rPr>
              <w:t xml:space="preserve"> </w:t>
            </w:r>
            <w:r w:rsidRPr="002742DE">
              <w:rPr>
                <w:spacing w:val="2"/>
              </w:rPr>
              <w:t>P</w:t>
            </w:r>
            <w:r w:rsidRPr="002742DE">
              <w:t>a</w:t>
            </w:r>
            <w:r w:rsidRPr="002742DE">
              <w:rPr>
                <w:spacing w:val="1"/>
              </w:rPr>
              <w:t>r</w:t>
            </w:r>
            <w:r w:rsidRPr="002742DE">
              <w:t>t</w:t>
            </w:r>
            <w:r w:rsidRPr="002742DE">
              <w:rPr>
                <w:spacing w:val="-1"/>
              </w:rPr>
              <w:t>n</w:t>
            </w:r>
            <w:r w:rsidRPr="002742DE">
              <w:t>e</w:t>
            </w:r>
            <w:r w:rsidRPr="002742DE">
              <w:rPr>
                <w:spacing w:val="1"/>
              </w:rPr>
              <w:t>r</w:t>
            </w:r>
            <w:r w:rsidRPr="002742DE">
              <w:rPr>
                <w:spacing w:val="-1"/>
              </w:rPr>
              <w:t>sh</w:t>
            </w:r>
            <w:r w:rsidRPr="002742DE">
              <w:t>ip</w:t>
            </w:r>
            <w:r w:rsidRPr="002742DE">
              <w:rPr>
                <w:spacing w:val="4"/>
              </w:rPr>
              <w:t xml:space="preserve"> </w:t>
            </w:r>
            <w:r w:rsidRPr="002742DE">
              <w:rPr>
                <w:spacing w:val="-2"/>
              </w:rPr>
              <w:t>A</w:t>
            </w:r>
            <w:r w:rsidRPr="002742DE">
              <w:rPr>
                <w:spacing w:val="-1"/>
              </w:rPr>
              <w:t>g</w:t>
            </w:r>
            <w:r w:rsidRPr="002742DE">
              <w:rPr>
                <w:spacing w:val="1"/>
              </w:rPr>
              <w:t>r</w:t>
            </w:r>
            <w:r w:rsidRPr="002742DE">
              <w:t>e</w:t>
            </w:r>
            <w:r w:rsidRPr="002742DE">
              <w:rPr>
                <w:spacing w:val="3"/>
              </w:rPr>
              <w:t>e</w:t>
            </w:r>
            <w:r w:rsidRPr="002742DE">
              <w:rPr>
                <w:spacing w:val="-1"/>
              </w:rPr>
              <w:t>m</w:t>
            </w:r>
            <w:r w:rsidRPr="002742DE">
              <w:rPr>
                <w:spacing w:val="3"/>
              </w:rPr>
              <w:t>e</w:t>
            </w:r>
            <w:r w:rsidRPr="002742DE">
              <w:rPr>
                <w:spacing w:val="-1"/>
              </w:rPr>
              <w:t>n</w:t>
            </w:r>
            <w:r w:rsidRPr="002742DE">
              <w:t>t</w:t>
            </w:r>
            <w:r w:rsidRPr="002742DE">
              <w:rPr>
                <w:spacing w:val="6"/>
              </w:rPr>
              <w:t xml:space="preserve"> </w:t>
            </w:r>
            <w:r w:rsidRPr="002742DE">
              <w:rPr>
                <w:spacing w:val="3"/>
              </w:rPr>
              <w:t>c</w:t>
            </w:r>
            <w:r w:rsidRPr="002742DE">
              <w:rPr>
                <w:spacing w:val="1"/>
              </w:rPr>
              <w:t>o</w:t>
            </w:r>
            <w:r w:rsidRPr="002742DE">
              <w:rPr>
                <w:spacing w:val="-1"/>
              </w:rPr>
              <w:t>n</w:t>
            </w:r>
            <w:r w:rsidRPr="002742DE">
              <w:t>tai</w:t>
            </w:r>
            <w:r w:rsidRPr="002742DE">
              <w:rPr>
                <w:spacing w:val="1"/>
              </w:rPr>
              <w:t>n</w:t>
            </w:r>
            <w:r w:rsidRPr="002742DE">
              <w:t xml:space="preserve">s a </w:t>
            </w:r>
            <w:r w:rsidRPr="002742DE">
              <w:rPr>
                <w:spacing w:val="1"/>
              </w:rPr>
              <w:t>r</w:t>
            </w:r>
            <w:r w:rsidRPr="002742DE">
              <w:t>e</w:t>
            </w:r>
            <w:r w:rsidRPr="002742DE">
              <w:rPr>
                <w:spacing w:val="-1"/>
              </w:rPr>
              <w:t>f</w:t>
            </w:r>
            <w:r w:rsidRPr="002742DE">
              <w:t>e</w:t>
            </w:r>
            <w:r w:rsidRPr="002742DE">
              <w:rPr>
                <w:spacing w:val="1"/>
              </w:rPr>
              <w:t>r</w:t>
            </w:r>
            <w:r w:rsidRPr="002742DE">
              <w:t>e</w:t>
            </w:r>
            <w:r w:rsidRPr="002742DE">
              <w:rPr>
                <w:spacing w:val="-1"/>
              </w:rPr>
              <w:t>n</w:t>
            </w:r>
            <w:r w:rsidRPr="002742DE">
              <w:t>ce</w:t>
            </w:r>
            <w:r w:rsidRPr="002742DE">
              <w:rPr>
                <w:spacing w:val="-6"/>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n</w:t>
            </w:r>
            <w:r w:rsidRPr="002742DE">
              <w:rPr>
                <w:spacing w:val="3"/>
              </w:rPr>
              <w:t>a</w:t>
            </w:r>
            <w:r w:rsidRPr="002742DE">
              <w:rPr>
                <w:spacing w:val="-4"/>
              </w:rPr>
              <w:t>m</w:t>
            </w:r>
            <w:r w:rsidRPr="002742DE">
              <w:t>e</w:t>
            </w:r>
            <w:r w:rsidRPr="002742DE">
              <w:rPr>
                <w:spacing w:val="-3"/>
              </w:rPr>
              <w:t xml:space="preserve"> </w:t>
            </w:r>
            <w:r w:rsidRPr="002742DE">
              <w:rPr>
                <w:spacing w:val="3"/>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k</w:t>
            </w:r>
            <w:r w:rsidRPr="002742DE">
              <w:rPr>
                <w:spacing w:val="-10"/>
              </w:rPr>
              <w:t xml:space="preserve"> </w:t>
            </w:r>
            <w:r w:rsidRPr="002742DE">
              <w:rPr>
                <w:spacing w:val="3"/>
              </w:rPr>
              <w:t>a</w:t>
            </w:r>
            <w:r w:rsidRPr="002742DE">
              <w:rPr>
                <w:spacing w:val="-1"/>
              </w:rPr>
              <w:t>n</w:t>
            </w:r>
            <w:r w:rsidRPr="002742DE">
              <w:t>d</w:t>
            </w:r>
            <w:r w:rsidRPr="002742DE">
              <w:rPr>
                <w:spacing w:val="4"/>
              </w:rPr>
              <w:t xml:space="preserve"> </w:t>
            </w:r>
            <w:r w:rsidRPr="002742DE">
              <w:rPr>
                <w:spacing w:val="1"/>
              </w:rPr>
              <w:t>pr</w:t>
            </w:r>
            <w:r w:rsidRPr="002742DE">
              <w:rPr>
                <w:spacing w:val="2"/>
              </w:rPr>
              <w:t>o</w:t>
            </w:r>
            <w:r w:rsidRPr="002742DE">
              <w:rPr>
                <w:spacing w:val="-1"/>
              </w:rPr>
              <w:t>v</w:t>
            </w:r>
            <w:r w:rsidRPr="002742DE">
              <w:t>i</w:t>
            </w:r>
            <w:r w:rsidRPr="002742DE">
              <w:rPr>
                <w:spacing w:val="1"/>
              </w:rPr>
              <w:t>d</w:t>
            </w:r>
            <w:r w:rsidRPr="002742DE">
              <w:t>es</w:t>
            </w:r>
            <w:r w:rsidRPr="002742DE">
              <w:rPr>
                <w:spacing w:val="-7"/>
              </w:rPr>
              <w:t xml:space="preserve"> </w:t>
            </w:r>
            <w:r w:rsidRPr="002742DE">
              <w:t xml:space="preserve">a </w:t>
            </w:r>
            <w:r w:rsidRPr="002742DE">
              <w:rPr>
                <w:spacing w:val="1"/>
              </w:rPr>
              <w:t>h</w:t>
            </w:r>
            <w:r w:rsidRPr="002742DE">
              <w:rPr>
                <w:spacing w:val="-4"/>
              </w:rPr>
              <w:t>y</w:t>
            </w:r>
            <w:r w:rsidRPr="002742DE">
              <w:rPr>
                <w:spacing w:val="1"/>
              </w:rPr>
              <w:t>p</w:t>
            </w:r>
            <w:r w:rsidRPr="002742DE">
              <w:t>e</w:t>
            </w:r>
            <w:r w:rsidRPr="002742DE">
              <w:rPr>
                <w:spacing w:val="1"/>
              </w:rPr>
              <w:t>r</w:t>
            </w:r>
            <w:r w:rsidRPr="002742DE">
              <w:t>l</w:t>
            </w:r>
            <w:r w:rsidRPr="002742DE">
              <w:rPr>
                <w:spacing w:val="2"/>
              </w:rPr>
              <w:t>i</w:t>
            </w:r>
            <w:r w:rsidRPr="002742DE">
              <w:rPr>
                <w:spacing w:val="-1"/>
              </w:rPr>
              <w:t>n</w:t>
            </w:r>
            <w:r w:rsidRPr="002742DE">
              <w:t>k</w:t>
            </w:r>
            <w:r w:rsidRPr="002742DE">
              <w:rPr>
                <w:spacing w:val="-9"/>
              </w:rPr>
              <w:t xml:space="preserve"> </w:t>
            </w:r>
            <w:r w:rsidRPr="002742DE">
              <w:t>to</w:t>
            </w:r>
            <w:r w:rsidRPr="002742DE">
              <w:rPr>
                <w:spacing w:val="-1"/>
              </w:rPr>
              <w:t xml:space="preserve"> </w:t>
            </w:r>
            <w:r w:rsidRPr="002742DE">
              <w:rPr>
                <w:spacing w:val="2"/>
              </w:rPr>
              <w:t>t</w:t>
            </w:r>
            <w:r w:rsidRPr="002742DE">
              <w:rPr>
                <w:spacing w:val="-1"/>
              </w:rPr>
              <w:t>h</w:t>
            </w:r>
            <w:r w:rsidRPr="002742DE">
              <w:t>e</w:t>
            </w:r>
            <w:r w:rsidRPr="002742DE">
              <w:rPr>
                <w:spacing w:val="-1"/>
              </w:rPr>
              <w:t xml:space="preserve"> </w:t>
            </w:r>
            <w:r w:rsidRPr="002742DE">
              <w:rPr>
                <w:spacing w:val="1"/>
              </w:rPr>
              <w:t>do</w:t>
            </w:r>
            <w:r w:rsidRPr="002742DE">
              <w:t>c</w:t>
            </w:r>
            <w:r w:rsidRPr="002742DE">
              <w:rPr>
                <w:spacing w:val="1"/>
              </w:rPr>
              <w:t>u</w:t>
            </w:r>
            <w:r w:rsidRPr="002742DE">
              <w:rPr>
                <w:spacing w:val="-4"/>
              </w:rPr>
              <w:t>m</w:t>
            </w:r>
            <w:r w:rsidRPr="002742DE">
              <w:rPr>
                <w:spacing w:val="3"/>
              </w:rPr>
              <w:t>e</w:t>
            </w:r>
            <w:r w:rsidRPr="002742DE">
              <w:rPr>
                <w:spacing w:val="1"/>
              </w:rPr>
              <w:t>n</w:t>
            </w:r>
            <w:r w:rsidRPr="002742DE">
              <w:t>t</w:t>
            </w:r>
            <w:r w:rsidRPr="002742DE">
              <w:rPr>
                <w:spacing w:val="-1"/>
              </w:rPr>
              <w:t>s</w:t>
            </w:r>
            <w:r w:rsidRPr="002742DE">
              <w:rPr>
                <w:spacing w:val="1"/>
              </w:rPr>
              <w:t>(</w:t>
            </w:r>
            <w:r w:rsidRPr="002742DE">
              <w:rPr>
                <w:spacing w:val="-1"/>
              </w:rPr>
              <w:t>s</w:t>
            </w:r>
            <w:r w:rsidRPr="002742DE">
              <w:rPr>
                <w:spacing w:val="1"/>
              </w:rPr>
              <w:t>)</w:t>
            </w:r>
            <w:r w:rsidRPr="002742DE">
              <w:t>.</w:t>
            </w:r>
          </w:p>
        </w:tc>
        <w:tc>
          <w:tcPr>
            <w:tcW w:w="364" w:type="pct"/>
            <w:vAlign w:val="center"/>
          </w:tcPr>
          <w:p w:rsidR="00DE269D" w:rsidRPr="002742DE" w:rsidRDefault="00DE269D" w:rsidP="00DE269D">
            <w:pPr>
              <w:tabs>
                <w:tab w:val="left" w:pos="820"/>
              </w:tabs>
              <w:spacing w:before="60"/>
              <w:jc w:val="center"/>
              <w:rPr>
                <w:rFonts w:eastAsia="Wingdings" w:cs="Arial"/>
                <w:sz w:val="20"/>
                <w:szCs w:val="20"/>
              </w:rPr>
            </w:pPr>
            <w:r>
              <w:rPr>
                <w:rFonts w:eastAsia="Wingdings" w:cs="Arial"/>
                <w:sz w:val="20"/>
                <w:szCs w:val="20"/>
              </w:rPr>
              <w:t>NO</w:t>
            </w:r>
          </w:p>
        </w:tc>
        <w:tc>
          <w:tcPr>
            <w:tcW w:w="1589" w:type="pct"/>
            <w:vAlign w:val="center"/>
          </w:tcPr>
          <w:p w:rsidR="00DE269D" w:rsidRPr="002742DE" w:rsidRDefault="00DE269D" w:rsidP="00DE269D">
            <w:pPr>
              <w:tabs>
                <w:tab w:val="left" w:pos="820"/>
              </w:tabs>
              <w:spacing w:before="60"/>
              <w:rPr>
                <w:rFonts w:eastAsia="Wingdings" w:cs="Arial"/>
                <w:sz w:val="20"/>
                <w:szCs w:val="20"/>
              </w:rPr>
            </w:pPr>
            <w:r w:rsidRPr="002742DE">
              <w:rPr>
                <w:rFonts w:cs="Arial"/>
                <w:sz w:val="20"/>
                <w:szCs w:val="20"/>
              </w:rPr>
              <w:t>Master Pl</w:t>
            </w:r>
            <w:r>
              <w:rPr>
                <w:rFonts w:cs="Arial"/>
                <w:sz w:val="20"/>
                <w:szCs w:val="20"/>
              </w:rPr>
              <w:t>an not yet approved</w:t>
            </w:r>
          </w:p>
        </w:tc>
      </w:tr>
      <w:tr w:rsidR="00DE269D" w:rsidRPr="002A1C7F" w:rsidTr="00DE269D">
        <w:tc>
          <w:tcPr>
            <w:tcW w:w="3048" w:type="pct"/>
            <w:vAlign w:val="center"/>
          </w:tcPr>
          <w:p w:rsidR="00DE269D" w:rsidRPr="002A1C7F" w:rsidRDefault="00DE269D" w:rsidP="00DE269D">
            <w:pPr>
              <w:tabs>
                <w:tab w:val="left" w:pos="460"/>
              </w:tabs>
              <w:spacing w:line="222" w:lineRule="exact"/>
              <w:rPr>
                <w:rFonts w:cs="Arial"/>
                <w:b/>
                <w:sz w:val="20"/>
                <w:szCs w:val="20"/>
              </w:rPr>
            </w:pPr>
            <w:r w:rsidRPr="002A1C7F">
              <w:rPr>
                <w:rFonts w:cs="Arial"/>
                <w:b/>
                <w:sz w:val="20"/>
                <w:szCs w:val="20"/>
              </w:rPr>
              <w:t>–</w:t>
            </w:r>
            <w:r w:rsidRPr="002A1C7F">
              <w:rPr>
                <w:rFonts w:cs="Arial"/>
                <w:b/>
                <w:sz w:val="20"/>
                <w:szCs w:val="20"/>
              </w:rPr>
              <w:tab/>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z w:val="20"/>
                <w:szCs w:val="20"/>
              </w:rPr>
              <w:t>lies</w:t>
            </w:r>
            <w:r w:rsidRPr="002A1C7F">
              <w:rPr>
                <w:rFonts w:cs="Arial"/>
                <w:b/>
                <w:i/>
                <w:spacing w:val="-7"/>
                <w:sz w:val="20"/>
                <w:szCs w:val="20"/>
              </w:rPr>
              <w:t xml:space="preserve"> </w:t>
            </w:r>
            <w:r w:rsidRPr="002A1C7F">
              <w:rPr>
                <w:rFonts w:cs="Arial"/>
                <w:b/>
                <w:i/>
                <w:spacing w:val="-1"/>
                <w:sz w:val="20"/>
                <w:szCs w:val="20"/>
              </w:rPr>
              <w:t>w</w:t>
            </w:r>
            <w:r w:rsidRPr="002A1C7F">
              <w:rPr>
                <w:rFonts w:cs="Arial"/>
                <w:b/>
                <w:i/>
                <w:sz w:val="20"/>
                <w:szCs w:val="20"/>
              </w:rPr>
              <w:t>ith</w:t>
            </w:r>
            <w:r w:rsidRPr="002A1C7F">
              <w:rPr>
                <w:rFonts w:cs="Arial"/>
                <w:b/>
                <w:i/>
                <w:spacing w:val="-1"/>
                <w:sz w:val="20"/>
                <w:szCs w:val="20"/>
              </w:rPr>
              <w:t xml:space="preserve"> </w:t>
            </w:r>
            <w:r w:rsidRPr="002A1C7F">
              <w:rPr>
                <w:rFonts w:cs="Arial"/>
                <w:b/>
                <w:i/>
                <w:sz w:val="20"/>
                <w:szCs w:val="20"/>
              </w:rPr>
              <w:t>le</w:t>
            </w:r>
            <w:r w:rsidRPr="002A1C7F">
              <w:rPr>
                <w:rFonts w:cs="Arial"/>
                <w:b/>
                <w:i/>
                <w:spacing w:val="1"/>
                <w:sz w:val="20"/>
                <w:szCs w:val="20"/>
              </w:rPr>
              <w:t>ga</w:t>
            </w:r>
            <w:r w:rsidRPr="002A1C7F">
              <w:rPr>
                <w:rFonts w:cs="Arial"/>
                <w:b/>
                <w:i/>
                <w:sz w:val="20"/>
                <w:szCs w:val="20"/>
              </w:rPr>
              <w:t>l</w:t>
            </w:r>
            <w:r w:rsidRPr="002A1C7F">
              <w:rPr>
                <w:rFonts w:cs="Arial"/>
                <w:b/>
                <w:i/>
                <w:spacing w:val="-4"/>
                <w:sz w:val="20"/>
                <w:szCs w:val="20"/>
              </w:rPr>
              <w:t xml:space="preserve"> </w:t>
            </w:r>
            <w:r w:rsidRPr="002A1C7F">
              <w:rPr>
                <w:rFonts w:cs="Arial"/>
                <w:b/>
                <w:i/>
                <w:sz w:val="20"/>
                <w:szCs w:val="20"/>
              </w:rPr>
              <w:t>re</w:t>
            </w:r>
            <w:r w:rsidRPr="002A1C7F">
              <w:rPr>
                <w:rFonts w:cs="Arial"/>
                <w:b/>
                <w:i/>
                <w:spacing w:val="1"/>
                <w:sz w:val="20"/>
                <w:szCs w:val="20"/>
              </w:rPr>
              <w:t>qu</w:t>
            </w:r>
            <w:r w:rsidRPr="002A1C7F">
              <w:rPr>
                <w:rFonts w:cs="Arial"/>
                <w:b/>
                <w:i/>
                <w:sz w:val="20"/>
                <w:szCs w:val="20"/>
              </w:rPr>
              <w:t>i</w:t>
            </w:r>
            <w:r w:rsidRPr="002A1C7F">
              <w:rPr>
                <w:rFonts w:cs="Arial"/>
                <w:b/>
                <w:i/>
                <w:spacing w:val="-1"/>
                <w:sz w:val="20"/>
                <w:szCs w:val="20"/>
              </w:rPr>
              <w:t>r</w:t>
            </w:r>
            <w:r w:rsidRPr="002A1C7F">
              <w:rPr>
                <w:rFonts w:cs="Arial"/>
                <w:b/>
                <w:i/>
                <w:sz w:val="20"/>
                <w:szCs w:val="20"/>
              </w:rPr>
              <w:t>em</w:t>
            </w:r>
            <w:r w:rsidRPr="002A1C7F">
              <w:rPr>
                <w:rFonts w:cs="Arial"/>
                <w:b/>
                <w:i/>
                <w:spacing w:val="1"/>
                <w:sz w:val="20"/>
                <w:szCs w:val="20"/>
              </w:rPr>
              <w:t>en</w:t>
            </w:r>
            <w:r w:rsidRPr="002A1C7F">
              <w:rPr>
                <w:rFonts w:cs="Arial"/>
                <w:b/>
                <w:i/>
                <w:sz w:val="20"/>
                <w:szCs w:val="20"/>
              </w:rPr>
              <w:t>ts</w:t>
            </w:r>
            <w:r w:rsidRPr="002A1C7F">
              <w:rPr>
                <w:rFonts w:cs="Arial"/>
                <w:b/>
                <w:i/>
                <w:spacing w:val="-12"/>
                <w:sz w:val="20"/>
                <w:szCs w:val="20"/>
              </w:rPr>
              <w:t xml:space="preserve"> </w:t>
            </w:r>
            <w:r w:rsidRPr="002A1C7F">
              <w:rPr>
                <w:rFonts w:cs="Arial"/>
                <w:b/>
                <w:i/>
                <w:sz w:val="20"/>
                <w:szCs w:val="20"/>
              </w:rPr>
              <w:t>f</w:t>
            </w:r>
            <w:r w:rsidRPr="002A1C7F">
              <w:rPr>
                <w:rFonts w:cs="Arial"/>
                <w:b/>
                <w:i/>
                <w:spacing w:val="1"/>
                <w:sz w:val="20"/>
                <w:szCs w:val="20"/>
              </w:rPr>
              <w:t>o</w:t>
            </w:r>
            <w:r w:rsidRPr="002A1C7F">
              <w:rPr>
                <w:rFonts w:cs="Arial"/>
                <w:b/>
                <w:i/>
                <w:sz w:val="20"/>
                <w:szCs w:val="20"/>
              </w:rPr>
              <w:t>r</w:t>
            </w:r>
            <w:r w:rsidRPr="002A1C7F">
              <w:rPr>
                <w:rFonts w:cs="Arial"/>
                <w:b/>
                <w:i/>
                <w:spacing w:val="-2"/>
                <w:sz w:val="20"/>
                <w:szCs w:val="20"/>
              </w:rPr>
              <w:t xml:space="preserve"> </w:t>
            </w:r>
            <w:r w:rsidRPr="002A1C7F">
              <w:rPr>
                <w:rFonts w:cs="Arial"/>
                <w:b/>
                <w:i/>
                <w:spacing w:val="-1"/>
                <w:sz w:val="20"/>
                <w:szCs w:val="20"/>
              </w:rPr>
              <w:t>s</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w:t>
            </w:r>
            <w:r w:rsidRPr="002A1C7F">
              <w:rPr>
                <w:rFonts w:cs="Arial"/>
                <w:b/>
                <w:i/>
                <w:sz w:val="20"/>
                <w:szCs w:val="20"/>
              </w:rPr>
              <w:t>te</w:t>
            </w:r>
            <w:r w:rsidRPr="002A1C7F">
              <w:rPr>
                <w:rFonts w:cs="Arial"/>
                <w:b/>
                <w:i/>
                <w:spacing w:val="1"/>
                <w:sz w:val="20"/>
                <w:szCs w:val="20"/>
              </w:rPr>
              <w:t>g</w:t>
            </w:r>
            <w:r w:rsidRPr="002A1C7F">
              <w:rPr>
                <w:rFonts w:cs="Arial"/>
                <w:b/>
                <w:i/>
                <w:sz w:val="20"/>
                <w:szCs w:val="20"/>
              </w:rPr>
              <w:t>ic</w:t>
            </w:r>
            <w:r w:rsidRPr="002A1C7F">
              <w:rPr>
                <w:rFonts w:cs="Arial"/>
                <w:b/>
                <w:i/>
                <w:spacing w:val="-7"/>
                <w:sz w:val="20"/>
                <w:szCs w:val="20"/>
              </w:rPr>
              <w:t xml:space="preserve"> </w:t>
            </w:r>
            <w:r w:rsidRPr="002A1C7F">
              <w:rPr>
                <w:rFonts w:cs="Arial"/>
                <w:b/>
                <w:i/>
                <w:sz w:val="20"/>
                <w:szCs w:val="20"/>
              </w:rPr>
              <w:t>e</w:t>
            </w:r>
            <w:r w:rsidRPr="002A1C7F">
              <w:rPr>
                <w:rFonts w:cs="Arial"/>
                <w:b/>
                <w:i/>
                <w:spacing w:val="1"/>
                <w:sz w:val="20"/>
                <w:szCs w:val="20"/>
              </w:rPr>
              <w:t>n</w:t>
            </w:r>
            <w:r w:rsidRPr="002A1C7F">
              <w:rPr>
                <w:rFonts w:cs="Arial"/>
                <w:b/>
                <w:i/>
                <w:sz w:val="20"/>
                <w:szCs w:val="20"/>
              </w:rPr>
              <w:t>viro</w:t>
            </w:r>
            <w:r w:rsidRPr="002A1C7F">
              <w:rPr>
                <w:rFonts w:cs="Arial"/>
                <w:b/>
                <w:i/>
                <w:spacing w:val="1"/>
                <w:sz w:val="20"/>
                <w:szCs w:val="20"/>
              </w:rPr>
              <w:t>n</w:t>
            </w:r>
            <w:r w:rsidRPr="002A1C7F">
              <w:rPr>
                <w:rFonts w:cs="Arial"/>
                <w:b/>
                <w:i/>
                <w:sz w:val="20"/>
                <w:szCs w:val="20"/>
              </w:rPr>
              <w:t>me</w:t>
            </w:r>
            <w:r w:rsidRPr="002A1C7F">
              <w:rPr>
                <w:rFonts w:cs="Arial"/>
                <w:b/>
                <w:i/>
                <w:spacing w:val="2"/>
                <w:sz w:val="20"/>
                <w:szCs w:val="20"/>
              </w:rPr>
              <w:t>n</w:t>
            </w:r>
            <w:r w:rsidRPr="002A1C7F">
              <w:rPr>
                <w:rFonts w:cs="Arial"/>
                <w:b/>
                <w:i/>
                <w:sz w:val="20"/>
                <w:szCs w:val="20"/>
              </w:rPr>
              <w:t>t</w:t>
            </w:r>
            <w:r w:rsidRPr="002A1C7F">
              <w:rPr>
                <w:rFonts w:cs="Arial"/>
                <w:b/>
                <w:i/>
                <w:spacing w:val="1"/>
                <w:sz w:val="20"/>
                <w:szCs w:val="20"/>
              </w:rPr>
              <w:t>a</w:t>
            </w:r>
            <w:r w:rsidRPr="002A1C7F">
              <w:rPr>
                <w:rFonts w:cs="Arial"/>
                <w:b/>
                <w:i/>
                <w:sz w:val="20"/>
                <w:szCs w:val="20"/>
              </w:rPr>
              <w:t>l</w:t>
            </w:r>
            <w:r w:rsidRPr="002A1C7F">
              <w:rPr>
                <w:rFonts w:cs="Arial"/>
                <w:b/>
                <w:i/>
                <w:spacing w:val="-12"/>
                <w:sz w:val="20"/>
                <w:szCs w:val="20"/>
              </w:rPr>
              <w:t xml:space="preserve"> </w:t>
            </w:r>
            <w:r w:rsidRPr="002A1C7F">
              <w:rPr>
                <w:rFonts w:cs="Arial"/>
                <w:b/>
                <w:i/>
                <w:spacing w:val="1"/>
                <w:sz w:val="20"/>
                <w:szCs w:val="20"/>
              </w:rPr>
              <w:t>a</w:t>
            </w:r>
            <w:r w:rsidRPr="002A1C7F">
              <w:rPr>
                <w:rFonts w:cs="Arial"/>
                <w:b/>
                <w:i/>
                <w:spacing w:val="-1"/>
                <w:sz w:val="20"/>
                <w:szCs w:val="20"/>
              </w:rPr>
              <w:t>ss</w:t>
            </w:r>
            <w:r w:rsidRPr="002A1C7F">
              <w:rPr>
                <w:rFonts w:cs="Arial"/>
                <w:b/>
                <w:i/>
                <w:sz w:val="20"/>
                <w:szCs w:val="20"/>
              </w:rPr>
              <w:t>es</w:t>
            </w:r>
            <w:r w:rsidRPr="002A1C7F">
              <w:rPr>
                <w:rFonts w:cs="Arial"/>
                <w:b/>
                <w:i/>
                <w:spacing w:val="1"/>
                <w:sz w:val="20"/>
                <w:szCs w:val="20"/>
              </w:rPr>
              <w:t>s</w:t>
            </w:r>
            <w:r w:rsidRPr="002A1C7F">
              <w:rPr>
                <w:rFonts w:cs="Arial"/>
                <w:b/>
                <w:i/>
                <w:sz w:val="20"/>
                <w:szCs w:val="20"/>
              </w:rPr>
              <w:t>me</w:t>
            </w:r>
            <w:r w:rsidRPr="002A1C7F">
              <w:rPr>
                <w:rFonts w:cs="Arial"/>
                <w:b/>
                <w:i/>
                <w:spacing w:val="2"/>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w:t>
            </w:r>
          </w:p>
        </w:tc>
        <w:tc>
          <w:tcPr>
            <w:tcW w:w="364" w:type="pct"/>
            <w:vAlign w:val="center"/>
          </w:tcPr>
          <w:p w:rsidR="00DE269D" w:rsidRPr="002A1C7F" w:rsidRDefault="00DE269D" w:rsidP="00DE269D">
            <w:pPr>
              <w:tabs>
                <w:tab w:val="left" w:pos="460"/>
              </w:tabs>
              <w:spacing w:line="222" w:lineRule="exact"/>
              <w:jc w:val="center"/>
              <w:rPr>
                <w:rFonts w:cs="Arial"/>
                <w:b/>
                <w:sz w:val="20"/>
                <w:szCs w:val="20"/>
              </w:rPr>
            </w:pPr>
          </w:p>
        </w:tc>
        <w:tc>
          <w:tcPr>
            <w:tcW w:w="1589" w:type="pct"/>
            <w:vAlign w:val="center"/>
          </w:tcPr>
          <w:p w:rsidR="00DE269D" w:rsidRPr="002A1C7F" w:rsidRDefault="00DE269D" w:rsidP="00DE269D">
            <w:pPr>
              <w:tabs>
                <w:tab w:val="left" w:pos="460"/>
              </w:tabs>
              <w:spacing w:line="222" w:lineRule="exact"/>
              <w:rPr>
                <w:rFonts w:cs="Arial"/>
                <w:b/>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1120"/>
              </w:tabs>
              <w:spacing w:before="61" w:line="239" w:lineRule="auto"/>
              <w:contextualSpacing/>
              <w:jc w:val="left"/>
            </w:pPr>
            <w:r w:rsidRPr="002742DE">
              <w:t>An</w:t>
            </w:r>
            <w:r w:rsidRPr="002742DE">
              <w:rPr>
                <w:spacing w:val="33"/>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tal</w:t>
            </w:r>
            <w:r w:rsidRPr="002742DE">
              <w:rPr>
                <w:spacing w:val="24"/>
              </w:rPr>
              <w:t xml:space="preserve"> </w:t>
            </w:r>
            <w:r w:rsidRPr="002742DE">
              <w:rPr>
                <w:spacing w:val="1"/>
              </w:rPr>
              <w:t>r</w:t>
            </w:r>
            <w:r w:rsidRPr="002742DE">
              <w:t>e</w:t>
            </w:r>
            <w:r w:rsidRPr="002742DE">
              <w:rPr>
                <w:spacing w:val="1"/>
              </w:rPr>
              <w:t>por</w:t>
            </w:r>
            <w:r w:rsidRPr="002742DE">
              <w:t>t</w:t>
            </w:r>
            <w:r w:rsidRPr="002742DE">
              <w:rPr>
                <w:spacing w:val="31"/>
              </w:rPr>
              <w:t xml:space="preserve"> </w:t>
            </w:r>
            <w:r w:rsidRPr="002742DE">
              <w:rPr>
                <w:spacing w:val="-1"/>
              </w:rPr>
              <w:t>h</w:t>
            </w:r>
            <w:r w:rsidRPr="002742DE">
              <w:t>as</w:t>
            </w:r>
            <w:r w:rsidRPr="002742DE">
              <w:rPr>
                <w:spacing w:val="35"/>
              </w:rPr>
              <w:t xml:space="preserve"> </w:t>
            </w:r>
            <w:r w:rsidRPr="002742DE">
              <w:rPr>
                <w:spacing w:val="1"/>
              </w:rPr>
              <w:t>b</w:t>
            </w:r>
            <w:r w:rsidRPr="002742DE">
              <w:t>e</w:t>
            </w:r>
            <w:r w:rsidRPr="002742DE">
              <w:rPr>
                <w:spacing w:val="1"/>
              </w:rPr>
              <w:t>e</w:t>
            </w:r>
            <w:r w:rsidRPr="002742DE">
              <w:t>n</w:t>
            </w:r>
            <w:r w:rsidRPr="002742DE">
              <w:rPr>
                <w:spacing w:val="35"/>
              </w:rPr>
              <w:t xml:space="preserve"> </w:t>
            </w:r>
            <w:r w:rsidRPr="002742DE">
              <w:rPr>
                <w:spacing w:val="1"/>
              </w:rPr>
              <w:t>pr</w:t>
            </w:r>
            <w:r w:rsidRPr="002742DE">
              <w:t>e</w:t>
            </w:r>
            <w:r w:rsidRPr="002742DE">
              <w:rPr>
                <w:spacing w:val="1"/>
              </w:rPr>
              <w:t>p</w:t>
            </w:r>
            <w:r w:rsidRPr="002742DE">
              <w:t>a</w:t>
            </w:r>
            <w:r w:rsidRPr="002742DE">
              <w:rPr>
                <w:spacing w:val="1"/>
              </w:rPr>
              <w:t>r</w:t>
            </w:r>
            <w:r w:rsidRPr="002742DE">
              <w:rPr>
                <w:spacing w:val="-2"/>
              </w:rPr>
              <w:t>e</w:t>
            </w:r>
            <w:r w:rsidRPr="002742DE">
              <w:t>d</w:t>
            </w:r>
            <w:r w:rsidRPr="002742DE">
              <w:rPr>
                <w:spacing w:val="30"/>
              </w:rPr>
              <w:t xml:space="preserve"> </w:t>
            </w:r>
            <w:r w:rsidRPr="002742DE">
              <w:t>in</w:t>
            </w:r>
            <w:r w:rsidRPr="002742DE">
              <w:rPr>
                <w:spacing w:val="35"/>
              </w:rPr>
              <w:t xml:space="preserve"> </w:t>
            </w:r>
            <w:r w:rsidRPr="002742DE">
              <w:rPr>
                <w:spacing w:val="-2"/>
              </w:rPr>
              <w:t>w</w:t>
            </w:r>
            <w:r w:rsidRPr="002742DE">
              <w:rPr>
                <w:spacing w:val="-1"/>
              </w:rPr>
              <w:t>h</w:t>
            </w:r>
            <w:r w:rsidRPr="002742DE">
              <w:t>i</w:t>
            </w:r>
            <w:r w:rsidRPr="002742DE">
              <w:rPr>
                <w:spacing w:val="2"/>
              </w:rPr>
              <w:t>c</w:t>
            </w:r>
            <w:r w:rsidRPr="002742DE">
              <w:t>h</w:t>
            </w:r>
            <w:r w:rsidRPr="002742DE">
              <w:rPr>
                <w:spacing w:val="32"/>
              </w:rPr>
              <w:t xml:space="preserve"> </w:t>
            </w:r>
            <w:r w:rsidRPr="002742DE">
              <w:t>t</w:t>
            </w:r>
            <w:r w:rsidRPr="002742DE">
              <w:rPr>
                <w:spacing w:val="-1"/>
              </w:rPr>
              <w:t>h</w:t>
            </w:r>
            <w:r w:rsidRPr="002742DE">
              <w:t>e</w:t>
            </w:r>
            <w:r w:rsidRPr="002742DE">
              <w:rPr>
                <w:spacing w:val="37"/>
              </w:rPr>
              <w:t xml:space="preserve"> </w:t>
            </w:r>
            <w:r w:rsidRPr="002742DE">
              <w:t>li</w:t>
            </w:r>
            <w:r w:rsidRPr="002742DE">
              <w:rPr>
                <w:spacing w:val="-2"/>
              </w:rPr>
              <w:t>k</w:t>
            </w:r>
            <w:r w:rsidRPr="002742DE">
              <w:t>e</w:t>
            </w:r>
            <w:r w:rsidRPr="002742DE">
              <w:rPr>
                <w:spacing w:val="2"/>
              </w:rPr>
              <w:t>l</w:t>
            </w:r>
            <w:r w:rsidRPr="002742DE">
              <w:t>y</w:t>
            </w:r>
            <w:r w:rsidRPr="002742DE">
              <w:rPr>
                <w:spacing w:val="30"/>
              </w:rPr>
              <w:t xml:space="preserve"> </w:t>
            </w:r>
            <w:r w:rsidRPr="002742DE">
              <w:rPr>
                <w:spacing w:val="-1"/>
              </w:rPr>
              <w:t>s</w:t>
            </w:r>
            <w:r w:rsidRPr="002742DE">
              <w:rPr>
                <w:spacing w:val="2"/>
              </w:rPr>
              <w:t>i</w:t>
            </w:r>
            <w:r w:rsidRPr="002742DE">
              <w:rPr>
                <w:spacing w:val="-1"/>
              </w:rPr>
              <w:t>g</w:t>
            </w:r>
            <w:r w:rsidRPr="002742DE">
              <w:rPr>
                <w:spacing w:val="1"/>
              </w:rPr>
              <w:t>n</w:t>
            </w:r>
            <w:r w:rsidRPr="002742DE">
              <w:t>i</w:t>
            </w:r>
            <w:r w:rsidRPr="002742DE">
              <w:rPr>
                <w:spacing w:val="-2"/>
              </w:rPr>
              <w:t>f</w:t>
            </w:r>
            <w:r w:rsidRPr="002742DE">
              <w:t>ic</w:t>
            </w:r>
            <w:r w:rsidRPr="002742DE">
              <w:rPr>
                <w:spacing w:val="3"/>
              </w:rPr>
              <w:t>a</w:t>
            </w:r>
            <w:r w:rsidRPr="002742DE">
              <w:rPr>
                <w:spacing w:val="-1"/>
              </w:rPr>
              <w:t>n</w:t>
            </w:r>
            <w:r w:rsidRPr="002742DE">
              <w:t>t</w:t>
            </w:r>
            <w:r w:rsidRPr="002742DE">
              <w:rPr>
                <w:spacing w:val="28"/>
              </w:rPr>
              <w:t xml:space="preserve"> </w:t>
            </w:r>
            <w:r w:rsidRPr="002742DE">
              <w:rPr>
                <w:spacing w:val="3"/>
              </w:rPr>
              <w:t>e</w:t>
            </w:r>
            <w:r w:rsidRPr="002742DE">
              <w:rPr>
                <w:spacing w:val="1"/>
              </w:rPr>
              <w:t>f</w:t>
            </w:r>
            <w:r w:rsidRPr="002742DE">
              <w:rPr>
                <w:spacing w:val="-2"/>
              </w:rPr>
              <w:t>f</w:t>
            </w:r>
            <w:r w:rsidRPr="002742DE">
              <w:t>e</w:t>
            </w:r>
            <w:r w:rsidRPr="002742DE">
              <w:rPr>
                <w:spacing w:val="1"/>
              </w:rPr>
              <w:t>c</w:t>
            </w:r>
            <w:r w:rsidRPr="002742DE">
              <w:t>ts</w:t>
            </w:r>
            <w:r w:rsidRPr="002742DE">
              <w:rPr>
                <w:spacing w:val="30"/>
              </w:rPr>
              <w:t xml:space="preserve"> </w:t>
            </w:r>
            <w:r w:rsidRPr="002742DE">
              <w:rPr>
                <w:spacing w:val="1"/>
              </w:rPr>
              <w:t>o</w:t>
            </w:r>
            <w:r w:rsidRPr="002742DE">
              <w:t>n</w:t>
            </w:r>
            <w:r w:rsidRPr="002742DE">
              <w:rPr>
                <w:spacing w:val="35"/>
              </w:rPr>
              <w:t xml:space="preserve"> </w:t>
            </w:r>
            <w:r w:rsidRPr="002742DE">
              <w:t>t</w:t>
            </w:r>
            <w:r w:rsidRPr="002742DE">
              <w:rPr>
                <w:spacing w:val="-1"/>
              </w:rPr>
              <w:t>h</w:t>
            </w:r>
            <w:r w:rsidRPr="002742DE">
              <w:t>e e</w:t>
            </w:r>
            <w:r w:rsidRPr="002742DE">
              <w:rPr>
                <w:spacing w:val="-1"/>
              </w:rPr>
              <w:t>nv</w:t>
            </w:r>
            <w:r w:rsidRPr="002742DE">
              <w:t>ir</w:t>
            </w:r>
            <w:r w:rsidRPr="002742DE">
              <w:rPr>
                <w:spacing w:val="3"/>
              </w:rPr>
              <w:t>o</w:t>
            </w:r>
            <w:r w:rsidRPr="002742DE">
              <w:rPr>
                <w:spacing w:val="-1"/>
              </w:rPr>
              <w:t>n</w:t>
            </w:r>
            <w:r w:rsidRPr="002742DE">
              <w:rPr>
                <w:spacing w:val="3"/>
              </w:rPr>
              <w:t>e</w:t>
            </w:r>
            <w:r w:rsidRPr="002742DE">
              <w:rPr>
                <w:spacing w:val="-4"/>
              </w:rPr>
              <w:t>m</w:t>
            </w:r>
            <w:r w:rsidRPr="002742DE">
              <w:rPr>
                <w:spacing w:val="3"/>
              </w:rPr>
              <w:t>e</w:t>
            </w:r>
            <w:r w:rsidRPr="002742DE">
              <w:rPr>
                <w:spacing w:val="-1"/>
              </w:rPr>
              <w:t>n</w:t>
            </w:r>
            <w:r w:rsidRPr="002742DE">
              <w:t>t</w:t>
            </w:r>
            <w:r w:rsidRPr="002742DE">
              <w:rPr>
                <w:spacing w:val="10"/>
              </w:rPr>
              <w:t xml:space="preserve"> </w:t>
            </w:r>
            <w:r w:rsidRPr="002742DE">
              <w:rPr>
                <w:spacing w:val="1"/>
              </w:rPr>
              <w:t>o</w:t>
            </w:r>
            <w:r w:rsidRPr="002742DE">
              <w:t>f</w:t>
            </w:r>
            <w:r w:rsidRPr="002742DE">
              <w:rPr>
                <w:spacing w:val="16"/>
              </w:rPr>
              <w:t xml:space="preserve"> </w:t>
            </w:r>
            <w:r w:rsidRPr="002742DE">
              <w:rPr>
                <w:spacing w:val="2"/>
              </w:rPr>
              <w:t>t</w:t>
            </w:r>
            <w:r w:rsidRPr="002742DE">
              <w:rPr>
                <w:spacing w:val="-1"/>
              </w:rPr>
              <w:t>h</w:t>
            </w:r>
            <w:r w:rsidRPr="002742DE">
              <w:t>e</w:t>
            </w:r>
            <w:r w:rsidRPr="002742DE">
              <w:rPr>
                <w:spacing w:val="18"/>
              </w:rPr>
              <w:t xml:space="preserve"> </w:t>
            </w:r>
            <w:r w:rsidRPr="002742DE">
              <w:rPr>
                <w:spacing w:val="2"/>
              </w:rPr>
              <w:t>i</w:t>
            </w:r>
            <w:r w:rsidRPr="002742DE">
              <w:rPr>
                <w:spacing w:val="-1"/>
              </w:rPr>
              <w:t>m</w:t>
            </w:r>
            <w:r w:rsidRPr="002742DE">
              <w:rPr>
                <w:spacing w:val="1"/>
              </w:rPr>
              <w:t>p</w:t>
            </w:r>
            <w:r w:rsidRPr="002742DE">
              <w:t>l</w:t>
            </w:r>
            <w:r w:rsidRPr="002742DE">
              <w:rPr>
                <w:spacing w:val="2"/>
              </w:rPr>
              <w:t>e</w:t>
            </w:r>
            <w:r w:rsidRPr="002742DE">
              <w:rPr>
                <w:spacing w:val="-1"/>
              </w:rPr>
              <w:t>m</w:t>
            </w:r>
            <w:r w:rsidRPr="002742DE">
              <w:rPr>
                <w:spacing w:val="3"/>
              </w:rPr>
              <w:t>e</w:t>
            </w:r>
            <w:r w:rsidRPr="002742DE">
              <w:rPr>
                <w:spacing w:val="-1"/>
              </w:rPr>
              <w:t>n</w:t>
            </w:r>
            <w:r w:rsidRPr="002742DE">
              <w:t>tati</w:t>
            </w:r>
            <w:r w:rsidRPr="002742DE">
              <w:rPr>
                <w:spacing w:val="1"/>
              </w:rPr>
              <w:t>o</w:t>
            </w:r>
            <w:r w:rsidRPr="002742DE">
              <w:t>n</w:t>
            </w:r>
            <w:r w:rsidRPr="002742DE">
              <w:rPr>
                <w:spacing w:val="7"/>
              </w:rPr>
              <w:t xml:space="preserve"> </w:t>
            </w:r>
            <w:r w:rsidRPr="002742DE">
              <w:rPr>
                <w:spacing w:val="1"/>
              </w:rPr>
              <w:t>o</w:t>
            </w:r>
            <w:r w:rsidRPr="002742DE">
              <w:t>f</w:t>
            </w:r>
            <w:r w:rsidRPr="002742DE">
              <w:rPr>
                <w:spacing w:val="18"/>
              </w:rPr>
              <w:t xml:space="preserve"> </w:t>
            </w:r>
            <w:r w:rsidRPr="002742DE">
              <w:t>t</w:t>
            </w:r>
            <w:r w:rsidRPr="002742DE">
              <w:rPr>
                <w:spacing w:val="-1"/>
              </w:rPr>
              <w:t>h</w:t>
            </w:r>
            <w:r w:rsidRPr="002742DE">
              <w:t>e</w:t>
            </w:r>
            <w:r w:rsidRPr="002742DE">
              <w:rPr>
                <w:spacing w:val="20"/>
              </w:rPr>
              <w:t xml:space="preserve"> </w:t>
            </w:r>
            <w:r w:rsidRPr="002742DE">
              <w:rPr>
                <w:spacing w:val="1"/>
              </w:rPr>
              <w:t>p</w:t>
            </w:r>
            <w:r w:rsidRPr="002742DE">
              <w:t>lan</w:t>
            </w:r>
            <w:r w:rsidRPr="002742DE">
              <w:rPr>
                <w:spacing w:val="15"/>
              </w:rPr>
              <w:t xml:space="preserve"> </w:t>
            </w:r>
            <w:r w:rsidRPr="002742DE">
              <w:rPr>
                <w:spacing w:val="1"/>
              </w:rPr>
              <w:t>o</w:t>
            </w:r>
            <w:r w:rsidRPr="002742DE">
              <w:t>r</w:t>
            </w:r>
            <w:r w:rsidRPr="002742DE">
              <w:rPr>
                <w:spacing w:val="27"/>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t>w</w:t>
            </w:r>
            <w:r w:rsidRPr="002742DE">
              <w:rPr>
                <w:spacing w:val="1"/>
              </w:rPr>
              <w:t>or</w:t>
            </w:r>
            <w:r w:rsidRPr="002742DE">
              <w:t>k</w:t>
            </w:r>
            <w:r w:rsidRPr="002742DE">
              <w:rPr>
                <w:spacing w:val="9"/>
              </w:rPr>
              <w:t xml:space="preserve"> </w:t>
            </w:r>
            <w:r w:rsidRPr="002742DE">
              <w:t>a</w:t>
            </w:r>
            <w:r w:rsidRPr="002742DE">
              <w:rPr>
                <w:spacing w:val="-1"/>
              </w:rPr>
              <w:t>n</w:t>
            </w:r>
            <w:r w:rsidRPr="002742DE">
              <w:t>d</w:t>
            </w:r>
            <w:r w:rsidRPr="002742DE">
              <w:rPr>
                <w:spacing w:val="17"/>
              </w:rPr>
              <w:t xml:space="preserve"> </w:t>
            </w:r>
            <w:r w:rsidRPr="002742DE">
              <w:rPr>
                <w:spacing w:val="1"/>
              </w:rPr>
              <w:t>r</w:t>
            </w:r>
            <w:r w:rsidRPr="002742DE">
              <w:t>e</w:t>
            </w:r>
            <w:r w:rsidRPr="002742DE">
              <w:rPr>
                <w:spacing w:val="1"/>
              </w:rPr>
              <w:t>a</w:t>
            </w:r>
            <w:r w:rsidRPr="002742DE">
              <w:rPr>
                <w:spacing w:val="-1"/>
              </w:rPr>
              <w:t>s</w:t>
            </w:r>
            <w:r w:rsidRPr="002742DE">
              <w:rPr>
                <w:spacing w:val="3"/>
              </w:rPr>
              <w:t>o</w:t>
            </w:r>
            <w:r w:rsidRPr="002742DE">
              <w:rPr>
                <w:spacing w:val="-1"/>
              </w:rPr>
              <w:t>n</w:t>
            </w:r>
            <w:r w:rsidRPr="002742DE">
              <w:t>a</w:t>
            </w:r>
            <w:r w:rsidRPr="002742DE">
              <w:rPr>
                <w:spacing w:val="1"/>
              </w:rPr>
              <w:t>b</w:t>
            </w:r>
            <w:r w:rsidRPr="002742DE">
              <w:t>le</w:t>
            </w:r>
            <w:r w:rsidRPr="002742DE">
              <w:rPr>
                <w:spacing w:val="10"/>
              </w:rPr>
              <w:t xml:space="preserve"> </w:t>
            </w:r>
            <w:r w:rsidRPr="002742DE">
              <w:t>a</w:t>
            </w:r>
            <w:r w:rsidRPr="002742DE">
              <w:rPr>
                <w:spacing w:val="2"/>
              </w:rPr>
              <w:t>l</w:t>
            </w:r>
            <w:r w:rsidRPr="002742DE">
              <w:t>te</w:t>
            </w:r>
            <w:r w:rsidRPr="002742DE">
              <w:rPr>
                <w:spacing w:val="1"/>
              </w:rPr>
              <w:t>r</w:t>
            </w:r>
            <w:r w:rsidRPr="002742DE">
              <w:rPr>
                <w:spacing w:val="-1"/>
              </w:rPr>
              <w:t>n</w:t>
            </w:r>
            <w:r w:rsidRPr="002742DE">
              <w:t>at</w:t>
            </w:r>
            <w:r w:rsidRPr="002742DE">
              <w:rPr>
                <w:spacing w:val="2"/>
              </w:rPr>
              <w:t>i</w:t>
            </w:r>
            <w:r w:rsidRPr="002742DE">
              <w:rPr>
                <w:spacing w:val="-1"/>
              </w:rPr>
              <w:t>v</w:t>
            </w:r>
            <w:r w:rsidRPr="002742DE">
              <w:t>es ta</w:t>
            </w:r>
            <w:r w:rsidRPr="002742DE">
              <w:rPr>
                <w:spacing w:val="-1"/>
              </w:rPr>
              <w:t>k</w:t>
            </w:r>
            <w:r w:rsidRPr="002742DE">
              <w:rPr>
                <w:spacing w:val="2"/>
              </w:rPr>
              <w:t>i</w:t>
            </w:r>
            <w:r w:rsidRPr="002742DE">
              <w:rPr>
                <w:spacing w:val="-1"/>
              </w:rPr>
              <w:t>n</w:t>
            </w:r>
            <w:r w:rsidRPr="002742DE">
              <w:t>g</w:t>
            </w:r>
            <w:r w:rsidRPr="002742DE">
              <w:rPr>
                <w:spacing w:val="-1"/>
              </w:rPr>
              <w:t xml:space="preserve"> </w:t>
            </w:r>
            <w:r w:rsidRPr="002742DE">
              <w:rPr>
                <w:spacing w:val="2"/>
              </w:rPr>
              <w:t>i</w:t>
            </w:r>
            <w:r w:rsidRPr="002742DE">
              <w:rPr>
                <w:spacing w:val="-1"/>
              </w:rPr>
              <w:t>n</w:t>
            </w:r>
            <w:r w:rsidRPr="002742DE">
              <w:t>to</w:t>
            </w:r>
            <w:r w:rsidRPr="002742DE">
              <w:rPr>
                <w:spacing w:val="3"/>
              </w:rPr>
              <w:t xml:space="preserve"> </w:t>
            </w:r>
            <w:r w:rsidRPr="002742DE">
              <w:t>a</w:t>
            </w:r>
            <w:r w:rsidRPr="002742DE">
              <w:rPr>
                <w:spacing w:val="1"/>
              </w:rPr>
              <w:t>c</w:t>
            </w:r>
            <w:r w:rsidRPr="002742DE">
              <w:t>c</w:t>
            </w:r>
            <w:r w:rsidRPr="002742DE">
              <w:rPr>
                <w:spacing w:val="1"/>
              </w:rPr>
              <w:t>ou</w:t>
            </w:r>
            <w:r w:rsidRPr="002742DE">
              <w:rPr>
                <w:spacing w:val="-1"/>
              </w:rPr>
              <w:t>n</w:t>
            </w:r>
            <w:r w:rsidRPr="002742DE">
              <w:t>t</w:t>
            </w:r>
            <w:r w:rsidRPr="002742DE">
              <w:rPr>
                <w:spacing w:val="-1"/>
              </w:rPr>
              <w:t xml:space="preserve"> </w:t>
            </w:r>
            <w:r w:rsidRPr="002742DE">
              <w:rPr>
                <w:spacing w:val="2"/>
              </w:rPr>
              <w:t>t</w:t>
            </w:r>
            <w:r w:rsidRPr="002742DE">
              <w:rPr>
                <w:spacing w:val="-1"/>
              </w:rPr>
              <w:t>h</w:t>
            </w:r>
            <w:r w:rsidRPr="002742DE">
              <w:t>e</w:t>
            </w:r>
            <w:r w:rsidRPr="002742DE">
              <w:rPr>
                <w:spacing w:val="3"/>
              </w:rPr>
              <w:t xml:space="preserve"> </w:t>
            </w:r>
            <w:r w:rsidRPr="002742DE">
              <w:rPr>
                <w:spacing w:val="1"/>
              </w:rPr>
              <w:t>ob</w:t>
            </w:r>
            <w:r w:rsidRPr="002742DE">
              <w:rPr>
                <w:spacing w:val="2"/>
              </w:rPr>
              <w:t>j</w:t>
            </w:r>
            <w:r w:rsidRPr="002742DE">
              <w:t>e</w:t>
            </w:r>
            <w:r w:rsidRPr="002742DE">
              <w:rPr>
                <w:spacing w:val="1"/>
              </w:rPr>
              <w:t>c</w:t>
            </w:r>
            <w:r w:rsidRPr="002742DE">
              <w:t>ti</w:t>
            </w:r>
            <w:r w:rsidRPr="002742DE">
              <w:rPr>
                <w:spacing w:val="-2"/>
              </w:rPr>
              <w:t>v</w:t>
            </w:r>
            <w:r w:rsidRPr="002742DE">
              <w:t>es</w:t>
            </w:r>
            <w:r w:rsidRPr="002742DE">
              <w:rPr>
                <w:spacing w:val="-3"/>
              </w:rPr>
              <w:t xml:space="preserve"> </w:t>
            </w:r>
            <w:r w:rsidRPr="002742DE">
              <w:rPr>
                <w:spacing w:val="3"/>
              </w:rPr>
              <w:t>a</w:t>
            </w:r>
            <w:r w:rsidRPr="002742DE">
              <w:rPr>
                <w:spacing w:val="-1"/>
              </w:rPr>
              <w:t>n</w:t>
            </w:r>
            <w:r w:rsidRPr="002742DE">
              <w:t>d</w:t>
            </w:r>
            <w:r w:rsidRPr="002742DE">
              <w:rPr>
                <w:spacing w:val="3"/>
              </w:rPr>
              <w:t xml:space="preserve"> </w:t>
            </w:r>
            <w:r w:rsidRPr="002742DE">
              <w:t>t</w:t>
            </w:r>
            <w:r w:rsidRPr="002742DE">
              <w:rPr>
                <w:spacing w:val="-1"/>
              </w:rPr>
              <w:t>h</w:t>
            </w:r>
            <w:r w:rsidRPr="002742DE">
              <w:t>e</w:t>
            </w:r>
            <w:r w:rsidRPr="002742DE">
              <w:rPr>
                <w:spacing w:val="6"/>
              </w:rPr>
              <w:t xml:space="preserve"> </w:t>
            </w:r>
            <w:r w:rsidRPr="002742DE">
              <w:rPr>
                <w:spacing w:val="-1"/>
              </w:rPr>
              <w:t>g</w:t>
            </w:r>
            <w:r w:rsidRPr="002742DE">
              <w:t>e</w:t>
            </w:r>
            <w:r w:rsidRPr="002742DE">
              <w:rPr>
                <w:spacing w:val="1"/>
              </w:rPr>
              <w:t>o</w:t>
            </w:r>
            <w:r w:rsidRPr="002742DE">
              <w:rPr>
                <w:spacing w:val="-1"/>
              </w:rPr>
              <w:t>g</w:t>
            </w:r>
            <w:r w:rsidRPr="002742DE">
              <w:rPr>
                <w:spacing w:val="1"/>
              </w:rPr>
              <w:t>r</w:t>
            </w:r>
            <w:r w:rsidRPr="002742DE">
              <w:t>a</w:t>
            </w:r>
            <w:r w:rsidRPr="002742DE">
              <w:rPr>
                <w:spacing w:val="1"/>
              </w:rPr>
              <w:t>p</w:t>
            </w:r>
            <w:r w:rsidRPr="002742DE">
              <w:rPr>
                <w:spacing w:val="-1"/>
              </w:rPr>
              <w:t>h</w:t>
            </w:r>
            <w:r w:rsidRPr="002742DE">
              <w:t>ic</w:t>
            </w:r>
            <w:r w:rsidRPr="002742DE">
              <w:rPr>
                <w:spacing w:val="3"/>
              </w:rPr>
              <w:t>a</w:t>
            </w:r>
            <w:r w:rsidRPr="002742DE">
              <w:t>l</w:t>
            </w:r>
            <w:r w:rsidRPr="002742DE">
              <w:rPr>
                <w:spacing w:val="-5"/>
              </w:rPr>
              <w:t xml:space="preserve"> </w:t>
            </w:r>
            <w:r w:rsidRPr="002742DE">
              <w:rPr>
                <w:spacing w:val="-1"/>
              </w:rPr>
              <w:t>s</w:t>
            </w:r>
            <w:r w:rsidRPr="002742DE">
              <w:t>c</w:t>
            </w:r>
            <w:r w:rsidRPr="002742DE">
              <w:rPr>
                <w:spacing w:val="1"/>
              </w:rPr>
              <w:t>op</w:t>
            </w:r>
            <w:r w:rsidRPr="002742DE">
              <w:t xml:space="preserve">e </w:t>
            </w:r>
            <w:r w:rsidRPr="002742DE">
              <w:rPr>
                <w:spacing w:val="1"/>
              </w:rPr>
              <w:t>o</w:t>
            </w:r>
            <w:r w:rsidRPr="002742DE">
              <w:t>f</w:t>
            </w:r>
            <w:r w:rsidRPr="002742DE">
              <w:rPr>
                <w:spacing w:val="1"/>
              </w:rPr>
              <w:t xml:space="preserve"> </w:t>
            </w:r>
            <w:r w:rsidRPr="002742DE">
              <w:t>t</w:t>
            </w:r>
            <w:r w:rsidRPr="002742DE">
              <w:rPr>
                <w:spacing w:val="-1"/>
              </w:rPr>
              <w:t>h</w:t>
            </w:r>
            <w:r w:rsidRPr="002742DE">
              <w:t>e</w:t>
            </w:r>
            <w:r w:rsidRPr="002742DE">
              <w:rPr>
                <w:spacing w:val="3"/>
              </w:rPr>
              <w:t xml:space="preserve"> </w:t>
            </w:r>
            <w:r w:rsidRPr="002742DE">
              <w:t>c</w:t>
            </w:r>
            <w:r w:rsidRPr="002742DE">
              <w:rPr>
                <w:spacing w:val="4"/>
              </w:rPr>
              <w:t>o</w:t>
            </w:r>
            <w:r w:rsidRPr="002742DE">
              <w:rPr>
                <w:spacing w:val="-4"/>
              </w:rPr>
              <w:t>m</w:t>
            </w:r>
            <w:r w:rsidRPr="002742DE">
              <w:rPr>
                <w:spacing w:val="1"/>
              </w:rPr>
              <w:t>pr</w:t>
            </w:r>
            <w:r w:rsidRPr="002742DE">
              <w:rPr>
                <w:spacing w:val="3"/>
              </w:rPr>
              <w:t>e</w:t>
            </w:r>
            <w:r w:rsidRPr="002742DE">
              <w:rPr>
                <w:spacing w:val="-1"/>
              </w:rPr>
              <w:t>h</w:t>
            </w:r>
            <w:r w:rsidRPr="002742DE">
              <w:t>e</w:t>
            </w:r>
            <w:r w:rsidRPr="002742DE">
              <w:rPr>
                <w:spacing w:val="1"/>
              </w:rPr>
              <w:t>n</w:t>
            </w:r>
            <w:r w:rsidRPr="002742DE">
              <w:rPr>
                <w:spacing w:val="-1"/>
              </w:rPr>
              <w:t>s</w:t>
            </w:r>
            <w:r w:rsidRPr="002742DE">
              <w:rPr>
                <w:spacing w:val="2"/>
              </w:rPr>
              <w:t>i</w:t>
            </w:r>
            <w:r w:rsidRPr="002742DE">
              <w:rPr>
                <w:spacing w:val="-1"/>
              </w:rPr>
              <w:t>v</w:t>
            </w:r>
            <w:r w:rsidRPr="002742DE">
              <w:t>e</w:t>
            </w:r>
            <w:r w:rsidRPr="002742DE">
              <w:rPr>
                <w:spacing w:val="-7"/>
              </w:rPr>
              <w:t xml:space="preserve"> </w:t>
            </w:r>
            <w:r w:rsidRPr="002742DE">
              <w:t>tra</w:t>
            </w:r>
            <w:r w:rsidRPr="002742DE">
              <w:rPr>
                <w:spacing w:val="1"/>
              </w:rPr>
              <w:t>n</w:t>
            </w:r>
            <w:r w:rsidRPr="002742DE">
              <w:rPr>
                <w:spacing w:val="-1"/>
              </w:rPr>
              <w:t>s</w:t>
            </w:r>
            <w:r w:rsidRPr="002742DE">
              <w:rPr>
                <w:spacing w:val="1"/>
              </w:rPr>
              <w:t>por</w:t>
            </w:r>
            <w:r w:rsidRPr="002742DE">
              <w:t xml:space="preserve">t </w:t>
            </w:r>
            <w:r w:rsidRPr="002742DE">
              <w:rPr>
                <w:spacing w:val="1"/>
              </w:rPr>
              <w:t>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ork</w:t>
            </w:r>
            <w:r w:rsidRPr="002742DE">
              <w:t>,</w:t>
            </w:r>
            <w:r w:rsidRPr="002742DE">
              <w:rPr>
                <w:spacing w:val="-8"/>
              </w:rPr>
              <w:t xml:space="preserve"> </w:t>
            </w:r>
            <w:r w:rsidRPr="002742DE">
              <w:t>a</w:t>
            </w:r>
            <w:r w:rsidRPr="002742DE">
              <w:rPr>
                <w:spacing w:val="1"/>
              </w:rPr>
              <w:t>r</w:t>
            </w:r>
            <w:r w:rsidRPr="002742DE">
              <w:t>e</w:t>
            </w:r>
            <w:r w:rsidRPr="002742DE">
              <w:rPr>
                <w:spacing w:val="-1"/>
              </w:rPr>
              <w:t xml:space="preserve"> </w:t>
            </w:r>
            <w:r w:rsidRPr="002742DE">
              <w:t>i</w:t>
            </w:r>
            <w:r w:rsidRPr="002742DE">
              <w:rPr>
                <w:spacing w:val="1"/>
              </w:rPr>
              <w:t>d</w:t>
            </w:r>
            <w:r w:rsidRPr="002742DE">
              <w:t>e</w:t>
            </w:r>
            <w:r w:rsidRPr="002742DE">
              <w:rPr>
                <w:spacing w:val="-1"/>
              </w:rPr>
              <w:t>n</w:t>
            </w:r>
            <w:r w:rsidRPr="002742DE">
              <w:t>t</w:t>
            </w:r>
            <w:r w:rsidRPr="002742DE">
              <w:rPr>
                <w:spacing w:val="2"/>
              </w:rPr>
              <w:t>i</w:t>
            </w:r>
            <w:r w:rsidRPr="002742DE">
              <w:rPr>
                <w:spacing w:val="1"/>
              </w:rPr>
              <w:t>f</w:t>
            </w:r>
            <w:r w:rsidRPr="002742DE">
              <w:t>ie</w:t>
            </w:r>
            <w:r w:rsidRPr="002742DE">
              <w:rPr>
                <w:spacing w:val="1"/>
              </w:rPr>
              <w:t>d</w:t>
            </w:r>
            <w:r w:rsidRPr="002742DE">
              <w:t>,</w:t>
            </w:r>
            <w:r w:rsidRPr="002742DE">
              <w:rPr>
                <w:spacing w:val="-7"/>
              </w:rPr>
              <w:t xml:space="preserve"> </w:t>
            </w:r>
            <w:r w:rsidRPr="002742DE">
              <w:rPr>
                <w:spacing w:val="1"/>
              </w:rPr>
              <w:t>d</w:t>
            </w:r>
            <w:r w:rsidRPr="002742DE">
              <w:t>esc</w:t>
            </w:r>
            <w:r w:rsidRPr="002742DE">
              <w:rPr>
                <w:spacing w:val="1"/>
              </w:rPr>
              <w:t>r</w:t>
            </w:r>
            <w:r w:rsidRPr="002742DE">
              <w:t>i</w:t>
            </w:r>
            <w:r w:rsidRPr="002742DE">
              <w:rPr>
                <w:spacing w:val="1"/>
              </w:rPr>
              <w:t>b</w:t>
            </w:r>
            <w:r w:rsidRPr="002742DE">
              <w:t>ed</w:t>
            </w:r>
            <w:r w:rsidRPr="002742DE">
              <w:rPr>
                <w:spacing w:val="-6"/>
              </w:rPr>
              <w:t xml:space="preserve"> </w:t>
            </w:r>
            <w:r w:rsidRPr="002742DE">
              <w:t>a</w:t>
            </w:r>
            <w:r w:rsidRPr="002742DE">
              <w:rPr>
                <w:spacing w:val="-1"/>
              </w:rPr>
              <w:t>n</w:t>
            </w:r>
            <w:r w:rsidRPr="002742DE">
              <w:t>d</w:t>
            </w:r>
            <w:r w:rsidRPr="002742DE">
              <w:rPr>
                <w:spacing w:val="-2"/>
              </w:rPr>
              <w:t xml:space="preserve"> </w:t>
            </w:r>
            <w:r w:rsidRPr="002742DE">
              <w:t>e</w:t>
            </w:r>
            <w:r w:rsidRPr="002742DE">
              <w:rPr>
                <w:spacing w:val="-1"/>
              </w:rPr>
              <w:t>v</w:t>
            </w:r>
            <w:r w:rsidRPr="002742DE">
              <w:t>al</w:t>
            </w:r>
            <w:r w:rsidRPr="002742DE">
              <w:rPr>
                <w:spacing w:val="-1"/>
              </w:rPr>
              <w:t>u</w:t>
            </w:r>
            <w:r w:rsidRPr="002742DE">
              <w:t>ate</w:t>
            </w:r>
            <w:r w:rsidRPr="002742DE">
              <w:rPr>
                <w:spacing w:val="2"/>
              </w:rPr>
              <w:t>d</w:t>
            </w:r>
            <w:r w:rsidRPr="002742DE">
              <w:t>.</w:t>
            </w:r>
          </w:p>
        </w:tc>
        <w:tc>
          <w:tcPr>
            <w:tcW w:w="364" w:type="pct"/>
            <w:vAlign w:val="center"/>
          </w:tcPr>
          <w:p w:rsidR="00DE269D" w:rsidRPr="002742DE" w:rsidRDefault="00DE269D" w:rsidP="00DE269D">
            <w:pPr>
              <w:tabs>
                <w:tab w:val="left" w:pos="1120"/>
              </w:tabs>
              <w:spacing w:before="61" w:line="239" w:lineRule="auto"/>
              <w:jc w:val="center"/>
              <w:rPr>
                <w:rFonts w:eastAsia="Wingdings" w:cs="Arial"/>
                <w:sz w:val="20"/>
                <w:szCs w:val="20"/>
              </w:rPr>
            </w:pPr>
            <w:r>
              <w:rPr>
                <w:rFonts w:eastAsia="Wingdings" w:cs="Arial"/>
                <w:sz w:val="20"/>
                <w:szCs w:val="20"/>
              </w:rPr>
              <w:t>YES</w:t>
            </w:r>
          </w:p>
        </w:tc>
        <w:tc>
          <w:tcPr>
            <w:tcW w:w="1589" w:type="pct"/>
            <w:vAlign w:val="center"/>
          </w:tcPr>
          <w:p w:rsidR="00DE269D" w:rsidRPr="002742DE" w:rsidRDefault="00DE269D" w:rsidP="00DE269D">
            <w:pPr>
              <w:tabs>
                <w:tab w:val="left" w:pos="1120"/>
              </w:tabs>
              <w:spacing w:before="61" w:line="239" w:lineRule="auto"/>
              <w:rPr>
                <w:rFonts w:eastAsia="Wingdings" w:cs="Arial"/>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1120"/>
              </w:tabs>
              <w:spacing w:before="61" w:line="239" w:lineRule="auto"/>
              <w:contextualSpacing/>
              <w:jc w:val="left"/>
            </w:pPr>
            <w:r w:rsidRPr="002742DE">
              <w:rPr>
                <w:spacing w:val="3"/>
              </w:rPr>
              <w:t>T</w:t>
            </w:r>
            <w:r w:rsidRPr="002742DE">
              <w:rPr>
                <w:spacing w:val="-1"/>
              </w:rPr>
              <w:t>h</w:t>
            </w:r>
            <w:r w:rsidRPr="002742DE">
              <w:t>e</w:t>
            </w:r>
            <w:r w:rsidRPr="002742DE">
              <w:rPr>
                <w:spacing w:val="14"/>
              </w:rPr>
              <w:t xml:space="preserve"> </w:t>
            </w:r>
            <w:r w:rsidRPr="002742DE">
              <w:rPr>
                <w:spacing w:val="1"/>
              </w:rPr>
              <w:t>dr</w:t>
            </w:r>
            <w:r w:rsidRPr="002742DE">
              <w:t>a</w:t>
            </w:r>
            <w:r w:rsidRPr="002742DE">
              <w:rPr>
                <w:spacing w:val="-1"/>
              </w:rPr>
              <w:t>f</w:t>
            </w:r>
            <w:r w:rsidRPr="002742DE">
              <w:t>t</w:t>
            </w:r>
            <w:r w:rsidRPr="002742DE">
              <w:rPr>
                <w:spacing w:val="13"/>
              </w:rPr>
              <w:t xml:space="preserve"> </w:t>
            </w:r>
            <w:r w:rsidRPr="002742DE">
              <w:rPr>
                <w:spacing w:val="1"/>
              </w:rPr>
              <w:t>p</w:t>
            </w:r>
            <w:r w:rsidRPr="002742DE">
              <w:t>lan</w:t>
            </w:r>
            <w:r w:rsidRPr="002742DE">
              <w:rPr>
                <w:spacing w:val="13"/>
              </w:rPr>
              <w:t xml:space="preserve"> </w:t>
            </w:r>
            <w:r w:rsidRPr="002742DE">
              <w:rPr>
                <w:spacing w:val="1"/>
              </w:rPr>
              <w:t>o</w:t>
            </w:r>
            <w:r w:rsidRPr="002742DE">
              <w:t>r</w:t>
            </w:r>
            <w:r w:rsidRPr="002742DE">
              <w:rPr>
                <w:spacing w:val="18"/>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rPr>
                <w:spacing w:val="-5"/>
              </w:rPr>
              <w:t>w</w:t>
            </w:r>
            <w:r w:rsidRPr="002742DE">
              <w:rPr>
                <w:spacing w:val="1"/>
              </w:rPr>
              <w:t>o</w:t>
            </w:r>
            <w:r w:rsidRPr="002742DE">
              <w:rPr>
                <w:spacing w:val="3"/>
              </w:rPr>
              <w:t>r</w:t>
            </w:r>
            <w:r w:rsidRPr="002742DE">
              <w:t>k</w:t>
            </w:r>
            <w:r w:rsidRPr="002742DE">
              <w:rPr>
                <w:spacing w:val="9"/>
              </w:rPr>
              <w:t xml:space="preserve"> </w:t>
            </w:r>
            <w:r w:rsidRPr="002742DE">
              <w:t>a</w:t>
            </w:r>
            <w:r w:rsidRPr="002742DE">
              <w:rPr>
                <w:spacing w:val="-1"/>
              </w:rPr>
              <w:t>n</w:t>
            </w:r>
            <w:r w:rsidRPr="002742DE">
              <w:t>d</w:t>
            </w:r>
            <w:r w:rsidRPr="002742DE">
              <w:rPr>
                <w:spacing w:val="15"/>
              </w:rPr>
              <w:t xml:space="preserve"> </w:t>
            </w:r>
            <w:r w:rsidRPr="002742DE">
              <w:t>t</w:t>
            </w:r>
            <w:r w:rsidRPr="002742DE">
              <w:rPr>
                <w:spacing w:val="-1"/>
              </w:rPr>
              <w:t>h</w:t>
            </w:r>
            <w:r w:rsidRPr="002742DE">
              <w:t>e</w:t>
            </w:r>
            <w:r w:rsidRPr="002742DE">
              <w:rPr>
                <w:spacing w:val="18"/>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tal</w:t>
            </w:r>
            <w:r w:rsidRPr="002742DE">
              <w:rPr>
                <w:spacing w:val="5"/>
              </w:rPr>
              <w:t xml:space="preserve"> </w:t>
            </w:r>
            <w:r w:rsidRPr="002742DE">
              <w:rPr>
                <w:spacing w:val="1"/>
              </w:rPr>
              <w:t>r</w:t>
            </w:r>
            <w:r w:rsidRPr="002742DE">
              <w:t>e</w:t>
            </w:r>
            <w:r w:rsidRPr="002742DE">
              <w:rPr>
                <w:spacing w:val="1"/>
              </w:rPr>
              <w:t>por</w:t>
            </w:r>
            <w:r w:rsidRPr="002742DE">
              <w:t>t</w:t>
            </w:r>
            <w:r w:rsidRPr="002742DE">
              <w:rPr>
                <w:spacing w:val="14"/>
              </w:rPr>
              <w:t xml:space="preserve"> </w:t>
            </w:r>
            <w:r w:rsidRPr="002742DE">
              <w:rPr>
                <w:spacing w:val="-1"/>
              </w:rPr>
              <w:t>h</w:t>
            </w:r>
            <w:r w:rsidRPr="002742DE">
              <w:t>a</w:t>
            </w:r>
            <w:r w:rsidRPr="002742DE">
              <w:rPr>
                <w:spacing w:val="-1"/>
              </w:rPr>
              <w:t>v</w:t>
            </w:r>
            <w:r w:rsidRPr="002742DE">
              <w:t>e</w:t>
            </w:r>
            <w:r w:rsidRPr="002742DE">
              <w:rPr>
                <w:spacing w:val="16"/>
              </w:rPr>
              <w:t xml:space="preserve"> </w:t>
            </w:r>
            <w:r w:rsidRPr="002742DE">
              <w:rPr>
                <w:spacing w:val="1"/>
              </w:rPr>
              <w:t>b</w:t>
            </w:r>
            <w:r w:rsidRPr="002742DE">
              <w:rPr>
                <w:spacing w:val="9"/>
              </w:rPr>
              <w:t>e</w:t>
            </w:r>
            <w:r w:rsidRPr="002742DE">
              <w:t>en</w:t>
            </w:r>
            <w:r w:rsidRPr="002742DE">
              <w:rPr>
                <w:spacing w:val="15"/>
              </w:rPr>
              <w:t xml:space="preserve"> </w:t>
            </w:r>
            <w:r w:rsidRPr="002742DE">
              <w:rPr>
                <w:spacing w:val="-1"/>
              </w:rPr>
              <w:t>m</w:t>
            </w:r>
            <w:r w:rsidRPr="002742DE">
              <w:t>a</w:t>
            </w:r>
            <w:r w:rsidRPr="002742DE">
              <w:rPr>
                <w:spacing w:val="1"/>
              </w:rPr>
              <w:t>d</w:t>
            </w:r>
            <w:r w:rsidRPr="002742DE">
              <w:t>e</w:t>
            </w:r>
            <w:r w:rsidRPr="002742DE">
              <w:rPr>
                <w:spacing w:val="13"/>
              </w:rPr>
              <w:t xml:space="preserve"> </w:t>
            </w:r>
            <w:r w:rsidRPr="002742DE">
              <w:rPr>
                <w:spacing w:val="3"/>
              </w:rPr>
              <w:t>a</w:t>
            </w:r>
            <w:r w:rsidRPr="002742DE">
              <w:rPr>
                <w:spacing w:val="-1"/>
              </w:rPr>
              <w:t>v</w:t>
            </w:r>
            <w:r w:rsidRPr="002742DE">
              <w:t>aila</w:t>
            </w:r>
            <w:r w:rsidRPr="002742DE">
              <w:rPr>
                <w:spacing w:val="1"/>
              </w:rPr>
              <w:t>b</w:t>
            </w:r>
            <w:r w:rsidRPr="002742DE">
              <w:t>le</w:t>
            </w:r>
            <w:r w:rsidRPr="002742DE">
              <w:rPr>
                <w:spacing w:val="10"/>
              </w:rPr>
              <w:t xml:space="preserve"> </w:t>
            </w:r>
            <w:r w:rsidRPr="002742DE">
              <w:t>to</w:t>
            </w:r>
            <w:r w:rsidRPr="002742DE">
              <w:rPr>
                <w:spacing w:val="18"/>
              </w:rPr>
              <w:t xml:space="preserve"> </w:t>
            </w:r>
            <w:r w:rsidRPr="002742DE">
              <w:t>t</w:t>
            </w:r>
            <w:r w:rsidRPr="002742DE">
              <w:rPr>
                <w:spacing w:val="-1"/>
              </w:rPr>
              <w:t>h</w:t>
            </w:r>
            <w:r w:rsidRPr="002742DE">
              <w:t xml:space="preserve">e </w:t>
            </w:r>
            <w:r w:rsidRPr="002742DE">
              <w:rPr>
                <w:spacing w:val="1"/>
              </w:rPr>
              <w:t>p</w:t>
            </w:r>
            <w:r w:rsidRPr="002742DE">
              <w:rPr>
                <w:spacing w:val="-1"/>
              </w:rPr>
              <w:t>u</w:t>
            </w:r>
            <w:r w:rsidRPr="002742DE">
              <w:rPr>
                <w:spacing w:val="1"/>
              </w:rPr>
              <w:t>b</w:t>
            </w:r>
            <w:r w:rsidRPr="002742DE">
              <w:t>lic</w:t>
            </w:r>
            <w:r w:rsidRPr="002742DE">
              <w:rPr>
                <w:spacing w:val="7"/>
              </w:rPr>
              <w:t xml:space="preserve"> </w:t>
            </w:r>
            <w:r w:rsidRPr="002742DE">
              <w:t>a</w:t>
            </w:r>
            <w:r w:rsidRPr="002742DE">
              <w:rPr>
                <w:spacing w:val="-1"/>
              </w:rPr>
              <w:t>n</w:t>
            </w:r>
            <w:r w:rsidRPr="002742DE">
              <w:t>d</w:t>
            </w:r>
            <w:r w:rsidRPr="002742DE">
              <w:rPr>
                <w:spacing w:val="10"/>
              </w:rPr>
              <w:t xml:space="preserve"> </w:t>
            </w:r>
            <w:r w:rsidRPr="002742DE">
              <w:t>t</w:t>
            </w:r>
            <w:r w:rsidRPr="002742DE">
              <w:rPr>
                <w:spacing w:val="-1"/>
              </w:rPr>
              <w:t>h</w:t>
            </w:r>
            <w:r w:rsidRPr="002742DE">
              <w:t>e</w:t>
            </w:r>
            <w:r w:rsidRPr="002742DE">
              <w:rPr>
                <w:spacing w:val="10"/>
              </w:rPr>
              <w:t xml:space="preserve"> </w:t>
            </w:r>
            <w:r w:rsidRPr="002742DE">
              <w:rPr>
                <w:spacing w:val="3"/>
              </w:rPr>
              <w:t>a</w:t>
            </w:r>
            <w:r w:rsidRPr="002742DE">
              <w:rPr>
                <w:spacing w:val="-1"/>
              </w:rPr>
              <w:t>u</w:t>
            </w:r>
            <w:r w:rsidRPr="002742DE">
              <w:rPr>
                <w:spacing w:val="2"/>
              </w:rPr>
              <w:t>t</w:t>
            </w:r>
            <w:r w:rsidRPr="002742DE">
              <w:rPr>
                <w:spacing w:val="-1"/>
              </w:rPr>
              <w:t>h</w:t>
            </w:r>
            <w:r w:rsidRPr="002742DE">
              <w:rPr>
                <w:spacing w:val="1"/>
              </w:rPr>
              <w:t>or</w:t>
            </w:r>
            <w:r w:rsidRPr="002742DE">
              <w:t>ities</w:t>
            </w:r>
            <w:r w:rsidRPr="002742DE">
              <w:rPr>
                <w:spacing w:val="8"/>
              </w:rPr>
              <w:t xml:space="preserve"> </w:t>
            </w:r>
            <w:r w:rsidRPr="002742DE">
              <w:t>with</w:t>
            </w:r>
            <w:r w:rsidRPr="002742DE">
              <w:rPr>
                <w:spacing w:val="7"/>
              </w:rPr>
              <w:t xml:space="preserve"> </w:t>
            </w:r>
            <w:r w:rsidRPr="002742DE">
              <w:rPr>
                <w:spacing w:val="-1"/>
              </w:rPr>
              <w:t>s</w:t>
            </w:r>
            <w:r w:rsidRPr="002742DE">
              <w:rPr>
                <w:spacing w:val="1"/>
              </w:rPr>
              <w:t>p</w:t>
            </w:r>
            <w:r w:rsidRPr="002742DE">
              <w:t>e</w:t>
            </w:r>
            <w:r w:rsidRPr="002742DE">
              <w:rPr>
                <w:spacing w:val="1"/>
              </w:rPr>
              <w:t>c</w:t>
            </w:r>
            <w:r w:rsidRPr="002742DE">
              <w:rPr>
                <w:spacing w:val="2"/>
              </w:rPr>
              <w:t>i</w:t>
            </w:r>
            <w:r w:rsidRPr="002742DE">
              <w:rPr>
                <w:spacing w:val="-2"/>
              </w:rPr>
              <w:t>f</w:t>
            </w:r>
            <w:r w:rsidRPr="002742DE">
              <w:t>ic</w:t>
            </w:r>
            <w:r w:rsidRPr="002742DE">
              <w:rPr>
                <w:spacing w:val="5"/>
              </w:rPr>
              <w:t xml:space="preserve"> </w:t>
            </w:r>
            <w:r w:rsidRPr="002742DE">
              <w:rPr>
                <w:spacing w:val="3"/>
              </w:rPr>
              <w:t>e</w:t>
            </w:r>
            <w:r w:rsidRPr="002742DE">
              <w:rPr>
                <w:spacing w:val="-1"/>
              </w:rPr>
              <w:t>n</w:t>
            </w:r>
            <w:r w:rsidRPr="002742DE">
              <w:rPr>
                <w:spacing w:val="1"/>
              </w:rPr>
              <w:t>v</w:t>
            </w:r>
            <w:r w:rsidRPr="002742DE">
              <w:t>ir</w:t>
            </w:r>
            <w:r w:rsidRPr="002742DE">
              <w:rPr>
                <w:spacing w:val="1"/>
              </w:rPr>
              <w:t>on</w:t>
            </w:r>
            <w:r w:rsidRPr="002742DE">
              <w:rPr>
                <w:spacing w:val="-4"/>
              </w:rPr>
              <w:t>m</w:t>
            </w:r>
            <w:r w:rsidRPr="002742DE">
              <w:rPr>
                <w:spacing w:val="3"/>
              </w:rPr>
              <w:t>e</w:t>
            </w:r>
            <w:r w:rsidRPr="002742DE">
              <w:rPr>
                <w:spacing w:val="-1"/>
              </w:rPr>
              <w:t>n</w:t>
            </w:r>
            <w:r w:rsidRPr="002742DE">
              <w:t xml:space="preserve">tal </w:t>
            </w:r>
            <w:r w:rsidRPr="002742DE">
              <w:rPr>
                <w:spacing w:val="1"/>
              </w:rPr>
              <w:t>r</w:t>
            </w:r>
            <w:r w:rsidRPr="002742DE">
              <w:rPr>
                <w:spacing w:val="3"/>
              </w:rPr>
              <w:t>e</w:t>
            </w:r>
            <w:r w:rsidRPr="002742DE">
              <w:rPr>
                <w:spacing w:val="-1"/>
              </w:rPr>
              <w:t>s</w:t>
            </w:r>
            <w:r w:rsidRPr="002742DE">
              <w:rPr>
                <w:spacing w:val="1"/>
              </w:rPr>
              <w:t>po</w:t>
            </w:r>
            <w:r w:rsidRPr="002742DE">
              <w:rPr>
                <w:spacing w:val="-1"/>
              </w:rPr>
              <w:t>ns</w:t>
            </w:r>
            <w:r w:rsidRPr="002742DE">
              <w:t>i</w:t>
            </w:r>
            <w:r w:rsidRPr="002742DE">
              <w:rPr>
                <w:spacing w:val="1"/>
              </w:rPr>
              <w:t>b</w:t>
            </w:r>
            <w:r w:rsidRPr="002742DE">
              <w:t>ili</w:t>
            </w:r>
            <w:r w:rsidRPr="002742DE">
              <w:rPr>
                <w:spacing w:val="-1"/>
              </w:rPr>
              <w:t>t</w:t>
            </w:r>
            <w:r w:rsidRPr="002742DE">
              <w:t>i</w:t>
            </w:r>
            <w:r w:rsidRPr="002742DE">
              <w:rPr>
                <w:spacing w:val="2"/>
              </w:rPr>
              <w:t>e</w:t>
            </w:r>
            <w:r w:rsidRPr="002742DE">
              <w:t>s</w:t>
            </w:r>
            <w:r w:rsidRPr="002742DE">
              <w:rPr>
                <w:spacing w:val="3"/>
              </w:rPr>
              <w:t xml:space="preserve"> </w:t>
            </w:r>
            <w:r w:rsidRPr="002742DE">
              <w:rPr>
                <w:spacing w:val="1"/>
              </w:rPr>
              <w:t>d</w:t>
            </w:r>
            <w:r w:rsidRPr="002742DE">
              <w:t>es</w:t>
            </w:r>
            <w:r w:rsidRPr="002742DE">
              <w:rPr>
                <w:spacing w:val="2"/>
              </w:rPr>
              <w:t>i</w:t>
            </w:r>
            <w:r w:rsidRPr="002742DE">
              <w:rPr>
                <w:spacing w:val="-1"/>
              </w:rPr>
              <w:t>gn</w:t>
            </w:r>
            <w:r w:rsidRPr="002742DE">
              <w:rPr>
                <w:spacing w:val="3"/>
              </w:rPr>
              <w:t>a</w:t>
            </w:r>
            <w:r w:rsidRPr="002742DE">
              <w:t>ted</w:t>
            </w:r>
            <w:r w:rsidRPr="002742DE">
              <w:rPr>
                <w:spacing w:val="4"/>
              </w:rPr>
              <w:t xml:space="preserve"> </w:t>
            </w:r>
            <w:r w:rsidRPr="002742DE">
              <w:rPr>
                <w:spacing w:val="3"/>
              </w:rPr>
              <w:t>b</w:t>
            </w:r>
            <w:r w:rsidRPr="002742DE">
              <w:t>y</w:t>
            </w:r>
            <w:r w:rsidRPr="002742DE">
              <w:rPr>
                <w:spacing w:val="9"/>
              </w:rPr>
              <w:t xml:space="preserve"> </w:t>
            </w:r>
            <w:r w:rsidRPr="002742DE">
              <w:t>t</w:t>
            </w:r>
            <w:r w:rsidRPr="002742DE">
              <w:rPr>
                <w:spacing w:val="-1"/>
              </w:rPr>
              <w:t>h</w:t>
            </w:r>
            <w:r w:rsidRPr="002742DE">
              <w:t>e M</w:t>
            </w:r>
            <w:r w:rsidRPr="002742DE">
              <w:rPr>
                <w:spacing w:val="3"/>
              </w:rPr>
              <w:t>e</w:t>
            </w:r>
            <w:r w:rsidRPr="002742DE">
              <w:rPr>
                <w:spacing w:val="-4"/>
              </w:rPr>
              <w:t>m</w:t>
            </w:r>
            <w:r w:rsidRPr="002742DE">
              <w:rPr>
                <w:spacing w:val="1"/>
              </w:rPr>
              <w:t>b</w:t>
            </w:r>
            <w:r w:rsidRPr="002742DE">
              <w:t>er</w:t>
            </w:r>
            <w:r w:rsidRPr="002742DE">
              <w:rPr>
                <w:spacing w:val="7"/>
              </w:rPr>
              <w:t xml:space="preserve"> </w:t>
            </w:r>
            <w:r w:rsidRPr="002742DE">
              <w:t>Stat</w:t>
            </w:r>
            <w:r w:rsidRPr="002742DE">
              <w:rPr>
                <w:spacing w:val="2"/>
              </w:rPr>
              <w:t>e</w:t>
            </w:r>
            <w:r w:rsidRPr="002742DE">
              <w:t>s</w:t>
            </w:r>
            <w:r w:rsidRPr="002742DE">
              <w:rPr>
                <w:spacing w:val="10"/>
              </w:rPr>
              <w:t xml:space="preserve"> </w:t>
            </w:r>
            <w:r w:rsidRPr="002742DE">
              <w:rPr>
                <w:spacing w:val="-2"/>
              </w:rPr>
              <w:t>w</w:t>
            </w:r>
            <w:r w:rsidRPr="002742DE">
              <w:rPr>
                <w:spacing w:val="1"/>
              </w:rPr>
              <w:t>h</w:t>
            </w:r>
            <w:r w:rsidRPr="002742DE">
              <w:t>o</w:t>
            </w:r>
            <w:r w:rsidRPr="002742DE">
              <w:rPr>
                <w:spacing w:val="10"/>
              </w:rPr>
              <w:t xml:space="preserve"> </w:t>
            </w:r>
            <w:r w:rsidRPr="002742DE">
              <w:t>a</w:t>
            </w:r>
            <w:r w:rsidRPr="002742DE">
              <w:rPr>
                <w:spacing w:val="1"/>
              </w:rPr>
              <w:t>r</w:t>
            </w:r>
            <w:r w:rsidRPr="002742DE">
              <w:t>e</w:t>
            </w:r>
            <w:r w:rsidRPr="002742DE">
              <w:rPr>
                <w:spacing w:val="10"/>
              </w:rPr>
              <w:t xml:space="preserve"> </w:t>
            </w:r>
            <w:r w:rsidRPr="002742DE">
              <w:t>l</w:t>
            </w:r>
            <w:r w:rsidRPr="002742DE">
              <w:rPr>
                <w:spacing w:val="2"/>
              </w:rPr>
              <w:t>i</w:t>
            </w:r>
            <w:r w:rsidRPr="002742DE">
              <w:rPr>
                <w:spacing w:val="1"/>
              </w:rPr>
              <w:t>k</w:t>
            </w:r>
            <w:r w:rsidRPr="002742DE">
              <w:t>e</w:t>
            </w:r>
            <w:r w:rsidRPr="002742DE">
              <w:rPr>
                <w:spacing w:val="2"/>
              </w:rPr>
              <w:t>l</w:t>
            </w:r>
            <w:r w:rsidRPr="002742DE">
              <w:t>y</w:t>
            </w:r>
            <w:r w:rsidRPr="002742DE">
              <w:rPr>
                <w:spacing w:val="4"/>
              </w:rPr>
              <w:t xml:space="preserve"> </w:t>
            </w:r>
            <w:r w:rsidRPr="002742DE">
              <w:t>to</w:t>
            </w:r>
            <w:r w:rsidRPr="002742DE">
              <w:rPr>
                <w:spacing w:val="12"/>
              </w:rPr>
              <w:t xml:space="preserve"> </w:t>
            </w:r>
            <w:r w:rsidRPr="002742DE">
              <w:rPr>
                <w:spacing w:val="1"/>
              </w:rPr>
              <w:t>b</w:t>
            </w:r>
            <w:r w:rsidRPr="002742DE">
              <w:t>e</w:t>
            </w:r>
            <w:r w:rsidRPr="002742DE">
              <w:rPr>
                <w:spacing w:val="11"/>
              </w:rPr>
              <w:t xml:space="preserve"> </w:t>
            </w:r>
            <w:r w:rsidRPr="002742DE">
              <w:t>c</w:t>
            </w:r>
            <w:r w:rsidRPr="002742DE">
              <w:rPr>
                <w:spacing w:val="4"/>
              </w:rPr>
              <w:t>o</w:t>
            </w:r>
            <w:r w:rsidRPr="002742DE">
              <w:rPr>
                <w:spacing w:val="-1"/>
              </w:rPr>
              <w:t>n</w:t>
            </w:r>
            <w:r w:rsidRPr="002742DE">
              <w:t>c</w:t>
            </w:r>
            <w:r w:rsidRPr="002742DE">
              <w:rPr>
                <w:spacing w:val="1"/>
              </w:rPr>
              <w:t>er</w:t>
            </w:r>
            <w:r w:rsidRPr="002742DE">
              <w:rPr>
                <w:spacing w:val="-1"/>
              </w:rPr>
              <w:t>n</w:t>
            </w:r>
            <w:r w:rsidRPr="002742DE">
              <w:t>ed</w:t>
            </w:r>
            <w:r w:rsidRPr="002742DE">
              <w:rPr>
                <w:spacing w:val="5"/>
              </w:rPr>
              <w:t xml:space="preserve"> </w:t>
            </w:r>
            <w:r w:rsidRPr="002742DE">
              <w:rPr>
                <w:spacing w:val="3"/>
              </w:rPr>
              <w:t>b</w:t>
            </w:r>
            <w:r w:rsidRPr="002742DE">
              <w:t>y</w:t>
            </w:r>
            <w:r w:rsidRPr="002742DE">
              <w:rPr>
                <w:spacing w:val="9"/>
              </w:rPr>
              <w:t xml:space="preserve"> </w:t>
            </w:r>
            <w:r w:rsidRPr="002742DE">
              <w:t>t</w:t>
            </w:r>
            <w:r w:rsidRPr="002742DE">
              <w:rPr>
                <w:spacing w:val="-1"/>
              </w:rPr>
              <w:t>h</w:t>
            </w:r>
            <w:r w:rsidRPr="002742DE">
              <w:t>e</w:t>
            </w:r>
            <w:r w:rsidRPr="002742DE">
              <w:rPr>
                <w:spacing w:val="13"/>
              </w:rPr>
              <w:t xml:space="preserve"> </w:t>
            </w:r>
            <w:r w:rsidRPr="002742DE">
              <w:t>e</w:t>
            </w:r>
            <w:r w:rsidRPr="002742DE">
              <w:rPr>
                <w:spacing w:val="1"/>
              </w:rPr>
              <w:t>n</w:t>
            </w:r>
            <w:r w:rsidRPr="002742DE">
              <w:rPr>
                <w:spacing w:val="-1"/>
              </w:rPr>
              <w:t>v</w:t>
            </w:r>
            <w:r w:rsidRPr="002742DE">
              <w:t>ir</w:t>
            </w:r>
            <w:r w:rsidRPr="002742DE">
              <w:rPr>
                <w:spacing w:val="1"/>
              </w:rPr>
              <w:t>o</w:t>
            </w:r>
            <w:r w:rsidRPr="002742DE">
              <w:rPr>
                <w:spacing w:val="-1"/>
              </w:rPr>
              <w:t>n</w:t>
            </w:r>
            <w:r w:rsidRPr="002742DE">
              <w:rPr>
                <w:spacing w:val="3"/>
              </w:rPr>
              <w:t>e</w:t>
            </w:r>
            <w:r w:rsidRPr="002742DE">
              <w:rPr>
                <w:spacing w:val="-1"/>
              </w:rPr>
              <w:t>m</w:t>
            </w:r>
            <w:r w:rsidRPr="002742DE">
              <w:t>e</w:t>
            </w:r>
            <w:r w:rsidRPr="002742DE">
              <w:rPr>
                <w:spacing w:val="-1"/>
              </w:rPr>
              <w:t>n</w:t>
            </w:r>
            <w:r w:rsidRPr="002742DE">
              <w:t>t</w:t>
            </w:r>
            <w:r w:rsidRPr="002742DE">
              <w:rPr>
                <w:spacing w:val="2"/>
              </w:rPr>
              <w:t>a</w:t>
            </w:r>
            <w:r w:rsidRPr="002742DE">
              <w:t xml:space="preserve">l </w:t>
            </w:r>
            <w:r w:rsidRPr="002742DE">
              <w:rPr>
                <w:spacing w:val="3"/>
              </w:rPr>
              <w:t>e</w:t>
            </w:r>
            <w:r w:rsidRPr="002742DE">
              <w:rPr>
                <w:spacing w:val="-2"/>
              </w:rPr>
              <w:t>ff</w:t>
            </w:r>
            <w:r w:rsidRPr="002742DE">
              <w:t>e</w:t>
            </w:r>
            <w:r w:rsidRPr="002742DE">
              <w:rPr>
                <w:spacing w:val="3"/>
              </w:rPr>
              <w:t>c</w:t>
            </w:r>
            <w:r w:rsidRPr="002742DE">
              <w:t>ts</w:t>
            </w:r>
            <w:r w:rsidRPr="002742DE">
              <w:rPr>
                <w:spacing w:val="6"/>
              </w:rPr>
              <w:t xml:space="preserve"> </w:t>
            </w:r>
            <w:r w:rsidRPr="002742DE">
              <w:rPr>
                <w:spacing w:val="3"/>
              </w:rPr>
              <w:t>o</w:t>
            </w:r>
            <w:r w:rsidRPr="002742DE">
              <w:t>f</w:t>
            </w:r>
            <w:r w:rsidRPr="002742DE">
              <w:rPr>
                <w:spacing w:val="12"/>
              </w:rPr>
              <w:t xml:space="preserve"> </w:t>
            </w:r>
            <w:r w:rsidRPr="002742DE">
              <w:t>t</w:t>
            </w:r>
            <w:r w:rsidRPr="002742DE">
              <w:rPr>
                <w:spacing w:val="-1"/>
              </w:rPr>
              <w:t>h</w:t>
            </w:r>
            <w:r w:rsidRPr="002742DE">
              <w:t xml:space="preserve">e </w:t>
            </w:r>
            <w:r w:rsidRPr="002742DE">
              <w:rPr>
                <w:spacing w:val="2"/>
              </w:rPr>
              <w:t>i</w:t>
            </w:r>
            <w:r w:rsidRPr="002742DE">
              <w:rPr>
                <w:spacing w:val="-4"/>
              </w:rPr>
              <w:t>m</w:t>
            </w:r>
            <w:r w:rsidRPr="002742DE">
              <w:rPr>
                <w:spacing w:val="1"/>
              </w:rPr>
              <w:t>p</w:t>
            </w:r>
            <w:r w:rsidRPr="002742DE">
              <w:t>l</w:t>
            </w:r>
            <w:r w:rsidRPr="002742DE">
              <w:rPr>
                <w:spacing w:val="2"/>
              </w:rPr>
              <w:t>e</w:t>
            </w:r>
            <w:r w:rsidRPr="002742DE">
              <w:rPr>
                <w:spacing w:val="-1"/>
              </w:rPr>
              <w:t>m</w:t>
            </w:r>
            <w:r w:rsidRPr="002742DE">
              <w:t>e</w:t>
            </w:r>
            <w:r w:rsidRPr="002742DE">
              <w:rPr>
                <w:spacing w:val="-1"/>
              </w:rPr>
              <w:t>n</w:t>
            </w:r>
            <w:r w:rsidRPr="002742DE">
              <w:rPr>
                <w:spacing w:val="2"/>
              </w:rPr>
              <w:t>t</w:t>
            </w:r>
            <w:r w:rsidRPr="002742DE">
              <w:t>i</w:t>
            </w:r>
            <w:r w:rsidRPr="002742DE">
              <w:rPr>
                <w:spacing w:val="1"/>
              </w:rPr>
              <w:t>n</w:t>
            </w:r>
            <w:r w:rsidRPr="002742DE">
              <w:t>g</w:t>
            </w:r>
            <w:r w:rsidRPr="002742DE">
              <w:rPr>
                <w:spacing w:val="-12"/>
              </w:rPr>
              <w:t xml:space="preserve"> </w:t>
            </w:r>
            <w:r w:rsidRPr="002742DE">
              <w:rPr>
                <w:spacing w:val="1"/>
              </w:rPr>
              <w:t>p</w:t>
            </w:r>
            <w:r w:rsidRPr="002742DE">
              <w:t>la</w:t>
            </w:r>
            <w:r w:rsidRPr="002742DE">
              <w:rPr>
                <w:spacing w:val="1"/>
              </w:rPr>
              <w:t>n</w:t>
            </w:r>
            <w:r w:rsidRPr="002742DE">
              <w:rPr>
                <w:spacing w:val="-1"/>
              </w:rPr>
              <w:t>s</w:t>
            </w:r>
            <w:r w:rsidRPr="002742DE">
              <w:t>.</w:t>
            </w:r>
          </w:p>
        </w:tc>
        <w:tc>
          <w:tcPr>
            <w:tcW w:w="364" w:type="pct"/>
            <w:vAlign w:val="center"/>
          </w:tcPr>
          <w:p w:rsidR="00DE269D" w:rsidRPr="00857897" w:rsidRDefault="00DE269D" w:rsidP="00DE269D">
            <w:pPr>
              <w:tabs>
                <w:tab w:val="left" w:pos="1120"/>
              </w:tabs>
              <w:spacing w:before="61" w:line="239" w:lineRule="auto"/>
              <w:jc w:val="center"/>
              <w:rPr>
                <w:rFonts w:eastAsia="Wingdings" w:cs="Arial"/>
                <w:sz w:val="20"/>
                <w:szCs w:val="20"/>
              </w:rPr>
            </w:pPr>
            <w:r w:rsidRPr="00857897">
              <w:rPr>
                <w:rFonts w:eastAsia="Wingdings" w:cs="Arial"/>
                <w:sz w:val="20"/>
                <w:szCs w:val="20"/>
              </w:rPr>
              <w:t>NO</w:t>
            </w:r>
          </w:p>
        </w:tc>
        <w:tc>
          <w:tcPr>
            <w:tcW w:w="1589" w:type="pct"/>
            <w:vAlign w:val="center"/>
          </w:tcPr>
          <w:p w:rsidR="00DE269D" w:rsidRPr="00363135" w:rsidRDefault="00DE269D" w:rsidP="00DE269D">
            <w:pPr>
              <w:rPr>
                <w:rFonts w:cs="Arial"/>
                <w:sz w:val="20"/>
                <w:szCs w:val="20"/>
              </w:rPr>
            </w:pPr>
            <w:r w:rsidRPr="00363135">
              <w:rPr>
                <w:rFonts w:cs="Arial"/>
                <w:sz w:val="20"/>
                <w:szCs w:val="20"/>
              </w:rPr>
              <w:t>The draft plan has been made available to the public and the authorities on October 2012 and October 2013 . Each chapter from Environmental Report have been presented in the working group.</w:t>
            </w:r>
          </w:p>
          <w:p w:rsidR="00DE269D" w:rsidRPr="00363135" w:rsidRDefault="00DE269D" w:rsidP="00DE269D">
            <w:pPr>
              <w:rPr>
                <w:rFonts w:cs="Arial"/>
                <w:sz w:val="20"/>
                <w:szCs w:val="20"/>
              </w:rPr>
            </w:pPr>
            <w:r w:rsidRPr="00363135">
              <w:rPr>
                <w:rFonts w:cs="Arial"/>
                <w:sz w:val="20"/>
                <w:szCs w:val="20"/>
              </w:rPr>
              <w:t>The final Environmental Report will be make available after Appropriate Assessment will be approved by MECC. The final Environmental Report must include the conclusion of Appropriate Assessment.</w:t>
            </w: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1120"/>
              </w:tabs>
              <w:spacing w:before="60" w:line="240" w:lineRule="auto"/>
              <w:contextualSpacing/>
              <w:jc w:val="left"/>
            </w:pPr>
            <w:r w:rsidRPr="002742DE">
              <w:rPr>
                <w:spacing w:val="1"/>
              </w:rPr>
              <w:t>I</w:t>
            </w:r>
            <w:r w:rsidRPr="002742DE">
              <w:t>n</w:t>
            </w:r>
            <w:r w:rsidRPr="002742DE">
              <w:rPr>
                <w:spacing w:val="28"/>
              </w:rPr>
              <w:t xml:space="preserve"> </w:t>
            </w:r>
            <w:r w:rsidRPr="002742DE">
              <w:t>c</w:t>
            </w:r>
            <w:r w:rsidRPr="002742DE">
              <w:rPr>
                <w:spacing w:val="1"/>
              </w:rPr>
              <w:t>a</w:t>
            </w:r>
            <w:r w:rsidRPr="002742DE">
              <w:rPr>
                <w:spacing w:val="-1"/>
              </w:rPr>
              <w:t>s</w:t>
            </w:r>
            <w:r w:rsidRPr="002742DE">
              <w:t>e</w:t>
            </w:r>
            <w:r w:rsidRPr="002742DE">
              <w:rPr>
                <w:spacing w:val="29"/>
              </w:rPr>
              <w:t xml:space="preserve"> </w:t>
            </w:r>
            <w:r w:rsidRPr="002742DE">
              <w:rPr>
                <w:spacing w:val="1"/>
              </w:rPr>
              <w:t>o</w:t>
            </w:r>
            <w:r w:rsidRPr="002742DE">
              <w:t>f</w:t>
            </w:r>
            <w:r w:rsidRPr="002742DE">
              <w:rPr>
                <w:spacing w:val="28"/>
              </w:rPr>
              <w:t xml:space="preserve"> </w:t>
            </w:r>
            <w:r w:rsidRPr="002742DE">
              <w:rPr>
                <w:spacing w:val="1"/>
              </w:rPr>
              <w:t>po</w:t>
            </w:r>
            <w:r w:rsidRPr="002742DE">
              <w:rPr>
                <w:spacing w:val="-1"/>
              </w:rPr>
              <w:t>ss</w:t>
            </w:r>
            <w:r w:rsidRPr="002742DE">
              <w:t>i</w:t>
            </w:r>
            <w:r w:rsidRPr="002742DE">
              <w:rPr>
                <w:spacing w:val="1"/>
              </w:rPr>
              <w:t>b</w:t>
            </w:r>
            <w:r w:rsidRPr="002742DE">
              <w:t>le</w:t>
            </w:r>
            <w:r w:rsidRPr="002742DE">
              <w:rPr>
                <w:spacing w:val="25"/>
              </w:rPr>
              <w:t xml:space="preserve"> </w:t>
            </w:r>
            <w:r w:rsidRPr="002742DE">
              <w:rPr>
                <w:spacing w:val="-1"/>
              </w:rPr>
              <w:t>s</w:t>
            </w:r>
            <w:r w:rsidRPr="002742DE">
              <w:rPr>
                <w:spacing w:val="2"/>
              </w:rPr>
              <w:t>i</w:t>
            </w:r>
            <w:r w:rsidRPr="002742DE">
              <w:rPr>
                <w:spacing w:val="1"/>
              </w:rPr>
              <w:t>g</w:t>
            </w:r>
            <w:r w:rsidRPr="002742DE">
              <w:rPr>
                <w:spacing w:val="-1"/>
              </w:rPr>
              <w:t>n</w:t>
            </w:r>
            <w:r w:rsidRPr="002742DE">
              <w:rPr>
                <w:spacing w:val="2"/>
              </w:rPr>
              <w:t>i</w:t>
            </w:r>
            <w:r w:rsidRPr="002742DE">
              <w:rPr>
                <w:spacing w:val="-2"/>
              </w:rPr>
              <w:t>f</w:t>
            </w:r>
            <w:r w:rsidRPr="002742DE">
              <w:t>ic</w:t>
            </w:r>
            <w:r w:rsidRPr="002742DE">
              <w:rPr>
                <w:spacing w:val="3"/>
              </w:rPr>
              <w:t>a</w:t>
            </w:r>
            <w:r w:rsidRPr="002742DE">
              <w:rPr>
                <w:spacing w:val="1"/>
              </w:rPr>
              <w:t>n</w:t>
            </w:r>
            <w:r w:rsidRPr="002742DE">
              <w:t>t</w:t>
            </w:r>
            <w:r w:rsidRPr="002742DE">
              <w:rPr>
                <w:spacing w:val="23"/>
              </w:rPr>
              <w:t xml:space="preserve"> </w:t>
            </w:r>
            <w:r w:rsidRPr="002742DE">
              <w:t>tra</w:t>
            </w:r>
            <w:r w:rsidRPr="002742DE">
              <w:rPr>
                <w:spacing w:val="-1"/>
              </w:rPr>
              <w:t>ns</w:t>
            </w:r>
            <w:r w:rsidRPr="002742DE">
              <w:rPr>
                <w:spacing w:val="1"/>
              </w:rPr>
              <w:t>b</w:t>
            </w:r>
            <w:r w:rsidRPr="002742DE">
              <w:rPr>
                <w:spacing w:val="5"/>
              </w:rPr>
              <w:t>o</w:t>
            </w:r>
            <w:r w:rsidRPr="002742DE">
              <w:rPr>
                <w:spacing w:val="1"/>
              </w:rPr>
              <w:t>u</w:t>
            </w:r>
            <w:r w:rsidRPr="002742DE">
              <w:rPr>
                <w:spacing w:val="-1"/>
              </w:rPr>
              <w:t>n</w:t>
            </w:r>
            <w:r w:rsidRPr="002742DE">
              <w:rPr>
                <w:spacing w:val="1"/>
              </w:rPr>
              <w:t>d</w:t>
            </w:r>
            <w:r w:rsidRPr="002742DE">
              <w:t>a</w:t>
            </w:r>
            <w:r w:rsidRPr="002742DE">
              <w:rPr>
                <w:spacing w:val="3"/>
              </w:rPr>
              <w:t>r</w:t>
            </w:r>
            <w:r w:rsidRPr="002742DE">
              <w:t>y</w:t>
            </w:r>
            <w:r w:rsidRPr="002742DE">
              <w:rPr>
                <w:spacing w:val="17"/>
              </w:rPr>
              <w:t xml:space="preserve"> </w:t>
            </w:r>
            <w:r w:rsidRPr="002742DE">
              <w:t>e</w:t>
            </w:r>
            <w:r w:rsidRPr="002742DE">
              <w:rPr>
                <w:spacing w:val="1"/>
              </w:rPr>
              <w:t>f</w:t>
            </w:r>
            <w:r w:rsidRPr="002742DE">
              <w:rPr>
                <w:spacing w:val="-2"/>
              </w:rPr>
              <w:t>f</w:t>
            </w:r>
            <w:r w:rsidRPr="002742DE">
              <w:t>e</w:t>
            </w:r>
            <w:r w:rsidRPr="002742DE">
              <w:rPr>
                <w:spacing w:val="1"/>
              </w:rPr>
              <w:t>c</w:t>
            </w:r>
            <w:r w:rsidRPr="002742DE">
              <w:rPr>
                <w:spacing w:val="2"/>
              </w:rPr>
              <w:t>t</w:t>
            </w:r>
            <w:r w:rsidRPr="002742DE">
              <w:rPr>
                <w:spacing w:val="-1"/>
              </w:rPr>
              <w:t>s</w:t>
            </w:r>
            <w:r w:rsidRPr="002742DE">
              <w:t>,</w:t>
            </w:r>
            <w:r w:rsidRPr="002742DE">
              <w:rPr>
                <w:spacing w:val="26"/>
              </w:rPr>
              <w:t xml:space="preserve"> </w:t>
            </w:r>
            <w:r w:rsidRPr="002742DE">
              <w:t>t</w:t>
            </w:r>
            <w:r w:rsidRPr="002742DE">
              <w:rPr>
                <w:spacing w:val="-1"/>
              </w:rPr>
              <w:t>h</w:t>
            </w:r>
            <w:r w:rsidRPr="002742DE">
              <w:t>e</w:t>
            </w:r>
            <w:r w:rsidRPr="002742DE">
              <w:rPr>
                <w:spacing w:val="30"/>
              </w:rPr>
              <w:t xml:space="preserve"> </w:t>
            </w:r>
            <w:r w:rsidRPr="002742DE">
              <w:rPr>
                <w:spacing w:val="3"/>
              </w:rPr>
              <w:t>d</w:t>
            </w:r>
            <w:r w:rsidRPr="002742DE">
              <w:rPr>
                <w:spacing w:val="1"/>
              </w:rPr>
              <w:t>r</w:t>
            </w:r>
            <w:r w:rsidRPr="002742DE">
              <w:t>a</w:t>
            </w:r>
            <w:r w:rsidRPr="002742DE">
              <w:rPr>
                <w:spacing w:val="-1"/>
              </w:rPr>
              <w:t>f</w:t>
            </w:r>
            <w:r w:rsidRPr="002742DE">
              <w:t>t</w:t>
            </w:r>
            <w:r w:rsidRPr="002742DE">
              <w:rPr>
                <w:spacing w:val="27"/>
              </w:rPr>
              <w:t xml:space="preserve"> </w:t>
            </w:r>
            <w:r w:rsidRPr="002742DE">
              <w:rPr>
                <w:spacing w:val="1"/>
              </w:rPr>
              <w:t>p</w:t>
            </w:r>
            <w:r w:rsidRPr="002742DE">
              <w:t>lan</w:t>
            </w:r>
            <w:r w:rsidRPr="002742DE">
              <w:rPr>
                <w:spacing w:val="27"/>
              </w:rPr>
              <w:t xml:space="preserve"> </w:t>
            </w:r>
            <w:r w:rsidRPr="002742DE">
              <w:rPr>
                <w:spacing w:val="1"/>
              </w:rPr>
              <w:t>o</w:t>
            </w:r>
            <w:r w:rsidRPr="002742DE">
              <w:t>r</w:t>
            </w:r>
            <w:r w:rsidRPr="002742DE">
              <w:rPr>
                <w:spacing w:val="30"/>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rPr>
                <w:spacing w:val="-5"/>
              </w:rPr>
              <w:t>w</w:t>
            </w:r>
            <w:r w:rsidRPr="002742DE">
              <w:rPr>
                <w:spacing w:val="1"/>
              </w:rPr>
              <w:t>o</w:t>
            </w:r>
            <w:r w:rsidRPr="002742DE">
              <w:rPr>
                <w:spacing w:val="3"/>
              </w:rPr>
              <w:t>r</w:t>
            </w:r>
            <w:r w:rsidRPr="002742DE">
              <w:t>k</w:t>
            </w:r>
            <w:r w:rsidRPr="002742DE">
              <w:rPr>
                <w:spacing w:val="21"/>
              </w:rPr>
              <w:t xml:space="preserve"> </w:t>
            </w:r>
            <w:r w:rsidRPr="002742DE">
              <w:t>a</w:t>
            </w:r>
            <w:r w:rsidRPr="002742DE">
              <w:rPr>
                <w:spacing w:val="-1"/>
              </w:rPr>
              <w:t>n</w:t>
            </w:r>
            <w:r w:rsidRPr="002742DE">
              <w:t>d</w:t>
            </w:r>
            <w:r w:rsidRPr="002742DE">
              <w:rPr>
                <w:spacing w:val="29"/>
              </w:rPr>
              <w:t xml:space="preserve"> </w:t>
            </w:r>
            <w:r w:rsidRPr="002742DE">
              <w:rPr>
                <w:spacing w:val="2"/>
              </w:rPr>
              <w:t>t</w:t>
            </w:r>
            <w:r w:rsidRPr="002742DE">
              <w:rPr>
                <w:spacing w:val="-1"/>
              </w:rPr>
              <w:t>h</w:t>
            </w:r>
            <w:r w:rsidRPr="002742DE">
              <w:t>e e</w:t>
            </w:r>
            <w:r w:rsidRPr="002742DE">
              <w:rPr>
                <w:spacing w:val="-1"/>
              </w:rPr>
              <w:t>nv</w:t>
            </w:r>
            <w:r w:rsidRPr="002742DE">
              <w:t>ir</w:t>
            </w:r>
            <w:r w:rsidRPr="002742DE">
              <w:rPr>
                <w:spacing w:val="3"/>
              </w:rPr>
              <w:t>o</w:t>
            </w:r>
            <w:r w:rsidRPr="002742DE">
              <w:rPr>
                <w:spacing w:val="1"/>
              </w:rPr>
              <w:t>n</w:t>
            </w:r>
            <w:r w:rsidRPr="002742DE">
              <w:rPr>
                <w:spacing w:val="-4"/>
              </w:rPr>
              <w:t>m</w:t>
            </w:r>
            <w:r w:rsidRPr="002742DE">
              <w:rPr>
                <w:spacing w:val="3"/>
              </w:rPr>
              <w:t>e</w:t>
            </w:r>
            <w:r w:rsidRPr="002742DE">
              <w:rPr>
                <w:spacing w:val="-1"/>
              </w:rPr>
              <w:t>n</w:t>
            </w:r>
            <w:r w:rsidRPr="002742DE">
              <w:t>tal</w:t>
            </w:r>
            <w:r w:rsidRPr="002742DE">
              <w:rPr>
                <w:spacing w:val="-12"/>
              </w:rPr>
              <w:t xml:space="preserve"> </w:t>
            </w:r>
            <w:r w:rsidRPr="002742DE">
              <w:rPr>
                <w:spacing w:val="1"/>
              </w:rPr>
              <w:t>r</w:t>
            </w:r>
            <w:r w:rsidRPr="002742DE">
              <w:t>e</w:t>
            </w:r>
            <w:r w:rsidRPr="002742DE">
              <w:rPr>
                <w:spacing w:val="1"/>
              </w:rPr>
              <w:t>por</w:t>
            </w:r>
            <w:r w:rsidRPr="002742DE">
              <w:t>t</w:t>
            </w:r>
            <w:r w:rsidRPr="002742DE">
              <w:rPr>
                <w:spacing w:val="-5"/>
              </w:rPr>
              <w:t xml:space="preserve"> </w:t>
            </w:r>
            <w:r w:rsidRPr="002742DE">
              <w:rPr>
                <w:spacing w:val="-1"/>
              </w:rPr>
              <w:t>h</w:t>
            </w:r>
            <w:r w:rsidRPr="002742DE">
              <w:t>a</w:t>
            </w:r>
            <w:r w:rsidRPr="002742DE">
              <w:rPr>
                <w:spacing w:val="-1"/>
              </w:rPr>
              <w:t>v</w:t>
            </w:r>
            <w:r w:rsidRPr="002742DE">
              <w:t>e</w:t>
            </w:r>
            <w:r w:rsidRPr="002742DE">
              <w:rPr>
                <w:spacing w:val="-3"/>
              </w:rPr>
              <w:t xml:space="preserve"> </w:t>
            </w:r>
            <w:r w:rsidRPr="002742DE">
              <w:rPr>
                <w:spacing w:val="1"/>
              </w:rPr>
              <w:t>b</w:t>
            </w:r>
            <w:r w:rsidRPr="002742DE">
              <w:t>e</w:t>
            </w:r>
            <w:r w:rsidRPr="002742DE">
              <w:rPr>
                <w:spacing w:val="3"/>
              </w:rPr>
              <w:t>e</w:t>
            </w:r>
            <w:r w:rsidRPr="002742DE">
              <w:t>n</w:t>
            </w:r>
            <w:r w:rsidRPr="002742DE">
              <w:rPr>
                <w:spacing w:val="-5"/>
              </w:rPr>
              <w:t xml:space="preserve"> </w:t>
            </w:r>
            <w:r w:rsidRPr="002742DE">
              <w:rPr>
                <w:spacing w:val="-2"/>
              </w:rPr>
              <w:t>f</w:t>
            </w:r>
            <w:r w:rsidRPr="002742DE">
              <w:rPr>
                <w:spacing w:val="1"/>
              </w:rPr>
              <w:t>o</w:t>
            </w:r>
            <w:r w:rsidRPr="002742DE">
              <w:rPr>
                <w:spacing w:val="3"/>
              </w:rPr>
              <w:t>r</w:t>
            </w:r>
            <w:r w:rsidRPr="002742DE">
              <w:rPr>
                <w:spacing w:val="-2"/>
              </w:rPr>
              <w:t>w</w:t>
            </w:r>
            <w:r w:rsidRPr="002742DE">
              <w:t>a</w:t>
            </w:r>
            <w:r w:rsidRPr="002742DE">
              <w:rPr>
                <w:spacing w:val="1"/>
              </w:rPr>
              <w:t>rd</w:t>
            </w:r>
            <w:r w:rsidRPr="002742DE">
              <w:t>ed</w:t>
            </w:r>
            <w:r w:rsidRPr="002742DE">
              <w:rPr>
                <w:spacing w:val="-6"/>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r</w:t>
            </w:r>
            <w:r w:rsidRPr="002742DE">
              <w:t>ele</w:t>
            </w:r>
            <w:r w:rsidRPr="002742DE">
              <w:rPr>
                <w:spacing w:val="-1"/>
              </w:rPr>
              <w:t>v</w:t>
            </w:r>
            <w:r w:rsidRPr="002742DE">
              <w:t>a</w:t>
            </w:r>
            <w:r w:rsidRPr="002742DE">
              <w:rPr>
                <w:spacing w:val="-1"/>
              </w:rPr>
              <w:t>n</w:t>
            </w:r>
            <w:r w:rsidRPr="002742DE">
              <w:rPr>
                <w:spacing w:val="2"/>
              </w:rPr>
              <w:t>t</w:t>
            </w:r>
            <w:r w:rsidRPr="002742DE">
              <w:t>/a</w:t>
            </w:r>
            <w:r w:rsidRPr="002742DE">
              <w:rPr>
                <w:spacing w:val="1"/>
              </w:rPr>
              <w:t>ff</w:t>
            </w:r>
            <w:r w:rsidRPr="002742DE">
              <w:t>e</w:t>
            </w:r>
            <w:r w:rsidRPr="002742DE">
              <w:rPr>
                <w:spacing w:val="1"/>
              </w:rPr>
              <w:t>c</w:t>
            </w:r>
            <w:r w:rsidRPr="002742DE">
              <w:t>ted</w:t>
            </w:r>
            <w:r w:rsidRPr="002742DE">
              <w:rPr>
                <w:spacing w:val="-12"/>
              </w:rPr>
              <w:t xml:space="preserve"> </w:t>
            </w:r>
            <w:r w:rsidRPr="002742DE">
              <w:t>M</w:t>
            </w:r>
            <w:r w:rsidRPr="002742DE">
              <w:rPr>
                <w:spacing w:val="3"/>
              </w:rPr>
              <w:t>e</w:t>
            </w:r>
            <w:r w:rsidRPr="002742DE">
              <w:rPr>
                <w:spacing w:val="-4"/>
              </w:rPr>
              <w:t>m</w:t>
            </w:r>
            <w:r w:rsidRPr="002742DE">
              <w:rPr>
                <w:spacing w:val="1"/>
              </w:rPr>
              <w:t>b</w:t>
            </w:r>
            <w:r w:rsidRPr="002742DE">
              <w:t>er</w:t>
            </w:r>
            <w:r w:rsidRPr="002742DE">
              <w:rPr>
                <w:spacing w:val="-6"/>
              </w:rPr>
              <w:t xml:space="preserve"> </w:t>
            </w:r>
            <w:r w:rsidRPr="002742DE">
              <w:t>State</w:t>
            </w:r>
            <w:r w:rsidRPr="002742DE">
              <w:rPr>
                <w:spacing w:val="-1"/>
              </w:rPr>
              <w:t>s</w:t>
            </w:r>
            <w:r w:rsidRPr="002742DE">
              <w:t>.</w:t>
            </w:r>
          </w:p>
        </w:tc>
        <w:tc>
          <w:tcPr>
            <w:tcW w:w="364" w:type="pct"/>
            <w:vAlign w:val="center"/>
          </w:tcPr>
          <w:p w:rsidR="00DE269D" w:rsidRPr="00857897" w:rsidRDefault="00DE269D" w:rsidP="00DE269D">
            <w:pPr>
              <w:tabs>
                <w:tab w:val="left" w:pos="1120"/>
              </w:tabs>
              <w:spacing w:before="60"/>
              <w:jc w:val="center"/>
              <w:rPr>
                <w:rFonts w:eastAsia="Wingdings" w:cs="Arial"/>
                <w:sz w:val="20"/>
                <w:szCs w:val="20"/>
              </w:rPr>
            </w:pPr>
            <w:r w:rsidRPr="00857897">
              <w:rPr>
                <w:rFonts w:eastAsia="Wingdings" w:cs="Arial"/>
                <w:sz w:val="20"/>
                <w:szCs w:val="20"/>
              </w:rPr>
              <w:t>NO</w:t>
            </w:r>
          </w:p>
        </w:tc>
        <w:tc>
          <w:tcPr>
            <w:tcW w:w="1589" w:type="pct"/>
            <w:vAlign w:val="center"/>
          </w:tcPr>
          <w:p w:rsidR="00DE269D" w:rsidRPr="00363135" w:rsidRDefault="00DE269D" w:rsidP="00DE269D">
            <w:pPr>
              <w:rPr>
                <w:rFonts w:cs="Arial"/>
                <w:sz w:val="20"/>
                <w:szCs w:val="20"/>
              </w:rPr>
            </w:pPr>
            <w:r w:rsidRPr="00363135">
              <w:rPr>
                <w:rFonts w:cs="Arial"/>
                <w:spacing w:val="1"/>
                <w:sz w:val="20"/>
                <w:szCs w:val="20"/>
              </w:rPr>
              <w:t>I</w:t>
            </w:r>
            <w:r w:rsidRPr="00363135">
              <w:rPr>
                <w:rFonts w:cs="Arial"/>
                <w:sz w:val="20"/>
                <w:szCs w:val="20"/>
              </w:rPr>
              <w:t>n</w:t>
            </w:r>
            <w:r w:rsidRPr="00363135">
              <w:rPr>
                <w:rFonts w:cs="Arial"/>
                <w:spacing w:val="28"/>
                <w:sz w:val="20"/>
                <w:szCs w:val="20"/>
              </w:rPr>
              <w:t xml:space="preserve"> </w:t>
            </w:r>
            <w:r w:rsidRPr="00363135">
              <w:rPr>
                <w:rFonts w:cs="Arial"/>
                <w:sz w:val="20"/>
                <w:szCs w:val="20"/>
              </w:rPr>
              <w:t>c</w:t>
            </w:r>
            <w:r w:rsidRPr="00363135">
              <w:rPr>
                <w:rFonts w:cs="Arial"/>
                <w:spacing w:val="1"/>
                <w:sz w:val="20"/>
                <w:szCs w:val="20"/>
              </w:rPr>
              <w:t>a</w:t>
            </w:r>
            <w:r w:rsidRPr="00363135">
              <w:rPr>
                <w:rFonts w:cs="Arial"/>
                <w:spacing w:val="-1"/>
                <w:sz w:val="20"/>
                <w:szCs w:val="20"/>
              </w:rPr>
              <w:t>s</w:t>
            </w:r>
            <w:r w:rsidRPr="00363135">
              <w:rPr>
                <w:rFonts w:cs="Arial"/>
                <w:sz w:val="20"/>
                <w:szCs w:val="20"/>
              </w:rPr>
              <w:t>e</w:t>
            </w:r>
            <w:r w:rsidRPr="00363135">
              <w:rPr>
                <w:rFonts w:cs="Arial"/>
                <w:spacing w:val="29"/>
                <w:sz w:val="20"/>
                <w:szCs w:val="20"/>
              </w:rPr>
              <w:t xml:space="preserve"> </w:t>
            </w:r>
            <w:r w:rsidRPr="00363135">
              <w:rPr>
                <w:rFonts w:cs="Arial"/>
                <w:spacing w:val="1"/>
                <w:sz w:val="20"/>
                <w:szCs w:val="20"/>
              </w:rPr>
              <w:t>o</w:t>
            </w:r>
            <w:r w:rsidRPr="00363135">
              <w:rPr>
                <w:rFonts w:cs="Arial"/>
                <w:sz w:val="20"/>
                <w:szCs w:val="20"/>
              </w:rPr>
              <w:t>f</w:t>
            </w:r>
            <w:r w:rsidRPr="00363135">
              <w:rPr>
                <w:rFonts w:cs="Arial"/>
                <w:spacing w:val="28"/>
                <w:sz w:val="20"/>
                <w:szCs w:val="20"/>
              </w:rPr>
              <w:t xml:space="preserve"> </w:t>
            </w:r>
            <w:r w:rsidRPr="00363135">
              <w:rPr>
                <w:rFonts w:cs="Arial"/>
                <w:spacing w:val="1"/>
                <w:sz w:val="20"/>
                <w:szCs w:val="20"/>
              </w:rPr>
              <w:t>po</w:t>
            </w:r>
            <w:r w:rsidRPr="00363135">
              <w:rPr>
                <w:rFonts w:cs="Arial"/>
                <w:spacing w:val="-1"/>
                <w:sz w:val="20"/>
                <w:szCs w:val="20"/>
              </w:rPr>
              <w:t>ss</w:t>
            </w:r>
            <w:r w:rsidRPr="00363135">
              <w:rPr>
                <w:rFonts w:cs="Arial"/>
                <w:sz w:val="20"/>
                <w:szCs w:val="20"/>
              </w:rPr>
              <w:t>i</w:t>
            </w:r>
            <w:r w:rsidRPr="00363135">
              <w:rPr>
                <w:rFonts w:cs="Arial"/>
                <w:spacing w:val="1"/>
                <w:sz w:val="20"/>
                <w:szCs w:val="20"/>
              </w:rPr>
              <w:t>b</w:t>
            </w:r>
            <w:r w:rsidRPr="00363135">
              <w:rPr>
                <w:rFonts w:cs="Arial"/>
                <w:sz w:val="20"/>
                <w:szCs w:val="20"/>
              </w:rPr>
              <w:t>le</w:t>
            </w:r>
            <w:r w:rsidRPr="00363135">
              <w:rPr>
                <w:rFonts w:cs="Arial"/>
                <w:spacing w:val="25"/>
                <w:sz w:val="20"/>
                <w:szCs w:val="20"/>
              </w:rPr>
              <w:t xml:space="preserve"> </w:t>
            </w:r>
            <w:r w:rsidRPr="00363135">
              <w:rPr>
                <w:rFonts w:cs="Arial"/>
                <w:spacing w:val="-1"/>
                <w:sz w:val="20"/>
                <w:szCs w:val="20"/>
              </w:rPr>
              <w:t>s</w:t>
            </w:r>
            <w:r w:rsidRPr="00363135">
              <w:rPr>
                <w:rFonts w:cs="Arial"/>
                <w:spacing w:val="2"/>
                <w:sz w:val="20"/>
                <w:szCs w:val="20"/>
              </w:rPr>
              <w:t>i</w:t>
            </w:r>
            <w:r w:rsidRPr="00363135">
              <w:rPr>
                <w:rFonts w:cs="Arial"/>
                <w:spacing w:val="1"/>
                <w:sz w:val="20"/>
                <w:szCs w:val="20"/>
              </w:rPr>
              <w:t>g</w:t>
            </w:r>
            <w:r w:rsidRPr="00363135">
              <w:rPr>
                <w:rFonts w:cs="Arial"/>
                <w:spacing w:val="-1"/>
                <w:sz w:val="20"/>
                <w:szCs w:val="20"/>
              </w:rPr>
              <w:t>n</w:t>
            </w:r>
            <w:r w:rsidRPr="00363135">
              <w:rPr>
                <w:rFonts w:cs="Arial"/>
                <w:spacing w:val="2"/>
                <w:sz w:val="20"/>
                <w:szCs w:val="20"/>
              </w:rPr>
              <w:t>i</w:t>
            </w:r>
            <w:r w:rsidRPr="00363135">
              <w:rPr>
                <w:rFonts w:cs="Arial"/>
                <w:spacing w:val="-2"/>
                <w:sz w:val="20"/>
                <w:szCs w:val="20"/>
              </w:rPr>
              <w:t>f</w:t>
            </w:r>
            <w:r w:rsidRPr="00363135">
              <w:rPr>
                <w:rFonts w:cs="Arial"/>
                <w:sz w:val="20"/>
                <w:szCs w:val="20"/>
              </w:rPr>
              <w:t>ic</w:t>
            </w:r>
            <w:r w:rsidRPr="00363135">
              <w:rPr>
                <w:rFonts w:cs="Arial"/>
                <w:spacing w:val="3"/>
                <w:sz w:val="20"/>
                <w:szCs w:val="20"/>
              </w:rPr>
              <w:t>a</w:t>
            </w:r>
            <w:r w:rsidRPr="00363135">
              <w:rPr>
                <w:rFonts w:cs="Arial"/>
                <w:spacing w:val="1"/>
                <w:sz w:val="20"/>
                <w:szCs w:val="20"/>
              </w:rPr>
              <w:t>n</w:t>
            </w:r>
            <w:r w:rsidRPr="00363135">
              <w:rPr>
                <w:rFonts w:cs="Arial"/>
                <w:sz w:val="20"/>
                <w:szCs w:val="20"/>
              </w:rPr>
              <w:t>t</w:t>
            </w:r>
            <w:r w:rsidRPr="00363135">
              <w:rPr>
                <w:rFonts w:cs="Arial"/>
                <w:spacing w:val="23"/>
                <w:sz w:val="20"/>
                <w:szCs w:val="20"/>
              </w:rPr>
              <w:t xml:space="preserve"> </w:t>
            </w:r>
            <w:r w:rsidRPr="00363135">
              <w:rPr>
                <w:rFonts w:cs="Arial"/>
                <w:sz w:val="20"/>
                <w:szCs w:val="20"/>
              </w:rPr>
              <w:t>tra</w:t>
            </w:r>
            <w:r w:rsidRPr="00363135">
              <w:rPr>
                <w:rFonts w:cs="Arial"/>
                <w:spacing w:val="-1"/>
                <w:sz w:val="20"/>
                <w:szCs w:val="20"/>
              </w:rPr>
              <w:t>ns</w:t>
            </w:r>
            <w:r w:rsidRPr="00363135">
              <w:rPr>
                <w:rFonts w:cs="Arial"/>
                <w:spacing w:val="1"/>
                <w:sz w:val="20"/>
                <w:szCs w:val="20"/>
              </w:rPr>
              <w:t>b</w:t>
            </w:r>
            <w:r w:rsidRPr="00363135">
              <w:rPr>
                <w:rFonts w:cs="Arial"/>
                <w:spacing w:val="5"/>
                <w:sz w:val="20"/>
                <w:szCs w:val="20"/>
              </w:rPr>
              <w:t>o</w:t>
            </w:r>
            <w:r w:rsidRPr="00363135">
              <w:rPr>
                <w:rFonts w:cs="Arial"/>
                <w:spacing w:val="1"/>
                <w:sz w:val="20"/>
                <w:szCs w:val="20"/>
              </w:rPr>
              <w:t>u</w:t>
            </w:r>
            <w:r w:rsidRPr="00363135">
              <w:rPr>
                <w:rFonts w:cs="Arial"/>
                <w:spacing w:val="-1"/>
                <w:sz w:val="20"/>
                <w:szCs w:val="20"/>
              </w:rPr>
              <w:t>n</w:t>
            </w:r>
            <w:r w:rsidRPr="00363135">
              <w:rPr>
                <w:rFonts w:cs="Arial"/>
                <w:spacing w:val="1"/>
                <w:sz w:val="20"/>
                <w:szCs w:val="20"/>
              </w:rPr>
              <w:t>d</w:t>
            </w:r>
            <w:r w:rsidRPr="00363135">
              <w:rPr>
                <w:rFonts w:cs="Arial"/>
                <w:sz w:val="20"/>
                <w:szCs w:val="20"/>
              </w:rPr>
              <w:t>a</w:t>
            </w:r>
            <w:r w:rsidRPr="00363135">
              <w:rPr>
                <w:rFonts w:cs="Arial"/>
                <w:spacing w:val="3"/>
                <w:sz w:val="20"/>
                <w:szCs w:val="20"/>
              </w:rPr>
              <w:t>r</w:t>
            </w:r>
            <w:r w:rsidRPr="00363135">
              <w:rPr>
                <w:rFonts w:cs="Arial"/>
                <w:sz w:val="20"/>
                <w:szCs w:val="20"/>
              </w:rPr>
              <w:t>y</w:t>
            </w:r>
            <w:r w:rsidRPr="00363135">
              <w:rPr>
                <w:rFonts w:cs="Arial"/>
                <w:spacing w:val="17"/>
                <w:sz w:val="20"/>
                <w:szCs w:val="20"/>
              </w:rPr>
              <w:t xml:space="preserve"> </w:t>
            </w:r>
            <w:r w:rsidRPr="00363135">
              <w:rPr>
                <w:rFonts w:cs="Arial"/>
                <w:sz w:val="20"/>
                <w:szCs w:val="20"/>
              </w:rPr>
              <w:t>e</w:t>
            </w:r>
            <w:r w:rsidRPr="00363135">
              <w:rPr>
                <w:rFonts w:cs="Arial"/>
                <w:spacing w:val="1"/>
                <w:sz w:val="20"/>
                <w:szCs w:val="20"/>
              </w:rPr>
              <w:t>f</w:t>
            </w:r>
            <w:r w:rsidRPr="00363135">
              <w:rPr>
                <w:rFonts w:cs="Arial"/>
                <w:spacing w:val="-2"/>
                <w:sz w:val="20"/>
                <w:szCs w:val="20"/>
              </w:rPr>
              <w:t>f</w:t>
            </w:r>
            <w:r w:rsidRPr="00363135">
              <w:rPr>
                <w:rFonts w:cs="Arial"/>
                <w:sz w:val="20"/>
                <w:szCs w:val="20"/>
              </w:rPr>
              <w:t>e</w:t>
            </w:r>
            <w:r w:rsidRPr="00363135">
              <w:rPr>
                <w:rFonts w:cs="Arial"/>
                <w:spacing w:val="1"/>
                <w:sz w:val="20"/>
                <w:szCs w:val="20"/>
              </w:rPr>
              <w:t>c</w:t>
            </w:r>
            <w:r w:rsidRPr="00363135">
              <w:rPr>
                <w:rFonts w:cs="Arial"/>
                <w:spacing w:val="2"/>
                <w:sz w:val="20"/>
                <w:szCs w:val="20"/>
              </w:rPr>
              <w:t>t</w:t>
            </w:r>
            <w:r w:rsidRPr="00363135">
              <w:rPr>
                <w:rFonts w:cs="Arial"/>
                <w:spacing w:val="-1"/>
                <w:sz w:val="20"/>
                <w:szCs w:val="20"/>
              </w:rPr>
              <w:t>s</w:t>
            </w:r>
            <w:r w:rsidRPr="00363135">
              <w:rPr>
                <w:rFonts w:cs="Arial"/>
                <w:sz w:val="20"/>
                <w:szCs w:val="20"/>
              </w:rPr>
              <w:t xml:space="preserve"> the Final Environmental Report and Master Plan will be forwarded to t</w:t>
            </w:r>
            <w:r w:rsidRPr="00363135">
              <w:rPr>
                <w:rFonts w:cs="Arial"/>
                <w:spacing w:val="-1"/>
                <w:sz w:val="20"/>
                <w:szCs w:val="20"/>
              </w:rPr>
              <w:t>h</w:t>
            </w:r>
            <w:r w:rsidRPr="00363135">
              <w:rPr>
                <w:rFonts w:cs="Arial"/>
                <w:sz w:val="20"/>
                <w:szCs w:val="20"/>
              </w:rPr>
              <w:t>e</w:t>
            </w:r>
            <w:r w:rsidRPr="00363135">
              <w:rPr>
                <w:rFonts w:cs="Arial"/>
                <w:spacing w:val="-1"/>
                <w:sz w:val="20"/>
                <w:szCs w:val="20"/>
              </w:rPr>
              <w:t xml:space="preserve"> </w:t>
            </w:r>
            <w:r w:rsidRPr="00363135">
              <w:rPr>
                <w:rFonts w:cs="Arial"/>
                <w:spacing w:val="1"/>
                <w:sz w:val="20"/>
                <w:szCs w:val="20"/>
              </w:rPr>
              <w:t>r</w:t>
            </w:r>
            <w:r w:rsidRPr="00363135">
              <w:rPr>
                <w:rFonts w:cs="Arial"/>
                <w:sz w:val="20"/>
                <w:szCs w:val="20"/>
              </w:rPr>
              <w:t>ele</w:t>
            </w:r>
            <w:r w:rsidRPr="00363135">
              <w:rPr>
                <w:rFonts w:cs="Arial"/>
                <w:spacing w:val="-1"/>
                <w:sz w:val="20"/>
                <w:szCs w:val="20"/>
              </w:rPr>
              <w:t>v</w:t>
            </w:r>
            <w:r w:rsidRPr="00363135">
              <w:rPr>
                <w:rFonts w:cs="Arial"/>
                <w:sz w:val="20"/>
                <w:szCs w:val="20"/>
              </w:rPr>
              <w:t>a</w:t>
            </w:r>
            <w:r w:rsidRPr="00363135">
              <w:rPr>
                <w:rFonts w:cs="Arial"/>
                <w:spacing w:val="-1"/>
                <w:sz w:val="20"/>
                <w:szCs w:val="20"/>
              </w:rPr>
              <w:t>n</w:t>
            </w:r>
            <w:r w:rsidRPr="00363135">
              <w:rPr>
                <w:rFonts w:cs="Arial"/>
                <w:spacing w:val="2"/>
                <w:sz w:val="20"/>
                <w:szCs w:val="20"/>
              </w:rPr>
              <w:t>t</w:t>
            </w:r>
            <w:r w:rsidRPr="00363135">
              <w:rPr>
                <w:rFonts w:cs="Arial"/>
                <w:sz w:val="20"/>
                <w:szCs w:val="20"/>
              </w:rPr>
              <w:t>/a</w:t>
            </w:r>
            <w:r w:rsidRPr="00363135">
              <w:rPr>
                <w:rFonts w:cs="Arial"/>
                <w:spacing w:val="1"/>
                <w:sz w:val="20"/>
                <w:szCs w:val="20"/>
              </w:rPr>
              <w:t>ff</w:t>
            </w:r>
            <w:r w:rsidRPr="00363135">
              <w:rPr>
                <w:rFonts w:cs="Arial"/>
                <w:sz w:val="20"/>
                <w:szCs w:val="20"/>
              </w:rPr>
              <w:t>e</w:t>
            </w:r>
            <w:r w:rsidRPr="00363135">
              <w:rPr>
                <w:rFonts w:cs="Arial"/>
                <w:spacing w:val="1"/>
                <w:sz w:val="20"/>
                <w:szCs w:val="20"/>
              </w:rPr>
              <w:t>c</w:t>
            </w:r>
            <w:r w:rsidRPr="00363135">
              <w:rPr>
                <w:rFonts w:cs="Arial"/>
                <w:sz w:val="20"/>
                <w:szCs w:val="20"/>
              </w:rPr>
              <w:t>ted</w:t>
            </w:r>
            <w:r w:rsidRPr="00363135">
              <w:rPr>
                <w:rFonts w:cs="Arial"/>
                <w:spacing w:val="-12"/>
                <w:sz w:val="20"/>
                <w:szCs w:val="20"/>
              </w:rPr>
              <w:t xml:space="preserve"> </w:t>
            </w:r>
            <w:r w:rsidRPr="00363135">
              <w:rPr>
                <w:rFonts w:cs="Arial"/>
                <w:sz w:val="20"/>
                <w:szCs w:val="20"/>
              </w:rPr>
              <w:t>M</w:t>
            </w:r>
            <w:r w:rsidRPr="00363135">
              <w:rPr>
                <w:rFonts w:cs="Arial"/>
                <w:spacing w:val="3"/>
                <w:sz w:val="20"/>
                <w:szCs w:val="20"/>
              </w:rPr>
              <w:t>e</w:t>
            </w:r>
            <w:r w:rsidRPr="00363135">
              <w:rPr>
                <w:rFonts w:cs="Arial"/>
                <w:spacing w:val="-4"/>
                <w:sz w:val="20"/>
                <w:szCs w:val="20"/>
              </w:rPr>
              <w:t>m</w:t>
            </w:r>
            <w:r w:rsidRPr="00363135">
              <w:rPr>
                <w:rFonts w:cs="Arial"/>
                <w:spacing w:val="1"/>
                <w:sz w:val="20"/>
                <w:szCs w:val="20"/>
              </w:rPr>
              <w:t>b</w:t>
            </w:r>
            <w:r w:rsidRPr="00363135">
              <w:rPr>
                <w:rFonts w:cs="Arial"/>
                <w:sz w:val="20"/>
                <w:szCs w:val="20"/>
              </w:rPr>
              <w:t>er</w:t>
            </w:r>
            <w:r w:rsidRPr="00363135">
              <w:rPr>
                <w:rFonts w:cs="Arial"/>
                <w:spacing w:val="-6"/>
                <w:sz w:val="20"/>
                <w:szCs w:val="20"/>
              </w:rPr>
              <w:t xml:space="preserve"> </w:t>
            </w:r>
            <w:r w:rsidRPr="00363135">
              <w:rPr>
                <w:rFonts w:cs="Arial"/>
                <w:sz w:val="20"/>
                <w:szCs w:val="20"/>
              </w:rPr>
              <w:t>State</w:t>
            </w:r>
            <w:r w:rsidRPr="00363135">
              <w:rPr>
                <w:rFonts w:cs="Arial"/>
                <w:spacing w:val="-1"/>
                <w:sz w:val="20"/>
                <w:szCs w:val="20"/>
              </w:rPr>
              <w:t>s.</w:t>
            </w:r>
          </w:p>
          <w:p w:rsidR="00DE269D" w:rsidRPr="00363135" w:rsidRDefault="00DE269D" w:rsidP="00DE269D">
            <w:pPr>
              <w:rPr>
                <w:rFonts w:cs="Arial"/>
                <w:sz w:val="20"/>
                <w:szCs w:val="20"/>
              </w:rPr>
            </w:pPr>
            <w:r w:rsidRPr="00363135">
              <w:rPr>
                <w:rFonts w:cs="Arial"/>
                <w:sz w:val="20"/>
                <w:szCs w:val="20"/>
              </w:rPr>
              <w:t>Responsibility to inform the relevant/affected Member States lies the central public authority promoting the plan (in this case the Ministry of Transport), on the recommendation of the Ministry of Environment and Climate Change. It is recommended that the establishment of States which are notified to be performed by the central public authority promotes plan with the Ministry of Environment and Climate Change.</w:t>
            </w:r>
          </w:p>
          <w:p w:rsidR="00DE269D" w:rsidRPr="00363135" w:rsidRDefault="00DE269D" w:rsidP="00DE269D">
            <w:pPr>
              <w:rPr>
                <w:rFonts w:cs="Arial"/>
                <w:sz w:val="20"/>
                <w:szCs w:val="20"/>
              </w:rPr>
            </w:pPr>
            <w:r w:rsidRPr="00363135">
              <w:rPr>
                <w:rFonts w:cs="Arial"/>
                <w:sz w:val="20"/>
                <w:szCs w:val="20"/>
              </w:rPr>
              <w:t xml:space="preserve">In according with GD 1076/2004 </w:t>
            </w:r>
            <w:r w:rsidRPr="00363135">
              <w:rPr>
                <w:rFonts w:cs="Arial"/>
                <w:sz w:val="20"/>
                <w:szCs w:val="20"/>
                <w:lang w:val="ro-RO"/>
              </w:rPr>
              <w:t>Art. 22 (2) din HG 1076/2004 menţionează că</w:t>
            </w:r>
            <w:r w:rsidRPr="00363135">
              <w:rPr>
                <w:rFonts w:cs="Arial"/>
                <w:i/>
                <w:iCs/>
                <w:sz w:val="20"/>
                <w:szCs w:val="20"/>
                <w:lang w:val="ro-RO"/>
              </w:rPr>
              <w:t xml:space="preserve"> „În cazul în care implementarea planului sau programului poate avea efecte semnificative transfrontieră, titularul, prin intermediul autorităţii publice centrale care promovează planul sau programul, este obligat să transmită proiectul de plan sau de program şi raportul de mediu elaborat pentru acesta, în limba engleză, autorităţilor centrale de mediu din statele posibil afectate, în termen de maximum 20 de zile calendaristice de la finalizarea raportului de mediu, conform art. 21 alin. (3)”.</w:t>
            </w: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1120"/>
              </w:tabs>
              <w:spacing w:before="60" w:line="240" w:lineRule="auto"/>
              <w:contextualSpacing/>
              <w:jc w:val="left"/>
            </w:pPr>
            <w:r w:rsidRPr="002742DE">
              <w:rPr>
                <w:spacing w:val="3"/>
              </w:rPr>
              <w:t>T</w:t>
            </w:r>
            <w:r w:rsidRPr="002742DE">
              <w:rPr>
                <w:spacing w:val="-1"/>
              </w:rPr>
              <w:t>h</w:t>
            </w:r>
            <w:r w:rsidRPr="002742DE">
              <w:t>e</w:t>
            </w:r>
            <w:r w:rsidRPr="002742DE">
              <w:rPr>
                <w:spacing w:val="5"/>
              </w:rPr>
              <w:t xml:space="preserve"> </w:t>
            </w:r>
            <w:r w:rsidRPr="002742DE">
              <w:t>e</w:t>
            </w:r>
            <w:r w:rsidRPr="002742DE">
              <w:rPr>
                <w:spacing w:val="-1"/>
              </w:rPr>
              <w:t>nv</w:t>
            </w:r>
            <w:r w:rsidRPr="002742DE">
              <w:t>ir</w:t>
            </w:r>
            <w:r w:rsidRPr="002742DE">
              <w:rPr>
                <w:spacing w:val="1"/>
              </w:rPr>
              <w:t>on</w:t>
            </w:r>
            <w:r w:rsidRPr="002742DE">
              <w:rPr>
                <w:spacing w:val="-1"/>
              </w:rPr>
              <w:t>m</w:t>
            </w:r>
            <w:r w:rsidRPr="002742DE">
              <w:t>e</w:t>
            </w:r>
            <w:r w:rsidRPr="002742DE">
              <w:rPr>
                <w:spacing w:val="1"/>
              </w:rPr>
              <w:t>n</w:t>
            </w:r>
            <w:r w:rsidRPr="002742DE">
              <w:t>tal</w:t>
            </w:r>
            <w:r w:rsidRPr="002742DE">
              <w:rPr>
                <w:spacing w:val="-5"/>
              </w:rPr>
              <w:t xml:space="preserve"> </w:t>
            </w:r>
            <w:r w:rsidRPr="002742DE">
              <w:rPr>
                <w:spacing w:val="1"/>
              </w:rPr>
              <w:t>r</w:t>
            </w:r>
            <w:r w:rsidRPr="002742DE">
              <w:t>e</w:t>
            </w:r>
            <w:r w:rsidRPr="002742DE">
              <w:rPr>
                <w:spacing w:val="1"/>
              </w:rPr>
              <w:t>por</w:t>
            </w:r>
            <w:r w:rsidRPr="002742DE">
              <w:t>t</w:t>
            </w:r>
            <w:r w:rsidRPr="002742DE">
              <w:rPr>
                <w:spacing w:val="2"/>
              </w:rPr>
              <w:t xml:space="preserve"> </w:t>
            </w:r>
            <w:r w:rsidRPr="002742DE">
              <w:t>a</w:t>
            </w:r>
            <w:r w:rsidRPr="002742DE">
              <w:rPr>
                <w:spacing w:val="-1"/>
              </w:rPr>
              <w:t>n</w:t>
            </w:r>
            <w:r w:rsidRPr="002742DE">
              <w:t>d</w:t>
            </w:r>
            <w:r w:rsidRPr="002742DE">
              <w:rPr>
                <w:spacing w:val="5"/>
              </w:rPr>
              <w:t xml:space="preserve"> </w:t>
            </w:r>
            <w:r w:rsidRPr="002742DE">
              <w:t>t</w:t>
            </w:r>
            <w:r w:rsidRPr="002742DE">
              <w:rPr>
                <w:spacing w:val="-1"/>
              </w:rPr>
              <w:t>h</w:t>
            </w:r>
            <w:r w:rsidRPr="002742DE">
              <w:t>e</w:t>
            </w:r>
            <w:r w:rsidRPr="002742DE">
              <w:rPr>
                <w:spacing w:val="6"/>
              </w:rPr>
              <w:t xml:space="preserve"> </w:t>
            </w:r>
            <w:r w:rsidRPr="002742DE">
              <w:rPr>
                <w:spacing w:val="1"/>
              </w:rPr>
              <w:t>op</w:t>
            </w:r>
            <w:r w:rsidRPr="002742DE">
              <w:t>i</w:t>
            </w:r>
            <w:r w:rsidRPr="002742DE">
              <w:rPr>
                <w:spacing w:val="-1"/>
              </w:rPr>
              <w:t>n</w:t>
            </w:r>
            <w:r w:rsidRPr="002742DE">
              <w:t>i</w:t>
            </w:r>
            <w:r w:rsidRPr="002742DE">
              <w:rPr>
                <w:spacing w:val="1"/>
              </w:rPr>
              <w:t>on</w:t>
            </w:r>
            <w:r w:rsidRPr="002742DE">
              <w:t>s e</w:t>
            </w:r>
            <w:r w:rsidRPr="002742DE">
              <w:rPr>
                <w:spacing w:val="-1"/>
              </w:rPr>
              <w:t>x</w:t>
            </w:r>
            <w:r w:rsidRPr="002742DE">
              <w:rPr>
                <w:spacing w:val="1"/>
              </w:rPr>
              <w:t>pr</w:t>
            </w:r>
            <w:r w:rsidRPr="002742DE">
              <w:t>es</w:t>
            </w:r>
            <w:r w:rsidRPr="002742DE">
              <w:rPr>
                <w:spacing w:val="-1"/>
              </w:rPr>
              <w:t>s</w:t>
            </w:r>
            <w:r w:rsidRPr="002742DE">
              <w:t>ed</w:t>
            </w:r>
            <w:r w:rsidRPr="002742DE">
              <w:rPr>
                <w:spacing w:val="1"/>
              </w:rPr>
              <w:t xml:space="preserve"> </w:t>
            </w:r>
            <w:r w:rsidRPr="002742DE">
              <w:rPr>
                <w:spacing w:val="2"/>
              </w:rPr>
              <w:t>i</w:t>
            </w:r>
            <w:r w:rsidRPr="002742DE">
              <w:t>n</w:t>
            </w:r>
            <w:r w:rsidRPr="002742DE">
              <w:rPr>
                <w:spacing w:val="4"/>
              </w:rPr>
              <w:t xml:space="preserve"> </w:t>
            </w:r>
            <w:r w:rsidRPr="002742DE">
              <w:t>t</w:t>
            </w:r>
            <w:r w:rsidRPr="002742DE">
              <w:rPr>
                <w:spacing w:val="-1"/>
              </w:rPr>
              <w:t>h</w:t>
            </w:r>
            <w:r w:rsidRPr="002742DE">
              <w:t>e</w:t>
            </w:r>
            <w:r w:rsidRPr="002742DE">
              <w:rPr>
                <w:spacing w:val="8"/>
              </w:rPr>
              <w:t xml:space="preserve"> </w:t>
            </w:r>
            <w:r w:rsidRPr="002742DE">
              <w:rPr>
                <w:spacing w:val="1"/>
              </w:rPr>
              <w:t>r</w:t>
            </w:r>
            <w:r w:rsidRPr="002742DE">
              <w:t>ele</w:t>
            </w:r>
            <w:r w:rsidRPr="002742DE">
              <w:rPr>
                <w:spacing w:val="-1"/>
              </w:rPr>
              <w:t>v</w:t>
            </w:r>
            <w:r w:rsidRPr="002742DE">
              <w:t>a</w:t>
            </w:r>
            <w:r w:rsidRPr="002742DE">
              <w:rPr>
                <w:spacing w:val="-1"/>
              </w:rPr>
              <w:t>n</w:t>
            </w:r>
            <w:r w:rsidRPr="002742DE">
              <w:t>t</w:t>
            </w:r>
            <w:r w:rsidRPr="002742DE">
              <w:rPr>
                <w:spacing w:val="1"/>
              </w:rPr>
              <w:t xml:space="preserve"> </w:t>
            </w:r>
            <w:r w:rsidRPr="002742DE">
              <w:t>c</w:t>
            </w:r>
            <w:r w:rsidRPr="002742DE">
              <w:rPr>
                <w:spacing w:val="1"/>
              </w:rPr>
              <w:t>on</w:t>
            </w:r>
            <w:r w:rsidRPr="002742DE">
              <w:rPr>
                <w:spacing w:val="-1"/>
              </w:rPr>
              <w:t>s</w:t>
            </w:r>
            <w:r w:rsidRPr="002742DE">
              <w:rPr>
                <w:spacing w:val="1"/>
              </w:rPr>
              <w:t>u</w:t>
            </w:r>
            <w:r w:rsidRPr="002742DE">
              <w:t>ltati</w:t>
            </w:r>
            <w:r w:rsidRPr="002742DE">
              <w:rPr>
                <w:spacing w:val="1"/>
              </w:rPr>
              <w:t>on</w:t>
            </w:r>
            <w:r w:rsidRPr="002742DE">
              <w:t>s</w:t>
            </w:r>
            <w:r w:rsidRPr="002742DE">
              <w:rPr>
                <w:spacing w:val="4"/>
              </w:rPr>
              <w:t xml:space="preserve"> </w:t>
            </w:r>
            <w:r w:rsidRPr="002742DE">
              <w:rPr>
                <w:spacing w:val="1"/>
              </w:rPr>
              <w:t>(</w:t>
            </w:r>
            <w:r w:rsidRPr="002742DE">
              <w:t>i</w:t>
            </w:r>
            <w:r w:rsidRPr="002742DE">
              <w:rPr>
                <w:spacing w:val="-1"/>
              </w:rPr>
              <w:t>n</w:t>
            </w:r>
            <w:r w:rsidRPr="002742DE">
              <w:t>c</w:t>
            </w:r>
            <w:r w:rsidRPr="002742DE">
              <w:rPr>
                <w:spacing w:val="2"/>
              </w:rPr>
              <w:t>l</w:t>
            </w:r>
            <w:r w:rsidRPr="002742DE">
              <w:rPr>
                <w:spacing w:val="-1"/>
              </w:rPr>
              <w:t>u</w:t>
            </w:r>
            <w:r w:rsidRPr="002742DE">
              <w:rPr>
                <w:spacing w:val="3"/>
              </w:rPr>
              <w:t>d</w:t>
            </w:r>
            <w:r w:rsidRPr="002742DE">
              <w:t>i</w:t>
            </w:r>
            <w:r w:rsidRPr="002742DE">
              <w:rPr>
                <w:spacing w:val="-1"/>
              </w:rPr>
              <w:t>n</w:t>
            </w:r>
            <w:r w:rsidRPr="002742DE">
              <w:t>g as</w:t>
            </w:r>
            <w:r w:rsidRPr="002742DE">
              <w:rPr>
                <w:spacing w:val="5"/>
              </w:rPr>
              <w:t xml:space="preserve"> </w:t>
            </w:r>
            <w:r w:rsidRPr="002742DE">
              <w:t>a</w:t>
            </w:r>
            <w:r w:rsidRPr="002742DE">
              <w:rPr>
                <w:spacing w:val="1"/>
              </w:rPr>
              <w:t>ppropr</w:t>
            </w:r>
            <w:r w:rsidRPr="002742DE">
              <w:t>iate</w:t>
            </w:r>
            <w:r w:rsidRPr="002742DE">
              <w:rPr>
                <w:spacing w:val="-1"/>
              </w:rPr>
              <w:t xml:space="preserve"> </w:t>
            </w:r>
            <w:r w:rsidRPr="002742DE">
              <w:t>tra</w:t>
            </w:r>
            <w:r w:rsidRPr="002742DE">
              <w:rPr>
                <w:spacing w:val="-1"/>
              </w:rPr>
              <w:t>ns</w:t>
            </w:r>
            <w:r w:rsidRPr="002742DE">
              <w:rPr>
                <w:spacing w:val="1"/>
              </w:rPr>
              <w:t>bo</w:t>
            </w:r>
            <w:r w:rsidRPr="002742DE">
              <w:rPr>
                <w:spacing w:val="-1"/>
              </w:rPr>
              <w:t>un</w:t>
            </w:r>
            <w:r w:rsidRPr="002742DE">
              <w:rPr>
                <w:spacing w:val="1"/>
              </w:rPr>
              <w:t>d</w:t>
            </w:r>
            <w:r w:rsidRPr="002742DE">
              <w:t>a</w:t>
            </w:r>
            <w:r w:rsidRPr="002742DE">
              <w:rPr>
                <w:spacing w:val="3"/>
              </w:rPr>
              <w:t>r</w:t>
            </w:r>
            <w:r w:rsidRPr="002742DE">
              <w:t>y</w:t>
            </w:r>
            <w:r w:rsidRPr="002742DE">
              <w:rPr>
                <w:spacing w:val="-5"/>
              </w:rPr>
              <w:t xml:space="preserve"> </w:t>
            </w:r>
            <w:r w:rsidRPr="002742DE">
              <w:rPr>
                <w:spacing w:val="5"/>
              </w:rPr>
              <w:t>o</w:t>
            </w:r>
            <w:r w:rsidRPr="002742DE">
              <w:rPr>
                <w:spacing w:val="-1"/>
              </w:rPr>
              <w:t>n</w:t>
            </w:r>
            <w:r w:rsidRPr="002742DE">
              <w:t>es)</w:t>
            </w:r>
            <w:r w:rsidRPr="002742DE">
              <w:rPr>
                <w:spacing w:val="4"/>
              </w:rPr>
              <w:t xml:space="preserve"> </w:t>
            </w:r>
            <w:r w:rsidRPr="002742DE">
              <w:rPr>
                <w:spacing w:val="-1"/>
              </w:rPr>
              <w:t>h</w:t>
            </w:r>
            <w:r w:rsidRPr="002742DE">
              <w:rPr>
                <w:spacing w:val="3"/>
              </w:rPr>
              <w:t>a</w:t>
            </w:r>
            <w:r w:rsidRPr="002742DE">
              <w:rPr>
                <w:spacing w:val="-1"/>
              </w:rPr>
              <w:t>v</w:t>
            </w:r>
            <w:r w:rsidRPr="002742DE">
              <w:t>e</w:t>
            </w:r>
            <w:r w:rsidRPr="002742DE">
              <w:rPr>
                <w:spacing w:val="4"/>
              </w:rPr>
              <w:t xml:space="preserve"> </w:t>
            </w:r>
            <w:r w:rsidRPr="002742DE">
              <w:rPr>
                <w:spacing w:val="1"/>
              </w:rPr>
              <w:t>b</w:t>
            </w:r>
            <w:r w:rsidRPr="002742DE">
              <w:t>e</w:t>
            </w:r>
            <w:r w:rsidRPr="002742DE">
              <w:rPr>
                <w:spacing w:val="1"/>
              </w:rPr>
              <w:t>e</w:t>
            </w:r>
            <w:r w:rsidRPr="002742DE">
              <w:t>n</w:t>
            </w:r>
            <w:r w:rsidRPr="002742DE">
              <w:rPr>
                <w:spacing w:val="5"/>
              </w:rPr>
              <w:t xml:space="preserve"> </w:t>
            </w:r>
            <w:r w:rsidRPr="002742DE">
              <w:rPr>
                <w:spacing w:val="1"/>
              </w:rPr>
              <w:t>d</w:t>
            </w:r>
            <w:r w:rsidRPr="002742DE">
              <w:rPr>
                <w:spacing w:val="-1"/>
              </w:rPr>
              <w:t>u</w:t>
            </w:r>
            <w:r w:rsidRPr="002742DE">
              <w:rPr>
                <w:spacing w:val="2"/>
              </w:rPr>
              <w:t>l</w:t>
            </w:r>
            <w:r w:rsidRPr="002742DE">
              <w:t>y</w:t>
            </w:r>
            <w:r w:rsidRPr="002742DE">
              <w:rPr>
                <w:spacing w:val="3"/>
              </w:rPr>
              <w:t xml:space="preserve"> </w:t>
            </w:r>
            <w:r w:rsidRPr="002742DE">
              <w:t>t</w:t>
            </w:r>
            <w:r w:rsidRPr="002742DE">
              <w:rPr>
                <w:spacing w:val="2"/>
              </w:rPr>
              <w:t>a</w:t>
            </w:r>
            <w:r w:rsidRPr="002742DE">
              <w:rPr>
                <w:spacing w:val="-1"/>
              </w:rPr>
              <w:t>k</w:t>
            </w:r>
            <w:r w:rsidRPr="002742DE">
              <w:t>en</w:t>
            </w:r>
            <w:r w:rsidRPr="002742DE">
              <w:rPr>
                <w:spacing w:val="5"/>
              </w:rPr>
              <w:t xml:space="preserve"> </w:t>
            </w:r>
            <w:r w:rsidRPr="002742DE">
              <w:t>i</w:t>
            </w:r>
            <w:r w:rsidRPr="002742DE">
              <w:rPr>
                <w:spacing w:val="1"/>
              </w:rPr>
              <w:t>n</w:t>
            </w:r>
            <w:r w:rsidRPr="002742DE">
              <w:t>to</w:t>
            </w:r>
            <w:r w:rsidRPr="002742DE">
              <w:rPr>
                <w:spacing w:val="5"/>
              </w:rPr>
              <w:t xml:space="preserve"> </w:t>
            </w:r>
            <w:r w:rsidRPr="002742DE">
              <w:t>a</w:t>
            </w:r>
            <w:r w:rsidRPr="002742DE">
              <w:rPr>
                <w:spacing w:val="1"/>
              </w:rPr>
              <w:t>c</w:t>
            </w:r>
            <w:r w:rsidRPr="002742DE">
              <w:t>c</w:t>
            </w:r>
            <w:r w:rsidRPr="002742DE">
              <w:rPr>
                <w:spacing w:val="1"/>
              </w:rPr>
              <w:t>o</w:t>
            </w:r>
            <w:r w:rsidRPr="002742DE">
              <w:rPr>
                <w:spacing w:val="-1"/>
              </w:rPr>
              <w:t>un</w:t>
            </w:r>
            <w:r w:rsidRPr="002742DE">
              <w:t>t</w:t>
            </w:r>
            <w:r w:rsidRPr="002742DE">
              <w:rPr>
                <w:spacing w:val="3"/>
              </w:rPr>
              <w:t xml:space="preserve"> d</w:t>
            </w:r>
            <w:r w:rsidRPr="002742DE">
              <w:rPr>
                <w:spacing w:val="-1"/>
              </w:rPr>
              <w:t>u</w:t>
            </w:r>
            <w:r w:rsidRPr="002742DE">
              <w:rPr>
                <w:spacing w:val="1"/>
              </w:rPr>
              <w:t>r</w:t>
            </w:r>
            <w:r w:rsidRPr="002742DE">
              <w:t>i</w:t>
            </w:r>
            <w:r w:rsidRPr="002742DE">
              <w:rPr>
                <w:spacing w:val="1"/>
              </w:rPr>
              <w:t>n</w:t>
            </w:r>
            <w:r w:rsidRPr="002742DE">
              <w:t>g</w:t>
            </w:r>
            <w:r w:rsidRPr="002742DE">
              <w:rPr>
                <w:spacing w:val="1"/>
              </w:rPr>
              <w:t xml:space="preserve"> </w:t>
            </w:r>
            <w:r w:rsidRPr="002742DE">
              <w:rPr>
                <w:spacing w:val="2"/>
              </w:rPr>
              <w:t>t</w:t>
            </w:r>
            <w:r w:rsidRPr="002742DE">
              <w:rPr>
                <w:spacing w:val="-1"/>
              </w:rPr>
              <w:t>h</w:t>
            </w:r>
            <w:r w:rsidRPr="002742DE">
              <w:t>e</w:t>
            </w:r>
            <w:r w:rsidRPr="002742DE">
              <w:rPr>
                <w:spacing w:val="6"/>
              </w:rPr>
              <w:t xml:space="preserve"> </w:t>
            </w:r>
            <w:r w:rsidRPr="002742DE">
              <w:rPr>
                <w:spacing w:val="1"/>
              </w:rPr>
              <w:t>pr</w:t>
            </w:r>
            <w:r w:rsidRPr="002742DE">
              <w:t>e</w:t>
            </w:r>
            <w:r w:rsidRPr="002742DE">
              <w:rPr>
                <w:spacing w:val="1"/>
              </w:rPr>
              <w:t>p</w:t>
            </w:r>
            <w:r w:rsidRPr="002742DE">
              <w:t>a</w:t>
            </w:r>
            <w:r w:rsidRPr="002742DE">
              <w:rPr>
                <w:spacing w:val="1"/>
              </w:rPr>
              <w:t>r</w:t>
            </w:r>
            <w:r w:rsidRPr="002742DE">
              <w:t>ati</w:t>
            </w:r>
            <w:r w:rsidRPr="002742DE">
              <w:rPr>
                <w:spacing w:val="1"/>
              </w:rPr>
              <w:t>o</w:t>
            </w:r>
            <w:r w:rsidRPr="002742DE">
              <w:t xml:space="preserve">n </w:t>
            </w:r>
            <w:r w:rsidRPr="002742DE">
              <w:rPr>
                <w:spacing w:val="1"/>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w:t>
            </w:r>
            <w:r w:rsidRPr="002742DE">
              <w:rPr>
                <w:spacing w:val="-1"/>
              </w:rPr>
              <w:t>s</w:t>
            </w:r>
            <w:r w:rsidRPr="002742DE">
              <w:t>i</w:t>
            </w:r>
            <w:r w:rsidRPr="002742DE">
              <w:rPr>
                <w:spacing w:val="-1"/>
              </w:rPr>
              <w:t>v</w:t>
            </w:r>
            <w:r w:rsidRPr="002742DE">
              <w:t>e</w:t>
            </w:r>
            <w:r w:rsidRPr="002742DE">
              <w:rPr>
                <w:spacing w:val="-11"/>
              </w:rPr>
              <w:t xml:space="preserve"> </w:t>
            </w:r>
            <w:r w:rsidRPr="002742DE">
              <w:t>tr</w:t>
            </w:r>
            <w:r w:rsidRPr="002742DE">
              <w:rPr>
                <w:spacing w:val="3"/>
              </w:rPr>
              <w:t>a</w:t>
            </w:r>
            <w:r w:rsidRPr="002742DE">
              <w:rPr>
                <w:spacing w:val="-1"/>
              </w:rPr>
              <w:t>ns</w:t>
            </w:r>
            <w:r w:rsidRPr="002742DE">
              <w:rPr>
                <w:spacing w:val="1"/>
              </w:rPr>
              <w:t>por</w:t>
            </w:r>
            <w:r w:rsidRPr="002742DE">
              <w:t>t</w:t>
            </w:r>
            <w:r w:rsidRPr="002742DE">
              <w:rPr>
                <w:spacing w:val="-7"/>
              </w:rPr>
              <w:t xml:space="preserve"> </w:t>
            </w:r>
            <w:r w:rsidRPr="002742DE">
              <w:rPr>
                <w:spacing w:val="1"/>
              </w:rPr>
              <w:t>p</w:t>
            </w:r>
            <w:r w:rsidRPr="002742DE">
              <w:t>lan</w:t>
            </w:r>
            <w:r w:rsidRPr="002742DE">
              <w:rPr>
                <w:spacing w:val="-4"/>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rPr>
                <w:spacing w:val="-1"/>
              </w:rPr>
              <w:t>k</w:t>
            </w:r>
            <w:r w:rsidRPr="002742DE">
              <w:t>.</w:t>
            </w:r>
          </w:p>
        </w:tc>
        <w:tc>
          <w:tcPr>
            <w:tcW w:w="364" w:type="pct"/>
            <w:vAlign w:val="center"/>
          </w:tcPr>
          <w:p w:rsidR="00DE269D" w:rsidRPr="00857897" w:rsidRDefault="00DE269D" w:rsidP="00DE269D">
            <w:pPr>
              <w:tabs>
                <w:tab w:val="left" w:pos="1120"/>
              </w:tabs>
              <w:spacing w:before="61" w:line="239" w:lineRule="auto"/>
              <w:jc w:val="center"/>
              <w:rPr>
                <w:rFonts w:eastAsia="Wingdings" w:cs="Arial"/>
                <w:sz w:val="20"/>
                <w:szCs w:val="20"/>
              </w:rPr>
            </w:pPr>
            <w:r w:rsidRPr="00857897">
              <w:rPr>
                <w:rFonts w:eastAsia="Wingdings" w:cs="Arial"/>
                <w:sz w:val="20"/>
                <w:szCs w:val="20"/>
              </w:rPr>
              <w:t>NO</w:t>
            </w:r>
          </w:p>
        </w:tc>
        <w:tc>
          <w:tcPr>
            <w:tcW w:w="1589" w:type="pct"/>
            <w:vAlign w:val="center"/>
          </w:tcPr>
          <w:p w:rsidR="00DE269D" w:rsidRPr="00857897" w:rsidRDefault="00DE269D" w:rsidP="00DE269D">
            <w:pPr>
              <w:spacing w:before="100" w:beforeAutospacing="1"/>
              <w:rPr>
                <w:rFonts w:eastAsia="Wingdings" w:cs="Arial"/>
                <w:sz w:val="20"/>
                <w:szCs w:val="20"/>
              </w:rPr>
            </w:pPr>
            <w:r>
              <w:rPr>
                <w:rFonts w:eastAsia="Wingdings" w:cs="Arial"/>
                <w:sz w:val="20"/>
                <w:szCs w:val="20"/>
              </w:rPr>
              <w:t>See previous.</w:t>
            </w:r>
          </w:p>
        </w:tc>
      </w:tr>
      <w:tr w:rsidR="00DE269D" w:rsidRPr="002742DE" w:rsidTr="00DE269D">
        <w:tc>
          <w:tcPr>
            <w:tcW w:w="3048" w:type="pct"/>
            <w:vAlign w:val="center"/>
          </w:tcPr>
          <w:p w:rsidR="00DE269D" w:rsidRPr="002742DE" w:rsidRDefault="00DE269D" w:rsidP="0085264B">
            <w:pPr>
              <w:pStyle w:val="ListParagraph"/>
              <w:widowControl w:val="0"/>
              <w:numPr>
                <w:ilvl w:val="0"/>
                <w:numId w:val="64"/>
              </w:numPr>
              <w:tabs>
                <w:tab w:val="left" w:pos="1120"/>
              </w:tabs>
              <w:spacing w:before="57" w:line="240" w:lineRule="auto"/>
              <w:contextualSpacing/>
              <w:jc w:val="left"/>
            </w:pPr>
            <w:r w:rsidRPr="002742DE">
              <w:rPr>
                <w:spacing w:val="1"/>
              </w:rPr>
              <w:t>W</w:t>
            </w:r>
            <w:r w:rsidRPr="002742DE">
              <w:rPr>
                <w:spacing w:val="-1"/>
              </w:rPr>
              <w:t>h</w:t>
            </w:r>
            <w:r w:rsidRPr="002742DE">
              <w:t xml:space="preserve">en </w:t>
            </w:r>
            <w:r w:rsidRPr="002742DE">
              <w:rPr>
                <w:spacing w:val="28"/>
              </w:rPr>
              <w:t xml:space="preserve"> </w:t>
            </w:r>
            <w:r w:rsidRPr="002742DE">
              <w:t>t</w:t>
            </w:r>
            <w:r w:rsidRPr="002742DE">
              <w:rPr>
                <w:spacing w:val="-1"/>
              </w:rPr>
              <w:t>h</w:t>
            </w:r>
            <w:r w:rsidRPr="002742DE">
              <w:t xml:space="preserve">e </w:t>
            </w:r>
            <w:r w:rsidRPr="002742DE">
              <w:rPr>
                <w:spacing w:val="32"/>
              </w:rPr>
              <w:t xml:space="preserve"> </w:t>
            </w:r>
            <w:r w:rsidRPr="002742DE">
              <w:rPr>
                <w:spacing w:val="1"/>
              </w:rPr>
              <w:t>p</w:t>
            </w:r>
            <w:r w:rsidRPr="002742DE">
              <w:t xml:space="preserve">lan </w:t>
            </w:r>
            <w:r w:rsidRPr="002742DE">
              <w:rPr>
                <w:spacing w:val="30"/>
              </w:rPr>
              <w:t xml:space="preserve"> </w:t>
            </w:r>
            <w:r w:rsidRPr="002742DE">
              <w:rPr>
                <w:spacing w:val="1"/>
              </w:rPr>
              <w:t>o</w:t>
            </w:r>
            <w:r w:rsidRPr="002742DE">
              <w:t xml:space="preserve">r </w:t>
            </w:r>
            <w:r w:rsidRPr="002742DE">
              <w:rPr>
                <w:spacing w:val="33"/>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5"/>
              </w:rPr>
              <w:t>e</w:t>
            </w:r>
            <w:r w:rsidRPr="002742DE">
              <w:t>w</w:t>
            </w:r>
            <w:r w:rsidRPr="002742DE">
              <w:rPr>
                <w:spacing w:val="1"/>
              </w:rPr>
              <w:t>or</w:t>
            </w:r>
            <w:r w:rsidRPr="002742DE">
              <w:t xml:space="preserve">k </w:t>
            </w:r>
            <w:r w:rsidRPr="002742DE">
              <w:rPr>
                <w:spacing w:val="24"/>
              </w:rPr>
              <w:t xml:space="preserve"> </w:t>
            </w:r>
            <w:r w:rsidRPr="002742DE">
              <w:rPr>
                <w:spacing w:val="-1"/>
              </w:rPr>
              <w:t>h</w:t>
            </w:r>
            <w:r w:rsidRPr="002742DE">
              <w:t xml:space="preserve">as </w:t>
            </w:r>
            <w:r w:rsidRPr="002742DE">
              <w:rPr>
                <w:spacing w:val="31"/>
              </w:rPr>
              <w:t xml:space="preserve"> </w:t>
            </w:r>
            <w:r w:rsidRPr="002742DE">
              <w:rPr>
                <w:spacing w:val="1"/>
              </w:rPr>
              <w:t>b</w:t>
            </w:r>
            <w:r w:rsidRPr="002742DE">
              <w:t>e</w:t>
            </w:r>
            <w:r w:rsidRPr="002742DE">
              <w:rPr>
                <w:spacing w:val="1"/>
              </w:rPr>
              <w:t>e</w:t>
            </w:r>
            <w:r w:rsidRPr="002742DE">
              <w:t xml:space="preserve">n </w:t>
            </w:r>
            <w:r w:rsidRPr="002742DE">
              <w:rPr>
                <w:spacing w:val="29"/>
              </w:rPr>
              <w:t xml:space="preserve"> </w:t>
            </w:r>
            <w:r w:rsidRPr="002742DE">
              <w:t>a</w:t>
            </w:r>
            <w:r w:rsidRPr="002742DE">
              <w:rPr>
                <w:spacing w:val="1"/>
              </w:rPr>
              <w:t>dop</w:t>
            </w:r>
            <w:r w:rsidRPr="002742DE">
              <w:t>te</w:t>
            </w:r>
            <w:r w:rsidRPr="002742DE">
              <w:rPr>
                <w:spacing w:val="1"/>
              </w:rPr>
              <w:t>d</w:t>
            </w:r>
            <w:r w:rsidRPr="002742DE">
              <w:t xml:space="preserve">, </w:t>
            </w:r>
            <w:r w:rsidRPr="002742DE">
              <w:rPr>
                <w:spacing w:val="25"/>
              </w:rPr>
              <w:t xml:space="preserve"> </w:t>
            </w:r>
            <w:r w:rsidRPr="002742DE">
              <w:t>t</w:t>
            </w:r>
            <w:r w:rsidRPr="002742DE">
              <w:rPr>
                <w:spacing w:val="-1"/>
              </w:rPr>
              <w:t>h</w:t>
            </w:r>
            <w:r w:rsidRPr="002742DE">
              <w:t xml:space="preserve">e </w:t>
            </w:r>
            <w:r w:rsidRPr="002742DE">
              <w:rPr>
                <w:spacing w:val="32"/>
              </w:rPr>
              <w:t xml:space="preserve"> </w:t>
            </w:r>
            <w:r w:rsidRPr="002742DE">
              <w:t>a</w:t>
            </w:r>
            <w:r w:rsidRPr="002742DE">
              <w:rPr>
                <w:spacing w:val="-1"/>
              </w:rPr>
              <w:t>u</w:t>
            </w:r>
            <w:r w:rsidRPr="002742DE">
              <w:t>t</w:t>
            </w:r>
            <w:r w:rsidRPr="002742DE">
              <w:rPr>
                <w:spacing w:val="-1"/>
              </w:rPr>
              <w:t>h</w:t>
            </w:r>
            <w:r w:rsidRPr="002742DE">
              <w:rPr>
                <w:spacing w:val="1"/>
              </w:rPr>
              <w:t>or</w:t>
            </w:r>
            <w:r w:rsidRPr="002742DE">
              <w:t xml:space="preserve">ities </w:t>
            </w:r>
            <w:r w:rsidRPr="002742DE">
              <w:rPr>
                <w:spacing w:val="28"/>
              </w:rPr>
              <w:t xml:space="preserve"> </w:t>
            </w:r>
            <w:r w:rsidRPr="002742DE">
              <w:rPr>
                <w:spacing w:val="-2"/>
              </w:rPr>
              <w:t>w</w:t>
            </w:r>
            <w:r w:rsidRPr="002742DE">
              <w:t>i</w:t>
            </w:r>
            <w:r w:rsidRPr="002742DE">
              <w:rPr>
                <w:spacing w:val="2"/>
              </w:rPr>
              <w:t>t</w:t>
            </w:r>
            <w:r w:rsidRPr="002742DE">
              <w:t xml:space="preserve">h </w:t>
            </w:r>
            <w:r w:rsidRPr="002742DE">
              <w:rPr>
                <w:spacing w:val="29"/>
              </w:rPr>
              <w:t xml:space="preserve"> </w:t>
            </w:r>
            <w:r w:rsidRPr="002742DE">
              <w:t>e</w:t>
            </w:r>
            <w:r w:rsidRPr="002742DE">
              <w:rPr>
                <w:spacing w:val="1"/>
              </w:rPr>
              <w:t>n</w:t>
            </w:r>
            <w:r w:rsidRPr="002742DE">
              <w:rPr>
                <w:spacing w:val="-1"/>
              </w:rPr>
              <w:t>v</w:t>
            </w:r>
            <w:r w:rsidRPr="002742DE">
              <w:t>ir</w:t>
            </w:r>
            <w:r w:rsidRPr="002742DE">
              <w:rPr>
                <w:spacing w:val="1"/>
              </w:rPr>
              <w:t>on</w:t>
            </w:r>
            <w:r w:rsidRPr="002742DE">
              <w:rPr>
                <w:spacing w:val="-1"/>
              </w:rPr>
              <w:t>m</w:t>
            </w:r>
            <w:r w:rsidRPr="002742DE">
              <w:rPr>
                <w:spacing w:val="3"/>
              </w:rPr>
              <w:t>e</w:t>
            </w:r>
            <w:r w:rsidRPr="002742DE">
              <w:rPr>
                <w:spacing w:val="-1"/>
              </w:rPr>
              <w:t>n</w:t>
            </w:r>
            <w:r w:rsidRPr="002742DE">
              <w:t xml:space="preserve">tal </w:t>
            </w:r>
            <w:r w:rsidRPr="002742DE">
              <w:rPr>
                <w:spacing w:val="1"/>
              </w:rPr>
              <w:t>r</w:t>
            </w:r>
            <w:r w:rsidRPr="002742DE">
              <w:t>es</w:t>
            </w:r>
            <w:r w:rsidRPr="002742DE">
              <w:rPr>
                <w:spacing w:val="1"/>
              </w:rPr>
              <w:t>po</w:t>
            </w:r>
            <w:r w:rsidRPr="002742DE">
              <w:rPr>
                <w:spacing w:val="-1"/>
              </w:rPr>
              <w:t>ns</w:t>
            </w:r>
            <w:r w:rsidRPr="002742DE">
              <w:t>i</w:t>
            </w:r>
            <w:r w:rsidRPr="002742DE">
              <w:rPr>
                <w:spacing w:val="1"/>
              </w:rPr>
              <w:t>b</w:t>
            </w:r>
            <w:r w:rsidRPr="002742DE">
              <w:t>ili</w:t>
            </w:r>
            <w:r w:rsidRPr="002742DE">
              <w:rPr>
                <w:spacing w:val="-1"/>
              </w:rPr>
              <w:t>t</w:t>
            </w:r>
            <w:r w:rsidRPr="002742DE">
              <w:t>i</w:t>
            </w:r>
            <w:r w:rsidRPr="002742DE">
              <w:rPr>
                <w:spacing w:val="2"/>
              </w:rPr>
              <w:t>e</w:t>
            </w:r>
            <w:r w:rsidRPr="002742DE">
              <w:rPr>
                <w:spacing w:val="-1"/>
              </w:rPr>
              <w:t>s</w:t>
            </w:r>
            <w:r w:rsidRPr="002742DE">
              <w:t>, t</w:t>
            </w:r>
            <w:r w:rsidRPr="002742DE">
              <w:rPr>
                <w:spacing w:val="-1"/>
              </w:rPr>
              <w:t>h</w:t>
            </w:r>
            <w:r w:rsidRPr="002742DE">
              <w:t>e</w:t>
            </w:r>
            <w:r w:rsidRPr="002742DE">
              <w:rPr>
                <w:spacing w:val="10"/>
              </w:rPr>
              <w:t xml:space="preserve"> </w:t>
            </w:r>
            <w:r w:rsidRPr="002742DE">
              <w:rPr>
                <w:spacing w:val="1"/>
              </w:rPr>
              <w:t>p</w:t>
            </w:r>
            <w:r w:rsidRPr="002742DE">
              <w:rPr>
                <w:spacing w:val="-1"/>
              </w:rPr>
              <w:t>u</w:t>
            </w:r>
            <w:r w:rsidRPr="002742DE">
              <w:rPr>
                <w:spacing w:val="1"/>
              </w:rPr>
              <w:t>b</w:t>
            </w:r>
            <w:r w:rsidRPr="002742DE">
              <w:t>lic</w:t>
            </w:r>
            <w:r w:rsidRPr="002742DE">
              <w:rPr>
                <w:spacing w:val="7"/>
              </w:rPr>
              <w:t xml:space="preserve"> </w:t>
            </w:r>
            <w:r w:rsidRPr="002742DE">
              <w:t>a</w:t>
            </w:r>
            <w:r w:rsidRPr="002742DE">
              <w:rPr>
                <w:spacing w:val="1"/>
              </w:rPr>
              <w:t>n</w:t>
            </w:r>
            <w:r w:rsidRPr="002742DE">
              <w:t>d</w:t>
            </w:r>
            <w:r w:rsidRPr="002742DE">
              <w:rPr>
                <w:spacing w:val="10"/>
              </w:rPr>
              <w:t xml:space="preserve"> </w:t>
            </w:r>
            <w:r w:rsidRPr="002742DE">
              <w:t>a</w:t>
            </w:r>
            <w:r w:rsidRPr="002742DE">
              <w:rPr>
                <w:spacing w:val="1"/>
              </w:rPr>
              <w:t>n</w:t>
            </w:r>
            <w:r w:rsidRPr="002742DE">
              <w:t>y</w:t>
            </w:r>
            <w:r w:rsidRPr="002742DE">
              <w:rPr>
                <w:spacing w:val="6"/>
              </w:rPr>
              <w:t xml:space="preserve"> </w:t>
            </w:r>
            <w:r w:rsidRPr="002742DE">
              <w:t>M</w:t>
            </w:r>
            <w:r w:rsidRPr="002742DE">
              <w:rPr>
                <w:spacing w:val="3"/>
              </w:rPr>
              <w:t>e</w:t>
            </w:r>
            <w:r w:rsidRPr="002742DE">
              <w:rPr>
                <w:spacing w:val="-4"/>
              </w:rPr>
              <w:t>m</w:t>
            </w:r>
            <w:r w:rsidRPr="002742DE">
              <w:rPr>
                <w:spacing w:val="1"/>
              </w:rPr>
              <w:t>b</w:t>
            </w:r>
            <w:r w:rsidRPr="002742DE">
              <w:t>er</w:t>
            </w:r>
            <w:r w:rsidRPr="002742DE">
              <w:rPr>
                <w:spacing w:val="6"/>
              </w:rPr>
              <w:t xml:space="preserve"> </w:t>
            </w:r>
            <w:r w:rsidRPr="002742DE">
              <w:t>State</w:t>
            </w:r>
            <w:r w:rsidRPr="002742DE">
              <w:rPr>
                <w:spacing w:val="8"/>
              </w:rPr>
              <w:t xml:space="preserve"> </w:t>
            </w:r>
            <w:r w:rsidRPr="002742DE">
              <w:t>c</w:t>
            </w:r>
            <w:r w:rsidRPr="002742DE">
              <w:rPr>
                <w:spacing w:val="1"/>
              </w:rPr>
              <w:t>o</w:t>
            </w:r>
            <w:r w:rsidRPr="002742DE">
              <w:rPr>
                <w:spacing w:val="-1"/>
              </w:rPr>
              <w:t>n</w:t>
            </w:r>
            <w:r w:rsidRPr="002742DE">
              <w:rPr>
                <w:spacing w:val="2"/>
              </w:rPr>
              <w:t>s</w:t>
            </w:r>
            <w:r w:rsidRPr="002742DE">
              <w:rPr>
                <w:spacing w:val="-1"/>
              </w:rPr>
              <w:t>u</w:t>
            </w:r>
            <w:r w:rsidRPr="002742DE">
              <w:t>lt</w:t>
            </w:r>
            <w:r w:rsidRPr="002742DE">
              <w:rPr>
                <w:spacing w:val="2"/>
              </w:rPr>
              <w:t>e</w:t>
            </w:r>
            <w:r w:rsidRPr="002742DE">
              <w:rPr>
                <w:spacing w:val="1"/>
              </w:rPr>
              <w:t>d</w:t>
            </w:r>
            <w:r w:rsidRPr="002742DE">
              <w:t>,</w:t>
            </w:r>
            <w:r w:rsidRPr="002742DE">
              <w:rPr>
                <w:spacing w:val="4"/>
              </w:rPr>
              <w:t xml:space="preserve"> </w:t>
            </w:r>
            <w:r w:rsidRPr="002742DE">
              <w:t>a</w:t>
            </w:r>
            <w:r w:rsidRPr="002742DE">
              <w:rPr>
                <w:spacing w:val="1"/>
              </w:rPr>
              <w:t>r</w:t>
            </w:r>
            <w:r w:rsidRPr="002742DE">
              <w:t>e</w:t>
            </w:r>
            <w:r w:rsidRPr="002742DE">
              <w:rPr>
                <w:spacing w:val="17"/>
              </w:rPr>
              <w:t xml:space="preserve"> </w:t>
            </w:r>
            <w:r w:rsidRPr="002742DE">
              <w:t>i</w:t>
            </w:r>
            <w:r w:rsidRPr="002742DE">
              <w:rPr>
                <w:spacing w:val="-1"/>
              </w:rPr>
              <w:t>n</w:t>
            </w:r>
            <w:r w:rsidRPr="002742DE">
              <w:rPr>
                <w:spacing w:val="-2"/>
              </w:rPr>
              <w:t>f</w:t>
            </w:r>
            <w:r w:rsidRPr="002742DE">
              <w:rPr>
                <w:spacing w:val="1"/>
              </w:rPr>
              <w:t>or</w:t>
            </w:r>
            <w:r w:rsidRPr="002742DE">
              <w:rPr>
                <w:spacing w:val="-4"/>
              </w:rPr>
              <w:t>m</w:t>
            </w:r>
            <w:r w:rsidRPr="002742DE">
              <w:t>ed</w:t>
            </w:r>
            <w:r w:rsidRPr="002742DE">
              <w:rPr>
                <w:spacing w:val="6"/>
              </w:rPr>
              <w:t xml:space="preserve"> </w:t>
            </w:r>
            <w:r w:rsidRPr="002742DE">
              <w:t>a</w:t>
            </w:r>
            <w:r w:rsidRPr="002742DE">
              <w:rPr>
                <w:spacing w:val="-1"/>
              </w:rPr>
              <w:t>n</w:t>
            </w:r>
            <w:r w:rsidRPr="002742DE">
              <w:t>d</w:t>
            </w:r>
            <w:r w:rsidRPr="002742DE">
              <w:rPr>
                <w:spacing w:val="10"/>
              </w:rPr>
              <w:t xml:space="preserve"> </w:t>
            </w:r>
            <w:r w:rsidRPr="002742DE">
              <w:rPr>
                <w:spacing w:val="2"/>
              </w:rPr>
              <w:t>t</w:t>
            </w:r>
            <w:r w:rsidRPr="002742DE">
              <w:rPr>
                <w:spacing w:val="-1"/>
              </w:rPr>
              <w:t>h</w:t>
            </w:r>
            <w:r w:rsidRPr="002742DE">
              <w:t>e</w:t>
            </w:r>
            <w:r w:rsidRPr="002742DE">
              <w:rPr>
                <w:spacing w:val="10"/>
              </w:rPr>
              <w:t xml:space="preserve"> </w:t>
            </w:r>
            <w:r w:rsidRPr="002742DE">
              <w:rPr>
                <w:spacing w:val="-2"/>
              </w:rPr>
              <w:t>f</w:t>
            </w:r>
            <w:r w:rsidRPr="002742DE">
              <w:rPr>
                <w:spacing w:val="1"/>
              </w:rPr>
              <w:t>o</w:t>
            </w:r>
            <w:r w:rsidRPr="002742DE">
              <w:t>ll</w:t>
            </w:r>
            <w:r w:rsidRPr="002742DE">
              <w:rPr>
                <w:spacing w:val="3"/>
              </w:rPr>
              <w:t>o</w:t>
            </w:r>
            <w:r w:rsidRPr="002742DE">
              <w:rPr>
                <w:spacing w:val="-2"/>
              </w:rPr>
              <w:t>w</w:t>
            </w:r>
            <w:r w:rsidRPr="002742DE">
              <w:rPr>
                <w:spacing w:val="2"/>
              </w:rPr>
              <w:t>i</w:t>
            </w:r>
            <w:r w:rsidRPr="002742DE">
              <w:rPr>
                <w:spacing w:val="1"/>
              </w:rPr>
              <w:t>n</w:t>
            </w:r>
            <w:r w:rsidRPr="002742DE">
              <w:t>g it</w:t>
            </w:r>
            <w:r w:rsidRPr="002742DE">
              <w:rPr>
                <w:spacing w:val="2"/>
              </w:rPr>
              <w:t>e</w:t>
            </w:r>
            <w:r w:rsidRPr="002742DE">
              <w:rPr>
                <w:spacing w:val="-1"/>
              </w:rPr>
              <w:t>m</w:t>
            </w:r>
            <w:r w:rsidRPr="002742DE">
              <w:t>s</w:t>
            </w:r>
            <w:r w:rsidRPr="002742DE">
              <w:rPr>
                <w:spacing w:val="22"/>
              </w:rPr>
              <w:t xml:space="preserve"> </w:t>
            </w:r>
            <w:r w:rsidRPr="002742DE">
              <w:rPr>
                <w:spacing w:val="-1"/>
              </w:rPr>
              <w:t>h</w:t>
            </w:r>
            <w:r w:rsidRPr="002742DE">
              <w:t>a</w:t>
            </w:r>
            <w:r w:rsidRPr="002742DE">
              <w:rPr>
                <w:spacing w:val="-1"/>
              </w:rPr>
              <w:t>v</w:t>
            </w:r>
            <w:r w:rsidRPr="002742DE">
              <w:t>e</w:t>
            </w:r>
            <w:r w:rsidRPr="002742DE">
              <w:rPr>
                <w:spacing w:val="23"/>
              </w:rPr>
              <w:t xml:space="preserve"> </w:t>
            </w:r>
            <w:r w:rsidRPr="002742DE">
              <w:rPr>
                <w:spacing w:val="1"/>
              </w:rPr>
              <w:t>b</w:t>
            </w:r>
            <w:r w:rsidRPr="002742DE">
              <w:t>e</w:t>
            </w:r>
            <w:r w:rsidRPr="002742DE">
              <w:rPr>
                <w:spacing w:val="1"/>
              </w:rPr>
              <w:t>e</w:t>
            </w:r>
            <w:r w:rsidRPr="002742DE">
              <w:t>n</w:t>
            </w:r>
            <w:r w:rsidRPr="002742DE">
              <w:rPr>
                <w:spacing w:val="24"/>
              </w:rPr>
              <w:t xml:space="preserve"> </w:t>
            </w:r>
            <w:r w:rsidRPr="002742DE">
              <w:rPr>
                <w:spacing w:val="-4"/>
              </w:rPr>
              <w:t>m</w:t>
            </w:r>
            <w:r w:rsidRPr="002742DE">
              <w:t>a</w:t>
            </w:r>
            <w:r w:rsidRPr="002742DE">
              <w:rPr>
                <w:spacing w:val="1"/>
              </w:rPr>
              <w:t>d</w:t>
            </w:r>
            <w:r w:rsidRPr="002742DE">
              <w:t>e</w:t>
            </w:r>
            <w:r w:rsidRPr="002742DE">
              <w:rPr>
                <w:spacing w:val="21"/>
              </w:rPr>
              <w:t xml:space="preserve"> </w:t>
            </w:r>
            <w:r w:rsidRPr="002742DE">
              <w:rPr>
                <w:spacing w:val="3"/>
              </w:rPr>
              <w:t>a</w:t>
            </w:r>
            <w:r w:rsidRPr="002742DE">
              <w:rPr>
                <w:spacing w:val="-1"/>
              </w:rPr>
              <w:t>v</w:t>
            </w:r>
            <w:r w:rsidRPr="002742DE">
              <w:t>ail</w:t>
            </w:r>
            <w:r w:rsidRPr="002742DE">
              <w:rPr>
                <w:spacing w:val="3"/>
              </w:rPr>
              <w:t>a</w:t>
            </w:r>
            <w:r w:rsidRPr="002742DE">
              <w:rPr>
                <w:spacing w:val="1"/>
              </w:rPr>
              <w:t>b</w:t>
            </w:r>
            <w:r w:rsidRPr="002742DE">
              <w:t>le</w:t>
            </w:r>
            <w:r w:rsidRPr="002742DE">
              <w:rPr>
                <w:spacing w:val="17"/>
              </w:rPr>
              <w:t xml:space="preserve"> </w:t>
            </w:r>
            <w:r w:rsidRPr="002742DE">
              <w:t>to</w:t>
            </w:r>
            <w:r w:rsidRPr="002742DE">
              <w:rPr>
                <w:spacing w:val="23"/>
              </w:rPr>
              <w:t xml:space="preserve"> </w:t>
            </w:r>
            <w:r w:rsidRPr="002742DE">
              <w:t>t</w:t>
            </w:r>
            <w:r w:rsidRPr="002742DE">
              <w:rPr>
                <w:spacing w:val="-1"/>
              </w:rPr>
              <w:t>h</w:t>
            </w:r>
            <w:r w:rsidRPr="002742DE">
              <w:rPr>
                <w:spacing w:val="3"/>
              </w:rPr>
              <w:t>e</w:t>
            </w:r>
            <w:r w:rsidRPr="002742DE">
              <w:rPr>
                <w:spacing w:val="-1"/>
              </w:rPr>
              <w:t>m</w:t>
            </w:r>
            <w:r w:rsidRPr="002742DE">
              <w:t>:</w:t>
            </w:r>
            <w:r w:rsidRPr="002742DE">
              <w:rPr>
                <w:spacing w:val="21"/>
              </w:rPr>
              <w:t xml:space="preserve"> </w:t>
            </w:r>
            <w:r w:rsidRPr="002742DE">
              <w:rPr>
                <w:spacing w:val="2"/>
              </w:rPr>
              <w:t>t</w:t>
            </w:r>
            <w:r w:rsidRPr="002742DE">
              <w:rPr>
                <w:spacing w:val="-1"/>
              </w:rPr>
              <w:t>h</w:t>
            </w:r>
            <w:r w:rsidRPr="002742DE">
              <w:t>e</w:t>
            </w:r>
            <w:r w:rsidRPr="002742DE">
              <w:rPr>
                <w:spacing w:val="23"/>
              </w:rPr>
              <w:t xml:space="preserve"> </w:t>
            </w:r>
            <w:r w:rsidRPr="002742DE">
              <w:rPr>
                <w:spacing w:val="1"/>
              </w:rPr>
              <w:t>p</w:t>
            </w:r>
            <w:r w:rsidRPr="002742DE">
              <w:t>l</w:t>
            </w:r>
            <w:r w:rsidRPr="002742DE">
              <w:rPr>
                <w:spacing w:val="2"/>
              </w:rPr>
              <w:t>a</w:t>
            </w:r>
            <w:r w:rsidRPr="002742DE">
              <w:t>n</w:t>
            </w:r>
            <w:r w:rsidRPr="002742DE">
              <w:rPr>
                <w:spacing w:val="20"/>
              </w:rPr>
              <w:t xml:space="preserve"> </w:t>
            </w:r>
            <w:r w:rsidRPr="002742DE">
              <w:rPr>
                <w:spacing w:val="1"/>
              </w:rPr>
              <w:t>o</w:t>
            </w:r>
            <w:r w:rsidRPr="002742DE">
              <w:t>r</w:t>
            </w:r>
            <w:r w:rsidRPr="002742DE">
              <w:rPr>
                <w:spacing w:val="25"/>
              </w:rPr>
              <w:t xml:space="preserve"> </w:t>
            </w:r>
            <w:r w:rsidRPr="002742DE">
              <w:rPr>
                <w:spacing w:val="-2"/>
              </w:rPr>
              <w:t>f</w:t>
            </w:r>
            <w:r w:rsidRPr="002742DE">
              <w:rPr>
                <w:spacing w:val="1"/>
              </w:rPr>
              <w:t>r</w:t>
            </w:r>
            <w:r w:rsidRPr="002742DE">
              <w:rPr>
                <w:spacing w:val="3"/>
              </w:rPr>
              <w:t>a</w:t>
            </w:r>
            <w:r w:rsidRPr="002742DE">
              <w:rPr>
                <w:spacing w:val="-1"/>
              </w:rPr>
              <w:t>m</w:t>
            </w:r>
            <w:r w:rsidRPr="002742DE">
              <w:rPr>
                <w:spacing w:val="3"/>
              </w:rPr>
              <w:t>e</w:t>
            </w:r>
            <w:r w:rsidRPr="002742DE">
              <w:rPr>
                <w:spacing w:val="-5"/>
              </w:rPr>
              <w:t>w</w:t>
            </w:r>
            <w:r w:rsidRPr="002742DE">
              <w:rPr>
                <w:spacing w:val="1"/>
              </w:rPr>
              <w:t>or</w:t>
            </w:r>
            <w:r w:rsidRPr="002742DE">
              <w:t>k</w:t>
            </w:r>
            <w:r w:rsidRPr="002742DE">
              <w:rPr>
                <w:spacing w:val="16"/>
              </w:rPr>
              <w:t xml:space="preserve"> </w:t>
            </w:r>
            <w:r w:rsidRPr="002742DE">
              <w:t>as</w:t>
            </w:r>
            <w:r w:rsidRPr="002742DE">
              <w:rPr>
                <w:spacing w:val="24"/>
              </w:rPr>
              <w:t xml:space="preserve"> </w:t>
            </w:r>
            <w:r w:rsidRPr="002742DE">
              <w:t>a</w:t>
            </w:r>
            <w:r w:rsidRPr="002742DE">
              <w:rPr>
                <w:spacing w:val="1"/>
              </w:rPr>
              <w:t>dop</w:t>
            </w:r>
            <w:r w:rsidRPr="002742DE">
              <w:t>te</w:t>
            </w:r>
            <w:r w:rsidRPr="002742DE">
              <w:rPr>
                <w:spacing w:val="1"/>
              </w:rPr>
              <w:t>d</w:t>
            </w:r>
            <w:r w:rsidRPr="002742DE">
              <w:t>,</w:t>
            </w:r>
            <w:r w:rsidRPr="002742DE">
              <w:rPr>
                <w:spacing w:val="18"/>
              </w:rPr>
              <w:t xml:space="preserve"> </w:t>
            </w:r>
            <w:r w:rsidRPr="002742DE">
              <w:t>t</w:t>
            </w:r>
            <w:r w:rsidRPr="002742DE">
              <w:rPr>
                <w:spacing w:val="-1"/>
              </w:rPr>
              <w:t>h</w:t>
            </w:r>
            <w:r w:rsidRPr="002742DE">
              <w:t>e</w:t>
            </w:r>
            <w:r w:rsidRPr="002742DE">
              <w:rPr>
                <w:spacing w:val="23"/>
              </w:rPr>
              <w:t xml:space="preserve"> </w:t>
            </w:r>
            <w:r w:rsidRPr="002742DE">
              <w:rPr>
                <w:spacing w:val="2"/>
              </w:rPr>
              <w:t>s</w:t>
            </w:r>
            <w:r w:rsidRPr="002742DE">
              <w:t>tat</w:t>
            </w:r>
            <w:r w:rsidRPr="002742DE">
              <w:rPr>
                <w:spacing w:val="3"/>
              </w:rPr>
              <w:t>e</w:t>
            </w:r>
            <w:r w:rsidRPr="002742DE">
              <w:rPr>
                <w:spacing w:val="1"/>
              </w:rPr>
              <w:t>m</w:t>
            </w:r>
            <w:r w:rsidRPr="002742DE">
              <w:t>e</w:t>
            </w:r>
            <w:r w:rsidRPr="002742DE">
              <w:rPr>
                <w:spacing w:val="-1"/>
              </w:rPr>
              <w:t>n</w:t>
            </w:r>
            <w:r w:rsidRPr="002742DE">
              <w:t xml:space="preserve">t </w:t>
            </w:r>
            <w:r w:rsidRPr="002742DE">
              <w:rPr>
                <w:spacing w:val="1"/>
              </w:rPr>
              <w:t>r</w:t>
            </w:r>
            <w:r w:rsidRPr="002742DE">
              <w:t>e</w:t>
            </w:r>
            <w:r w:rsidRPr="002742DE">
              <w:rPr>
                <w:spacing w:val="-1"/>
              </w:rPr>
              <w:t>f</w:t>
            </w:r>
            <w:r w:rsidRPr="002742DE">
              <w:t>e</w:t>
            </w:r>
            <w:r w:rsidRPr="002742DE">
              <w:rPr>
                <w:spacing w:val="1"/>
              </w:rPr>
              <w:t>rr</w:t>
            </w:r>
            <w:r w:rsidRPr="002742DE">
              <w:t>ed</w:t>
            </w:r>
            <w:r w:rsidRPr="002742DE">
              <w:rPr>
                <w:spacing w:val="3"/>
              </w:rPr>
              <w:t xml:space="preserve"> </w:t>
            </w:r>
            <w:r w:rsidRPr="002742DE">
              <w:t>to</w:t>
            </w:r>
            <w:r w:rsidRPr="002742DE">
              <w:rPr>
                <w:spacing w:val="8"/>
              </w:rPr>
              <w:t xml:space="preserve"> </w:t>
            </w:r>
            <w:r w:rsidRPr="002742DE">
              <w:t>in</w:t>
            </w:r>
            <w:r w:rsidRPr="002742DE">
              <w:rPr>
                <w:spacing w:val="5"/>
              </w:rPr>
              <w:t xml:space="preserve"> </w:t>
            </w:r>
            <w:r w:rsidRPr="002742DE">
              <w:rPr>
                <w:spacing w:val="-2"/>
              </w:rPr>
              <w:t>A</w:t>
            </w:r>
            <w:r w:rsidRPr="002742DE">
              <w:rPr>
                <w:spacing w:val="1"/>
              </w:rPr>
              <w:t>r</w:t>
            </w:r>
            <w:r w:rsidRPr="002742DE">
              <w:t>ticle</w:t>
            </w:r>
            <w:r w:rsidRPr="002742DE">
              <w:rPr>
                <w:spacing w:val="3"/>
              </w:rPr>
              <w:t xml:space="preserve"> </w:t>
            </w:r>
            <w:r w:rsidRPr="002742DE">
              <w:rPr>
                <w:spacing w:val="1"/>
              </w:rPr>
              <w:t>9(1</w:t>
            </w:r>
            <w:r w:rsidRPr="002742DE">
              <w:t>)</w:t>
            </w:r>
            <w:r w:rsidRPr="002742DE">
              <w:rPr>
                <w:spacing w:val="5"/>
              </w:rPr>
              <w:t xml:space="preserve"> </w:t>
            </w:r>
            <w:r w:rsidRPr="002742DE">
              <w:rPr>
                <w:spacing w:val="1"/>
              </w:rPr>
              <w:t>o</w:t>
            </w:r>
            <w:r w:rsidRPr="002742DE">
              <w:t>f</w:t>
            </w:r>
            <w:r w:rsidRPr="002742DE">
              <w:rPr>
                <w:spacing w:val="5"/>
              </w:rPr>
              <w:t xml:space="preserve"> </w:t>
            </w:r>
            <w:r w:rsidRPr="002742DE">
              <w:t>t</w:t>
            </w:r>
            <w:r w:rsidRPr="002742DE">
              <w:rPr>
                <w:spacing w:val="-1"/>
              </w:rPr>
              <w:t>h</w:t>
            </w:r>
            <w:r w:rsidRPr="002742DE">
              <w:t>e</w:t>
            </w:r>
            <w:r w:rsidRPr="002742DE">
              <w:rPr>
                <w:spacing w:val="6"/>
              </w:rPr>
              <w:t xml:space="preserve"> </w:t>
            </w:r>
            <w:r w:rsidRPr="002742DE">
              <w:t>S</w:t>
            </w:r>
            <w:r w:rsidRPr="002742DE">
              <w:rPr>
                <w:spacing w:val="3"/>
              </w:rPr>
              <w:t>E</w:t>
            </w:r>
            <w:r w:rsidRPr="002742DE">
              <w:t>A</w:t>
            </w:r>
            <w:r w:rsidRPr="002742DE">
              <w:rPr>
                <w:spacing w:val="3"/>
              </w:rPr>
              <w:t xml:space="preserve"> </w:t>
            </w:r>
            <w:r w:rsidRPr="002742DE">
              <w:t>Di</w:t>
            </w:r>
            <w:r w:rsidRPr="002742DE">
              <w:rPr>
                <w:spacing w:val="1"/>
              </w:rPr>
              <w:t>r</w:t>
            </w:r>
            <w:r w:rsidRPr="002742DE">
              <w:t>e</w:t>
            </w:r>
            <w:r w:rsidRPr="002742DE">
              <w:rPr>
                <w:spacing w:val="1"/>
              </w:rPr>
              <w:t>c</w:t>
            </w:r>
            <w:r w:rsidRPr="002742DE">
              <w:t>t</w:t>
            </w:r>
            <w:r w:rsidRPr="002742DE">
              <w:rPr>
                <w:spacing w:val="2"/>
              </w:rPr>
              <w:t>i</w:t>
            </w:r>
            <w:r w:rsidRPr="002742DE">
              <w:rPr>
                <w:spacing w:val="-1"/>
              </w:rPr>
              <w:t>v</w:t>
            </w:r>
            <w:r w:rsidRPr="002742DE">
              <w:t>e</w:t>
            </w:r>
            <w:r w:rsidRPr="002742DE">
              <w:rPr>
                <w:spacing w:val="1"/>
              </w:rPr>
              <w:t xml:space="preserve"> </w:t>
            </w:r>
            <w:r w:rsidRPr="002742DE">
              <w:t>a</w:t>
            </w:r>
            <w:r w:rsidRPr="002742DE">
              <w:rPr>
                <w:spacing w:val="-1"/>
              </w:rPr>
              <w:t>n</w:t>
            </w:r>
            <w:r w:rsidRPr="002742DE">
              <w:t>d</w:t>
            </w:r>
            <w:r w:rsidRPr="002742DE">
              <w:rPr>
                <w:spacing w:val="7"/>
              </w:rPr>
              <w:t xml:space="preserve"> </w:t>
            </w:r>
            <w:r w:rsidRPr="002742DE">
              <w:t>t</w:t>
            </w:r>
            <w:r w:rsidRPr="002742DE">
              <w:rPr>
                <w:spacing w:val="-1"/>
              </w:rPr>
              <w:t>h</w:t>
            </w:r>
            <w:r w:rsidRPr="002742DE">
              <w:t>e</w:t>
            </w:r>
            <w:r w:rsidRPr="002742DE">
              <w:rPr>
                <w:spacing w:val="9"/>
              </w:rPr>
              <w:t xml:space="preserve"> </w:t>
            </w:r>
            <w:r w:rsidRPr="002742DE">
              <w:rPr>
                <w:spacing w:val="-1"/>
              </w:rPr>
              <w:t>m</w:t>
            </w:r>
            <w:r w:rsidRPr="002742DE">
              <w:t>e</w:t>
            </w:r>
            <w:r w:rsidRPr="002742DE">
              <w:rPr>
                <w:spacing w:val="1"/>
              </w:rPr>
              <w:t>a</w:t>
            </w:r>
            <w:r w:rsidRPr="002742DE">
              <w:rPr>
                <w:spacing w:val="2"/>
              </w:rPr>
              <w:t>s</w:t>
            </w:r>
            <w:r w:rsidRPr="002742DE">
              <w:rPr>
                <w:spacing w:val="-1"/>
              </w:rPr>
              <w:t>u</w:t>
            </w:r>
            <w:r w:rsidRPr="002742DE">
              <w:rPr>
                <w:spacing w:val="1"/>
              </w:rPr>
              <w:t>r</w:t>
            </w:r>
            <w:r w:rsidRPr="002742DE">
              <w:t>es c</w:t>
            </w:r>
            <w:r w:rsidRPr="002742DE">
              <w:rPr>
                <w:spacing w:val="1"/>
              </w:rPr>
              <w:t>o</w:t>
            </w:r>
            <w:r w:rsidRPr="002742DE">
              <w:rPr>
                <w:spacing w:val="-1"/>
              </w:rPr>
              <w:t>n</w:t>
            </w:r>
            <w:r w:rsidRPr="002742DE">
              <w:t>c</w:t>
            </w:r>
            <w:r w:rsidRPr="002742DE">
              <w:rPr>
                <w:spacing w:val="1"/>
              </w:rPr>
              <w:t>e</w:t>
            </w:r>
            <w:r w:rsidRPr="002742DE">
              <w:rPr>
                <w:spacing w:val="3"/>
              </w:rPr>
              <w:t>r</w:t>
            </w:r>
            <w:r w:rsidRPr="002742DE">
              <w:rPr>
                <w:spacing w:val="-1"/>
              </w:rPr>
              <w:t>n</w:t>
            </w:r>
            <w:r w:rsidRPr="002742DE">
              <w:t>i</w:t>
            </w:r>
            <w:r w:rsidRPr="002742DE">
              <w:rPr>
                <w:spacing w:val="1"/>
              </w:rPr>
              <w:t>n</w:t>
            </w:r>
            <w:r w:rsidRPr="002742DE">
              <w:t>g</w:t>
            </w:r>
            <w:r w:rsidRPr="002742DE">
              <w:rPr>
                <w:spacing w:val="1"/>
              </w:rPr>
              <w:t xml:space="preserve"> </w:t>
            </w:r>
            <w:r w:rsidRPr="002742DE">
              <w:rPr>
                <w:spacing w:val="-4"/>
              </w:rPr>
              <w:t>m</w:t>
            </w:r>
            <w:r w:rsidRPr="002742DE">
              <w:rPr>
                <w:spacing w:val="3"/>
              </w:rPr>
              <w:t>o</w:t>
            </w:r>
            <w:r w:rsidRPr="002742DE">
              <w:rPr>
                <w:spacing w:val="-1"/>
              </w:rPr>
              <w:t>n</w:t>
            </w:r>
            <w:r w:rsidRPr="002742DE">
              <w:t>it</w:t>
            </w:r>
            <w:r w:rsidRPr="002742DE">
              <w:rPr>
                <w:spacing w:val="1"/>
              </w:rPr>
              <w:t>o</w:t>
            </w:r>
            <w:r w:rsidRPr="002742DE">
              <w:rPr>
                <w:spacing w:val="3"/>
              </w:rPr>
              <w:t>r</w:t>
            </w:r>
            <w:r w:rsidRPr="002742DE">
              <w:t>i</w:t>
            </w:r>
            <w:r w:rsidRPr="002742DE">
              <w:rPr>
                <w:spacing w:val="-1"/>
              </w:rPr>
              <w:t>n</w:t>
            </w:r>
            <w:r w:rsidRPr="002742DE">
              <w:t xml:space="preserve">g </w:t>
            </w:r>
            <w:r w:rsidRPr="002742DE">
              <w:rPr>
                <w:spacing w:val="1"/>
              </w:rPr>
              <w:t>r</w:t>
            </w:r>
            <w:r w:rsidRPr="002742DE">
              <w:t>e</w:t>
            </w:r>
            <w:r w:rsidRPr="002742DE">
              <w:rPr>
                <w:spacing w:val="-1"/>
              </w:rPr>
              <w:t>f</w:t>
            </w:r>
            <w:r w:rsidRPr="002742DE">
              <w:t>e</w:t>
            </w:r>
            <w:r w:rsidRPr="002742DE">
              <w:rPr>
                <w:spacing w:val="1"/>
              </w:rPr>
              <w:t>rr</w:t>
            </w:r>
            <w:r w:rsidRPr="002742DE">
              <w:t>ed</w:t>
            </w:r>
            <w:r w:rsidRPr="002742DE">
              <w:rPr>
                <w:spacing w:val="-4"/>
              </w:rPr>
              <w:t xml:space="preserve"> </w:t>
            </w:r>
            <w:r w:rsidRPr="002742DE">
              <w:t>to</w:t>
            </w:r>
            <w:r w:rsidRPr="002742DE">
              <w:rPr>
                <w:spacing w:val="-1"/>
              </w:rPr>
              <w:t xml:space="preserve"> </w:t>
            </w:r>
            <w:r w:rsidRPr="002742DE">
              <w:t>in</w:t>
            </w:r>
            <w:r w:rsidRPr="002742DE">
              <w:rPr>
                <w:spacing w:val="-3"/>
              </w:rPr>
              <w:t xml:space="preserve"> </w:t>
            </w:r>
            <w:r w:rsidRPr="002742DE">
              <w:rPr>
                <w:spacing w:val="-2"/>
              </w:rPr>
              <w:t>A</w:t>
            </w:r>
            <w:r w:rsidRPr="002742DE">
              <w:rPr>
                <w:spacing w:val="1"/>
              </w:rPr>
              <w:t>r</w:t>
            </w:r>
            <w:r w:rsidRPr="002742DE">
              <w:t>ticle</w:t>
            </w:r>
            <w:r w:rsidRPr="002742DE">
              <w:rPr>
                <w:spacing w:val="-6"/>
              </w:rPr>
              <w:t xml:space="preserve"> </w:t>
            </w:r>
            <w:r w:rsidRPr="002742DE">
              <w:rPr>
                <w:spacing w:val="1"/>
              </w:rPr>
              <w:t>1</w:t>
            </w:r>
            <w:r w:rsidRPr="002742DE">
              <w:t>0</w:t>
            </w:r>
            <w:r w:rsidRPr="002742DE">
              <w:rPr>
                <w:spacing w:val="-1"/>
              </w:rPr>
              <w:t xml:space="preserve"> </w:t>
            </w:r>
            <w:r w:rsidRPr="002742DE">
              <w:rPr>
                <w:spacing w:val="1"/>
              </w:rPr>
              <w:t>o</w:t>
            </w:r>
            <w:r w:rsidRPr="002742DE">
              <w:t>f</w:t>
            </w:r>
            <w:r w:rsidRPr="002742DE">
              <w:rPr>
                <w:spacing w:val="-3"/>
              </w:rPr>
              <w:t xml:space="preserve"> </w:t>
            </w:r>
            <w:r w:rsidRPr="002742DE">
              <w:t>t</w:t>
            </w:r>
            <w:r w:rsidRPr="002742DE">
              <w:rPr>
                <w:spacing w:val="-1"/>
              </w:rPr>
              <w:t>h</w:t>
            </w:r>
            <w:r w:rsidRPr="002742DE">
              <w:t>e</w:t>
            </w:r>
            <w:r w:rsidRPr="002742DE">
              <w:rPr>
                <w:spacing w:val="1"/>
              </w:rPr>
              <w:t xml:space="preserve"> </w:t>
            </w:r>
            <w:r w:rsidRPr="002742DE">
              <w:t>SEA</w:t>
            </w:r>
            <w:r w:rsidRPr="002742DE">
              <w:rPr>
                <w:spacing w:val="-6"/>
              </w:rPr>
              <w:t xml:space="preserve"> </w:t>
            </w:r>
            <w:r w:rsidRPr="002742DE">
              <w:t>Di</w:t>
            </w:r>
            <w:r w:rsidRPr="002742DE">
              <w:rPr>
                <w:spacing w:val="1"/>
              </w:rPr>
              <w:t>r</w:t>
            </w:r>
            <w:r w:rsidRPr="002742DE">
              <w:t>e</w:t>
            </w:r>
            <w:r w:rsidRPr="002742DE">
              <w:rPr>
                <w:spacing w:val="1"/>
              </w:rPr>
              <w:t>c</w:t>
            </w:r>
            <w:r w:rsidRPr="002742DE">
              <w:t>t</w:t>
            </w:r>
            <w:r w:rsidRPr="002742DE">
              <w:rPr>
                <w:spacing w:val="2"/>
              </w:rPr>
              <w:t>i</w:t>
            </w:r>
            <w:r w:rsidRPr="002742DE">
              <w:rPr>
                <w:spacing w:val="-1"/>
              </w:rPr>
              <w:t>v</w:t>
            </w:r>
            <w:r w:rsidRPr="002742DE">
              <w:t>e.</w:t>
            </w:r>
          </w:p>
        </w:tc>
        <w:tc>
          <w:tcPr>
            <w:tcW w:w="364" w:type="pct"/>
            <w:vAlign w:val="center"/>
          </w:tcPr>
          <w:p w:rsidR="00DE269D" w:rsidRPr="002742DE" w:rsidRDefault="00DE269D" w:rsidP="00DE269D">
            <w:pPr>
              <w:tabs>
                <w:tab w:val="left" w:pos="1120"/>
              </w:tabs>
              <w:spacing w:before="57"/>
              <w:jc w:val="center"/>
              <w:rPr>
                <w:rFonts w:eastAsia="Wingdings" w:cs="Arial"/>
                <w:sz w:val="20"/>
                <w:szCs w:val="20"/>
              </w:rPr>
            </w:pPr>
            <w:r>
              <w:rPr>
                <w:rFonts w:eastAsia="Wingdings" w:cs="Arial"/>
                <w:sz w:val="20"/>
                <w:szCs w:val="20"/>
              </w:rPr>
              <w:t>NO</w:t>
            </w:r>
          </w:p>
        </w:tc>
        <w:tc>
          <w:tcPr>
            <w:tcW w:w="1589" w:type="pct"/>
            <w:vAlign w:val="center"/>
          </w:tcPr>
          <w:p w:rsidR="00DE269D" w:rsidRPr="002742DE" w:rsidRDefault="00DE269D" w:rsidP="00DE269D">
            <w:pPr>
              <w:tabs>
                <w:tab w:val="left" w:pos="1120"/>
              </w:tabs>
              <w:spacing w:before="57"/>
              <w:rPr>
                <w:rFonts w:eastAsia="Wingdings" w:cs="Arial"/>
                <w:sz w:val="20"/>
                <w:szCs w:val="20"/>
              </w:rPr>
            </w:pPr>
            <w:r>
              <w:rPr>
                <w:rFonts w:eastAsia="Wingdings" w:cs="Arial"/>
                <w:sz w:val="20"/>
                <w:szCs w:val="20"/>
              </w:rPr>
              <w:t>See previous.</w:t>
            </w:r>
          </w:p>
        </w:tc>
      </w:tr>
      <w:tr w:rsidR="00DE269D" w:rsidRPr="002A1C7F" w:rsidTr="00DE269D">
        <w:tc>
          <w:tcPr>
            <w:tcW w:w="3048" w:type="pct"/>
            <w:vAlign w:val="center"/>
          </w:tcPr>
          <w:p w:rsidR="00DE269D" w:rsidRPr="002A1C7F" w:rsidRDefault="00DE269D" w:rsidP="00DE269D">
            <w:pPr>
              <w:tabs>
                <w:tab w:val="left" w:pos="460"/>
              </w:tabs>
              <w:spacing w:line="225" w:lineRule="exact"/>
              <w:rPr>
                <w:rFonts w:cs="Arial"/>
                <w:b/>
                <w:sz w:val="20"/>
                <w:szCs w:val="20"/>
              </w:rPr>
            </w:pPr>
            <w:r w:rsidRPr="002A1C7F">
              <w:rPr>
                <w:rFonts w:cs="Arial"/>
                <w:b/>
                <w:sz w:val="20"/>
                <w:szCs w:val="20"/>
              </w:rPr>
              <w:t>‒</w:t>
            </w:r>
            <w:r w:rsidRPr="002A1C7F">
              <w:rPr>
                <w:rFonts w:cs="Arial"/>
                <w:b/>
                <w:sz w:val="20"/>
                <w:szCs w:val="20"/>
              </w:rPr>
              <w:tab/>
            </w:r>
            <w:r w:rsidRPr="002A1C7F">
              <w:rPr>
                <w:rFonts w:cs="Arial"/>
                <w:b/>
                <w:i/>
                <w:spacing w:val="-1"/>
                <w:sz w:val="20"/>
                <w:szCs w:val="20"/>
              </w:rPr>
              <w:t>s</w:t>
            </w:r>
            <w:r w:rsidRPr="002A1C7F">
              <w:rPr>
                <w:rFonts w:cs="Arial"/>
                <w:b/>
                <w:i/>
                <w:sz w:val="20"/>
                <w:szCs w:val="20"/>
              </w:rPr>
              <w:t xml:space="preserve">ets </w:t>
            </w:r>
            <w:r w:rsidRPr="002A1C7F">
              <w:rPr>
                <w:rFonts w:cs="Arial"/>
                <w:b/>
                <w:i/>
                <w:spacing w:val="2"/>
                <w:sz w:val="20"/>
                <w:szCs w:val="20"/>
              </w:rPr>
              <w:t xml:space="preserve"> </w:t>
            </w:r>
            <w:r w:rsidRPr="002A1C7F">
              <w:rPr>
                <w:rFonts w:cs="Arial"/>
                <w:b/>
                <w:i/>
                <w:spacing w:val="1"/>
                <w:sz w:val="20"/>
                <w:szCs w:val="20"/>
              </w:rPr>
              <w:t>ou</w:t>
            </w:r>
            <w:r w:rsidRPr="002A1C7F">
              <w:rPr>
                <w:rFonts w:cs="Arial"/>
                <w:b/>
                <w:i/>
                <w:sz w:val="20"/>
                <w:szCs w:val="20"/>
              </w:rPr>
              <w:t xml:space="preserve">t </w:t>
            </w:r>
            <w:r w:rsidRPr="002A1C7F">
              <w:rPr>
                <w:rFonts w:cs="Arial"/>
                <w:b/>
                <w:i/>
                <w:spacing w:val="5"/>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 xml:space="preserve">e </w:t>
            </w:r>
            <w:r w:rsidRPr="002A1C7F">
              <w:rPr>
                <w:rFonts w:cs="Arial"/>
                <w:b/>
                <w:i/>
                <w:spacing w:val="4"/>
                <w:sz w:val="20"/>
                <w:szCs w:val="20"/>
              </w:rPr>
              <w:t xml:space="preserve"> </w:t>
            </w:r>
            <w:r w:rsidRPr="002A1C7F">
              <w:rPr>
                <w:rFonts w:cs="Arial"/>
                <w:b/>
                <w:i/>
                <w:sz w:val="20"/>
                <w:szCs w:val="20"/>
              </w:rPr>
              <w:t>c</w:t>
            </w:r>
            <w:r w:rsidRPr="002A1C7F">
              <w:rPr>
                <w:rFonts w:cs="Arial"/>
                <w:b/>
                <w:i/>
                <w:spacing w:val="1"/>
                <w:sz w:val="20"/>
                <w:szCs w:val="20"/>
              </w:rPr>
              <w:t>on</w:t>
            </w:r>
            <w:r w:rsidRPr="002A1C7F">
              <w:rPr>
                <w:rFonts w:cs="Arial"/>
                <w:b/>
                <w:i/>
                <w:sz w:val="20"/>
                <w:szCs w:val="20"/>
              </w:rPr>
              <w:t>t</w:t>
            </w:r>
            <w:r w:rsidRPr="002A1C7F">
              <w:rPr>
                <w:rFonts w:cs="Arial"/>
                <w:b/>
                <w:i/>
                <w:spacing w:val="-1"/>
                <w:sz w:val="20"/>
                <w:szCs w:val="20"/>
              </w:rPr>
              <w:t>r</w:t>
            </w:r>
            <w:r w:rsidRPr="002A1C7F">
              <w:rPr>
                <w:rFonts w:cs="Arial"/>
                <w:b/>
                <w:i/>
                <w:sz w:val="20"/>
                <w:szCs w:val="20"/>
              </w:rPr>
              <w:t>i</w:t>
            </w:r>
            <w:r w:rsidRPr="002A1C7F">
              <w:rPr>
                <w:rFonts w:cs="Arial"/>
                <w:b/>
                <w:i/>
                <w:spacing w:val="1"/>
                <w:sz w:val="20"/>
                <w:szCs w:val="20"/>
              </w:rPr>
              <w:t>bu</w:t>
            </w:r>
            <w:r w:rsidRPr="002A1C7F">
              <w:rPr>
                <w:rFonts w:cs="Arial"/>
                <w:b/>
                <w:i/>
                <w:sz w:val="20"/>
                <w:szCs w:val="20"/>
              </w:rPr>
              <w:t>ti</w:t>
            </w:r>
            <w:r w:rsidRPr="002A1C7F">
              <w:rPr>
                <w:rFonts w:cs="Arial"/>
                <w:b/>
                <w:i/>
                <w:spacing w:val="1"/>
                <w:sz w:val="20"/>
                <w:szCs w:val="20"/>
              </w:rPr>
              <w:t>o</w:t>
            </w:r>
            <w:r w:rsidRPr="002A1C7F">
              <w:rPr>
                <w:rFonts w:cs="Arial"/>
                <w:b/>
                <w:i/>
                <w:sz w:val="20"/>
                <w:szCs w:val="20"/>
              </w:rPr>
              <w:t>n</w:t>
            </w:r>
            <w:r w:rsidRPr="002A1C7F">
              <w:rPr>
                <w:rFonts w:cs="Arial"/>
                <w:b/>
                <w:i/>
                <w:spacing w:val="46"/>
                <w:sz w:val="20"/>
                <w:szCs w:val="20"/>
              </w:rPr>
              <w:t xml:space="preserve"> </w:t>
            </w:r>
            <w:r w:rsidRPr="002A1C7F">
              <w:rPr>
                <w:rFonts w:cs="Arial"/>
                <w:b/>
                <w:i/>
                <w:sz w:val="20"/>
                <w:szCs w:val="20"/>
              </w:rPr>
              <w:t xml:space="preserve">to </w:t>
            </w:r>
            <w:r w:rsidRPr="002A1C7F">
              <w:rPr>
                <w:rFonts w:cs="Arial"/>
                <w:b/>
                <w:i/>
                <w:spacing w:val="4"/>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 xml:space="preserve">e </w:t>
            </w:r>
            <w:r w:rsidRPr="002A1C7F">
              <w:rPr>
                <w:rFonts w:cs="Arial"/>
                <w:b/>
                <w:i/>
                <w:spacing w:val="4"/>
                <w:sz w:val="20"/>
                <w:szCs w:val="20"/>
              </w:rPr>
              <w:t xml:space="preserve"> </w:t>
            </w:r>
            <w:r w:rsidRPr="002A1C7F">
              <w:rPr>
                <w:rFonts w:cs="Arial"/>
                <w:b/>
                <w:i/>
                <w:spacing w:val="-1"/>
                <w:sz w:val="20"/>
                <w:szCs w:val="20"/>
              </w:rPr>
              <w:t>s</w:t>
            </w:r>
            <w:r w:rsidRPr="002A1C7F">
              <w:rPr>
                <w:rFonts w:cs="Arial"/>
                <w:b/>
                <w:i/>
                <w:sz w:val="20"/>
                <w:szCs w:val="20"/>
              </w:rPr>
              <w:t>i</w:t>
            </w:r>
            <w:r w:rsidRPr="002A1C7F">
              <w:rPr>
                <w:rFonts w:cs="Arial"/>
                <w:b/>
                <w:i/>
                <w:spacing w:val="1"/>
                <w:sz w:val="20"/>
                <w:szCs w:val="20"/>
              </w:rPr>
              <w:t>ng</w:t>
            </w:r>
            <w:r w:rsidRPr="002A1C7F">
              <w:rPr>
                <w:rFonts w:cs="Arial"/>
                <w:b/>
                <w:i/>
                <w:sz w:val="20"/>
                <w:szCs w:val="20"/>
              </w:rPr>
              <w:t xml:space="preserve">le </w:t>
            </w:r>
            <w:r w:rsidRPr="002A1C7F">
              <w:rPr>
                <w:rFonts w:cs="Arial"/>
                <w:b/>
                <w:i/>
                <w:spacing w:val="1"/>
                <w:sz w:val="20"/>
                <w:szCs w:val="20"/>
              </w:rPr>
              <w:t xml:space="preserve"> </w:t>
            </w:r>
            <w:r w:rsidRPr="002A1C7F">
              <w:rPr>
                <w:rFonts w:cs="Arial"/>
                <w:b/>
                <w:i/>
                <w:sz w:val="20"/>
                <w:szCs w:val="20"/>
              </w:rPr>
              <w:t>E</w:t>
            </w:r>
            <w:r w:rsidRPr="002A1C7F">
              <w:rPr>
                <w:rFonts w:cs="Arial"/>
                <w:b/>
                <w:i/>
                <w:spacing w:val="1"/>
                <w:sz w:val="20"/>
                <w:szCs w:val="20"/>
              </w:rPr>
              <w:t>u</w:t>
            </w:r>
            <w:r w:rsidRPr="002A1C7F">
              <w:rPr>
                <w:rFonts w:cs="Arial"/>
                <w:b/>
                <w:i/>
                <w:spacing w:val="-1"/>
                <w:sz w:val="20"/>
                <w:szCs w:val="20"/>
              </w:rPr>
              <w:t>r</w:t>
            </w:r>
            <w:r w:rsidRPr="002A1C7F">
              <w:rPr>
                <w:rFonts w:cs="Arial"/>
                <w:b/>
                <w:i/>
                <w:spacing w:val="1"/>
                <w:sz w:val="20"/>
                <w:szCs w:val="20"/>
              </w:rPr>
              <w:t>op</w:t>
            </w:r>
            <w:r w:rsidRPr="002A1C7F">
              <w:rPr>
                <w:rFonts w:cs="Arial"/>
                <w:b/>
                <w:i/>
                <w:sz w:val="20"/>
                <w:szCs w:val="20"/>
              </w:rPr>
              <w:t>e</w:t>
            </w:r>
            <w:r w:rsidRPr="002A1C7F">
              <w:rPr>
                <w:rFonts w:cs="Arial"/>
                <w:b/>
                <w:i/>
                <w:spacing w:val="1"/>
                <w:sz w:val="20"/>
                <w:szCs w:val="20"/>
              </w:rPr>
              <w:t>a</w:t>
            </w:r>
            <w:r w:rsidRPr="002A1C7F">
              <w:rPr>
                <w:rFonts w:cs="Arial"/>
                <w:b/>
                <w:i/>
                <w:sz w:val="20"/>
                <w:szCs w:val="20"/>
              </w:rPr>
              <w:t>n</w:t>
            </w:r>
            <w:r w:rsidRPr="002A1C7F">
              <w:rPr>
                <w:rFonts w:cs="Arial"/>
                <w:b/>
                <w:i/>
                <w:spacing w:val="48"/>
                <w:sz w:val="20"/>
                <w:szCs w:val="20"/>
              </w:rPr>
              <w:t xml:space="preserve"> </w:t>
            </w:r>
            <w:r w:rsidRPr="002A1C7F">
              <w:rPr>
                <w:rFonts w:cs="Arial"/>
                <w:b/>
                <w:i/>
                <w:sz w:val="20"/>
                <w:szCs w:val="20"/>
              </w:rPr>
              <w:t>T</w:t>
            </w:r>
            <w:r w:rsidRPr="002A1C7F">
              <w:rPr>
                <w:rFonts w:cs="Arial"/>
                <w:b/>
                <w:i/>
                <w:spacing w:val="-1"/>
                <w:sz w:val="20"/>
                <w:szCs w:val="20"/>
              </w:rPr>
              <w:t>r</w:t>
            </w:r>
            <w:r w:rsidRPr="002A1C7F">
              <w:rPr>
                <w:rFonts w:cs="Arial"/>
                <w:b/>
                <w:i/>
                <w:spacing w:val="1"/>
                <w:sz w:val="20"/>
                <w:szCs w:val="20"/>
              </w:rPr>
              <w:t>an</w:t>
            </w:r>
            <w:r w:rsidRPr="002A1C7F">
              <w:rPr>
                <w:rFonts w:cs="Arial"/>
                <w:b/>
                <w:i/>
                <w:spacing w:val="2"/>
                <w:sz w:val="20"/>
                <w:szCs w:val="20"/>
              </w:rPr>
              <w:t>s</w:t>
            </w:r>
            <w:r w:rsidRPr="002A1C7F">
              <w:rPr>
                <w:rFonts w:cs="Arial"/>
                <w:b/>
                <w:i/>
                <w:spacing w:val="1"/>
                <w:sz w:val="20"/>
                <w:szCs w:val="20"/>
              </w:rPr>
              <w:t>po</w:t>
            </w:r>
            <w:r w:rsidRPr="002A1C7F">
              <w:rPr>
                <w:rFonts w:cs="Arial"/>
                <w:b/>
                <w:i/>
                <w:spacing w:val="-1"/>
                <w:sz w:val="20"/>
                <w:szCs w:val="20"/>
              </w:rPr>
              <w:t>r</w:t>
            </w:r>
            <w:r w:rsidRPr="002A1C7F">
              <w:rPr>
                <w:rFonts w:cs="Arial"/>
                <w:b/>
                <w:i/>
                <w:sz w:val="20"/>
                <w:szCs w:val="20"/>
              </w:rPr>
              <w:t>t</w:t>
            </w:r>
            <w:r w:rsidRPr="002A1C7F">
              <w:rPr>
                <w:rFonts w:cs="Arial"/>
                <w:b/>
                <w:i/>
                <w:spacing w:val="47"/>
                <w:sz w:val="20"/>
                <w:szCs w:val="20"/>
              </w:rPr>
              <w:t xml:space="preserve"> </w:t>
            </w:r>
            <w:r w:rsidRPr="002A1C7F">
              <w:rPr>
                <w:rFonts w:cs="Arial"/>
                <w:b/>
                <w:i/>
                <w:sz w:val="20"/>
                <w:szCs w:val="20"/>
              </w:rPr>
              <w:t>A</w:t>
            </w:r>
            <w:r w:rsidRPr="002A1C7F">
              <w:rPr>
                <w:rFonts w:cs="Arial"/>
                <w:b/>
                <w:i/>
                <w:spacing w:val="-1"/>
                <w:sz w:val="20"/>
                <w:szCs w:val="20"/>
              </w:rPr>
              <w:t>r</w:t>
            </w:r>
            <w:r w:rsidRPr="002A1C7F">
              <w:rPr>
                <w:rFonts w:cs="Arial"/>
                <w:b/>
                <w:i/>
                <w:sz w:val="20"/>
                <w:szCs w:val="20"/>
              </w:rPr>
              <w:t xml:space="preserve">ea </w:t>
            </w:r>
            <w:r w:rsidRPr="002A1C7F">
              <w:rPr>
                <w:rFonts w:cs="Arial"/>
                <w:b/>
                <w:i/>
                <w:spacing w:val="3"/>
                <w:sz w:val="20"/>
                <w:szCs w:val="20"/>
              </w:rPr>
              <w:t xml:space="preserve"> </w:t>
            </w:r>
            <w:r w:rsidRPr="002A1C7F">
              <w:rPr>
                <w:rFonts w:cs="Arial"/>
                <w:b/>
                <w:i/>
                <w:sz w:val="20"/>
                <w:szCs w:val="20"/>
              </w:rPr>
              <w:t>c</w:t>
            </w:r>
            <w:r w:rsidRPr="002A1C7F">
              <w:rPr>
                <w:rFonts w:cs="Arial"/>
                <w:b/>
                <w:i/>
                <w:spacing w:val="1"/>
                <w:sz w:val="20"/>
                <w:szCs w:val="20"/>
              </w:rPr>
              <w:t>on</w:t>
            </w:r>
            <w:r w:rsidRPr="002A1C7F">
              <w:rPr>
                <w:rFonts w:cs="Arial"/>
                <w:b/>
                <w:i/>
                <w:spacing w:val="-1"/>
                <w:sz w:val="20"/>
                <w:szCs w:val="20"/>
              </w:rPr>
              <w:t>s</w:t>
            </w:r>
            <w:r w:rsidRPr="002A1C7F">
              <w:rPr>
                <w:rFonts w:cs="Arial"/>
                <w:b/>
                <w:i/>
                <w:sz w:val="20"/>
                <w:szCs w:val="20"/>
              </w:rPr>
              <w:t>i</w:t>
            </w:r>
            <w:r w:rsidRPr="002A1C7F">
              <w:rPr>
                <w:rFonts w:cs="Arial"/>
                <w:b/>
                <w:i/>
                <w:spacing w:val="-1"/>
                <w:sz w:val="20"/>
                <w:szCs w:val="20"/>
              </w:rPr>
              <w:t>s</w:t>
            </w:r>
            <w:r w:rsidRPr="002A1C7F">
              <w:rPr>
                <w:rFonts w:cs="Arial"/>
                <w:b/>
                <w:i/>
                <w:sz w:val="20"/>
                <w:szCs w:val="20"/>
              </w:rPr>
              <w:t>te</w:t>
            </w:r>
            <w:r w:rsidRPr="002A1C7F">
              <w:rPr>
                <w:rFonts w:cs="Arial"/>
                <w:b/>
                <w:i/>
                <w:spacing w:val="1"/>
                <w:sz w:val="20"/>
                <w:szCs w:val="20"/>
              </w:rPr>
              <w:t>n</w:t>
            </w:r>
            <w:r w:rsidRPr="002A1C7F">
              <w:rPr>
                <w:rFonts w:cs="Arial"/>
                <w:b/>
                <w:i/>
                <w:sz w:val="20"/>
                <w:szCs w:val="20"/>
              </w:rPr>
              <w:t>t</w:t>
            </w:r>
            <w:r w:rsidRPr="002A1C7F">
              <w:rPr>
                <w:rFonts w:cs="Arial"/>
                <w:b/>
                <w:i/>
                <w:spacing w:val="49"/>
                <w:sz w:val="20"/>
                <w:szCs w:val="20"/>
              </w:rPr>
              <w:t xml:space="preserve"> </w:t>
            </w:r>
            <w:r w:rsidRPr="002A1C7F">
              <w:rPr>
                <w:rFonts w:cs="Arial"/>
                <w:b/>
                <w:i/>
                <w:spacing w:val="-1"/>
                <w:sz w:val="20"/>
                <w:szCs w:val="20"/>
              </w:rPr>
              <w:t>w</w:t>
            </w:r>
            <w:r w:rsidRPr="002A1C7F">
              <w:rPr>
                <w:rFonts w:cs="Arial"/>
                <w:b/>
                <w:i/>
                <w:spacing w:val="2"/>
                <w:sz w:val="20"/>
                <w:szCs w:val="20"/>
              </w:rPr>
              <w:t>i</w:t>
            </w:r>
            <w:r w:rsidRPr="002A1C7F">
              <w:rPr>
                <w:rFonts w:cs="Arial"/>
                <w:b/>
                <w:i/>
                <w:sz w:val="20"/>
                <w:szCs w:val="20"/>
              </w:rPr>
              <w:t xml:space="preserve">th </w:t>
            </w:r>
            <w:r w:rsidRPr="002A1C7F">
              <w:rPr>
                <w:rFonts w:cs="Arial"/>
                <w:b/>
                <w:i/>
                <w:spacing w:val="3"/>
                <w:sz w:val="20"/>
                <w:szCs w:val="20"/>
              </w:rPr>
              <w:t xml:space="preserve"> A</w:t>
            </w:r>
            <w:r w:rsidRPr="002A1C7F">
              <w:rPr>
                <w:rFonts w:cs="Arial"/>
                <w:b/>
                <w:i/>
                <w:spacing w:val="-1"/>
                <w:sz w:val="20"/>
                <w:szCs w:val="20"/>
              </w:rPr>
              <w:t>r</w:t>
            </w:r>
            <w:r w:rsidRPr="002A1C7F">
              <w:rPr>
                <w:rFonts w:cs="Arial"/>
                <w:b/>
                <w:i/>
                <w:sz w:val="20"/>
                <w:szCs w:val="20"/>
              </w:rPr>
              <w:t xml:space="preserve">ticle </w:t>
            </w:r>
            <w:r w:rsidRPr="002A1C7F">
              <w:rPr>
                <w:rFonts w:cs="Arial"/>
                <w:b/>
                <w:i/>
                <w:spacing w:val="1"/>
                <w:sz w:val="20"/>
                <w:szCs w:val="20"/>
              </w:rPr>
              <w:t xml:space="preserve"> 1</w:t>
            </w:r>
            <w:r w:rsidRPr="002A1C7F">
              <w:rPr>
                <w:rFonts w:cs="Arial"/>
                <w:b/>
                <w:i/>
                <w:sz w:val="20"/>
                <w:szCs w:val="20"/>
              </w:rPr>
              <w:t xml:space="preserve">0 </w:t>
            </w:r>
            <w:r w:rsidRPr="002A1C7F">
              <w:rPr>
                <w:rFonts w:cs="Arial"/>
                <w:b/>
                <w:i/>
                <w:spacing w:val="4"/>
                <w:sz w:val="20"/>
                <w:szCs w:val="20"/>
              </w:rPr>
              <w:t xml:space="preserve"> </w:t>
            </w:r>
            <w:r w:rsidRPr="002A1C7F">
              <w:rPr>
                <w:rFonts w:cs="Arial"/>
                <w:b/>
                <w:i/>
                <w:spacing w:val="1"/>
                <w:sz w:val="20"/>
                <w:szCs w:val="20"/>
              </w:rPr>
              <w:t>o</w:t>
            </w:r>
            <w:r w:rsidRPr="002A1C7F">
              <w:rPr>
                <w:rFonts w:cs="Arial"/>
                <w:b/>
                <w:i/>
                <w:sz w:val="20"/>
                <w:szCs w:val="20"/>
              </w:rPr>
              <w:t>f Re</w:t>
            </w:r>
            <w:r w:rsidRPr="002A1C7F">
              <w:rPr>
                <w:rFonts w:cs="Arial"/>
                <w:b/>
                <w:i/>
                <w:spacing w:val="1"/>
                <w:sz w:val="20"/>
                <w:szCs w:val="20"/>
              </w:rPr>
              <w:t>gu</w:t>
            </w:r>
            <w:r w:rsidRPr="002A1C7F">
              <w:rPr>
                <w:rFonts w:cs="Arial"/>
                <w:b/>
                <w:i/>
                <w:sz w:val="20"/>
                <w:szCs w:val="20"/>
              </w:rPr>
              <w:t>l</w:t>
            </w:r>
            <w:r w:rsidRPr="002A1C7F">
              <w:rPr>
                <w:rFonts w:cs="Arial"/>
                <w:b/>
                <w:i/>
                <w:spacing w:val="1"/>
                <w:sz w:val="20"/>
                <w:szCs w:val="20"/>
              </w:rPr>
              <w:t>a</w:t>
            </w:r>
            <w:r w:rsidRPr="002A1C7F">
              <w:rPr>
                <w:rFonts w:cs="Arial"/>
                <w:b/>
                <w:i/>
                <w:sz w:val="20"/>
                <w:szCs w:val="20"/>
              </w:rPr>
              <w:t>ti</w:t>
            </w:r>
            <w:r w:rsidRPr="002A1C7F">
              <w:rPr>
                <w:rFonts w:cs="Arial"/>
                <w:b/>
                <w:i/>
                <w:spacing w:val="1"/>
                <w:sz w:val="20"/>
                <w:szCs w:val="20"/>
              </w:rPr>
              <w:t>o</w:t>
            </w:r>
            <w:r w:rsidRPr="002A1C7F">
              <w:rPr>
                <w:rFonts w:cs="Arial"/>
                <w:b/>
                <w:i/>
                <w:sz w:val="20"/>
                <w:szCs w:val="20"/>
              </w:rPr>
              <w:t>n</w:t>
            </w:r>
            <w:r w:rsidRPr="002A1C7F">
              <w:rPr>
                <w:rFonts w:cs="Arial"/>
                <w:b/>
                <w:i/>
                <w:spacing w:val="13"/>
                <w:sz w:val="20"/>
                <w:szCs w:val="20"/>
              </w:rPr>
              <w:t xml:space="preserve"> </w:t>
            </w:r>
            <w:r w:rsidRPr="002A1C7F">
              <w:rPr>
                <w:rFonts w:cs="Arial"/>
                <w:b/>
                <w:i/>
                <w:spacing w:val="-2"/>
                <w:sz w:val="20"/>
                <w:szCs w:val="20"/>
              </w:rPr>
              <w:t>(</w:t>
            </w:r>
            <w:r w:rsidRPr="002A1C7F">
              <w:rPr>
                <w:rFonts w:cs="Arial"/>
                <w:b/>
                <w:i/>
                <w:sz w:val="20"/>
                <w:szCs w:val="20"/>
              </w:rPr>
              <w:t>EU)</w:t>
            </w:r>
            <w:r w:rsidRPr="002A1C7F">
              <w:rPr>
                <w:rFonts w:cs="Arial"/>
                <w:b/>
                <w:i/>
                <w:spacing w:val="17"/>
                <w:sz w:val="20"/>
                <w:szCs w:val="20"/>
              </w:rPr>
              <w:t xml:space="preserve"> </w:t>
            </w:r>
            <w:r w:rsidRPr="002A1C7F">
              <w:rPr>
                <w:rFonts w:cs="Arial"/>
                <w:b/>
                <w:i/>
                <w:spacing w:val="-1"/>
                <w:sz w:val="20"/>
                <w:szCs w:val="20"/>
              </w:rPr>
              <w:t>N</w:t>
            </w:r>
            <w:r w:rsidRPr="002A1C7F">
              <w:rPr>
                <w:rFonts w:cs="Arial"/>
                <w:b/>
                <w:i/>
                <w:spacing w:val="1"/>
                <w:sz w:val="20"/>
                <w:szCs w:val="20"/>
              </w:rPr>
              <w:t>o1315</w:t>
            </w:r>
            <w:r w:rsidRPr="002A1C7F">
              <w:rPr>
                <w:rFonts w:cs="Arial"/>
                <w:b/>
                <w:i/>
                <w:sz w:val="20"/>
                <w:szCs w:val="20"/>
              </w:rPr>
              <w:t>/</w:t>
            </w:r>
            <w:r w:rsidRPr="002A1C7F">
              <w:rPr>
                <w:rFonts w:cs="Arial"/>
                <w:b/>
                <w:i/>
                <w:spacing w:val="-1"/>
                <w:sz w:val="20"/>
                <w:szCs w:val="20"/>
              </w:rPr>
              <w:t>2</w:t>
            </w:r>
            <w:r w:rsidRPr="002A1C7F">
              <w:rPr>
                <w:rFonts w:cs="Arial"/>
                <w:b/>
                <w:i/>
                <w:spacing w:val="1"/>
                <w:sz w:val="20"/>
                <w:szCs w:val="20"/>
              </w:rPr>
              <w:t>0</w:t>
            </w:r>
            <w:r w:rsidRPr="002A1C7F">
              <w:rPr>
                <w:rFonts w:cs="Arial"/>
                <w:b/>
                <w:i/>
                <w:spacing w:val="-1"/>
                <w:sz w:val="20"/>
                <w:szCs w:val="20"/>
              </w:rPr>
              <w:t>1</w:t>
            </w:r>
            <w:r w:rsidRPr="002A1C7F">
              <w:rPr>
                <w:rFonts w:cs="Arial"/>
                <w:b/>
                <w:i/>
                <w:sz w:val="20"/>
                <w:szCs w:val="20"/>
              </w:rPr>
              <w:t>3</w:t>
            </w:r>
            <w:r w:rsidRPr="002A1C7F">
              <w:rPr>
                <w:rFonts w:cs="Arial"/>
                <w:b/>
                <w:i/>
                <w:spacing w:val="9"/>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17"/>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8"/>
                <w:sz w:val="20"/>
                <w:szCs w:val="20"/>
              </w:rPr>
              <w:t xml:space="preserve"> </w:t>
            </w:r>
            <w:r w:rsidRPr="002A1C7F">
              <w:rPr>
                <w:rFonts w:cs="Arial"/>
                <w:b/>
                <w:i/>
                <w:sz w:val="20"/>
                <w:szCs w:val="20"/>
              </w:rPr>
              <w:t>E</w:t>
            </w:r>
            <w:r w:rsidRPr="002A1C7F">
              <w:rPr>
                <w:rFonts w:cs="Arial"/>
                <w:b/>
                <w:i/>
                <w:spacing w:val="1"/>
                <w:sz w:val="20"/>
                <w:szCs w:val="20"/>
              </w:rPr>
              <w:t>u</w:t>
            </w:r>
            <w:r w:rsidRPr="002A1C7F">
              <w:rPr>
                <w:rFonts w:cs="Arial"/>
                <w:b/>
                <w:i/>
                <w:spacing w:val="-1"/>
                <w:sz w:val="20"/>
                <w:szCs w:val="20"/>
              </w:rPr>
              <w:t>r</w:t>
            </w:r>
            <w:r w:rsidRPr="002A1C7F">
              <w:rPr>
                <w:rFonts w:cs="Arial"/>
                <w:b/>
                <w:i/>
                <w:spacing w:val="1"/>
                <w:sz w:val="20"/>
                <w:szCs w:val="20"/>
              </w:rPr>
              <w:t>op</w:t>
            </w:r>
            <w:r w:rsidRPr="002A1C7F">
              <w:rPr>
                <w:rFonts w:cs="Arial"/>
                <w:b/>
                <w:i/>
                <w:sz w:val="20"/>
                <w:szCs w:val="20"/>
              </w:rPr>
              <w:t>e</w:t>
            </w:r>
            <w:r w:rsidRPr="002A1C7F">
              <w:rPr>
                <w:rFonts w:cs="Arial"/>
                <w:b/>
                <w:i/>
                <w:spacing w:val="1"/>
                <w:sz w:val="20"/>
                <w:szCs w:val="20"/>
              </w:rPr>
              <w:t>a</w:t>
            </w:r>
            <w:r w:rsidRPr="002A1C7F">
              <w:rPr>
                <w:rFonts w:cs="Arial"/>
                <w:b/>
                <w:i/>
                <w:sz w:val="20"/>
                <w:szCs w:val="20"/>
              </w:rPr>
              <w:t>n</w:t>
            </w:r>
            <w:r w:rsidRPr="002A1C7F">
              <w:rPr>
                <w:rFonts w:cs="Arial"/>
                <w:b/>
                <w:i/>
                <w:spacing w:val="12"/>
                <w:sz w:val="20"/>
                <w:szCs w:val="20"/>
              </w:rPr>
              <w:t xml:space="preserve"> </w:t>
            </w:r>
            <w:r w:rsidRPr="002A1C7F">
              <w:rPr>
                <w:rFonts w:cs="Arial"/>
                <w:b/>
                <w:i/>
                <w:sz w:val="20"/>
                <w:szCs w:val="20"/>
              </w:rPr>
              <w:t>P</w:t>
            </w:r>
            <w:r w:rsidRPr="002A1C7F">
              <w:rPr>
                <w:rFonts w:cs="Arial"/>
                <w:b/>
                <w:i/>
                <w:spacing w:val="1"/>
                <w:sz w:val="20"/>
                <w:szCs w:val="20"/>
              </w:rPr>
              <w:t>a</w:t>
            </w:r>
            <w:r w:rsidRPr="002A1C7F">
              <w:rPr>
                <w:rFonts w:cs="Arial"/>
                <w:b/>
                <w:i/>
                <w:spacing w:val="-1"/>
                <w:sz w:val="20"/>
                <w:szCs w:val="20"/>
              </w:rPr>
              <w:t>r</w:t>
            </w:r>
            <w:r w:rsidRPr="002A1C7F">
              <w:rPr>
                <w:rFonts w:cs="Arial"/>
                <w:b/>
                <w:i/>
                <w:sz w:val="20"/>
                <w:szCs w:val="20"/>
              </w:rPr>
              <w:t>li</w:t>
            </w:r>
            <w:r w:rsidRPr="002A1C7F">
              <w:rPr>
                <w:rFonts w:cs="Arial"/>
                <w:b/>
                <w:i/>
                <w:spacing w:val="1"/>
                <w:sz w:val="20"/>
                <w:szCs w:val="20"/>
              </w:rPr>
              <w:t>a</w:t>
            </w:r>
            <w:r w:rsidRPr="002A1C7F">
              <w:rPr>
                <w:rFonts w:cs="Arial"/>
                <w:b/>
                <w:i/>
                <w:sz w:val="20"/>
                <w:szCs w:val="20"/>
              </w:rPr>
              <w:t>me</w:t>
            </w:r>
            <w:r w:rsidRPr="002A1C7F">
              <w:rPr>
                <w:rFonts w:cs="Arial"/>
                <w:b/>
                <w:i/>
                <w:spacing w:val="-1"/>
                <w:sz w:val="20"/>
                <w:szCs w:val="20"/>
              </w:rPr>
              <w:t>n</w:t>
            </w:r>
            <w:r w:rsidRPr="002A1C7F">
              <w:rPr>
                <w:rFonts w:cs="Arial"/>
                <w:b/>
                <w:i/>
                <w:sz w:val="20"/>
                <w:szCs w:val="20"/>
              </w:rPr>
              <w:t>t</w:t>
            </w:r>
            <w:r w:rsidRPr="002A1C7F">
              <w:rPr>
                <w:rFonts w:cs="Arial"/>
                <w:b/>
                <w:i/>
                <w:spacing w:val="10"/>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17"/>
                <w:sz w:val="20"/>
                <w:szCs w:val="20"/>
              </w:rPr>
              <w:t xml:space="preserve"> </w:t>
            </w:r>
            <w:r w:rsidRPr="002A1C7F">
              <w:rPr>
                <w:rFonts w:cs="Arial"/>
                <w:b/>
                <w:i/>
                <w:spacing w:val="1"/>
                <w:sz w:val="20"/>
                <w:szCs w:val="20"/>
              </w:rPr>
              <w:t>o</w:t>
            </w:r>
            <w:r w:rsidRPr="002A1C7F">
              <w:rPr>
                <w:rFonts w:cs="Arial"/>
                <w:b/>
                <w:i/>
                <w:sz w:val="20"/>
                <w:szCs w:val="20"/>
              </w:rPr>
              <w:t>f</w:t>
            </w:r>
            <w:r w:rsidRPr="002A1C7F">
              <w:rPr>
                <w:rFonts w:cs="Arial"/>
                <w:b/>
                <w:i/>
                <w:spacing w:val="17"/>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8"/>
                <w:sz w:val="20"/>
                <w:szCs w:val="20"/>
              </w:rPr>
              <w:t xml:space="preserve"> </w:t>
            </w:r>
            <w:r w:rsidRPr="002A1C7F">
              <w:rPr>
                <w:rFonts w:cs="Arial"/>
                <w:b/>
                <w:i/>
                <w:spacing w:val="-1"/>
                <w:sz w:val="20"/>
                <w:szCs w:val="20"/>
              </w:rPr>
              <w:t>C</w:t>
            </w:r>
            <w:r w:rsidRPr="002A1C7F">
              <w:rPr>
                <w:rFonts w:cs="Arial"/>
                <w:b/>
                <w:i/>
                <w:spacing w:val="1"/>
                <w:sz w:val="20"/>
                <w:szCs w:val="20"/>
              </w:rPr>
              <w:t>oun</w:t>
            </w:r>
            <w:r w:rsidRPr="002A1C7F">
              <w:rPr>
                <w:rFonts w:cs="Arial"/>
                <w:b/>
                <w:i/>
                <w:sz w:val="20"/>
                <w:szCs w:val="20"/>
              </w:rPr>
              <w:t>ci</w:t>
            </w:r>
            <w:r w:rsidRPr="002A1C7F">
              <w:rPr>
                <w:rFonts w:cs="Arial"/>
                <w:b/>
                <w:i/>
                <w:spacing w:val="7"/>
                <w:sz w:val="20"/>
                <w:szCs w:val="20"/>
              </w:rPr>
              <w:t>l</w:t>
            </w:r>
            <w:r w:rsidRPr="002A1C7F">
              <w:rPr>
                <w:rFonts w:cs="Arial"/>
                <w:b/>
                <w:i/>
                <w:sz w:val="20"/>
                <w:szCs w:val="20"/>
              </w:rPr>
              <w:t>,</w:t>
            </w:r>
            <w:r w:rsidRPr="002A1C7F">
              <w:rPr>
                <w:rFonts w:cs="Arial"/>
                <w:b/>
                <w:i/>
                <w:spacing w:val="13"/>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cl</w:t>
            </w:r>
            <w:r w:rsidRPr="002A1C7F">
              <w:rPr>
                <w:rFonts w:cs="Arial"/>
                <w:b/>
                <w:i/>
                <w:spacing w:val="1"/>
                <w:sz w:val="20"/>
                <w:szCs w:val="20"/>
              </w:rPr>
              <w:t>ud</w:t>
            </w:r>
            <w:r w:rsidRPr="002A1C7F">
              <w:rPr>
                <w:rFonts w:cs="Arial"/>
                <w:b/>
                <w:i/>
                <w:sz w:val="20"/>
                <w:szCs w:val="20"/>
              </w:rPr>
              <w:t>i</w:t>
            </w:r>
            <w:r w:rsidRPr="002A1C7F">
              <w:rPr>
                <w:rFonts w:cs="Arial"/>
                <w:b/>
                <w:i/>
                <w:spacing w:val="-1"/>
                <w:sz w:val="20"/>
                <w:szCs w:val="20"/>
              </w:rPr>
              <w:t>n</w:t>
            </w:r>
            <w:r w:rsidRPr="002A1C7F">
              <w:rPr>
                <w:rFonts w:cs="Arial"/>
                <w:b/>
                <w:i/>
                <w:sz w:val="20"/>
                <w:szCs w:val="20"/>
              </w:rPr>
              <w:t>g</w:t>
            </w:r>
            <w:r w:rsidRPr="002A1C7F">
              <w:rPr>
                <w:rFonts w:cs="Arial"/>
                <w:b/>
                <w:i/>
                <w:spacing w:val="12"/>
                <w:sz w:val="20"/>
                <w:szCs w:val="20"/>
              </w:rPr>
              <w:t xml:space="preserve"> </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i</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ities f</w:t>
            </w:r>
            <w:r w:rsidRPr="002A1C7F">
              <w:rPr>
                <w:rFonts w:cs="Arial"/>
                <w:b/>
                <w:i/>
                <w:spacing w:val="1"/>
                <w:sz w:val="20"/>
                <w:szCs w:val="20"/>
              </w:rPr>
              <w:t>o</w:t>
            </w:r>
            <w:r w:rsidRPr="002A1C7F">
              <w:rPr>
                <w:rFonts w:cs="Arial"/>
                <w:b/>
                <w:i/>
                <w:sz w:val="20"/>
                <w:szCs w:val="20"/>
              </w:rPr>
              <w:t>r</w:t>
            </w:r>
            <w:r w:rsidRPr="002A1C7F">
              <w:rPr>
                <w:rFonts w:cs="Arial"/>
                <w:b/>
                <w:i/>
                <w:spacing w:val="-2"/>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tme</w:t>
            </w:r>
            <w:r w:rsidRPr="002A1C7F">
              <w:rPr>
                <w:rFonts w:cs="Arial"/>
                <w:b/>
                <w:i/>
                <w:spacing w:val="1"/>
                <w:sz w:val="20"/>
                <w:szCs w:val="20"/>
              </w:rPr>
              <w:t>n</w:t>
            </w:r>
            <w:r w:rsidRPr="002A1C7F">
              <w:rPr>
                <w:rFonts w:cs="Arial"/>
                <w:b/>
                <w:i/>
                <w:sz w:val="20"/>
                <w:szCs w:val="20"/>
              </w:rPr>
              <w:t>ts</w:t>
            </w:r>
            <w:r w:rsidRPr="002A1C7F">
              <w:rPr>
                <w:rFonts w:cs="Arial"/>
                <w:b/>
                <w:i/>
                <w:spacing w:val="-7"/>
                <w:sz w:val="20"/>
                <w:szCs w:val="20"/>
              </w:rPr>
              <w:t xml:space="preserve"> </w:t>
            </w:r>
            <w:r w:rsidRPr="002A1C7F">
              <w:rPr>
                <w:rFonts w:cs="Arial"/>
                <w:b/>
                <w:i/>
                <w:sz w:val="20"/>
                <w:szCs w:val="20"/>
              </w:rPr>
              <w:t>in</w:t>
            </w:r>
            <w:r w:rsidRPr="002A1C7F">
              <w:rPr>
                <w:rFonts w:cs="Arial"/>
                <w:b/>
                <w:i/>
                <w:spacing w:val="-1"/>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T</w:t>
            </w:r>
            <w:r w:rsidRPr="002A1C7F">
              <w:rPr>
                <w:rFonts w:cs="Arial"/>
                <w:b/>
                <w:i/>
                <w:spacing w:val="3"/>
                <w:sz w:val="20"/>
                <w:szCs w:val="20"/>
              </w:rPr>
              <w:t>E</w:t>
            </w:r>
            <w:r w:rsidRPr="002A1C7F">
              <w:rPr>
                <w:rFonts w:cs="Arial"/>
                <w:b/>
                <w:i/>
                <w:spacing w:val="1"/>
                <w:sz w:val="20"/>
                <w:szCs w:val="20"/>
              </w:rPr>
              <w:t>N-</w:t>
            </w:r>
            <w:r w:rsidRPr="002A1C7F">
              <w:rPr>
                <w:rFonts w:cs="Arial"/>
                <w:b/>
                <w:i/>
                <w:sz w:val="20"/>
                <w:szCs w:val="20"/>
              </w:rPr>
              <w:t>T</w:t>
            </w:r>
            <w:r w:rsidRPr="002A1C7F">
              <w:rPr>
                <w:rFonts w:cs="Arial"/>
                <w:b/>
                <w:i/>
                <w:spacing w:val="-5"/>
                <w:sz w:val="20"/>
                <w:szCs w:val="20"/>
              </w:rPr>
              <w:t xml:space="preserve"> </w:t>
            </w:r>
            <w:r w:rsidRPr="002A1C7F">
              <w:rPr>
                <w:rFonts w:cs="Arial"/>
                <w:b/>
                <w:i/>
                <w:spacing w:val="1"/>
                <w:sz w:val="20"/>
                <w:szCs w:val="20"/>
              </w:rPr>
              <w:t>n</w:t>
            </w:r>
            <w:r w:rsidRPr="002A1C7F">
              <w:rPr>
                <w:rFonts w:cs="Arial"/>
                <w:b/>
                <w:i/>
                <w:sz w:val="20"/>
                <w:szCs w:val="20"/>
              </w:rPr>
              <w:t>et</w:t>
            </w:r>
            <w:r w:rsidRPr="002A1C7F">
              <w:rPr>
                <w:rFonts w:cs="Arial"/>
                <w:b/>
                <w:i/>
                <w:spacing w:val="-1"/>
                <w:sz w:val="20"/>
                <w:szCs w:val="20"/>
              </w:rPr>
              <w:t>w</w:t>
            </w:r>
            <w:r w:rsidRPr="002A1C7F">
              <w:rPr>
                <w:rFonts w:cs="Arial"/>
                <w:b/>
                <w:i/>
                <w:spacing w:val="3"/>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5"/>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2"/>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 xml:space="preserve"> </w:t>
            </w:r>
            <w:r w:rsidRPr="002A1C7F">
              <w:rPr>
                <w:rFonts w:cs="Arial"/>
                <w:b/>
                <w:i/>
                <w:sz w:val="20"/>
                <w:szCs w:val="20"/>
              </w:rPr>
              <w:t>c</w:t>
            </w:r>
            <w:r w:rsidRPr="002A1C7F">
              <w:rPr>
                <w:rFonts w:cs="Arial"/>
                <w:b/>
                <w:i/>
                <w:spacing w:val="1"/>
                <w:sz w:val="20"/>
                <w:szCs w:val="20"/>
              </w:rPr>
              <w:t>o</w:t>
            </w:r>
            <w:r w:rsidRPr="002A1C7F">
              <w:rPr>
                <w:rFonts w:cs="Arial"/>
                <w:b/>
                <w:i/>
                <w:sz w:val="20"/>
                <w:szCs w:val="20"/>
              </w:rPr>
              <w:t>m</w:t>
            </w:r>
            <w:r w:rsidRPr="002A1C7F">
              <w:rPr>
                <w:rFonts w:cs="Arial"/>
                <w:b/>
                <w:i/>
                <w:spacing w:val="1"/>
                <w:sz w:val="20"/>
                <w:szCs w:val="20"/>
              </w:rPr>
              <w:t>p</w:t>
            </w:r>
            <w:r w:rsidRPr="002A1C7F">
              <w:rPr>
                <w:rFonts w:cs="Arial"/>
                <w:b/>
                <w:i/>
                <w:spacing w:val="-1"/>
                <w:sz w:val="20"/>
                <w:szCs w:val="20"/>
              </w:rPr>
              <w:t>r</w:t>
            </w:r>
            <w:r w:rsidRPr="002A1C7F">
              <w:rPr>
                <w:rFonts w:cs="Arial"/>
                <w:b/>
                <w:i/>
                <w:sz w:val="20"/>
                <w:szCs w:val="20"/>
              </w:rPr>
              <w:t>e</w:t>
            </w:r>
            <w:r w:rsidRPr="002A1C7F">
              <w:rPr>
                <w:rFonts w:cs="Arial"/>
                <w:b/>
                <w:i/>
                <w:spacing w:val="1"/>
                <w:sz w:val="20"/>
                <w:szCs w:val="20"/>
              </w:rPr>
              <w:t>h</w:t>
            </w:r>
            <w:r w:rsidRPr="002A1C7F">
              <w:rPr>
                <w:rFonts w:cs="Arial"/>
                <w:b/>
                <w:i/>
                <w:sz w:val="20"/>
                <w:szCs w:val="20"/>
              </w:rPr>
              <w:t>e</w:t>
            </w:r>
            <w:r w:rsidRPr="002A1C7F">
              <w:rPr>
                <w:rFonts w:cs="Arial"/>
                <w:b/>
                <w:i/>
                <w:spacing w:val="1"/>
                <w:sz w:val="20"/>
                <w:szCs w:val="20"/>
              </w:rPr>
              <w:t>n</w:t>
            </w:r>
            <w:r w:rsidRPr="002A1C7F">
              <w:rPr>
                <w:rFonts w:cs="Arial"/>
                <w:b/>
                <w:i/>
                <w:spacing w:val="-1"/>
                <w:sz w:val="20"/>
                <w:szCs w:val="20"/>
              </w:rPr>
              <w:t>s</w:t>
            </w:r>
            <w:r w:rsidRPr="002A1C7F">
              <w:rPr>
                <w:rFonts w:cs="Arial"/>
                <w:b/>
                <w:i/>
                <w:sz w:val="20"/>
                <w:szCs w:val="20"/>
              </w:rPr>
              <w:t>ive</w:t>
            </w:r>
            <w:r w:rsidRPr="002A1C7F">
              <w:rPr>
                <w:rFonts w:cs="Arial"/>
                <w:b/>
                <w:i/>
                <w:spacing w:val="-11"/>
                <w:sz w:val="20"/>
                <w:szCs w:val="20"/>
              </w:rPr>
              <w:t xml:space="preserve"> </w:t>
            </w:r>
            <w:r w:rsidRPr="002A1C7F">
              <w:rPr>
                <w:rFonts w:cs="Arial"/>
                <w:b/>
                <w:i/>
                <w:spacing w:val="1"/>
                <w:sz w:val="20"/>
                <w:szCs w:val="20"/>
              </w:rPr>
              <w:t>n</w:t>
            </w:r>
            <w:r w:rsidRPr="002A1C7F">
              <w:rPr>
                <w:rFonts w:cs="Arial"/>
                <w:b/>
                <w:i/>
                <w:sz w:val="20"/>
                <w:szCs w:val="20"/>
              </w:rPr>
              <w:t>e</w:t>
            </w:r>
            <w:r w:rsidRPr="002A1C7F">
              <w:rPr>
                <w:rFonts w:cs="Arial"/>
                <w:b/>
                <w:i/>
                <w:spacing w:val="3"/>
                <w:sz w:val="20"/>
                <w:szCs w:val="20"/>
              </w:rPr>
              <w:t>t</w:t>
            </w:r>
            <w:r w:rsidRPr="002A1C7F">
              <w:rPr>
                <w:rFonts w:cs="Arial"/>
                <w:b/>
                <w:i/>
                <w:spacing w:val="-1"/>
                <w:sz w:val="20"/>
                <w:szCs w:val="20"/>
              </w:rPr>
              <w:t>w</w:t>
            </w:r>
            <w:r w:rsidRPr="002A1C7F">
              <w:rPr>
                <w:rFonts w:cs="Arial"/>
                <w:b/>
                <w:i/>
                <w:spacing w:val="1"/>
                <w:sz w:val="20"/>
                <w:szCs w:val="20"/>
              </w:rPr>
              <w:t>o</w:t>
            </w:r>
            <w:r w:rsidRPr="002A1C7F">
              <w:rPr>
                <w:rFonts w:cs="Arial"/>
                <w:b/>
                <w:i/>
                <w:spacing w:val="-1"/>
                <w:sz w:val="20"/>
                <w:szCs w:val="20"/>
              </w:rPr>
              <w:t>r</w:t>
            </w:r>
            <w:r w:rsidRPr="002A1C7F">
              <w:rPr>
                <w:rFonts w:cs="Arial"/>
                <w:b/>
                <w:i/>
                <w:sz w:val="20"/>
                <w:szCs w:val="20"/>
              </w:rPr>
              <w:t>k</w:t>
            </w:r>
            <w:r w:rsidRPr="002A1C7F">
              <w:rPr>
                <w:rFonts w:cs="Arial"/>
                <w:b/>
                <w:i/>
                <w:spacing w:val="-3"/>
                <w:sz w:val="20"/>
                <w:szCs w:val="20"/>
              </w:rPr>
              <w:t xml:space="preserve"> </w:t>
            </w:r>
            <w:r w:rsidRPr="002A1C7F">
              <w:rPr>
                <w:rFonts w:cs="Arial"/>
                <w:b/>
                <w:i/>
                <w:spacing w:val="-1"/>
                <w:sz w:val="20"/>
                <w:szCs w:val="20"/>
              </w:rPr>
              <w:t>w</w:t>
            </w:r>
            <w:r w:rsidRPr="002A1C7F">
              <w:rPr>
                <w:rFonts w:cs="Arial"/>
                <w:b/>
                <w:i/>
                <w:spacing w:val="1"/>
                <w:sz w:val="20"/>
                <w:szCs w:val="20"/>
              </w:rPr>
              <w:t>h</w:t>
            </w:r>
            <w:r w:rsidRPr="002A1C7F">
              <w:rPr>
                <w:rFonts w:cs="Arial"/>
                <w:b/>
                <w:i/>
                <w:sz w:val="20"/>
                <w:szCs w:val="20"/>
              </w:rPr>
              <w:t>ere</w:t>
            </w:r>
            <w:r w:rsidRPr="002A1C7F">
              <w:rPr>
                <w:rFonts w:cs="Arial"/>
                <w:b/>
                <w:i/>
                <w:spacing w:val="-2"/>
                <w:sz w:val="20"/>
                <w:szCs w:val="20"/>
              </w:rPr>
              <w:t xml:space="preserve"> </w:t>
            </w:r>
            <w:r w:rsidRPr="002A1C7F">
              <w:rPr>
                <w:rFonts w:cs="Arial"/>
                <w:b/>
                <w:i/>
                <w:sz w:val="20"/>
                <w:szCs w:val="20"/>
              </w:rPr>
              <w:t>i</w:t>
            </w:r>
            <w:r w:rsidRPr="002A1C7F">
              <w:rPr>
                <w:rFonts w:cs="Arial"/>
                <w:b/>
                <w:i/>
                <w:spacing w:val="1"/>
                <w:sz w:val="20"/>
                <w:szCs w:val="20"/>
              </w:rPr>
              <w:t>n</w:t>
            </w:r>
            <w:r w:rsidRPr="002A1C7F">
              <w:rPr>
                <w:rFonts w:cs="Arial"/>
                <w:b/>
                <w:i/>
                <w:sz w:val="20"/>
                <w:szCs w:val="20"/>
              </w:rPr>
              <w:t>v</w:t>
            </w:r>
            <w:r w:rsidRPr="002A1C7F">
              <w:rPr>
                <w:rFonts w:cs="Arial"/>
                <w:b/>
                <w:i/>
                <w:spacing w:val="1"/>
                <w:sz w:val="20"/>
                <w:szCs w:val="20"/>
              </w:rPr>
              <w:t>e</w:t>
            </w:r>
            <w:r w:rsidRPr="002A1C7F">
              <w:rPr>
                <w:rFonts w:cs="Arial"/>
                <w:b/>
                <w:i/>
                <w:spacing w:val="-1"/>
                <w:sz w:val="20"/>
                <w:szCs w:val="20"/>
              </w:rPr>
              <w:t>s</w:t>
            </w:r>
            <w:r w:rsidRPr="002A1C7F">
              <w:rPr>
                <w:rFonts w:cs="Arial"/>
                <w:b/>
                <w:i/>
                <w:sz w:val="20"/>
                <w:szCs w:val="20"/>
              </w:rPr>
              <w:t>t</w:t>
            </w:r>
            <w:r w:rsidRPr="002A1C7F">
              <w:rPr>
                <w:rFonts w:cs="Arial"/>
                <w:b/>
                <w:i/>
                <w:spacing w:val="2"/>
                <w:sz w:val="20"/>
                <w:szCs w:val="20"/>
              </w:rPr>
              <w:t>m</w:t>
            </w:r>
            <w:r w:rsidRPr="002A1C7F">
              <w:rPr>
                <w:rFonts w:cs="Arial"/>
                <w:b/>
                <w:i/>
                <w:sz w:val="20"/>
                <w:szCs w:val="20"/>
              </w:rPr>
              <w:t>e</w:t>
            </w:r>
            <w:r w:rsidRPr="002A1C7F">
              <w:rPr>
                <w:rFonts w:cs="Arial"/>
                <w:b/>
                <w:i/>
                <w:spacing w:val="1"/>
                <w:sz w:val="20"/>
                <w:szCs w:val="20"/>
              </w:rPr>
              <w:t>n</w:t>
            </w:r>
            <w:r w:rsidRPr="002A1C7F">
              <w:rPr>
                <w:rFonts w:cs="Arial"/>
                <w:b/>
                <w:i/>
                <w:sz w:val="20"/>
                <w:szCs w:val="20"/>
              </w:rPr>
              <w:t>t</w:t>
            </w:r>
            <w:r w:rsidRPr="002A1C7F">
              <w:rPr>
                <w:rFonts w:cs="Arial"/>
                <w:b/>
                <w:i/>
                <w:spacing w:val="-9"/>
                <w:sz w:val="20"/>
                <w:szCs w:val="20"/>
              </w:rPr>
              <w:t xml:space="preserve"> </w:t>
            </w:r>
            <w:r w:rsidRPr="002A1C7F">
              <w:rPr>
                <w:rFonts w:cs="Arial"/>
                <w:b/>
                <w:i/>
                <w:sz w:val="20"/>
                <w:szCs w:val="20"/>
              </w:rPr>
              <w:t>fr</w:t>
            </w:r>
            <w:r w:rsidRPr="002A1C7F">
              <w:rPr>
                <w:rFonts w:cs="Arial"/>
                <w:b/>
                <w:i/>
                <w:spacing w:val="1"/>
                <w:sz w:val="20"/>
                <w:szCs w:val="20"/>
              </w:rPr>
              <w:t>o</w:t>
            </w:r>
            <w:r w:rsidRPr="002A1C7F">
              <w:rPr>
                <w:rFonts w:cs="Arial"/>
                <w:b/>
                <w:i/>
                <w:sz w:val="20"/>
                <w:szCs w:val="20"/>
              </w:rPr>
              <w:t>m</w:t>
            </w:r>
            <w:r w:rsidRPr="002A1C7F">
              <w:rPr>
                <w:rFonts w:cs="Arial"/>
                <w:b/>
                <w:i/>
                <w:spacing w:val="-4"/>
                <w:sz w:val="20"/>
                <w:szCs w:val="20"/>
              </w:rPr>
              <w:t xml:space="preserve"> </w:t>
            </w:r>
            <w:r w:rsidRPr="002A1C7F">
              <w:rPr>
                <w:rFonts w:cs="Arial"/>
                <w:b/>
                <w:i/>
                <w:sz w:val="20"/>
                <w:szCs w:val="20"/>
              </w:rPr>
              <w:t>t</w:t>
            </w:r>
            <w:r w:rsidRPr="002A1C7F">
              <w:rPr>
                <w:rFonts w:cs="Arial"/>
                <w:b/>
                <w:i/>
                <w:spacing w:val="1"/>
                <w:sz w:val="20"/>
                <w:szCs w:val="20"/>
              </w:rPr>
              <w:t>h</w:t>
            </w:r>
            <w:r w:rsidRPr="002A1C7F">
              <w:rPr>
                <w:rFonts w:cs="Arial"/>
                <w:b/>
                <w:i/>
                <w:sz w:val="20"/>
                <w:szCs w:val="20"/>
              </w:rPr>
              <w:t>e ERDF</w:t>
            </w:r>
            <w:r w:rsidRPr="002A1C7F">
              <w:rPr>
                <w:rFonts w:cs="Arial"/>
                <w:b/>
                <w:i/>
                <w:spacing w:val="-4"/>
                <w:sz w:val="20"/>
                <w:szCs w:val="20"/>
              </w:rPr>
              <w:t xml:space="preserve"> </w:t>
            </w:r>
            <w:r w:rsidRPr="002A1C7F">
              <w:rPr>
                <w:rFonts w:cs="Arial"/>
                <w:b/>
                <w:i/>
                <w:spacing w:val="1"/>
                <w:sz w:val="20"/>
                <w:szCs w:val="20"/>
              </w:rPr>
              <w:t>an</w:t>
            </w:r>
            <w:r w:rsidRPr="002A1C7F">
              <w:rPr>
                <w:rFonts w:cs="Arial"/>
                <w:b/>
                <w:i/>
                <w:sz w:val="20"/>
                <w:szCs w:val="20"/>
              </w:rPr>
              <w:t>d</w:t>
            </w:r>
            <w:r w:rsidRPr="002A1C7F">
              <w:rPr>
                <w:rFonts w:cs="Arial"/>
                <w:b/>
                <w:i/>
                <w:spacing w:val="-2"/>
                <w:sz w:val="20"/>
                <w:szCs w:val="20"/>
              </w:rPr>
              <w:t xml:space="preserve"> </w:t>
            </w:r>
            <w:r w:rsidRPr="002A1C7F">
              <w:rPr>
                <w:rFonts w:cs="Arial"/>
                <w:b/>
                <w:i/>
                <w:spacing w:val="-1"/>
                <w:sz w:val="20"/>
                <w:szCs w:val="20"/>
              </w:rPr>
              <w:t>C</w:t>
            </w:r>
            <w:r w:rsidRPr="002A1C7F">
              <w:rPr>
                <w:rFonts w:cs="Arial"/>
                <w:b/>
                <w:i/>
                <w:sz w:val="20"/>
                <w:szCs w:val="20"/>
              </w:rPr>
              <w:t>F</w:t>
            </w:r>
            <w:r w:rsidRPr="002A1C7F">
              <w:rPr>
                <w:rFonts w:cs="Arial"/>
                <w:b/>
                <w:i/>
                <w:spacing w:val="-2"/>
                <w:sz w:val="20"/>
                <w:szCs w:val="20"/>
              </w:rPr>
              <w:t xml:space="preserve"> </w:t>
            </w:r>
            <w:r w:rsidRPr="002A1C7F">
              <w:rPr>
                <w:rFonts w:cs="Arial"/>
                <w:b/>
                <w:i/>
                <w:sz w:val="20"/>
                <w:szCs w:val="20"/>
              </w:rPr>
              <w:t>is</w:t>
            </w:r>
            <w:r w:rsidRPr="002A1C7F">
              <w:rPr>
                <w:rFonts w:cs="Arial"/>
                <w:b/>
                <w:i/>
                <w:spacing w:val="-2"/>
                <w:sz w:val="20"/>
                <w:szCs w:val="20"/>
              </w:rPr>
              <w:t xml:space="preserve"> </w:t>
            </w:r>
            <w:r w:rsidRPr="002A1C7F">
              <w:rPr>
                <w:rFonts w:cs="Arial"/>
                <w:b/>
                <w:i/>
                <w:sz w:val="20"/>
                <w:szCs w:val="20"/>
              </w:rPr>
              <w:t>e</w:t>
            </w:r>
            <w:r w:rsidRPr="002A1C7F">
              <w:rPr>
                <w:rFonts w:cs="Arial"/>
                <w:b/>
                <w:i/>
                <w:spacing w:val="1"/>
                <w:sz w:val="20"/>
                <w:szCs w:val="20"/>
              </w:rPr>
              <w:t>n</w:t>
            </w:r>
            <w:r w:rsidRPr="002A1C7F">
              <w:rPr>
                <w:rFonts w:cs="Arial"/>
                <w:b/>
                <w:i/>
                <w:sz w:val="20"/>
                <w:szCs w:val="20"/>
              </w:rPr>
              <w:t>visa</w:t>
            </w:r>
            <w:r w:rsidRPr="002A1C7F">
              <w:rPr>
                <w:rFonts w:cs="Arial"/>
                <w:b/>
                <w:i/>
                <w:spacing w:val="1"/>
                <w:sz w:val="20"/>
                <w:szCs w:val="20"/>
              </w:rPr>
              <w:t>g</w:t>
            </w:r>
            <w:r w:rsidRPr="002A1C7F">
              <w:rPr>
                <w:rFonts w:cs="Arial"/>
                <w:b/>
                <w:i/>
                <w:sz w:val="20"/>
                <w:szCs w:val="20"/>
              </w:rPr>
              <w:t>e</w:t>
            </w:r>
            <w:r w:rsidRPr="002A1C7F">
              <w:rPr>
                <w:rFonts w:cs="Arial"/>
                <w:b/>
                <w:i/>
                <w:spacing w:val="-1"/>
                <w:sz w:val="20"/>
                <w:szCs w:val="20"/>
              </w:rPr>
              <w:t>d</w:t>
            </w:r>
            <w:r w:rsidRPr="002A1C7F">
              <w:rPr>
                <w:rFonts w:cs="Arial"/>
                <w:b/>
                <w:i/>
                <w:sz w:val="20"/>
                <w:szCs w:val="20"/>
              </w:rPr>
              <w:t>;</w:t>
            </w:r>
            <w:r w:rsidRPr="002A1C7F">
              <w:rPr>
                <w:rFonts w:cs="Arial"/>
                <w:b/>
                <w:i/>
                <w:spacing w:val="-8"/>
                <w:sz w:val="20"/>
                <w:szCs w:val="20"/>
              </w:rPr>
              <w:t xml:space="preserve"> </w:t>
            </w:r>
            <w:r w:rsidRPr="002A1C7F">
              <w:rPr>
                <w:rFonts w:cs="Arial"/>
                <w:b/>
                <w:i/>
                <w:spacing w:val="-1"/>
                <w:sz w:val="20"/>
                <w:szCs w:val="20"/>
              </w:rPr>
              <w:t>a</w:t>
            </w:r>
            <w:r w:rsidRPr="002A1C7F">
              <w:rPr>
                <w:rFonts w:cs="Arial"/>
                <w:b/>
                <w:i/>
                <w:spacing w:val="1"/>
                <w:sz w:val="20"/>
                <w:szCs w:val="20"/>
              </w:rPr>
              <w:t>n</w:t>
            </w:r>
            <w:r w:rsidRPr="002A1C7F">
              <w:rPr>
                <w:rFonts w:cs="Arial"/>
                <w:b/>
                <w:i/>
                <w:sz w:val="20"/>
                <w:szCs w:val="20"/>
              </w:rPr>
              <w:t>d</w:t>
            </w:r>
            <w:r w:rsidRPr="002A1C7F">
              <w:rPr>
                <w:rFonts w:cs="Arial"/>
                <w:b/>
                <w:i/>
                <w:spacing w:val="-2"/>
                <w:sz w:val="20"/>
                <w:szCs w:val="20"/>
              </w:rPr>
              <w:t xml:space="preserve"> </w:t>
            </w:r>
            <w:r w:rsidRPr="002A1C7F">
              <w:rPr>
                <w:rFonts w:cs="Arial"/>
                <w:b/>
                <w:i/>
                <w:spacing w:val="-1"/>
                <w:sz w:val="20"/>
                <w:szCs w:val="20"/>
              </w:rPr>
              <w:t>s</w:t>
            </w:r>
            <w:r w:rsidRPr="002A1C7F">
              <w:rPr>
                <w:rFonts w:cs="Arial"/>
                <w:b/>
                <w:i/>
                <w:sz w:val="20"/>
                <w:szCs w:val="20"/>
              </w:rPr>
              <w:t>e</w:t>
            </w:r>
            <w:r w:rsidRPr="002A1C7F">
              <w:rPr>
                <w:rFonts w:cs="Arial"/>
                <w:b/>
                <w:i/>
                <w:spacing w:val="1"/>
                <w:sz w:val="20"/>
                <w:szCs w:val="20"/>
              </w:rPr>
              <w:t>con</w:t>
            </w:r>
            <w:r w:rsidRPr="002A1C7F">
              <w:rPr>
                <w:rFonts w:cs="Arial"/>
                <w:b/>
                <w:i/>
                <w:spacing w:val="-1"/>
                <w:sz w:val="20"/>
                <w:szCs w:val="20"/>
              </w:rPr>
              <w:t>d</w:t>
            </w:r>
            <w:r w:rsidRPr="002A1C7F">
              <w:rPr>
                <w:rFonts w:cs="Arial"/>
                <w:b/>
                <w:i/>
                <w:spacing w:val="1"/>
                <w:sz w:val="20"/>
                <w:szCs w:val="20"/>
              </w:rPr>
              <w:t>a</w:t>
            </w:r>
            <w:r w:rsidRPr="002A1C7F">
              <w:rPr>
                <w:rFonts w:cs="Arial"/>
                <w:b/>
                <w:i/>
                <w:spacing w:val="-1"/>
                <w:sz w:val="20"/>
                <w:szCs w:val="20"/>
              </w:rPr>
              <w:t>r</w:t>
            </w:r>
            <w:r w:rsidRPr="002A1C7F">
              <w:rPr>
                <w:rFonts w:cs="Arial"/>
                <w:b/>
                <w:i/>
                <w:sz w:val="20"/>
                <w:szCs w:val="20"/>
              </w:rPr>
              <w:t>y</w:t>
            </w:r>
            <w:r w:rsidRPr="002A1C7F">
              <w:rPr>
                <w:rFonts w:cs="Arial"/>
                <w:b/>
                <w:i/>
                <w:spacing w:val="-7"/>
                <w:sz w:val="20"/>
                <w:szCs w:val="20"/>
              </w:rPr>
              <w:t xml:space="preserve"> </w:t>
            </w:r>
            <w:r w:rsidRPr="002A1C7F">
              <w:rPr>
                <w:rFonts w:cs="Arial"/>
                <w:b/>
                <w:i/>
                <w:sz w:val="20"/>
                <w:szCs w:val="20"/>
              </w:rPr>
              <w:t>c</w:t>
            </w:r>
            <w:r w:rsidRPr="002A1C7F">
              <w:rPr>
                <w:rFonts w:cs="Arial"/>
                <w:b/>
                <w:i/>
                <w:spacing w:val="1"/>
                <w:sz w:val="20"/>
                <w:szCs w:val="20"/>
              </w:rPr>
              <w:t>onn</w:t>
            </w:r>
            <w:r w:rsidRPr="002A1C7F">
              <w:rPr>
                <w:rFonts w:cs="Arial"/>
                <w:b/>
                <w:i/>
                <w:sz w:val="20"/>
                <w:szCs w:val="20"/>
              </w:rPr>
              <w:t>e</w:t>
            </w:r>
            <w:r w:rsidRPr="002A1C7F">
              <w:rPr>
                <w:rFonts w:cs="Arial"/>
                <w:b/>
                <w:i/>
                <w:spacing w:val="1"/>
                <w:sz w:val="20"/>
                <w:szCs w:val="20"/>
              </w:rPr>
              <w:t>c</w:t>
            </w:r>
            <w:r w:rsidRPr="002A1C7F">
              <w:rPr>
                <w:rFonts w:cs="Arial"/>
                <w:b/>
                <w:i/>
                <w:sz w:val="20"/>
                <w:szCs w:val="20"/>
              </w:rPr>
              <w:t>tivity.</w:t>
            </w:r>
          </w:p>
        </w:tc>
        <w:tc>
          <w:tcPr>
            <w:tcW w:w="364" w:type="pct"/>
            <w:vAlign w:val="center"/>
          </w:tcPr>
          <w:p w:rsidR="00DE269D" w:rsidRPr="002A1C7F" w:rsidRDefault="00DE269D" w:rsidP="00DE269D">
            <w:pPr>
              <w:tabs>
                <w:tab w:val="left" w:pos="460"/>
              </w:tabs>
              <w:spacing w:line="225" w:lineRule="exact"/>
              <w:jc w:val="center"/>
              <w:rPr>
                <w:rFonts w:cs="Arial"/>
                <w:b/>
                <w:sz w:val="20"/>
                <w:szCs w:val="20"/>
              </w:rPr>
            </w:pPr>
            <w:r w:rsidRPr="002A1C7F">
              <w:rPr>
                <w:rFonts w:cs="Arial"/>
                <w:b/>
                <w:sz w:val="20"/>
                <w:szCs w:val="20"/>
              </w:rPr>
              <w:t>YES</w:t>
            </w:r>
          </w:p>
        </w:tc>
        <w:tc>
          <w:tcPr>
            <w:tcW w:w="1589" w:type="pct"/>
            <w:vAlign w:val="center"/>
          </w:tcPr>
          <w:p w:rsidR="00DE269D" w:rsidRPr="002A1C7F" w:rsidRDefault="00DE269D" w:rsidP="00DE269D">
            <w:pPr>
              <w:tabs>
                <w:tab w:val="left" w:pos="460"/>
              </w:tabs>
              <w:spacing w:line="225" w:lineRule="exact"/>
              <w:rPr>
                <w:rFonts w:cs="Arial"/>
                <w:b/>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5"/>
              </w:numPr>
              <w:tabs>
                <w:tab w:val="left" w:pos="800"/>
              </w:tabs>
              <w:spacing w:before="60" w:line="240" w:lineRule="auto"/>
              <w:contextualSpacing/>
              <w:jc w:val="left"/>
            </w:pPr>
            <w:r w:rsidRPr="002742DE">
              <w:rPr>
                <w:spacing w:val="3"/>
              </w:rPr>
              <w:t>T</w:t>
            </w:r>
            <w:r w:rsidRPr="002742DE">
              <w:rPr>
                <w:spacing w:val="-1"/>
              </w:rPr>
              <w:t>h</w:t>
            </w:r>
            <w:r w:rsidRPr="002742DE">
              <w:t>e</w:t>
            </w:r>
            <w:r w:rsidRPr="002742DE">
              <w:rPr>
                <w:spacing w:val="2"/>
              </w:rPr>
              <w:t xml:space="preserve"> </w:t>
            </w:r>
            <w:r w:rsidRPr="002742DE">
              <w:t>i</w:t>
            </w:r>
            <w:r w:rsidRPr="002742DE">
              <w:rPr>
                <w:spacing w:val="-1"/>
              </w:rPr>
              <w:t>nv</w:t>
            </w:r>
            <w:r w:rsidRPr="002742DE">
              <w:t>es</w:t>
            </w:r>
            <w:r w:rsidRPr="002742DE">
              <w:rPr>
                <w:spacing w:val="2"/>
              </w:rPr>
              <w:t>t</w:t>
            </w:r>
            <w:r w:rsidRPr="002742DE">
              <w:rPr>
                <w:spacing w:val="-1"/>
              </w:rPr>
              <w:t>m</w:t>
            </w:r>
            <w:r w:rsidRPr="002742DE">
              <w:rPr>
                <w:spacing w:val="3"/>
              </w:rPr>
              <w:t>e</w:t>
            </w:r>
            <w:r w:rsidRPr="002742DE">
              <w:rPr>
                <w:spacing w:val="-1"/>
              </w:rPr>
              <w:t>n</w:t>
            </w:r>
            <w:r w:rsidRPr="002742DE">
              <w:t>t</w:t>
            </w:r>
            <w:r w:rsidRPr="002742DE">
              <w:rPr>
                <w:spacing w:val="-4"/>
              </w:rPr>
              <w:t xml:space="preserve"> </w:t>
            </w:r>
            <w:r w:rsidRPr="002742DE">
              <w:rPr>
                <w:spacing w:val="1"/>
              </w:rPr>
              <w:t>pr</w:t>
            </w:r>
            <w:r w:rsidRPr="002742DE">
              <w:t>i</w:t>
            </w:r>
            <w:r w:rsidRPr="002742DE">
              <w:rPr>
                <w:spacing w:val="1"/>
              </w:rPr>
              <w:t>or</w:t>
            </w:r>
            <w:r w:rsidRPr="002742DE">
              <w:t>ities</w:t>
            </w:r>
            <w:r w:rsidRPr="002742DE">
              <w:rPr>
                <w:spacing w:val="-3"/>
              </w:rPr>
              <w:t xml:space="preserve"> </w:t>
            </w:r>
            <w:r w:rsidRPr="002742DE">
              <w:t>i</w:t>
            </w:r>
            <w:r w:rsidRPr="002742DE">
              <w:rPr>
                <w:spacing w:val="-1"/>
              </w:rPr>
              <w:t>n</w:t>
            </w:r>
            <w:r w:rsidRPr="002742DE">
              <w:t>c</w:t>
            </w:r>
            <w:r w:rsidRPr="002742DE">
              <w:rPr>
                <w:spacing w:val="2"/>
              </w:rPr>
              <w:t>l</w:t>
            </w:r>
            <w:r w:rsidRPr="002742DE">
              <w:rPr>
                <w:spacing w:val="-1"/>
              </w:rPr>
              <w:t>u</w:t>
            </w:r>
            <w:r w:rsidRPr="002742DE">
              <w:rPr>
                <w:spacing w:val="1"/>
              </w:rPr>
              <w:t>d</w:t>
            </w:r>
            <w:r w:rsidRPr="002742DE">
              <w:t>ed</w:t>
            </w:r>
            <w:r w:rsidRPr="002742DE">
              <w:rPr>
                <w:spacing w:val="-1"/>
              </w:rPr>
              <w:t xml:space="preserve"> </w:t>
            </w:r>
            <w:r w:rsidRPr="002742DE">
              <w:t>in</w:t>
            </w:r>
            <w:r w:rsidRPr="002742DE">
              <w:rPr>
                <w:spacing w:val="2"/>
              </w:rPr>
              <w:t xml:space="preserve"> </w:t>
            </w:r>
            <w:r w:rsidRPr="002742DE">
              <w:t>t</w:t>
            </w:r>
            <w:r w:rsidRPr="002742DE">
              <w:rPr>
                <w:spacing w:val="-1"/>
              </w:rPr>
              <w:t>h</w:t>
            </w:r>
            <w:r w:rsidRPr="002742DE">
              <w:t>e</w:t>
            </w:r>
            <w:r w:rsidRPr="002742DE">
              <w:rPr>
                <w:spacing w:val="3"/>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7"/>
              </w:rPr>
              <w:t xml:space="preserve"> </w:t>
            </w:r>
            <w:r w:rsidRPr="002742DE">
              <w:t>tra</w:t>
            </w:r>
            <w:r w:rsidRPr="002742DE">
              <w:rPr>
                <w:spacing w:val="-1"/>
              </w:rPr>
              <w:t>ns</w:t>
            </w:r>
            <w:r w:rsidRPr="002742DE">
              <w:rPr>
                <w:spacing w:val="1"/>
              </w:rPr>
              <w:t>por</w:t>
            </w:r>
            <w:r w:rsidRPr="002742DE">
              <w:t>t</w:t>
            </w:r>
            <w:r w:rsidRPr="002742DE">
              <w:rPr>
                <w:spacing w:val="-2"/>
              </w:rPr>
              <w:t xml:space="preserve"> </w:t>
            </w:r>
            <w:r w:rsidRPr="002742DE">
              <w:rPr>
                <w:spacing w:val="1"/>
              </w:rPr>
              <w:t>p</w:t>
            </w:r>
            <w:r w:rsidRPr="002742DE">
              <w:t>lan</w:t>
            </w:r>
            <w:r w:rsidRPr="002742DE">
              <w:rPr>
                <w:spacing w:val="8"/>
              </w:rPr>
              <w:t xml:space="preserve"> </w:t>
            </w:r>
            <w:r w:rsidRPr="002742DE">
              <w:rPr>
                <w:spacing w:val="1"/>
              </w:rPr>
              <w:t>o</w:t>
            </w:r>
            <w:r w:rsidRPr="002742DE">
              <w:t>r</w:t>
            </w:r>
            <w:r w:rsidRPr="002742DE">
              <w:rPr>
                <w:spacing w:val="4"/>
              </w:rPr>
              <w:t xml:space="preserve"> </w:t>
            </w:r>
            <w:r w:rsidRPr="002742DE">
              <w:rPr>
                <w:spacing w:val="-2"/>
              </w:rPr>
              <w:t>f</w:t>
            </w:r>
            <w:r w:rsidRPr="002742DE">
              <w:rPr>
                <w:spacing w:val="1"/>
              </w:rPr>
              <w:t>r</w:t>
            </w:r>
            <w:r w:rsidRPr="002742DE">
              <w:t>a</w:t>
            </w:r>
            <w:r w:rsidRPr="002742DE">
              <w:rPr>
                <w:spacing w:val="-3"/>
              </w:rPr>
              <w:t>m</w:t>
            </w:r>
            <w:r w:rsidRPr="002742DE">
              <w:rPr>
                <w:spacing w:val="3"/>
              </w:rPr>
              <w:t>e</w:t>
            </w:r>
            <w:r w:rsidRPr="002742DE">
              <w:rPr>
                <w:spacing w:val="-2"/>
              </w:rPr>
              <w:t>w</w:t>
            </w:r>
            <w:r w:rsidRPr="002742DE">
              <w:rPr>
                <w:spacing w:val="1"/>
              </w:rPr>
              <w:t>o</w:t>
            </w:r>
            <w:r w:rsidRPr="002742DE">
              <w:rPr>
                <w:spacing w:val="3"/>
              </w:rPr>
              <w:t>r</w:t>
            </w:r>
            <w:r w:rsidRPr="002742DE">
              <w:t>k</w:t>
            </w:r>
            <w:r w:rsidRPr="002742DE">
              <w:rPr>
                <w:spacing w:val="-5"/>
              </w:rPr>
              <w:t xml:space="preserve"> </w:t>
            </w:r>
            <w:r w:rsidRPr="002742DE">
              <w:t>c</w:t>
            </w:r>
            <w:r w:rsidRPr="002742DE">
              <w:rPr>
                <w:spacing w:val="1"/>
              </w:rPr>
              <w:t>o</w:t>
            </w:r>
            <w:r w:rsidRPr="002742DE">
              <w:rPr>
                <w:spacing w:val="-1"/>
              </w:rPr>
              <w:t>nn</w:t>
            </w:r>
            <w:r w:rsidRPr="002742DE">
              <w:t>e</w:t>
            </w:r>
            <w:r w:rsidRPr="002742DE">
              <w:rPr>
                <w:spacing w:val="1"/>
              </w:rPr>
              <w:t>c</w:t>
            </w:r>
            <w:r w:rsidRPr="002742DE">
              <w:t>t</w:t>
            </w:r>
            <w:r w:rsidRPr="002742DE">
              <w:rPr>
                <w:spacing w:val="1"/>
              </w:rPr>
              <w:t xml:space="preserve"> </w:t>
            </w:r>
            <w:r w:rsidRPr="002742DE">
              <w:t>t</w:t>
            </w:r>
            <w:r w:rsidRPr="002742DE">
              <w:rPr>
                <w:spacing w:val="1"/>
              </w:rPr>
              <w:t>h</w:t>
            </w:r>
            <w:r w:rsidRPr="002742DE">
              <w:t>e i</w:t>
            </w:r>
            <w:r w:rsidRPr="002742DE">
              <w:rPr>
                <w:spacing w:val="1"/>
              </w:rPr>
              <w:t>d</w:t>
            </w:r>
            <w:r w:rsidRPr="002742DE">
              <w:t>e</w:t>
            </w:r>
            <w:r w:rsidRPr="002742DE">
              <w:rPr>
                <w:spacing w:val="-1"/>
              </w:rPr>
              <w:t>n</w:t>
            </w:r>
            <w:r w:rsidRPr="002742DE">
              <w:t>t</w:t>
            </w:r>
            <w:r w:rsidRPr="002742DE">
              <w:rPr>
                <w:spacing w:val="2"/>
              </w:rPr>
              <w:t>i</w:t>
            </w:r>
            <w:r w:rsidRPr="002742DE">
              <w:rPr>
                <w:spacing w:val="-2"/>
              </w:rPr>
              <w:t>f</w:t>
            </w:r>
            <w:r w:rsidRPr="002742DE">
              <w:t>ied</w:t>
            </w:r>
            <w:r w:rsidRPr="002742DE">
              <w:rPr>
                <w:spacing w:val="37"/>
              </w:rPr>
              <w:t xml:space="preserve"> </w:t>
            </w:r>
            <w:r w:rsidRPr="002742DE">
              <w:rPr>
                <w:spacing w:val="-4"/>
              </w:rPr>
              <w:t>m</w:t>
            </w:r>
            <w:r w:rsidRPr="002742DE">
              <w:t>a</w:t>
            </w:r>
            <w:r w:rsidRPr="002742DE">
              <w:rPr>
                <w:spacing w:val="2"/>
              </w:rPr>
              <w:t>i</w:t>
            </w:r>
            <w:r w:rsidRPr="002742DE">
              <w:t>n</w:t>
            </w:r>
            <w:r w:rsidRPr="002742DE">
              <w:rPr>
                <w:spacing w:val="36"/>
              </w:rPr>
              <w:t xml:space="preserve"> </w:t>
            </w:r>
            <w:r w:rsidRPr="002742DE">
              <w:rPr>
                <w:spacing w:val="-1"/>
              </w:rPr>
              <w:t>n</w:t>
            </w:r>
            <w:r w:rsidRPr="002742DE">
              <w:rPr>
                <w:spacing w:val="1"/>
              </w:rPr>
              <w:t>od</w:t>
            </w:r>
            <w:r w:rsidRPr="002742DE">
              <w:t>es</w:t>
            </w:r>
            <w:r w:rsidRPr="002742DE">
              <w:rPr>
                <w:spacing w:val="36"/>
              </w:rPr>
              <w:t xml:space="preserve"> </w:t>
            </w:r>
            <w:r w:rsidRPr="002742DE">
              <w:rPr>
                <w:spacing w:val="1"/>
              </w:rPr>
              <w:t>(</w:t>
            </w:r>
            <w:r w:rsidRPr="002742DE">
              <w:rPr>
                <w:spacing w:val="-1"/>
              </w:rPr>
              <w:t>s</w:t>
            </w:r>
            <w:r w:rsidRPr="002742DE">
              <w:t>ee</w:t>
            </w:r>
            <w:r w:rsidRPr="002742DE">
              <w:rPr>
                <w:spacing w:val="39"/>
              </w:rPr>
              <w:t xml:space="preserve"> </w:t>
            </w:r>
            <w:r w:rsidRPr="002742DE">
              <w:t>t</w:t>
            </w:r>
            <w:r w:rsidRPr="002742DE">
              <w:rPr>
                <w:spacing w:val="-1"/>
              </w:rPr>
              <w:t>h</w:t>
            </w:r>
            <w:r w:rsidRPr="002742DE">
              <w:t>e</w:t>
            </w:r>
            <w:r w:rsidRPr="002742DE">
              <w:rPr>
                <w:spacing w:val="39"/>
              </w:rPr>
              <w:t xml:space="preserve"> </w:t>
            </w:r>
            <w:r w:rsidRPr="002742DE">
              <w:t>li</w:t>
            </w:r>
            <w:r w:rsidRPr="002742DE">
              <w:rPr>
                <w:spacing w:val="-1"/>
              </w:rPr>
              <w:t>s</w:t>
            </w:r>
            <w:r w:rsidRPr="002742DE">
              <w:t>t</w:t>
            </w:r>
            <w:r w:rsidRPr="002742DE">
              <w:rPr>
                <w:spacing w:val="39"/>
              </w:rPr>
              <w:t xml:space="preserve"> </w:t>
            </w:r>
            <w:r w:rsidRPr="002742DE">
              <w:t>in</w:t>
            </w:r>
            <w:r w:rsidRPr="002742DE">
              <w:rPr>
                <w:spacing w:val="38"/>
              </w:rPr>
              <w:t xml:space="preserve"> </w:t>
            </w:r>
            <w:r w:rsidRPr="002742DE">
              <w:rPr>
                <w:spacing w:val="3"/>
              </w:rPr>
              <w:t>a</w:t>
            </w:r>
            <w:r w:rsidRPr="002742DE">
              <w:rPr>
                <w:spacing w:val="-1"/>
              </w:rPr>
              <w:t>nn</w:t>
            </w:r>
            <w:r w:rsidRPr="002742DE">
              <w:rPr>
                <w:spacing w:val="3"/>
              </w:rPr>
              <w:t>e</w:t>
            </w:r>
            <w:r w:rsidRPr="002742DE">
              <w:rPr>
                <w:spacing w:val="-1"/>
              </w:rPr>
              <w:t>x</w:t>
            </w:r>
            <w:r w:rsidRPr="002742DE">
              <w:t>)</w:t>
            </w:r>
            <w:r w:rsidRPr="002742DE">
              <w:rPr>
                <w:spacing w:val="37"/>
              </w:rPr>
              <w:t xml:space="preserve"> </w:t>
            </w:r>
            <w:r w:rsidRPr="002742DE">
              <w:t>a</w:t>
            </w:r>
            <w:r w:rsidRPr="002742DE">
              <w:rPr>
                <w:spacing w:val="-1"/>
              </w:rPr>
              <w:t>n</w:t>
            </w:r>
            <w:r w:rsidRPr="002742DE">
              <w:t>d</w:t>
            </w:r>
            <w:r w:rsidRPr="002742DE">
              <w:rPr>
                <w:spacing w:val="39"/>
              </w:rPr>
              <w:t xml:space="preserve"> </w:t>
            </w:r>
            <w:r w:rsidRPr="002742DE">
              <w:rPr>
                <w:spacing w:val="1"/>
              </w:rPr>
              <w:t>pro</w:t>
            </w:r>
            <w:r w:rsidRPr="002742DE">
              <w:rPr>
                <w:spacing w:val="-1"/>
              </w:rPr>
              <w:t>v</w:t>
            </w:r>
            <w:r w:rsidRPr="002742DE">
              <w:t>i</w:t>
            </w:r>
            <w:r w:rsidRPr="002742DE">
              <w:rPr>
                <w:spacing w:val="1"/>
              </w:rPr>
              <w:t>d</w:t>
            </w:r>
            <w:r w:rsidRPr="002742DE">
              <w:t>e</w:t>
            </w:r>
            <w:r w:rsidRPr="002742DE">
              <w:rPr>
                <w:spacing w:val="35"/>
              </w:rPr>
              <w:t xml:space="preserve"> </w:t>
            </w:r>
            <w:r w:rsidRPr="002742DE">
              <w:rPr>
                <w:spacing w:val="-2"/>
              </w:rPr>
              <w:t>f</w:t>
            </w:r>
            <w:r w:rsidRPr="002742DE">
              <w:rPr>
                <w:spacing w:val="1"/>
              </w:rPr>
              <w:t>o</w:t>
            </w:r>
            <w:r w:rsidRPr="002742DE">
              <w:t>r</w:t>
            </w:r>
            <w:r w:rsidRPr="002742DE">
              <w:rPr>
                <w:spacing w:val="40"/>
              </w:rPr>
              <w:t xml:space="preserve"> </w:t>
            </w:r>
            <w:r w:rsidRPr="002742DE">
              <w:t>c</w:t>
            </w:r>
            <w:r w:rsidRPr="002742DE">
              <w:rPr>
                <w:spacing w:val="1"/>
              </w:rPr>
              <w:t>o</w:t>
            </w:r>
            <w:r w:rsidRPr="002742DE">
              <w:rPr>
                <w:spacing w:val="-1"/>
              </w:rPr>
              <w:t>nn</w:t>
            </w:r>
            <w:r w:rsidRPr="002742DE">
              <w:t>e</w:t>
            </w:r>
            <w:r w:rsidRPr="002742DE">
              <w:rPr>
                <w:spacing w:val="1"/>
              </w:rPr>
              <w:t>c</w:t>
            </w:r>
            <w:r w:rsidRPr="002742DE">
              <w:t>ti</w:t>
            </w:r>
            <w:r w:rsidRPr="002742DE">
              <w:rPr>
                <w:spacing w:val="1"/>
              </w:rPr>
              <w:t>o</w:t>
            </w:r>
            <w:r w:rsidRPr="002742DE">
              <w:rPr>
                <w:spacing w:val="-1"/>
              </w:rPr>
              <w:t>n</w:t>
            </w:r>
            <w:r w:rsidRPr="002742DE">
              <w:t>s</w:t>
            </w:r>
            <w:r w:rsidRPr="002742DE">
              <w:rPr>
                <w:spacing w:val="33"/>
              </w:rPr>
              <w:t xml:space="preserve"> </w:t>
            </w:r>
            <w:r w:rsidRPr="002742DE">
              <w:rPr>
                <w:spacing w:val="5"/>
              </w:rPr>
              <w:t>w</w:t>
            </w:r>
            <w:r w:rsidRPr="002742DE">
              <w:t>i</w:t>
            </w:r>
            <w:r w:rsidRPr="002742DE">
              <w:rPr>
                <w:spacing w:val="2"/>
              </w:rPr>
              <w:t>t</w:t>
            </w:r>
            <w:r w:rsidRPr="002742DE">
              <w:t>h</w:t>
            </w:r>
            <w:r w:rsidRPr="002742DE">
              <w:rPr>
                <w:spacing w:val="36"/>
              </w:rPr>
              <w:t xml:space="preserve"> </w:t>
            </w:r>
            <w:r w:rsidRPr="002742DE">
              <w:rPr>
                <w:spacing w:val="-1"/>
              </w:rPr>
              <w:t>n</w:t>
            </w:r>
            <w:r w:rsidRPr="002742DE">
              <w:t>e</w:t>
            </w:r>
            <w:r w:rsidRPr="002742DE">
              <w:rPr>
                <w:spacing w:val="2"/>
              </w:rPr>
              <w:t>i</w:t>
            </w:r>
            <w:r w:rsidRPr="002742DE">
              <w:rPr>
                <w:spacing w:val="1"/>
              </w:rPr>
              <w:t>ghbo</w:t>
            </w:r>
            <w:r w:rsidRPr="002742DE">
              <w:rPr>
                <w:spacing w:val="-1"/>
              </w:rPr>
              <w:t>u</w:t>
            </w:r>
            <w:r w:rsidRPr="002742DE">
              <w:rPr>
                <w:spacing w:val="1"/>
              </w:rPr>
              <w:t>r</w:t>
            </w:r>
            <w:r w:rsidRPr="002742DE">
              <w:t>i</w:t>
            </w:r>
            <w:r w:rsidRPr="002742DE">
              <w:rPr>
                <w:spacing w:val="-1"/>
              </w:rPr>
              <w:t>n</w:t>
            </w:r>
            <w:r w:rsidRPr="002742DE">
              <w:t>g c</w:t>
            </w:r>
            <w:r w:rsidRPr="002742DE">
              <w:rPr>
                <w:spacing w:val="1"/>
              </w:rPr>
              <w:t>o</w:t>
            </w:r>
            <w:r w:rsidRPr="002742DE">
              <w:rPr>
                <w:spacing w:val="-1"/>
              </w:rPr>
              <w:t>un</w:t>
            </w:r>
            <w:r w:rsidRPr="002742DE">
              <w:t>trie</w:t>
            </w:r>
            <w:r w:rsidRPr="002742DE">
              <w:rPr>
                <w:spacing w:val="2"/>
              </w:rPr>
              <w:t>s</w:t>
            </w:r>
            <w:r w:rsidRPr="002742DE">
              <w:t>'</w:t>
            </w:r>
            <w:r w:rsidRPr="002742DE">
              <w:rPr>
                <w:spacing w:val="21"/>
              </w:rPr>
              <w:t xml:space="preserve"> </w:t>
            </w:r>
            <w:r w:rsidRPr="002742DE">
              <w:t>tr</w:t>
            </w:r>
            <w:r w:rsidRPr="002742DE">
              <w:rPr>
                <w:spacing w:val="3"/>
              </w:rPr>
              <w:t>a</w:t>
            </w:r>
            <w:r w:rsidRPr="002742DE">
              <w:rPr>
                <w:spacing w:val="-1"/>
              </w:rPr>
              <w:t>ns</w:t>
            </w:r>
            <w:r w:rsidRPr="002742DE">
              <w:rPr>
                <w:spacing w:val="1"/>
              </w:rPr>
              <w:t>por</w:t>
            </w:r>
            <w:r w:rsidRPr="002742DE">
              <w:t>t</w:t>
            </w:r>
            <w:r w:rsidRPr="002742DE">
              <w:rPr>
                <w:spacing w:val="24"/>
              </w:rPr>
              <w:t xml:space="preserve"> </w:t>
            </w:r>
            <w:r w:rsidRPr="002742DE">
              <w:t>i</w:t>
            </w:r>
            <w:r w:rsidRPr="002742DE">
              <w:rPr>
                <w:spacing w:val="-1"/>
              </w:rPr>
              <w:t>n</w:t>
            </w:r>
            <w:r w:rsidRPr="002742DE">
              <w:rPr>
                <w:spacing w:val="-2"/>
              </w:rPr>
              <w:t>f</w:t>
            </w:r>
            <w:r w:rsidRPr="002742DE">
              <w:rPr>
                <w:spacing w:val="1"/>
              </w:rPr>
              <w:t>r</w:t>
            </w:r>
            <w:r w:rsidRPr="002742DE">
              <w:rPr>
                <w:spacing w:val="3"/>
              </w:rPr>
              <w:t>a</w:t>
            </w:r>
            <w:r w:rsidRPr="002742DE">
              <w:rPr>
                <w:spacing w:val="-1"/>
              </w:rPr>
              <w:t>s</w:t>
            </w:r>
            <w:r w:rsidRPr="002742DE">
              <w:t>tr</w:t>
            </w:r>
            <w:r w:rsidRPr="002742DE">
              <w:rPr>
                <w:spacing w:val="-1"/>
              </w:rPr>
              <w:t>u</w:t>
            </w:r>
            <w:r w:rsidRPr="002742DE">
              <w:rPr>
                <w:spacing w:val="3"/>
              </w:rPr>
              <w:t>c</w:t>
            </w:r>
            <w:r w:rsidRPr="002742DE">
              <w:t>t</w:t>
            </w:r>
            <w:r w:rsidRPr="002742DE">
              <w:rPr>
                <w:spacing w:val="-1"/>
              </w:rPr>
              <w:t>u</w:t>
            </w:r>
            <w:r w:rsidRPr="002742DE">
              <w:rPr>
                <w:spacing w:val="1"/>
              </w:rPr>
              <w:t>r</w:t>
            </w:r>
            <w:r w:rsidRPr="002742DE">
              <w:t>e</w:t>
            </w:r>
            <w:r w:rsidRPr="002742DE">
              <w:rPr>
                <w:spacing w:val="21"/>
              </w:rPr>
              <w:t xml:space="preserve"> </w:t>
            </w:r>
            <w:r w:rsidRPr="002742DE">
              <w:rPr>
                <w:spacing w:val="-1"/>
              </w:rPr>
              <w:t>n</w:t>
            </w:r>
            <w:r w:rsidRPr="002742DE">
              <w:t>e</w:t>
            </w:r>
            <w:r w:rsidRPr="002742DE">
              <w:rPr>
                <w:spacing w:val="2"/>
              </w:rPr>
              <w:t>t</w:t>
            </w:r>
            <w:r w:rsidRPr="002742DE">
              <w:rPr>
                <w:spacing w:val="-2"/>
              </w:rPr>
              <w:t>w</w:t>
            </w:r>
            <w:r w:rsidRPr="002742DE">
              <w:rPr>
                <w:spacing w:val="1"/>
              </w:rPr>
              <w:t>ork</w:t>
            </w:r>
            <w:r w:rsidRPr="002742DE">
              <w:rPr>
                <w:spacing w:val="-1"/>
              </w:rPr>
              <w:t>s</w:t>
            </w:r>
            <w:r w:rsidRPr="002742DE">
              <w:t>.</w:t>
            </w:r>
            <w:r w:rsidRPr="002742DE">
              <w:rPr>
                <w:spacing w:val="24"/>
              </w:rPr>
              <w:t xml:space="preserve"> </w:t>
            </w:r>
            <w:r w:rsidRPr="002742DE">
              <w:rPr>
                <w:spacing w:val="3"/>
              </w:rPr>
              <w:t>T</w:t>
            </w:r>
            <w:r w:rsidRPr="002742DE">
              <w:rPr>
                <w:spacing w:val="-1"/>
              </w:rPr>
              <w:t>h</w:t>
            </w:r>
            <w:r w:rsidRPr="002742DE">
              <w:t>e</w:t>
            </w:r>
            <w:r w:rsidRPr="002742DE">
              <w:rPr>
                <w:spacing w:val="29"/>
              </w:rPr>
              <w:t xml:space="preserve"> </w:t>
            </w:r>
            <w:r w:rsidRPr="002742DE">
              <w:t>M</w:t>
            </w:r>
            <w:r w:rsidRPr="002742DE">
              <w:rPr>
                <w:spacing w:val="1"/>
              </w:rPr>
              <w:t>e</w:t>
            </w:r>
            <w:r w:rsidRPr="002742DE">
              <w:rPr>
                <w:spacing w:val="-4"/>
              </w:rPr>
              <w:t>m</w:t>
            </w:r>
            <w:r w:rsidRPr="002742DE">
              <w:rPr>
                <w:spacing w:val="1"/>
              </w:rPr>
              <w:t>b</w:t>
            </w:r>
            <w:r w:rsidRPr="002742DE">
              <w:t>er</w:t>
            </w:r>
            <w:r w:rsidRPr="002742DE">
              <w:rPr>
                <w:spacing w:val="25"/>
              </w:rPr>
              <w:t xml:space="preserve"> </w:t>
            </w:r>
            <w:r w:rsidRPr="002742DE">
              <w:t>State</w:t>
            </w:r>
            <w:r w:rsidRPr="002742DE">
              <w:rPr>
                <w:spacing w:val="27"/>
              </w:rPr>
              <w:t xml:space="preserve"> </w:t>
            </w:r>
            <w:r w:rsidRPr="002742DE">
              <w:rPr>
                <w:spacing w:val="-1"/>
              </w:rPr>
              <w:t>sh</w:t>
            </w:r>
            <w:r w:rsidRPr="002742DE">
              <w:t>a</w:t>
            </w:r>
            <w:r w:rsidRPr="002742DE">
              <w:rPr>
                <w:spacing w:val="2"/>
              </w:rPr>
              <w:t>l</w:t>
            </w:r>
            <w:r w:rsidRPr="002742DE">
              <w:t>l</w:t>
            </w:r>
            <w:r w:rsidRPr="002742DE">
              <w:rPr>
                <w:spacing w:val="27"/>
              </w:rPr>
              <w:t xml:space="preserve"> </w:t>
            </w:r>
            <w:r w:rsidRPr="002742DE">
              <w:t>also</w:t>
            </w:r>
            <w:r w:rsidRPr="002742DE">
              <w:rPr>
                <w:spacing w:val="29"/>
              </w:rPr>
              <w:t xml:space="preserve"> </w:t>
            </w:r>
            <w:r w:rsidRPr="002742DE">
              <w:rPr>
                <w:spacing w:val="1"/>
              </w:rPr>
              <w:t>d</w:t>
            </w:r>
            <w:r w:rsidRPr="002742DE">
              <w:t>e</w:t>
            </w:r>
            <w:r w:rsidRPr="002742DE">
              <w:rPr>
                <w:spacing w:val="-3"/>
              </w:rPr>
              <w:t>m</w:t>
            </w:r>
            <w:r w:rsidRPr="002742DE">
              <w:rPr>
                <w:spacing w:val="3"/>
              </w:rPr>
              <w:t>o</w:t>
            </w:r>
            <w:r w:rsidRPr="002742DE">
              <w:rPr>
                <w:spacing w:val="-1"/>
              </w:rPr>
              <w:t>ns</w:t>
            </w:r>
            <w:r w:rsidRPr="002742DE">
              <w:t>trate</w:t>
            </w:r>
            <w:r w:rsidRPr="002742DE">
              <w:rPr>
                <w:spacing w:val="24"/>
              </w:rPr>
              <w:t xml:space="preserve"> </w:t>
            </w:r>
            <w:r w:rsidRPr="002742DE">
              <w:rPr>
                <w:spacing w:val="-1"/>
              </w:rPr>
              <w:t>h</w:t>
            </w:r>
            <w:r w:rsidRPr="002742DE">
              <w:rPr>
                <w:spacing w:val="3"/>
              </w:rPr>
              <w:t>o</w:t>
            </w:r>
            <w:r w:rsidRPr="002742DE">
              <w:t>w</w:t>
            </w:r>
            <w:r w:rsidRPr="002742DE">
              <w:rPr>
                <w:spacing w:val="24"/>
              </w:rPr>
              <w:t xml:space="preserve"> </w:t>
            </w:r>
            <w:r w:rsidRPr="002742DE">
              <w:t>i</w:t>
            </w:r>
            <w:r w:rsidRPr="002742DE">
              <w:rPr>
                <w:spacing w:val="2"/>
              </w:rPr>
              <w:t>t</w:t>
            </w:r>
            <w:r w:rsidRPr="002742DE">
              <w:t>s i</w:t>
            </w:r>
            <w:r w:rsidRPr="002742DE">
              <w:rPr>
                <w:spacing w:val="-1"/>
              </w:rPr>
              <w:t>nv</w:t>
            </w:r>
            <w:r w:rsidRPr="002742DE">
              <w:rPr>
                <w:spacing w:val="3"/>
              </w:rPr>
              <w:t>e</w:t>
            </w:r>
            <w:r w:rsidRPr="002742DE">
              <w:rPr>
                <w:spacing w:val="-1"/>
              </w:rPr>
              <w:t>s</w:t>
            </w:r>
            <w:r w:rsidRPr="002742DE">
              <w:rPr>
                <w:spacing w:val="2"/>
              </w:rPr>
              <w:t>t</w:t>
            </w:r>
            <w:r w:rsidRPr="002742DE">
              <w:rPr>
                <w:spacing w:val="-1"/>
              </w:rPr>
              <w:t>m</w:t>
            </w:r>
            <w:r w:rsidRPr="002742DE">
              <w:rPr>
                <w:spacing w:val="3"/>
              </w:rPr>
              <w:t>e</w:t>
            </w:r>
            <w:r w:rsidRPr="002742DE">
              <w:rPr>
                <w:spacing w:val="-1"/>
              </w:rPr>
              <w:t>n</w:t>
            </w:r>
            <w:r w:rsidRPr="002742DE">
              <w:t>ts</w:t>
            </w:r>
            <w:r w:rsidRPr="002742DE">
              <w:rPr>
                <w:spacing w:val="-11"/>
              </w:rPr>
              <w:t xml:space="preserve"> </w:t>
            </w:r>
            <w:r w:rsidRPr="002742DE">
              <w:rPr>
                <w:spacing w:val="2"/>
              </w:rPr>
              <w:t>i</w:t>
            </w:r>
            <w:r w:rsidRPr="002742DE">
              <w:t>n</w:t>
            </w:r>
            <w:r w:rsidRPr="002742DE">
              <w:rPr>
                <w:spacing w:val="-2"/>
              </w:rPr>
              <w:t xml:space="preserve"> </w:t>
            </w:r>
            <w:r w:rsidRPr="002742DE">
              <w:rPr>
                <w:spacing w:val="-1"/>
              </w:rPr>
              <w:t>s</w:t>
            </w:r>
            <w:r w:rsidRPr="002742DE">
              <w:t>e</w:t>
            </w:r>
            <w:r w:rsidRPr="002742DE">
              <w:rPr>
                <w:spacing w:val="1"/>
              </w:rPr>
              <w:t>co</w:t>
            </w:r>
            <w:r w:rsidRPr="002742DE">
              <w:rPr>
                <w:spacing w:val="-1"/>
              </w:rPr>
              <w:t>n</w:t>
            </w:r>
            <w:r w:rsidRPr="002742DE">
              <w:rPr>
                <w:spacing w:val="1"/>
              </w:rPr>
              <w:t>d</w:t>
            </w:r>
            <w:r w:rsidRPr="002742DE">
              <w:t>a</w:t>
            </w:r>
            <w:r w:rsidRPr="002742DE">
              <w:rPr>
                <w:spacing w:val="3"/>
              </w:rPr>
              <w:t>r</w:t>
            </w:r>
            <w:r w:rsidRPr="002742DE">
              <w:t>y</w:t>
            </w:r>
            <w:r w:rsidRPr="002742DE">
              <w:rPr>
                <w:spacing w:val="-11"/>
              </w:rPr>
              <w:t xml:space="preserve"> </w:t>
            </w:r>
            <w:r w:rsidRPr="002742DE">
              <w:t>c</w:t>
            </w:r>
            <w:r w:rsidRPr="002742DE">
              <w:rPr>
                <w:spacing w:val="4"/>
              </w:rPr>
              <w:t>o</w:t>
            </w:r>
            <w:r w:rsidRPr="002742DE">
              <w:rPr>
                <w:spacing w:val="1"/>
              </w:rPr>
              <w:t>n</w:t>
            </w:r>
            <w:r w:rsidRPr="002742DE">
              <w:rPr>
                <w:spacing w:val="-1"/>
              </w:rPr>
              <w:t>n</w:t>
            </w:r>
            <w:r w:rsidRPr="002742DE">
              <w:t>e</w:t>
            </w:r>
            <w:r w:rsidRPr="002742DE">
              <w:rPr>
                <w:spacing w:val="1"/>
              </w:rPr>
              <w:t>c</w:t>
            </w:r>
            <w:r w:rsidRPr="002742DE">
              <w:t>t</w:t>
            </w:r>
            <w:r w:rsidRPr="002742DE">
              <w:rPr>
                <w:spacing w:val="2"/>
              </w:rPr>
              <w:t>i</w:t>
            </w:r>
            <w:r w:rsidRPr="002742DE">
              <w:rPr>
                <w:spacing w:val="-1"/>
              </w:rPr>
              <w:t>v</w:t>
            </w:r>
            <w:r w:rsidRPr="002742DE">
              <w:t>i</w:t>
            </w:r>
            <w:r w:rsidRPr="002742DE">
              <w:rPr>
                <w:spacing w:val="2"/>
              </w:rPr>
              <w:t>t</w:t>
            </w:r>
            <w:r w:rsidRPr="002742DE">
              <w:t>y</w:t>
            </w:r>
            <w:r w:rsidRPr="002742DE">
              <w:rPr>
                <w:spacing w:val="-9"/>
              </w:rPr>
              <w:t xml:space="preserve"> </w:t>
            </w:r>
            <w:r w:rsidRPr="002742DE">
              <w:rPr>
                <w:spacing w:val="-2"/>
              </w:rPr>
              <w:t>w</w:t>
            </w:r>
            <w:r w:rsidRPr="002742DE">
              <w:t>ill</w:t>
            </w:r>
            <w:r w:rsidRPr="002742DE">
              <w:rPr>
                <w:spacing w:val="-3"/>
              </w:rPr>
              <w:t xml:space="preserve"> </w:t>
            </w:r>
            <w:r w:rsidRPr="002742DE">
              <w:t>c</w:t>
            </w:r>
            <w:r w:rsidRPr="002742DE">
              <w:rPr>
                <w:spacing w:val="1"/>
              </w:rPr>
              <w:t>o</w:t>
            </w:r>
            <w:r w:rsidRPr="002742DE">
              <w:rPr>
                <w:spacing w:val="-1"/>
              </w:rPr>
              <w:t>n</w:t>
            </w:r>
            <w:r w:rsidRPr="002742DE">
              <w:t>tri</w:t>
            </w:r>
            <w:r w:rsidRPr="002742DE">
              <w:rPr>
                <w:spacing w:val="3"/>
              </w:rPr>
              <w:t>b</w:t>
            </w:r>
            <w:r w:rsidRPr="002742DE">
              <w:rPr>
                <w:spacing w:val="-1"/>
              </w:rPr>
              <w:t>u</w:t>
            </w:r>
            <w:r w:rsidRPr="002742DE">
              <w:t>te</w:t>
            </w:r>
            <w:r w:rsidRPr="002742DE">
              <w:rPr>
                <w:spacing w:val="-8"/>
              </w:rPr>
              <w:t xml:space="preserve"> </w:t>
            </w:r>
            <w:r w:rsidRPr="002742DE">
              <w:t>to</w:t>
            </w:r>
            <w:r w:rsidRPr="002742DE">
              <w:rPr>
                <w:spacing w:val="-1"/>
              </w:rPr>
              <w:t xml:space="preserve"> </w:t>
            </w:r>
            <w:r w:rsidRPr="002742DE">
              <w:t>t</w:t>
            </w:r>
            <w:r w:rsidRPr="002742DE">
              <w:rPr>
                <w:spacing w:val="-1"/>
              </w:rPr>
              <w:t>h</w:t>
            </w:r>
            <w:r w:rsidRPr="002742DE">
              <w:t>e</w:t>
            </w:r>
            <w:r w:rsidRPr="002742DE">
              <w:rPr>
                <w:spacing w:val="1"/>
              </w:rPr>
              <w:t xml:space="preserve"> </w:t>
            </w:r>
            <w:r w:rsidRPr="002742DE">
              <w:rPr>
                <w:spacing w:val="-1"/>
              </w:rPr>
              <w:t>s</w:t>
            </w:r>
            <w:r w:rsidRPr="002742DE">
              <w:t>i</w:t>
            </w:r>
            <w:r w:rsidRPr="002742DE">
              <w:rPr>
                <w:spacing w:val="1"/>
              </w:rPr>
              <w:t>n</w:t>
            </w:r>
            <w:r w:rsidRPr="002742DE">
              <w:rPr>
                <w:spacing w:val="-1"/>
              </w:rPr>
              <w:t>g</w:t>
            </w:r>
            <w:r w:rsidRPr="002742DE">
              <w:t>le</w:t>
            </w:r>
            <w:r w:rsidRPr="002742DE">
              <w:rPr>
                <w:spacing w:val="-5"/>
              </w:rPr>
              <w:t xml:space="preserve"> </w:t>
            </w:r>
            <w:r w:rsidRPr="002742DE">
              <w:t>E</w:t>
            </w:r>
            <w:r w:rsidRPr="002742DE">
              <w:rPr>
                <w:spacing w:val="-1"/>
              </w:rPr>
              <w:t>u</w:t>
            </w:r>
            <w:r w:rsidRPr="002742DE">
              <w:rPr>
                <w:spacing w:val="1"/>
              </w:rPr>
              <w:t>rop</w:t>
            </w:r>
            <w:r w:rsidRPr="002742DE">
              <w:t>e</w:t>
            </w:r>
            <w:r w:rsidRPr="002742DE">
              <w:rPr>
                <w:spacing w:val="1"/>
              </w:rPr>
              <w:t>a</w:t>
            </w:r>
            <w:r w:rsidRPr="002742DE">
              <w:t>n</w:t>
            </w:r>
            <w:r w:rsidRPr="002742DE">
              <w:rPr>
                <w:spacing w:val="-9"/>
              </w:rPr>
              <w:t xml:space="preserve"> </w:t>
            </w:r>
            <w:r w:rsidRPr="002742DE">
              <w:rPr>
                <w:spacing w:val="3"/>
              </w:rPr>
              <w:t>T</w:t>
            </w:r>
            <w:r w:rsidRPr="002742DE">
              <w:rPr>
                <w:spacing w:val="1"/>
              </w:rPr>
              <w:t>r</w:t>
            </w:r>
            <w:r w:rsidRPr="002742DE">
              <w:t>a</w:t>
            </w:r>
            <w:r w:rsidRPr="002742DE">
              <w:rPr>
                <w:spacing w:val="-1"/>
              </w:rPr>
              <w:t>ns</w:t>
            </w:r>
            <w:r w:rsidRPr="002742DE">
              <w:rPr>
                <w:spacing w:val="1"/>
              </w:rPr>
              <w:t>por</w:t>
            </w:r>
            <w:r w:rsidRPr="002742DE">
              <w:t>t</w:t>
            </w:r>
            <w:r w:rsidRPr="002742DE">
              <w:rPr>
                <w:spacing w:val="-8"/>
              </w:rPr>
              <w:t xml:space="preserve"> </w:t>
            </w:r>
            <w:r w:rsidRPr="002742DE">
              <w:rPr>
                <w:spacing w:val="-2"/>
              </w:rPr>
              <w:t>A</w:t>
            </w:r>
            <w:r w:rsidRPr="002742DE">
              <w:rPr>
                <w:spacing w:val="3"/>
              </w:rPr>
              <w:t>r</w:t>
            </w:r>
            <w:r w:rsidRPr="002742DE">
              <w:t>e</w:t>
            </w:r>
            <w:r w:rsidRPr="002742DE">
              <w:rPr>
                <w:spacing w:val="8"/>
              </w:rPr>
              <w:t>a</w:t>
            </w:r>
            <w:r w:rsidRPr="002742DE">
              <w:rPr>
                <w:position w:val="9"/>
              </w:rPr>
              <w:t>57</w:t>
            </w:r>
            <w:r w:rsidRPr="002742DE">
              <w:t>.</w:t>
            </w:r>
          </w:p>
        </w:tc>
        <w:tc>
          <w:tcPr>
            <w:tcW w:w="364" w:type="pct"/>
            <w:vAlign w:val="center"/>
          </w:tcPr>
          <w:p w:rsidR="00DE269D" w:rsidRPr="002742DE" w:rsidRDefault="00DE269D" w:rsidP="00DE269D">
            <w:pPr>
              <w:tabs>
                <w:tab w:val="left" w:pos="800"/>
              </w:tabs>
              <w:spacing w:before="60"/>
              <w:jc w:val="center"/>
              <w:rPr>
                <w:rFonts w:eastAsia="Wingdings" w:cs="Arial"/>
                <w:sz w:val="20"/>
                <w:szCs w:val="20"/>
              </w:rPr>
            </w:pPr>
            <w:r>
              <w:rPr>
                <w:rFonts w:eastAsia="Wingdings" w:cs="Arial"/>
                <w:sz w:val="20"/>
                <w:szCs w:val="20"/>
              </w:rPr>
              <w:t>YES</w:t>
            </w:r>
          </w:p>
        </w:tc>
        <w:tc>
          <w:tcPr>
            <w:tcW w:w="1589" w:type="pct"/>
            <w:vAlign w:val="center"/>
          </w:tcPr>
          <w:p w:rsidR="00DE269D" w:rsidRPr="002742DE" w:rsidRDefault="00DE269D" w:rsidP="00DE269D">
            <w:pPr>
              <w:tabs>
                <w:tab w:val="left" w:pos="800"/>
              </w:tabs>
              <w:spacing w:before="60"/>
              <w:rPr>
                <w:rFonts w:eastAsia="Wingdings" w:cs="Arial"/>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5"/>
              </w:numPr>
              <w:tabs>
                <w:tab w:val="left" w:pos="820"/>
              </w:tabs>
              <w:spacing w:before="57" w:line="240" w:lineRule="auto"/>
              <w:contextualSpacing/>
              <w:jc w:val="left"/>
            </w:pPr>
            <w:r w:rsidRPr="002742DE">
              <w:rPr>
                <w:spacing w:val="3"/>
              </w:rPr>
              <w:t>T</w:t>
            </w:r>
            <w:r w:rsidRPr="002742DE">
              <w:rPr>
                <w:spacing w:val="-1"/>
              </w:rPr>
              <w:t>h</w:t>
            </w:r>
            <w:r w:rsidRPr="002742DE">
              <w:t>e</w:t>
            </w:r>
            <w:r w:rsidRPr="002742DE">
              <w:rPr>
                <w:spacing w:val="-2"/>
              </w:rPr>
              <w:t xml:space="preserve"> </w:t>
            </w:r>
            <w:r w:rsidRPr="002742DE">
              <w:t>c</w:t>
            </w:r>
            <w:r w:rsidRPr="002742DE">
              <w:rPr>
                <w:spacing w:val="1"/>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11"/>
              </w:rPr>
              <w:t xml:space="preserve"> </w:t>
            </w:r>
            <w:r w:rsidRPr="002742DE">
              <w:t>tra</w:t>
            </w:r>
            <w:r w:rsidRPr="002742DE">
              <w:rPr>
                <w:spacing w:val="1"/>
              </w:rPr>
              <w:t>n</w:t>
            </w:r>
            <w:r w:rsidRPr="002742DE">
              <w:rPr>
                <w:spacing w:val="-1"/>
              </w:rPr>
              <w:t>s</w:t>
            </w:r>
            <w:r w:rsidRPr="002742DE">
              <w:rPr>
                <w:spacing w:val="1"/>
              </w:rPr>
              <w:t>por</w:t>
            </w:r>
            <w:r w:rsidRPr="002742DE">
              <w:t>t</w:t>
            </w:r>
            <w:r w:rsidRPr="002742DE">
              <w:rPr>
                <w:spacing w:val="-7"/>
              </w:rPr>
              <w:t xml:space="preserve"> </w:t>
            </w:r>
            <w:r w:rsidRPr="002742DE">
              <w:rPr>
                <w:spacing w:val="1"/>
              </w:rPr>
              <w:t>p</w:t>
            </w:r>
            <w:r w:rsidRPr="002742DE">
              <w:t>lan</w:t>
            </w:r>
            <w:r w:rsidRPr="002742DE">
              <w:rPr>
                <w:spacing w:val="-1"/>
              </w:rPr>
              <w:t xml:space="preserve"> </w:t>
            </w:r>
            <w:r w:rsidRPr="002742DE">
              <w:rPr>
                <w:spacing w:val="1"/>
              </w:rPr>
              <w:t>o</w:t>
            </w:r>
            <w:r w:rsidRPr="002742DE">
              <w:t>r</w:t>
            </w:r>
            <w:r w:rsidRPr="002742DE">
              <w:rPr>
                <w:spacing w:val="-1"/>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k</w:t>
            </w:r>
            <w:r w:rsidRPr="002742DE">
              <w:rPr>
                <w:spacing w:val="-8"/>
              </w:rPr>
              <w:t xml:space="preserve"> </w:t>
            </w:r>
            <w:r w:rsidRPr="002742DE">
              <w:rPr>
                <w:spacing w:val="2"/>
              </w:rPr>
              <w:t>i</w:t>
            </w:r>
            <w:r w:rsidRPr="002742DE">
              <w:rPr>
                <w:spacing w:val="-1"/>
              </w:rPr>
              <w:t>n</w:t>
            </w:r>
            <w:r w:rsidRPr="002742DE">
              <w:t>c</w:t>
            </w:r>
            <w:r w:rsidRPr="002742DE">
              <w:rPr>
                <w:spacing w:val="2"/>
              </w:rPr>
              <w:t>l</w:t>
            </w:r>
            <w:r w:rsidRPr="002742DE">
              <w:rPr>
                <w:spacing w:val="-1"/>
              </w:rPr>
              <w:t>u</w:t>
            </w:r>
            <w:r w:rsidRPr="002742DE">
              <w:rPr>
                <w:spacing w:val="1"/>
              </w:rPr>
              <w:t>d</w:t>
            </w:r>
            <w:r w:rsidRPr="002742DE">
              <w:t>es</w:t>
            </w:r>
            <w:r w:rsidRPr="002742DE">
              <w:rPr>
                <w:spacing w:val="-5"/>
              </w:rPr>
              <w:t xml:space="preserve"> </w:t>
            </w:r>
            <w:r w:rsidRPr="002742DE">
              <w:rPr>
                <w:spacing w:val="-1"/>
              </w:rPr>
              <w:t>m</w:t>
            </w:r>
            <w:r w:rsidRPr="002742DE">
              <w:t>e</w:t>
            </w:r>
            <w:r w:rsidRPr="002742DE">
              <w:rPr>
                <w:spacing w:val="1"/>
              </w:rPr>
              <w:t>a</w:t>
            </w:r>
            <w:r w:rsidRPr="002742DE">
              <w:rPr>
                <w:spacing w:val="-1"/>
              </w:rPr>
              <w:t>su</w:t>
            </w:r>
            <w:r w:rsidRPr="002742DE">
              <w:rPr>
                <w:spacing w:val="1"/>
              </w:rPr>
              <w:t>r</w:t>
            </w:r>
            <w:r w:rsidRPr="002742DE">
              <w:t>es</w:t>
            </w:r>
            <w:r w:rsidRPr="002742DE">
              <w:rPr>
                <w:spacing w:val="-7"/>
              </w:rPr>
              <w:t xml:space="preserve"> </w:t>
            </w:r>
            <w:r w:rsidRPr="002742DE">
              <w:rPr>
                <w:spacing w:val="2"/>
              </w:rPr>
              <w:t>t</w:t>
            </w:r>
            <w:r w:rsidRPr="002742DE">
              <w:rPr>
                <w:spacing w:val="-1"/>
              </w:rPr>
              <w:t>h</w:t>
            </w:r>
            <w:r w:rsidRPr="002742DE">
              <w:t>at</w:t>
            </w:r>
            <w:r w:rsidRPr="002742DE">
              <w:rPr>
                <w:spacing w:val="-3"/>
              </w:rPr>
              <w:t xml:space="preserve"> </w:t>
            </w:r>
            <w:r w:rsidRPr="002742DE">
              <w:t>a</w:t>
            </w:r>
            <w:r w:rsidRPr="002742DE">
              <w:rPr>
                <w:spacing w:val="1"/>
              </w:rPr>
              <w:t>r</w:t>
            </w:r>
            <w:r w:rsidRPr="002742DE">
              <w:t>e</w:t>
            </w:r>
            <w:r w:rsidRPr="002742DE">
              <w:rPr>
                <w:spacing w:val="-1"/>
              </w:rPr>
              <w:t xml:space="preserve"> n</w:t>
            </w:r>
            <w:r w:rsidRPr="002742DE">
              <w:t>e</w:t>
            </w:r>
            <w:r w:rsidRPr="002742DE">
              <w:rPr>
                <w:spacing w:val="1"/>
              </w:rPr>
              <w:t>c</w:t>
            </w:r>
            <w:r w:rsidRPr="002742DE">
              <w:rPr>
                <w:spacing w:val="3"/>
              </w:rPr>
              <w:t>e</w:t>
            </w:r>
            <w:r w:rsidRPr="002742DE">
              <w:rPr>
                <w:spacing w:val="-1"/>
              </w:rPr>
              <w:t>ss</w:t>
            </w:r>
            <w:r w:rsidRPr="002742DE">
              <w:t>a</w:t>
            </w:r>
            <w:r w:rsidRPr="002742DE">
              <w:rPr>
                <w:spacing w:val="3"/>
              </w:rPr>
              <w:t>r</w:t>
            </w:r>
            <w:r w:rsidRPr="002742DE">
              <w:t>y</w:t>
            </w:r>
            <w:r w:rsidRPr="002742DE">
              <w:rPr>
                <w:spacing w:val="-9"/>
              </w:rPr>
              <w:t xml:space="preserve"> </w:t>
            </w:r>
            <w:r w:rsidRPr="002742DE">
              <w:rPr>
                <w:spacing w:val="-2"/>
              </w:rPr>
              <w:t>f</w:t>
            </w:r>
            <w:r w:rsidRPr="002742DE">
              <w:rPr>
                <w:spacing w:val="1"/>
              </w:rPr>
              <w:t>or</w:t>
            </w:r>
            <w:r w:rsidRPr="002742DE">
              <w:t>:</w:t>
            </w:r>
          </w:p>
        </w:tc>
        <w:tc>
          <w:tcPr>
            <w:tcW w:w="364" w:type="pct"/>
            <w:vAlign w:val="center"/>
          </w:tcPr>
          <w:p w:rsidR="00DE269D" w:rsidRPr="002742DE" w:rsidRDefault="00DE269D" w:rsidP="00DE269D">
            <w:pPr>
              <w:tabs>
                <w:tab w:val="left" w:pos="820"/>
              </w:tabs>
              <w:spacing w:before="57"/>
              <w:jc w:val="center"/>
              <w:rPr>
                <w:rFonts w:eastAsia="Wingdings" w:cs="Arial"/>
                <w:sz w:val="20"/>
                <w:szCs w:val="20"/>
              </w:rPr>
            </w:pPr>
          </w:p>
        </w:tc>
        <w:tc>
          <w:tcPr>
            <w:tcW w:w="1589" w:type="pct"/>
            <w:vAlign w:val="center"/>
          </w:tcPr>
          <w:p w:rsidR="00DE269D" w:rsidRPr="002742DE" w:rsidRDefault="00DE269D" w:rsidP="00DE269D">
            <w:pPr>
              <w:tabs>
                <w:tab w:val="left" w:pos="820"/>
              </w:tabs>
              <w:spacing w:before="57"/>
              <w:rPr>
                <w:rFonts w:eastAsia="Wingding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ensuring enhanced accessibility and connectivity for all regions of the Union while taking into consideration the specific case of islands, isolated networks and sparsely populated, remote and outermost regions;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ensuring optimal integration of the transport modes and interoperability within transport modes;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bridging missing links and removing bottlenecks, in particular in cross-border sections;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promoting the efficient and sustainable use of the infrastructure and, where necessary, increase the capacity;</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improving or  maintaining the  quality of infrastructure in  terms of safety, security, efficiency, climate and where appropriate disaster resilience, environmental performances, social conditions, accessibility for all users, including elderly people, persons with reduced mobility and disabled passengers, as well as the quality of services and continuity of traffic flows;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sidRPr="002742DE">
              <w:rPr>
                <w:rFonts w:cs="Arial"/>
                <w:sz w:val="20"/>
                <w:szCs w:val="20"/>
              </w:rPr>
              <w:tab/>
              <w:t>implementing and deploying telematic applications as well as promoting innovative technological development;</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85264B">
            <w:pPr>
              <w:pStyle w:val="ListParagraph"/>
              <w:widowControl w:val="0"/>
              <w:numPr>
                <w:ilvl w:val="0"/>
                <w:numId w:val="66"/>
              </w:numPr>
              <w:tabs>
                <w:tab w:val="left" w:pos="820"/>
              </w:tabs>
              <w:spacing w:before="57" w:line="240" w:lineRule="auto"/>
              <w:contextualSpacing/>
              <w:jc w:val="left"/>
            </w:pPr>
            <w:r w:rsidRPr="002742DE">
              <w:rPr>
                <w:spacing w:val="2"/>
              </w:rPr>
              <w:t>P</w:t>
            </w:r>
            <w:r w:rsidRPr="002742DE">
              <w:t>a</w:t>
            </w:r>
            <w:r w:rsidRPr="002742DE">
              <w:rPr>
                <w:spacing w:val="1"/>
              </w:rPr>
              <w:t>r</w:t>
            </w:r>
            <w:r w:rsidRPr="002742DE">
              <w:t>tic</w:t>
            </w:r>
            <w:r w:rsidRPr="002742DE">
              <w:rPr>
                <w:spacing w:val="-1"/>
              </w:rPr>
              <w:t>u</w:t>
            </w:r>
            <w:r w:rsidRPr="002742DE">
              <w:t>lar</w:t>
            </w:r>
            <w:r w:rsidRPr="002742DE">
              <w:rPr>
                <w:spacing w:val="3"/>
              </w:rPr>
              <w:t xml:space="preserve"> </w:t>
            </w:r>
            <w:r w:rsidRPr="002742DE">
              <w:t>c</w:t>
            </w:r>
            <w:r w:rsidRPr="002742DE">
              <w:rPr>
                <w:spacing w:val="1"/>
              </w:rPr>
              <w:t>o</w:t>
            </w:r>
            <w:r w:rsidRPr="002742DE">
              <w:rPr>
                <w:spacing w:val="-1"/>
              </w:rPr>
              <w:t>ns</w:t>
            </w:r>
            <w:r w:rsidRPr="002742DE">
              <w:t>i</w:t>
            </w:r>
            <w:r w:rsidRPr="002742DE">
              <w:rPr>
                <w:spacing w:val="1"/>
              </w:rPr>
              <w:t>d</w:t>
            </w:r>
            <w:r w:rsidRPr="002742DE">
              <w:t>e</w:t>
            </w:r>
            <w:r w:rsidRPr="002742DE">
              <w:rPr>
                <w:spacing w:val="1"/>
              </w:rPr>
              <w:t>r</w:t>
            </w:r>
            <w:r w:rsidRPr="002742DE">
              <w:t>ati</w:t>
            </w:r>
            <w:r w:rsidRPr="002742DE">
              <w:rPr>
                <w:spacing w:val="1"/>
              </w:rPr>
              <w:t>o</w:t>
            </w:r>
            <w:r w:rsidRPr="002742DE">
              <w:t>n</w:t>
            </w:r>
            <w:r w:rsidRPr="002742DE">
              <w:rPr>
                <w:spacing w:val="-2"/>
              </w:rPr>
              <w:t xml:space="preserve"> </w:t>
            </w:r>
            <w:r w:rsidRPr="002742DE">
              <w:rPr>
                <w:spacing w:val="-1"/>
              </w:rPr>
              <w:t>sh</w:t>
            </w:r>
            <w:r w:rsidRPr="002742DE">
              <w:t>all</w:t>
            </w:r>
            <w:r w:rsidRPr="002742DE">
              <w:rPr>
                <w:spacing w:val="8"/>
              </w:rPr>
              <w:t xml:space="preserve"> </w:t>
            </w:r>
            <w:r w:rsidRPr="002742DE">
              <w:t>also</w:t>
            </w:r>
            <w:r w:rsidRPr="002742DE">
              <w:rPr>
                <w:spacing w:val="7"/>
              </w:rPr>
              <w:t xml:space="preserve"> </w:t>
            </w:r>
            <w:r w:rsidRPr="002742DE">
              <w:rPr>
                <w:spacing w:val="1"/>
              </w:rPr>
              <w:t>b</w:t>
            </w:r>
            <w:r w:rsidRPr="002742DE">
              <w:t>e</w:t>
            </w:r>
            <w:r w:rsidRPr="002742DE">
              <w:rPr>
                <w:spacing w:val="8"/>
              </w:rPr>
              <w:t xml:space="preserve"> </w:t>
            </w:r>
            <w:r w:rsidRPr="002742DE">
              <w:rPr>
                <w:spacing w:val="-1"/>
              </w:rPr>
              <w:t>g</w:t>
            </w:r>
            <w:r w:rsidRPr="002742DE">
              <w:t>i</w:t>
            </w:r>
            <w:r w:rsidRPr="002742DE">
              <w:rPr>
                <w:spacing w:val="-1"/>
              </w:rPr>
              <w:t>v</w:t>
            </w:r>
            <w:r w:rsidRPr="002742DE">
              <w:t>en</w:t>
            </w:r>
            <w:r w:rsidRPr="002742DE">
              <w:rPr>
                <w:spacing w:val="5"/>
              </w:rPr>
              <w:t xml:space="preserve"> </w:t>
            </w:r>
            <w:r w:rsidRPr="002742DE">
              <w:rPr>
                <w:spacing w:val="2"/>
              </w:rPr>
              <w:t>i</w:t>
            </w:r>
            <w:r w:rsidRPr="002742DE">
              <w:t>n</w:t>
            </w:r>
            <w:r w:rsidRPr="002742DE">
              <w:rPr>
                <w:spacing w:val="7"/>
              </w:rPr>
              <w:t xml:space="preserve"> </w:t>
            </w:r>
            <w:r w:rsidRPr="002742DE">
              <w:t>t</w:t>
            </w:r>
            <w:r w:rsidRPr="002742DE">
              <w:rPr>
                <w:spacing w:val="-1"/>
              </w:rPr>
              <w:t>h</w:t>
            </w:r>
            <w:r w:rsidRPr="002742DE">
              <w:t>e</w:t>
            </w:r>
            <w:r w:rsidRPr="002742DE">
              <w:rPr>
                <w:spacing w:val="8"/>
              </w:rPr>
              <w:t xml:space="preserve"> </w:t>
            </w:r>
            <w:r w:rsidRPr="002742DE">
              <w:t>c</w:t>
            </w:r>
            <w:r w:rsidRPr="002742DE">
              <w:rPr>
                <w:spacing w:val="4"/>
              </w:rPr>
              <w:t>o</w:t>
            </w:r>
            <w:r w:rsidRPr="002742DE">
              <w:rPr>
                <w:spacing w:val="-4"/>
              </w:rPr>
              <w:t>m</w:t>
            </w:r>
            <w:r w:rsidRPr="002742DE">
              <w:rPr>
                <w:spacing w:val="1"/>
              </w:rPr>
              <w:t>pr</w:t>
            </w:r>
            <w:r w:rsidRPr="002742DE">
              <w:t>e</w:t>
            </w:r>
            <w:r w:rsidRPr="002742DE">
              <w:rPr>
                <w:spacing w:val="-1"/>
              </w:rPr>
              <w:t>h</w:t>
            </w:r>
            <w:r w:rsidRPr="002742DE">
              <w:rPr>
                <w:spacing w:val="3"/>
              </w:rPr>
              <w:t>e</w:t>
            </w:r>
            <w:r w:rsidRPr="002742DE">
              <w:rPr>
                <w:spacing w:val="-1"/>
              </w:rPr>
              <w:t>ns</w:t>
            </w:r>
            <w:r w:rsidRPr="002742DE">
              <w:rPr>
                <w:spacing w:val="2"/>
              </w:rPr>
              <w:t>i</w:t>
            </w:r>
            <w:r w:rsidRPr="002742DE">
              <w:rPr>
                <w:spacing w:val="-1"/>
              </w:rPr>
              <w:t>v</w:t>
            </w:r>
            <w:r w:rsidRPr="002742DE">
              <w:t>e</w:t>
            </w:r>
            <w:r w:rsidRPr="002742DE">
              <w:rPr>
                <w:spacing w:val="-2"/>
              </w:rPr>
              <w:t xml:space="preserve"> </w:t>
            </w:r>
            <w:r w:rsidRPr="002742DE">
              <w:t>tra</w:t>
            </w:r>
            <w:r w:rsidRPr="002742DE">
              <w:rPr>
                <w:spacing w:val="-1"/>
              </w:rPr>
              <w:t>ns</w:t>
            </w:r>
            <w:r w:rsidRPr="002742DE">
              <w:rPr>
                <w:spacing w:val="1"/>
              </w:rPr>
              <w:t>por</w:t>
            </w:r>
            <w:r w:rsidRPr="002742DE">
              <w:t>t</w:t>
            </w:r>
            <w:r w:rsidRPr="002742DE">
              <w:rPr>
                <w:spacing w:val="3"/>
              </w:rPr>
              <w:t xml:space="preserve"> </w:t>
            </w:r>
            <w:r w:rsidRPr="002742DE">
              <w:rPr>
                <w:spacing w:val="1"/>
              </w:rPr>
              <w:t>p</w:t>
            </w:r>
            <w:r w:rsidRPr="002742DE">
              <w:t>lan</w:t>
            </w:r>
            <w:r w:rsidRPr="002742DE">
              <w:rPr>
                <w:spacing w:val="6"/>
              </w:rPr>
              <w:t xml:space="preserve"> </w:t>
            </w:r>
            <w:r w:rsidRPr="002742DE">
              <w:rPr>
                <w:spacing w:val="1"/>
              </w:rPr>
              <w:t>o</w:t>
            </w:r>
            <w:r w:rsidRPr="002742DE">
              <w:t>r</w:t>
            </w:r>
            <w:r w:rsidRPr="002742DE">
              <w:rPr>
                <w:spacing w:val="8"/>
              </w:rPr>
              <w:t xml:space="preserve"> </w:t>
            </w:r>
            <w:r w:rsidRPr="002742DE">
              <w:rPr>
                <w:spacing w:val="-2"/>
              </w:rPr>
              <w:t>f</w:t>
            </w:r>
            <w:r w:rsidRPr="002742DE">
              <w:rPr>
                <w:spacing w:val="1"/>
              </w:rPr>
              <w:t>r</w:t>
            </w:r>
            <w:r w:rsidRPr="002742DE">
              <w:rPr>
                <w:spacing w:val="3"/>
              </w:rPr>
              <w:t>a</w:t>
            </w:r>
            <w:r w:rsidRPr="002742DE">
              <w:rPr>
                <w:spacing w:val="-4"/>
              </w:rPr>
              <w:t>m</w:t>
            </w:r>
            <w:r w:rsidRPr="002742DE">
              <w:rPr>
                <w:spacing w:val="3"/>
              </w:rPr>
              <w:t>e</w:t>
            </w:r>
            <w:r w:rsidRPr="002742DE">
              <w:rPr>
                <w:spacing w:val="-2"/>
              </w:rPr>
              <w:t>w</w:t>
            </w:r>
            <w:r w:rsidRPr="002742DE">
              <w:rPr>
                <w:spacing w:val="1"/>
              </w:rPr>
              <w:t>or</w:t>
            </w:r>
            <w:r w:rsidRPr="002742DE">
              <w:t xml:space="preserve">k to </w:t>
            </w:r>
            <w:r w:rsidRPr="002742DE">
              <w:rPr>
                <w:spacing w:val="-1"/>
              </w:rPr>
              <w:t>m</w:t>
            </w:r>
            <w:r w:rsidRPr="002742DE">
              <w:t>e</w:t>
            </w:r>
            <w:r w:rsidRPr="002742DE">
              <w:rPr>
                <w:spacing w:val="1"/>
              </w:rPr>
              <w:t>a</w:t>
            </w:r>
            <w:r w:rsidRPr="002742DE">
              <w:rPr>
                <w:spacing w:val="2"/>
              </w:rPr>
              <w:t>s</w:t>
            </w:r>
            <w:r w:rsidRPr="002742DE">
              <w:rPr>
                <w:spacing w:val="-1"/>
              </w:rPr>
              <w:t>u</w:t>
            </w:r>
            <w:r w:rsidRPr="002742DE">
              <w:rPr>
                <w:spacing w:val="1"/>
              </w:rPr>
              <w:t>r</w:t>
            </w:r>
            <w:r w:rsidRPr="002742DE">
              <w:t>es</w:t>
            </w:r>
            <w:r w:rsidRPr="002742DE">
              <w:rPr>
                <w:spacing w:val="-7"/>
              </w:rPr>
              <w:t xml:space="preserve"> </w:t>
            </w:r>
            <w:r w:rsidRPr="002742DE">
              <w:rPr>
                <w:spacing w:val="2"/>
              </w:rPr>
              <w:t>t</w:t>
            </w:r>
            <w:r w:rsidRPr="002742DE">
              <w:rPr>
                <w:spacing w:val="-1"/>
              </w:rPr>
              <w:t>h</w:t>
            </w:r>
            <w:r w:rsidRPr="002742DE">
              <w:t>at</w:t>
            </w:r>
            <w:r w:rsidRPr="002742DE">
              <w:rPr>
                <w:spacing w:val="-3"/>
              </w:rPr>
              <w:t xml:space="preserve"> </w:t>
            </w:r>
            <w:r w:rsidRPr="002742DE">
              <w:t>a</w:t>
            </w:r>
            <w:r w:rsidRPr="002742DE">
              <w:rPr>
                <w:spacing w:val="1"/>
              </w:rPr>
              <w:t>r</w:t>
            </w:r>
            <w:r w:rsidRPr="002742DE">
              <w:t>e</w:t>
            </w:r>
            <w:r w:rsidRPr="002742DE">
              <w:rPr>
                <w:spacing w:val="-1"/>
              </w:rPr>
              <w:t xml:space="preserve"> n</w:t>
            </w:r>
            <w:r w:rsidRPr="002742DE">
              <w:t>e</w:t>
            </w:r>
            <w:r w:rsidRPr="002742DE">
              <w:rPr>
                <w:spacing w:val="1"/>
              </w:rPr>
              <w:t>c</w:t>
            </w:r>
            <w:r w:rsidRPr="002742DE">
              <w:t>e</w:t>
            </w:r>
            <w:r w:rsidRPr="002742DE">
              <w:rPr>
                <w:spacing w:val="2"/>
              </w:rPr>
              <w:t>s</w:t>
            </w:r>
            <w:r w:rsidRPr="002742DE">
              <w:rPr>
                <w:spacing w:val="-1"/>
              </w:rPr>
              <w:t>s</w:t>
            </w:r>
            <w:r w:rsidRPr="002742DE">
              <w:t>a</w:t>
            </w:r>
            <w:r w:rsidRPr="002742DE">
              <w:rPr>
                <w:spacing w:val="3"/>
              </w:rPr>
              <w:t>r</w:t>
            </w:r>
            <w:r w:rsidRPr="002742DE">
              <w:t>y</w:t>
            </w:r>
            <w:r w:rsidRPr="002742DE">
              <w:rPr>
                <w:spacing w:val="-9"/>
              </w:rPr>
              <w:t xml:space="preserve"> </w:t>
            </w:r>
            <w:r w:rsidRPr="002742DE">
              <w:rPr>
                <w:spacing w:val="-2"/>
              </w:rPr>
              <w:t>f</w:t>
            </w:r>
            <w:r w:rsidRPr="002742DE">
              <w:rPr>
                <w:spacing w:val="1"/>
              </w:rPr>
              <w:t>or</w:t>
            </w:r>
            <w:r w:rsidRPr="002742DE">
              <w:t>:</w:t>
            </w:r>
          </w:p>
        </w:tc>
        <w:tc>
          <w:tcPr>
            <w:tcW w:w="364" w:type="pct"/>
            <w:vAlign w:val="center"/>
          </w:tcPr>
          <w:p w:rsidR="00DE269D" w:rsidRPr="002742DE" w:rsidRDefault="00DE269D" w:rsidP="00DE269D">
            <w:pPr>
              <w:tabs>
                <w:tab w:val="left" w:pos="820"/>
              </w:tabs>
              <w:spacing w:before="57"/>
              <w:jc w:val="center"/>
              <w:rPr>
                <w:rFonts w:eastAsia="Wingdings" w:cs="Arial"/>
                <w:sz w:val="20"/>
                <w:szCs w:val="20"/>
              </w:rPr>
            </w:pPr>
          </w:p>
        </w:tc>
        <w:tc>
          <w:tcPr>
            <w:tcW w:w="1589" w:type="pct"/>
            <w:vAlign w:val="center"/>
          </w:tcPr>
          <w:p w:rsidR="00DE269D" w:rsidRPr="002742DE" w:rsidRDefault="00DE269D" w:rsidP="00DE269D">
            <w:pPr>
              <w:tabs>
                <w:tab w:val="left" w:pos="820"/>
              </w:tabs>
              <w:spacing w:before="57"/>
              <w:rPr>
                <w:rFonts w:eastAsia="Wingding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Pr>
                <w:rFonts w:cs="Arial"/>
                <w:sz w:val="20"/>
                <w:szCs w:val="20"/>
              </w:rPr>
              <w:tab/>
            </w:r>
            <w:r w:rsidRPr="002742DE">
              <w:rPr>
                <w:rFonts w:cs="Arial"/>
                <w:sz w:val="20"/>
                <w:szCs w:val="20"/>
              </w:rPr>
              <w:t>ensuring fuel security through increased energy efficiency and promoting the use of alternative and in particular low or zero carbon energy sources and propulsion systems;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Pr>
                <w:rFonts w:cs="Arial"/>
                <w:sz w:val="20"/>
                <w:szCs w:val="20"/>
              </w:rPr>
              <w:tab/>
            </w:r>
            <w:r w:rsidRPr="002742DE">
              <w:rPr>
                <w:rFonts w:cs="Arial"/>
                <w:sz w:val="20"/>
                <w:szCs w:val="20"/>
              </w:rPr>
              <w:t>mitigating  exposure  of  urban  areas  to  negative  effects  of  transiting  rail  and  road transport;</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vAlign w:val="center"/>
          </w:tcPr>
          <w:p w:rsidR="00DE269D" w:rsidRPr="002742DE" w:rsidRDefault="00DE269D" w:rsidP="00DE269D">
            <w:pPr>
              <w:tabs>
                <w:tab w:val="left" w:pos="1120"/>
              </w:tabs>
              <w:spacing w:before="60"/>
              <w:rPr>
                <w:rFonts w:cs="Arial"/>
                <w:sz w:val="20"/>
                <w:szCs w:val="20"/>
              </w:rPr>
            </w:pPr>
            <w:r>
              <w:rPr>
                <w:rFonts w:cs="Arial"/>
                <w:sz w:val="20"/>
                <w:szCs w:val="20"/>
              </w:rPr>
              <w:tab/>
            </w:r>
            <w:r w:rsidRPr="002742DE">
              <w:rPr>
                <w:rFonts w:cs="Arial"/>
                <w:sz w:val="20"/>
                <w:szCs w:val="20"/>
              </w:rPr>
              <w:t>removing administrative and technical barriers, in particular to the interoperability of the trans-European transport network and to competition.</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A1C7F" w:rsidTr="00DE269D">
        <w:tc>
          <w:tcPr>
            <w:tcW w:w="3048" w:type="pct"/>
          </w:tcPr>
          <w:p w:rsidR="00DE269D" w:rsidRPr="002A1C7F" w:rsidRDefault="00DE269D" w:rsidP="0085264B">
            <w:pPr>
              <w:pStyle w:val="ListParagraph"/>
              <w:widowControl w:val="0"/>
              <w:numPr>
                <w:ilvl w:val="0"/>
                <w:numId w:val="67"/>
              </w:numPr>
              <w:tabs>
                <w:tab w:val="left" w:pos="1120"/>
              </w:tabs>
              <w:spacing w:before="60" w:line="240" w:lineRule="auto"/>
              <w:contextualSpacing/>
              <w:jc w:val="left"/>
              <w:rPr>
                <w:b/>
                <w:i/>
              </w:rPr>
            </w:pPr>
            <w:r w:rsidRPr="002A1C7F">
              <w:rPr>
                <w:b/>
                <w:i/>
              </w:rPr>
              <w:t xml:space="preserve">sets </w:t>
            </w:r>
            <w:r>
              <w:rPr>
                <w:b/>
                <w:i/>
              </w:rPr>
              <w:t>out a realistic and mature pipel</w:t>
            </w:r>
            <w:r w:rsidRPr="002A1C7F">
              <w:rPr>
                <w:b/>
                <w:i/>
              </w:rPr>
              <w:t>ine for projects envisaged for support from the ERDF and CF</w:t>
            </w:r>
          </w:p>
        </w:tc>
        <w:tc>
          <w:tcPr>
            <w:tcW w:w="364" w:type="pct"/>
            <w:vAlign w:val="center"/>
          </w:tcPr>
          <w:p w:rsidR="00DE269D" w:rsidRPr="002A1C7F" w:rsidRDefault="00DE269D" w:rsidP="00DE269D">
            <w:pPr>
              <w:tabs>
                <w:tab w:val="left" w:pos="1120"/>
              </w:tabs>
              <w:spacing w:before="60"/>
              <w:jc w:val="center"/>
              <w:rPr>
                <w:rFonts w:cs="Arial"/>
                <w:b/>
                <w:sz w:val="20"/>
                <w:szCs w:val="20"/>
              </w:rPr>
            </w:pPr>
          </w:p>
        </w:tc>
        <w:tc>
          <w:tcPr>
            <w:tcW w:w="1589" w:type="pct"/>
            <w:vAlign w:val="center"/>
          </w:tcPr>
          <w:p w:rsidR="00DE269D" w:rsidRPr="002A1C7F" w:rsidRDefault="00DE269D" w:rsidP="00DE269D">
            <w:pPr>
              <w:tabs>
                <w:tab w:val="left" w:pos="1120"/>
              </w:tabs>
              <w:spacing w:before="60"/>
              <w:rPr>
                <w:rFonts w:cs="Arial"/>
                <w:b/>
                <w:sz w:val="20"/>
                <w:szCs w:val="20"/>
              </w:rPr>
            </w:pPr>
          </w:p>
        </w:tc>
      </w:tr>
      <w:tr w:rsidR="00DE269D" w:rsidRPr="002742DE" w:rsidTr="00DE269D">
        <w:tc>
          <w:tcPr>
            <w:tcW w:w="3048" w:type="pct"/>
          </w:tcPr>
          <w:p w:rsidR="00DE269D" w:rsidRPr="00174877" w:rsidRDefault="00DE269D" w:rsidP="0085264B">
            <w:pPr>
              <w:pStyle w:val="ListParagraph"/>
              <w:widowControl w:val="0"/>
              <w:numPr>
                <w:ilvl w:val="0"/>
                <w:numId w:val="67"/>
              </w:numPr>
              <w:tabs>
                <w:tab w:val="left" w:pos="1120"/>
              </w:tabs>
              <w:spacing w:before="60" w:line="240" w:lineRule="auto"/>
              <w:contextualSpacing/>
              <w:jc w:val="left"/>
            </w:pPr>
            <w:r w:rsidRPr="00174877">
              <w:t>The plan or framework for transport investments includes a table containing :</w:t>
            </w:r>
          </w:p>
        </w:tc>
        <w:tc>
          <w:tcPr>
            <w:tcW w:w="364" w:type="pct"/>
            <w:vAlign w:val="center"/>
          </w:tcPr>
          <w:p w:rsidR="00DE269D" w:rsidRPr="002742DE" w:rsidRDefault="00DE269D" w:rsidP="00DE269D">
            <w:pPr>
              <w:tabs>
                <w:tab w:val="left" w:pos="1120"/>
              </w:tabs>
              <w:spacing w:before="60"/>
              <w:jc w:val="center"/>
              <w:rPr>
                <w:rFonts w:cs="Arial"/>
                <w:sz w:val="20"/>
                <w:szCs w:val="20"/>
              </w:rPr>
            </w:pP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a list of prioritised projects (studies, upgrading or works) that the Member State envisages launching over the period and asking for support from the ERDF and CF.</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the name of the authorities and stakeholders involved in the lead of these projects, the foreseen expenditures and a financing plan,</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a realistic timetable for delivery of the projects identified indicating dates for feasibility studies, a Cost Benefit Analysis, EIA procedure58, an implementation timetable including procurement and permission procedures, and for potential state aid notification (per phase for bigger projects).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separate Strategy Report containing Implementation Plan</w:t>
            </w:r>
          </w:p>
        </w:tc>
      </w:tr>
      <w:tr w:rsidR="00DE269D" w:rsidRPr="002A1C7F" w:rsidTr="00DE269D">
        <w:tc>
          <w:tcPr>
            <w:tcW w:w="3048" w:type="pct"/>
          </w:tcPr>
          <w:p w:rsidR="00DE269D" w:rsidRPr="002A1C7F" w:rsidRDefault="00DE269D" w:rsidP="0085264B">
            <w:pPr>
              <w:pStyle w:val="ListParagraph"/>
              <w:widowControl w:val="0"/>
              <w:numPr>
                <w:ilvl w:val="0"/>
                <w:numId w:val="67"/>
              </w:numPr>
              <w:tabs>
                <w:tab w:val="left" w:pos="1120"/>
              </w:tabs>
              <w:spacing w:before="60" w:line="240" w:lineRule="auto"/>
              <w:contextualSpacing/>
              <w:jc w:val="left"/>
              <w:rPr>
                <w:b/>
                <w:i/>
              </w:rPr>
            </w:pPr>
            <w:r w:rsidRPr="002A1C7F">
              <w:rPr>
                <w:b/>
                <w:i/>
              </w:rPr>
              <w:t>Measures to ensure the capacity of intermediary bodies and beneficiaries to deliver the project pipeline.</w:t>
            </w:r>
          </w:p>
        </w:tc>
        <w:tc>
          <w:tcPr>
            <w:tcW w:w="364" w:type="pct"/>
            <w:vAlign w:val="center"/>
          </w:tcPr>
          <w:p w:rsidR="00DE269D" w:rsidRPr="002A1C7F" w:rsidRDefault="00DE269D" w:rsidP="00DE269D">
            <w:pPr>
              <w:tabs>
                <w:tab w:val="left" w:pos="1120"/>
              </w:tabs>
              <w:spacing w:before="60"/>
              <w:jc w:val="center"/>
              <w:rPr>
                <w:rFonts w:cs="Arial"/>
                <w:b/>
                <w:sz w:val="20"/>
                <w:szCs w:val="20"/>
              </w:rPr>
            </w:pPr>
          </w:p>
        </w:tc>
        <w:tc>
          <w:tcPr>
            <w:tcW w:w="1589" w:type="pct"/>
            <w:vAlign w:val="center"/>
          </w:tcPr>
          <w:p w:rsidR="00DE269D" w:rsidRPr="002A1C7F" w:rsidRDefault="00DE269D" w:rsidP="00DE269D">
            <w:pPr>
              <w:tabs>
                <w:tab w:val="left" w:pos="1120"/>
              </w:tabs>
              <w:spacing w:before="60"/>
              <w:rPr>
                <w:rFonts w:cs="Arial"/>
                <w:b/>
                <w:sz w:val="20"/>
                <w:szCs w:val="20"/>
              </w:rPr>
            </w:pPr>
          </w:p>
        </w:tc>
      </w:tr>
      <w:tr w:rsidR="00DE269D" w:rsidRPr="002742DE" w:rsidTr="00DE269D">
        <w:tc>
          <w:tcPr>
            <w:tcW w:w="3048" w:type="pct"/>
          </w:tcPr>
          <w:p w:rsidR="00DE269D" w:rsidRPr="00174877" w:rsidRDefault="00DE269D" w:rsidP="0085264B">
            <w:pPr>
              <w:pStyle w:val="ListParagraph"/>
              <w:widowControl w:val="0"/>
              <w:numPr>
                <w:ilvl w:val="0"/>
                <w:numId w:val="67"/>
              </w:numPr>
              <w:tabs>
                <w:tab w:val="left" w:pos="1120"/>
              </w:tabs>
              <w:spacing w:before="60" w:line="240" w:lineRule="auto"/>
              <w:contextualSpacing/>
              <w:jc w:val="left"/>
            </w:pPr>
            <w:r w:rsidRPr="00174877">
              <w:t>The Member State has provided an adequate description of the measures already in place to ensure the capacity of intermediary bodies and beneficiaries to deliver the project pipeline:</w:t>
            </w:r>
          </w:p>
        </w:tc>
        <w:tc>
          <w:tcPr>
            <w:tcW w:w="364" w:type="pct"/>
            <w:vAlign w:val="center"/>
          </w:tcPr>
          <w:p w:rsidR="00DE269D" w:rsidRPr="002742DE" w:rsidRDefault="00DE269D" w:rsidP="00DE269D">
            <w:pPr>
              <w:tabs>
                <w:tab w:val="left" w:pos="1120"/>
              </w:tabs>
              <w:spacing w:before="60"/>
              <w:jc w:val="center"/>
              <w:rPr>
                <w:rFonts w:cs="Arial"/>
                <w:sz w:val="20"/>
                <w:szCs w:val="20"/>
              </w:rPr>
            </w:pP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These measures are based on the analysis of both the bottlenecks and of the weaknesses of intermediary bodies and beneficiaries to deliver timely the project pipeline, as</w:t>
            </w:r>
            <w:r>
              <w:rPr>
                <w:rFonts w:cs="Arial"/>
                <w:sz w:val="20"/>
                <w:szCs w:val="20"/>
              </w:rPr>
              <w:t xml:space="preserve"> regards:</w:t>
            </w:r>
          </w:p>
        </w:tc>
        <w:tc>
          <w:tcPr>
            <w:tcW w:w="364" w:type="pct"/>
            <w:vAlign w:val="center"/>
          </w:tcPr>
          <w:p w:rsidR="00DE269D" w:rsidRPr="002742DE" w:rsidRDefault="00DE269D" w:rsidP="00DE269D">
            <w:pPr>
              <w:tabs>
                <w:tab w:val="left" w:pos="1120"/>
              </w:tabs>
              <w:spacing w:before="60"/>
              <w:jc w:val="center"/>
              <w:rPr>
                <w:rFonts w:cs="Arial"/>
                <w:sz w:val="20"/>
                <w:szCs w:val="20"/>
              </w:rPr>
            </w:pP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tendering (including tenders without competition, irregularities)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the Final version of the Master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implemen</w:t>
            </w:r>
            <w:r>
              <w:rPr>
                <w:rFonts w:cs="Arial"/>
                <w:sz w:val="20"/>
                <w:szCs w:val="20"/>
              </w:rPr>
              <w:t>t</w:t>
            </w:r>
            <w:r w:rsidRPr="00174877">
              <w:rPr>
                <w:rFonts w:cs="Arial"/>
                <w:sz w:val="20"/>
                <w:szCs w:val="20"/>
              </w:rPr>
              <w:t>ing environmental requirements,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the Final version of the Master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developing and prioritising a mature project pipeline,</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financial project management,</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the Final version of the Master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funding for maintenance and operations,</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administrative burden and red tape,</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To be included in the Final version of the Master Plan</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Pr>
                <w:rFonts w:cs="Arial"/>
                <w:sz w:val="20"/>
                <w:szCs w:val="20"/>
              </w:rPr>
              <w:tab/>
            </w:r>
            <w:r w:rsidRPr="00174877">
              <w:rPr>
                <w:rFonts w:cs="Arial"/>
                <w:sz w:val="20"/>
                <w:szCs w:val="20"/>
              </w:rPr>
              <w:t>o managing complex systems (ITS such as ETCS-ERTMS, VTMIS, RIS, emaritime services and air traffic management system).</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YES</w:t>
            </w:r>
          </w:p>
        </w:tc>
        <w:tc>
          <w:tcPr>
            <w:tcW w:w="1589" w:type="pct"/>
            <w:vAlign w:val="center"/>
          </w:tcPr>
          <w:p w:rsidR="00DE269D" w:rsidRPr="002742DE" w:rsidRDefault="00DE269D" w:rsidP="00DE269D">
            <w:pPr>
              <w:tabs>
                <w:tab w:val="left" w:pos="1120"/>
              </w:tabs>
              <w:spacing w:before="60"/>
              <w:rPr>
                <w:rFonts w:cs="Arial"/>
                <w:sz w:val="20"/>
                <w:szCs w:val="20"/>
              </w:rPr>
            </w:pP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They include training and appropriate internal procedures to monitor and identifiy potential delays and to ensure a smooth and effective procurement;</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vAlign w:val="center"/>
          </w:tcPr>
          <w:p w:rsidR="00DE269D" w:rsidRPr="002742DE" w:rsidRDefault="00DE269D" w:rsidP="00DE269D">
            <w:pPr>
              <w:tabs>
                <w:tab w:val="left" w:pos="1120"/>
              </w:tabs>
              <w:spacing w:before="60"/>
              <w:rPr>
                <w:rFonts w:cs="Arial"/>
                <w:sz w:val="20"/>
                <w:szCs w:val="20"/>
              </w:rPr>
            </w:pPr>
            <w:r>
              <w:rPr>
                <w:rFonts w:cs="Arial"/>
                <w:sz w:val="20"/>
                <w:szCs w:val="20"/>
              </w:rPr>
              <w:t>MT are still in the process of establishing new organizational structures</w:t>
            </w:r>
          </w:p>
        </w:tc>
      </w:tr>
      <w:tr w:rsidR="00DE269D" w:rsidRPr="002742DE" w:rsidTr="00DE269D">
        <w:tc>
          <w:tcPr>
            <w:tcW w:w="3048" w:type="pct"/>
          </w:tcPr>
          <w:p w:rsidR="00DE269D" w:rsidRPr="00174877"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A early warning system is in place to identify and solve any difficulties rising from intermediary bodies and beneficiairies when delivering the project pipeline;</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tcPr>
          <w:p w:rsidR="00DE269D" w:rsidRPr="002742DE" w:rsidRDefault="00DE269D" w:rsidP="00DE269D">
            <w:pPr>
              <w:tabs>
                <w:tab w:val="left" w:pos="1120"/>
              </w:tabs>
              <w:spacing w:before="60"/>
              <w:rPr>
                <w:rFonts w:cs="Arial"/>
                <w:sz w:val="20"/>
                <w:szCs w:val="20"/>
              </w:rPr>
            </w:pPr>
            <w:r w:rsidRPr="00D31E41">
              <w:rPr>
                <w:rFonts w:cs="Arial"/>
                <w:sz w:val="20"/>
                <w:szCs w:val="20"/>
              </w:rPr>
              <w:t>MT are still in the process of establishing new organizational structures</w:t>
            </w:r>
          </w:p>
        </w:tc>
      </w:tr>
      <w:tr w:rsidR="00DE269D" w:rsidRPr="002742DE" w:rsidTr="00DE269D">
        <w:tc>
          <w:tcPr>
            <w:tcW w:w="3048" w:type="pct"/>
          </w:tcPr>
          <w:p w:rsidR="00DE269D" w:rsidRPr="00B51601" w:rsidRDefault="00DE269D" w:rsidP="00DE269D">
            <w:pPr>
              <w:tabs>
                <w:tab w:val="left" w:pos="1120"/>
              </w:tabs>
              <w:spacing w:before="60"/>
              <w:rPr>
                <w:rFonts w:cs="Arial"/>
                <w:sz w:val="20"/>
                <w:szCs w:val="20"/>
              </w:rPr>
            </w:pPr>
            <w:r>
              <w:rPr>
                <w:rFonts w:cs="Arial"/>
                <w:sz w:val="20"/>
                <w:szCs w:val="20"/>
              </w:rPr>
              <w:tab/>
            </w:r>
            <w:r w:rsidRPr="00174877">
              <w:rPr>
                <w:rFonts w:cs="Arial"/>
                <w:sz w:val="20"/>
                <w:szCs w:val="20"/>
              </w:rPr>
              <w:t xml:space="preserve">Adequate assistance schemes are in </w:t>
            </w:r>
            <w:r w:rsidRPr="00B51601">
              <w:rPr>
                <w:rFonts w:cs="Arial"/>
                <w:sz w:val="20"/>
                <w:szCs w:val="20"/>
              </w:rPr>
              <w:t>place to help beneficiaries during procedure and</w:t>
            </w:r>
          </w:p>
          <w:p w:rsidR="00DE269D" w:rsidRPr="00174877" w:rsidRDefault="00DE269D" w:rsidP="00DE269D">
            <w:pPr>
              <w:tabs>
                <w:tab w:val="left" w:pos="1120"/>
              </w:tabs>
              <w:spacing w:before="60"/>
              <w:rPr>
                <w:rFonts w:cs="Arial"/>
                <w:sz w:val="20"/>
                <w:szCs w:val="20"/>
              </w:rPr>
            </w:pPr>
            <w:r w:rsidRPr="00B51601">
              <w:rPr>
                <w:rFonts w:cs="Arial"/>
                <w:sz w:val="20"/>
                <w:szCs w:val="20"/>
              </w:rPr>
              <w:t>implementation to be able to replace projects quickly when implementation is blocked.</w:t>
            </w:r>
          </w:p>
        </w:tc>
        <w:tc>
          <w:tcPr>
            <w:tcW w:w="364" w:type="pct"/>
            <w:vAlign w:val="center"/>
          </w:tcPr>
          <w:p w:rsidR="00DE269D" w:rsidRPr="002742DE" w:rsidRDefault="00DE269D" w:rsidP="00DE269D">
            <w:pPr>
              <w:tabs>
                <w:tab w:val="left" w:pos="1120"/>
              </w:tabs>
              <w:spacing w:before="60"/>
              <w:jc w:val="center"/>
              <w:rPr>
                <w:rFonts w:cs="Arial"/>
                <w:sz w:val="20"/>
                <w:szCs w:val="20"/>
              </w:rPr>
            </w:pPr>
            <w:r>
              <w:rPr>
                <w:rFonts w:cs="Arial"/>
                <w:sz w:val="20"/>
                <w:szCs w:val="20"/>
              </w:rPr>
              <w:t>NO</w:t>
            </w:r>
          </w:p>
        </w:tc>
        <w:tc>
          <w:tcPr>
            <w:tcW w:w="1589" w:type="pct"/>
          </w:tcPr>
          <w:p w:rsidR="00DE269D" w:rsidRPr="002742DE" w:rsidRDefault="00DE269D" w:rsidP="00DE269D">
            <w:pPr>
              <w:tabs>
                <w:tab w:val="left" w:pos="1120"/>
              </w:tabs>
              <w:spacing w:before="60"/>
              <w:rPr>
                <w:rFonts w:cs="Arial"/>
                <w:sz w:val="20"/>
                <w:szCs w:val="20"/>
              </w:rPr>
            </w:pPr>
            <w:r w:rsidRPr="00D31E41">
              <w:rPr>
                <w:rFonts w:cs="Arial"/>
                <w:sz w:val="20"/>
                <w:szCs w:val="20"/>
              </w:rPr>
              <w:t>MT are still in the process of establishing new organizational structures</w:t>
            </w:r>
          </w:p>
        </w:tc>
      </w:tr>
    </w:tbl>
    <w:p w:rsidR="00DE269D" w:rsidRDefault="00DE269D" w:rsidP="0018508A"/>
    <w:p w:rsidR="00DE269D" w:rsidRDefault="00DE269D" w:rsidP="0018508A"/>
    <w:p w:rsidR="00DE269D" w:rsidRDefault="00DE269D" w:rsidP="0018508A"/>
    <w:p w:rsidR="00DE269D" w:rsidRDefault="00DE269D" w:rsidP="0018508A">
      <w:pPr>
        <w:sectPr w:rsidR="00DE269D" w:rsidSect="00EF7388">
          <w:pgSz w:w="16840" w:h="11907" w:orient="landscape" w:code="9"/>
          <w:pgMar w:top="907" w:right="1418" w:bottom="709" w:left="1418" w:header="357" w:footer="567" w:gutter="0"/>
          <w:cols w:space="187"/>
          <w:docGrid w:linePitch="360"/>
        </w:sectPr>
      </w:pPr>
    </w:p>
    <w:p w:rsidR="0018508A" w:rsidRPr="00C8675F" w:rsidRDefault="0018508A" w:rsidP="0018508A"/>
    <w:p w:rsidR="0018508A" w:rsidRPr="00C8675F" w:rsidRDefault="0018508A" w:rsidP="0018508A">
      <w:pPr>
        <w:rPr>
          <w:b/>
        </w:rPr>
        <w:sectPr w:rsidR="0018508A" w:rsidRPr="00C8675F">
          <w:headerReference w:type="default" r:id="rId69"/>
          <w:footerReference w:type="default" r:id="rId70"/>
          <w:pgSz w:w="11907" w:h="16840" w:code="9"/>
          <w:pgMar w:top="-3640" w:right="709" w:bottom="1729" w:left="6146" w:header="357" w:footer="567" w:gutter="0"/>
          <w:cols w:space="720"/>
          <w:docGrid w:linePitch="360"/>
        </w:sectPr>
      </w:pPr>
    </w:p>
    <w:p w:rsidR="0018508A" w:rsidRPr="00C8675F" w:rsidRDefault="00E6494D" w:rsidP="0018508A">
      <w:pPr>
        <w:pStyle w:val="SecDivider0"/>
        <w:rPr>
          <w:lang w:val="en-GB"/>
        </w:rPr>
      </w:pPr>
      <w:r>
        <w:rPr>
          <w:lang w:val="en-GB"/>
        </w:rPr>
        <w:t xml:space="preserve">Existing Situation and </w:t>
      </w:r>
      <w:r w:rsidR="00032006">
        <w:rPr>
          <w:lang w:val="en-GB"/>
        </w:rPr>
        <w:t>Recent Transport Trends in Romania and Europe</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18508A" w:rsidRDefault="00E6494D" w:rsidP="001C6C79">
      <w:pPr>
        <w:pStyle w:val="Hdg1"/>
        <w:framePr w:wrap="notBeside"/>
      </w:pPr>
      <w:bookmarkStart w:id="47" w:name="_Toc413056035"/>
      <w:r>
        <w:t xml:space="preserve">Existing Situation and </w:t>
      </w:r>
      <w:r w:rsidR="00032006">
        <w:t>Recent Transport Trends in Romania and Europe</w:t>
      </w:r>
      <w:bookmarkEnd w:id="47"/>
    </w:p>
    <w:p w:rsidR="008B7CC2" w:rsidRPr="007A3F69" w:rsidRDefault="008B7CC2" w:rsidP="008B7CC2"/>
    <w:p w:rsidR="008B7CC2" w:rsidRDefault="008B7CC2" w:rsidP="00045287">
      <w:pPr>
        <w:pStyle w:val="Hdg2"/>
      </w:pPr>
      <w:bookmarkStart w:id="48" w:name="_Toc396982957"/>
      <w:bookmarkStart w:id="49" w:name="_Toc413056036"/>
      <w:r>
        <w:t xml:space="preserve">GTMP Relation with the Relevant EU Transport </w:t>
      </w:r>
      <w:bookmarkEnd w:id="48"/>
      <w:r>
        <w:t>Policy Documents</w:t>
      </w:r>
      <w:bookmarkEnd w:id="49"/>
    </w:p>
    <w:p w:rsidR="008B7CC2" w:rsidRDefault="008B7CC2" w:rsidP="00A4081F">
      <w:pPr>
        <w:pStyle w:val="NumberedParas"/>
      </w:pPr>
      <w:r>
        <w:t>Any national or regional economic growth is strengthened by a competitive and prog</w:t>
      </w:r>
      <w:r w:rsidR="00066342">
        <w:t xml:space="preserve">ressive transportation system, </w:t>
      </w:r>
      <w:r>
        <w:t xml:space="preserve">that is geared to the needs of customers and operated as a sustainable network offering high quality and affordable services. </w:t>
      </w:r>
    </w:p>
    <w:p w:rsidR="008B7CC2" w:rsidRDefault="008B7CC2" w:rsidP="00A4081F">
      <w:pPr>
        <w:pStyle w:val="NumberedParas"/>
      </w:pPr>
      <w:r>
        <w:t>To achieve such a system, policies of all levels have to be coordinated and harmonised. This harmonisation supports not only the economic development and trade but also avoids extra costs to the transport system, and improves the capital and labour productivity within the European Union.</w:t>
      </w:r>
    </w:p>
    <w:p w:rsidR="008B7CC2" w:rsidRDefault="008B7CC2" w:rsidP="00A4081F">
      <w:pPr>
        <w:pStyle w:val="NumberedParas"/>
      </w:pPr>
      <w:r>
        <w:t>The EU’s responsibility for policy-making varies enormously across its range of  policy interests. In some spheres arrangements are well established, and effective policy instruments – legal and financial – are usually available. In other spheres, EU involvement is marginal, policy processes may be confined to little more than occasional exchanges of ideas and information.</w:t>
      </w:r>
    </w:p>
    <w:p w:rsidR="008B7CC2" w:rsidRDefault="008B7CC2" w:rsidP="00A4081F">
      <w:pPr>
        <w:pStyle w:val="NumberedParas"/>
      </w:pPr>
      <w:r w:rsidRPr="005870B8">
        <w:t xml:space="preserve">The main aim of all EU policies is to create an integrated market, not only to dismantle internal barriers and provide conditions for fair trade, but also to give it </w:t>
      </w:r>
      <w:r>
        <w:t xml:space="preserve"> </w:t>
      </w:r>
      <w:r w:rsidRPr="005870B8">
        <w:t>many of the characteristics of a</w:t>
      </w:r>
      <w:r>
        <w:t xml:space="preserve">n economic and monetary union. </w:t>
      </w:r>
    </w:p>
    <w:p w:rsidR="008B7CC2" w:rsidRDefault="008B7CC2" w:rsidP="00A4081F">
      <w:pPr>
        <w:pStyle w:val="NumberedParas"/>
      </w:pPr>
      <w:r w:rsidRPr="004C728B">
        <w:t xml:space="preserve">The EU's main policy responsibilities could be </w:t>
      </w:r>
      <w:r>
        <w:t>divided into five major groups:</w:t>
      </w:r>
    </w:p>
    <w:p w:rsidR="008B7CC2" w:rsidRDefault="008B7CC2" w:rsidP="00273D5E">
      <w:pPr>
        <w:pStyle w:val="BulletLevel1"/>
      </w:pPr>
      <w:r w:rsidRPr="004C728B">
        <w:t>establishing the Single European Market</w:t>
      </w:r>
      <w:r>
        <w:t>;</w:t>
      </w:r>
    </w:p>
    <w:p w:rsidR="008B7CC2" w:rsidRDefault="008B7CC2" w:rsidP="00273D5E">
      <w:pPr>
        <w:pStyle w:val="BulletLevel1"/>
      </w:pPr>
      <w:r w:rsidRPr="004C728B">
        <w:t>macroe</w:t>
      </w:r>
      <w:r>
        <w:t>conomic and financial policies;</w:t>
      </w:r>
    </w:p>
    <w:p w:rsidR="008B7CC2" w:rsidRDefault="008B7CC2" w:rsidP="00273D5E">
      <w:pPr>
        <w:pStyle w:val="BulletLevel1"/>
      </w:pPr>
      <w:r>
        <w:t>functional policies;</w:t>
      </w:r>
    </w:p>
    <w:p w:rsidR="008B7CC2" w:rsidRDefault="008B7CC2" w:rsidP="00273D5E">
      <w:pPr>
        <w:pStyle w:val="BulletLevel1"/>
      </w:pPr>
      <w:r>
        <w:t>sectorial</w:t>
      </w:r>
      <w:r w:rsidRPr="004C728B">
        <w:t xml:space="preserve"> </w:t>
      </w:r>
      <w:r>
        <w:t>policies; and</w:t>
      </w:r>
    </w:p>
    <w:p w:rsidR="008B7CC2" w:rsidRDefault="008B7CC2" w:rsidP="00273D5E">
      <w:pPr>
        <w:pStyle w:val="BulletLevel1"/>
      </w:pPr>
      <w:r>
        <w:t>external policies.</w:t>
      </w:r>
    </w:p>
    <w:p w:rsidR="008B7CC2" w:rsidRDefault="008B7CC2" w:rsidP="00A4081F">
      <w:pPr>
        <w:pStyle w:val="NumberedParas"/>
      </w:pPr>
      <w:r w:rsidRPr="004C728B">
        <w:t xml:space="preserve">Functional policies have a well-defined functional purpose and more specific nature than the macroeconomic policies. The best known functional policies are the justice and home affairs, cohesion, and research and technological development. Other policies are directed towards specific economic sectors – covering coal and steel, atomic energy, agriculture and transport. These sectoral policies were explicitly provided for in the </w:t>
      </w:r>
      <w:r>
        <w:t>Founding Treaties.</w:t>
      </w:r>
    </w:p>
    <w:p w:rsidR="008B7CC2" w:rsidRPr="005870B8" w:rsidRDefault="008B7CC2" w:rsidP="00A4081F">
      <w:pPr>
        <w:pStyle w:val="NumberedParas"/>
      </w:pPr>
      <w:r w:rsidRPr="004C728B">
        <w:t xml:space="preserve">The EU transport policy is a component of this integration process. It does have a regulatory emphasis in the areas of working conditions and the environmental </w:t>
      </w:r>
      <w:r>
        <w:t xml:space="preserve"> </w:t>
      </w:r>
      <w:r w:rsidRPr="004C728B">
        <w:t>protection because of market implications.</w:t>
      </w:r>
      <w:r>
        <w:t xml:space="preserve"> </w:t>
      </w:r>
      <w:r w:rsidRPr="004C728B">
        <w:t>It a</w:t>
      </w:r>
      <w:r>
        <w:t xml:space="preserve">lso develops a framework for an </w:t>
      </w:r>
      <w:r w:rsidRPr="004C728B">
        <w:t>integrated transport market not just finding solutions to internal barriers</w:t>
      </w:r>
      <w:r>
        <w:t xml:space="preserve">. </w:t>
      </w:r>
      <w:r w:rsidRPr="004C728B">
        <w:t>rriers</w:t>
      </w:r>
      <w:r>
        <w:t>. In the transport sector, the extent of the EU policy involvement can be seen as responsibility shared between the EU and the member states</w:t>
      </w:r>
    </w:p>
    <w:p w:rsidR="008B7CC2" w:rsidRPr="00343A43" w:rsidRDefault="008B7CC2" w:rsidP="00A4081F">
      <w:pPr>
        <w:pStyle w:val="NumberedParas"/>
        <w:rPr>
          <w:rFonts w:eastAsia="Calibri"/>
        </w:rPr>
      </w:pPr>
      <w:r w:rsidRPr="00343A43">
        <w:rPr>
          <w:rStyle w:val="hps"/>
          <w:rFonts w:cs="Arial"/>
          <w:color w:val="000000"/>
        </w:rPr>
        <w:t>From the multitude</w:t>
      </w:r>
      <w:r w:rsidRPr="00343A43">
        <w:t xml:space="preserve"> </w:t>
      </w:r>
      <w:r w:rsidRPr="00343A43">
        <w:rPr>
          <w:rStyle w:val="hps"/>
          <w:rFonts w:cs="Arial"/>
          <w:color w:val="000000"/>
        </w:rPr>
        <w:t>of plans,</w:t>
      </w:r>
      <w:r w:rsidRPr="00343A43">
        <w:t xml:space="preserve"> </w:t>
      </w:r>
      <w:r w:rsidRPr="00343A43">
        <w:rPr>
          <w:rStyle w:val="hps"/>
          <w:rFonts w:cs="Arial"/>
          <w:color w:val="000000"/>
        </w:rPr>
        <w:t>strategies European</w:t>
      </w:r>
      <w:r w:rsidRPr="00343A43">
        <w:t xml:space="preserve"> programs related to the </w:t>
      </w:r>
      <w:r w:rsidRPr="00343A43">
        <w:rPr>
          <w:rStyle w:val="hps"/>
          <w:rFonts w:cs="Arial"/>
          <w:color w:val="000000"/>
        </w:rPr>
        <w:t>transport sector</w:t>
      </w:r>
      <w:r w:rsidRPr="00343A43">
        <w:t xml:space="preserve"> </w:t>
      </w:r>
      <w:r w:rsidRPr="00343A43">
        <w:rPr>
          <w:rStyle w:val="hps"/>
          <w:rFonts w:cs="Arial"/>
          <w:color w:val="000000"/>
        </w:rPr>
        <w:t xml:space="preserve">there have been </w:t>
      </w:r>
      <w:r>
        <w:rPr>
          <w:rStyle w:val="hps"/>
          <w:rFonts w:cs="Arial"/>
          <w:color w:val="000000"/>
        </w:rPr>
        <w:t>considered</w:t>
      </w:r>
      <w:r w:rsidRPr="00343A43">
        <w:rPr>
          <w:rStyle w:val="hps"/>
          <w:rFonts w:cs="Arial"/>
          <w:color w:val="000000"/>
        </w:rPr>
        <w:t xml:space="preserve"> the major</w:t>
      </w:r>
      <w:r w:rsidRPr="00343A43">
        <w:t xml:space="preserve"> </w:t>
      </w:r>
      <w:r w:rsidRPr="00343A43">
        <w:rPr>
          <w:rStyle w:val="hps"/>
          <w:rFonts w:cs="Arial"/>
          <w:color w:val="000000"/>
        </w:rPr>
        <w:t>plans programs</w:t>
      </w:r>
      <w:r w:rsidRPr="00343A43">
        <w:t xml:space="preserve">, </w:t>
      </w:r>
      <w:r w:rsidRPr="00343A43">
        <w:rPr>
          <w:rStyle w:val="hps"/>
          <w:rFonts w:cs="Arial"/>
          <w:color w:val="000000"/>
        </w:rPr>
        <w:t>strategies, policies</w:t>
      </w:r>
      <w:r>
        <w:rPr>
          <w:rStyle w:val="hps"/>
          <w:rFonts w:cs="Arial"/>
          <w:color w:val="000000"/>
        </w:rPr>
        <w:t xml:space="preserve"> and</w:t>
      </w:r>
      <w:r w:rsidRPr="00343A43">
        <w:t xml:space="preserve"> </w:t>
      </w:r>
      <w:r w:rsidRPr="00343A43">
        <w:rPr>
          <w:rStyle w:val="hps"/>
          <w:rFonts w:cs="Arial"/>
          <w:color w:val="000000"/>
        </w:rPr>
        <w:t>existing</w:t>
      </w:r>
      <w:r w:rsidRPr="00343A43">
        <w:t xml:space="preserve"> </w:t>
      </w:r>
      <w:r w:rsidRPr="00343A43">
        <w:rPr>
          <w:rStyle w:val="hps"/>
          <w:rFonts w:cs="Arial"/>
          <w:color w:val="000000"/>
        </w:rPr>
        <w:t>conventions</w:t>
      </w:r>
      <w:r w:rsidRPr="00343A43">
        <w:t xml:space="preserve"> </w:t>
      </w:r>
      <w:r w:rsidRPr="00343A43">
        <w:rPr>
          <w:rStyle w:val="hps"/>
          <w:rFonts w:cs="Arial"/>
          <w:color w:val="000000"/>
        </w:rPr>
        <w:t>order to identify</w:t>
      </w:r>
      <w:r w:rsidRPr="00343A43">
        <w:t xml:space="preserve"> </w:t>
      </w:r>
      <w:r w:rsidRPr="00343A43">
        <w:rPr>
          <w:rStyle w:val="hps"/>
          <w:rFonts w:cs="Arial"/>
          <w:color w:val="000000"/>
        </w:rPr>
        <w:t>problems</w:t>
      </w:r>
      <w:r w:rsidRPr="00343A43">
        <w:t xml:space="preserve">, </w:t>
      </w:r>
      <w:r w:rsidRPr="00343A43">
        <w:rPr>
          <w:rStyle w:val="hps"/>
          <w:rFonts w:cs="Arial"/>
          <w:color w:val="000000"/>
        </w:rPr>
        <w:t>issues</w:t>
      </w:r>
      <w:r w:rsidRPr="00343A43">
        <w:t xml:space="preserve"> </w:t>
      </w:r>
      <w:r w:rsidRPr="00343A43">
        <w:rPr>
          <w:rStyle w:val="hps"/>
          <w:rFonts w:cs="Arial"/>
          <w:color w:val="000000"/>
        </w:rPr>
        <w:t>and</w:t>
      </w:r>
      <w:r w:rsidRPr="00343A43">
        <w:t xml:space="preserve"> </w:t>
      </w:r>
      <w:r w:rsidRPr="00343A43">
        <w:rPr>
          <w:rStyle w:val="hps"/>
          <w:rFonts w:cs="Arial"/>
          <w:color w:val="000000"/>
        </w:rPr>
        <w:t>aspects</w:t>
      </w:r>
      <w:r w:rsidRPr="00343A43">
        <w:t xml:space="preserve"> </w:t>
      </w:r>
      <w:r w:rsidRPr="00343A43">
        <w:rPr>
          <w:rStyle w:val="hps"/>
          <w:rFonts w:cs="Arial"/>
          <w:color w:val="000000"/>
        </w:rPr>
        <w:t>that may influence the</w:t>
      </w:r>
      <w:r w:rsidRPr="00343A43">
        <w:t xml:space="preserve"> </w:t>
      </w:r>
      <w:r w:rsidRPr="00343A43">
        <w:rPr>
          <w:rStyle w:val="hps"/>
          <w:rFonts w:cs="Arial"/>
          <w:color w:val="000000"/>
        </w:rPr>
        <w:t>General Transport</w:t>
      </w:r>
      <w:r w:rsidRPr="00343A43">
        <w:t xml:space="preserve"> </w:t>
      </w:r>
      <w:r w:rsidRPr="00343A43">
        <w:rPr>
          <w:rStyle w:val="hps"/>
          <w:rFonts w:cs="Arial"/>
          <w:color w:val="000000"/>
        </w:rPr>
        <w:t>Master</w:t>
      </w:r>
      <w:r w:rsidRPr="00343A43">
        <w:t xml:space="preserve"> </w:t>
      </w:r>
      <w:r w:rsidRPr="00343A43">
        <w:rPr>
          <w:rStyle w:val="hps"/>
          <w:rFonts w:cs="Arial"/>
          <w:color w:val="000000"/>
        </w:rPr>
        <w:t>Plan</w:t>
      </w:r>
      <w:r w:rsidRPr="00343A43">
        <w:rPr>
          <w:rStyle w:val="hps"/>
          <w:rFonts w:cs="Arial"/>
          <w:color w:val="000000"/>
          <w:sz w:val="20"/>
          <w:szCs w:val="20"/>
        </w:rPr>
        <w:t>.</w:t>
      </w:r>
    </w:p>
    <w:p w:rsidR="008B7CC2" w:rsidRPr="00343A43" w:rsidRDefault="008B7CC2" w:rsidP="00A4081F">
      <w:pPr>
        <w:pStyle w:val="NumberedParas"/>
        <w:rPr>
          <w:rFonts w:eastAsia="Calibri"/>
        </w:rPr>
      </w:pPr>
      <w:r w:rsidRPr="00343A43">
        <w:rPr>
          <w:rFonts w:eastAsia="Calibri"/>
        </w:rPr>
        <w:t xml:space="preserve">As a result of this analysis the following </w:t>
      </w:r>
      <w:r>
        <w:rPr>
          <w:rFonts w:eastAsia="Calibri"/>
        </w:rPr>
        <w:t>conclusions were drawn</w:t>
      </w:r>
      <w:r w:rsidRPr="00343A43">
        <w:rPr>
          <w:rFonts w:eastAsia="Calibri"/>
        </w:rPr>
        <w:t>:</w:t>
      </w:r>
    </w:p>
    <w:p w:rsidR="008B7CC2" w:rsidRPr="00343A43" w:rsidRDefault="008B7CC2" w:rsidP="00273D5E">
      <w:pPr>
        <w:pStyle w:val="BulletLevel1"/>
        <w:rPr>
          <w:rFonts w:eastAsia="Calibri"/>
        </w:rPr>
      </w:pPr>
      <w:r w:rsidRPr="00343A43">
        <w:rPr>
          <w:rStyle w:val="hps"/>
          <w:rFonts w:cs="Arial"/>
          <w:color w:val="000000"/>
        </w:rPr>
        <w:t>The main</w:t>
      </w:r>
      <w:r w:rsidRPr="00343A43">
        <w:t xml:space="preserve"> </w:t>
      </w:r>
      <w:r w:rsidRPr="00343A43">
        <w:rPr>
          <w:rStyle w:val="hps"/>
          <w:rFonts w:cs="Arial"/>
          <w:color w:val="000000"/>
        </w:rPr>
        <w:t>national transport</w:t>
      </w:r>
      <w:r w:rsidRPr="00343A43">
        <w:t xml:space="preserve"> </w:t>
      </w:r>
      <w:r w:rsidRPr="00343A43">
        <w:rPr>
          <w:rStyle w:val="hps"/>
          <w:rFonts w:cs="Arial"/>
          <w:color w:val="000000"/>
        </w:rPr>
        <w:t>objectives</w:t>
      </w:r>
      <w:r w:rsidRPr="00343A43">
        <w:t xml:space="preserve"> </w:t>
      </w:r>
      <w:r w:rsidRPr="00343A43">
        <w:rPr>
          <w:rStyle w:val="hps"/>
          <w:rFonts w:cs="Arial"/>
          <w:color w:val="000000"/>
        </w:rPr>
        <w:t>are common with</w:t>
      </w:r>
      <w:r w:rsidRPr="00343A43">
        <w:t xml:space="preserve"> </w:t>
      </w:r>
      <w:r w:rsidRPr="00343A43">
        <w:rPr>
          <w:rStyle w:val="hps"/>
          <w:rFonts w:cs="Arial"/>
          <w:color w:val="000000"/>
        </w:rPr>
        <w:t>those of</w:t>
      </w:r>
      <w:r w:rsidRPr="00343A43">
        <w:t xml:space="preserve"> </w:t>
      </w:r>
      <w:r w:rsidRPr="00343A43">
        <w:rPr>
          <w:rStyle w:val="hps"/>
          <w:rFonts w:cs="Arial"/>
          <w:color w:val="000000"/>
        </w:rPr>
        <w:t>GTMP</w:t>
      </w:r>
      <w:r w:rsidRPr="00343A43">
        <w:t xml:space="preserve"> </w:t>
      </w:r>
      <w:r w:rsidRPr="00343A43">
        <w:rPr>
          <w:rStyle w:val="hps"/>
          <w:rFonts w:cs="Arial"/>
          <w:color w:val="000000"/>
        </w:rPr>
        <w:t>and</w:t>
      </w:r>
      <w:r w:rsidRPr="00343A43">
        <w:t xml:space="preserve"> </w:t>
      </w:r>
      <w:r w:rsidRPr="00343A43">
        <w:rPr>
          <w:rStyle w:val="hps"/>
          <w:rFonts w:cs="Arial"/>
          <w:color w:val="000000"/>
        </w:rPr>
        <w:t>follow</w:t>
      </w:r>
      <w:r w:rsidRPr="00343A43">
        <w:t xml:space="preserve"> </w:t>
      </w:r>
      <w:r w:rsidRPr="00343A43">
        <w:rPr>
          <w:rStyle w:val="hps"/>
          <w:rFonts w:cs="Arial"/>
          <w:color w:val="000000"/>
        </w:rPr>
        <w:t>these</w:t>
      </w:r>
      <w:r w:rsidRPr="00343A43">
        <w:rPr>
          <w:rFonts w:eastAsia="Calibri"/>
        </w:rPr>
        <w:t>:</w:t>
      </w:r>
    </w:p>
    <w:p w:rsidR="008B7CC2" w:rsidRPr="00343A43" w:rsidRDefault="008B7CC2" w:rsidP="008B7CC2">
      <w:pPr>
        <w:pStyle w:val="Bullet"/>
        <w:rPr>
          <w:bCs/>
        </w:rPr>
      </w:pPr>
      <w:r w:rsidRPr="00343A43">
        <w:rPr>
          <w:rStyle w:val="hps"/>
          <w:rFonts w:cs="Arial"/>
          <w:color w:val="000000"/>
        </w:rPr>
        <w:t>Ensuring</w:t>
      </w:r>
      <w:r w:rsidRPr="00343A43">
        <w:t xml:space="preserve"> </w:t>
      </w:r>
      <w:r w:rsidRPr="00343A43">
        <w:rPr>
          <w:rStyle w:val="hps"/>
          <w:rFonts w:cs="Arial"/>
          <w:color w:val="000000"/>
        </w:rPr>
        <w:t>economic development</w:t>
      </w:r>
      <w:r w:rsidRPr="00343A43">
        <w:t xml:space="preserve">: </w:t>
      </w:r>
      <w:r w:rsidRPr="00343A43">
        <w:rPr>
          <w:rStyle w:val="hps"/>
          <w:rFonts w:cs="Arial"/>
          <w:color w:val="000000"/>
        </w:rPr>
        <w:t>transport sector</w:t>
      </w:r>
      <w:r w:rsidRPr="00343A43">
        <w:t xml:space="preserve"> </w:t>
      </w:r>
      <w:r w:rsidRPr="00343A43">
        <w:rPr>
          <w:rStyle w:val="hps"/>
          <w:rFonts w:cs="Arial"/>
          <w:color w:val="000000"/>
        </w:rPr>
        <w:t>should contribute to the</w:t>
      </w:r>
      <w:r w:rsidRPr="00343A43">
        <w:t xml:space="preserve"> </w:t>
      </w:r>
      <w:r w:rsidRPr="00343A43">
        <w:rPr>
          <w:rStyle w:val="hps"/>
          <w:rFonts w:cs="Arial"/>
          <w:color w:val="000000"/>
        </w:rPr>
        <w:t>development of the national economy</w:t>
      </w:r>
      <w:r w:rsidRPr="00343A43">
        <w:t xml:space="preserve"> </w:t>
      </w:r>
      <w:r w:rsidRPr="00343A43">
        <w:rPr>
          <w:rStyle w:val="hps"/>
          <w:rFonts w:cs="Arial"/>
          <w:color w:val="000000"/>
        </w:rPr>
        <w:t>and the</w:t>
      </w:r>
      <w:r w:rsidRPr="00343A43">
        <w:t xml:space="preserve"> </w:t>
      </w:r>
      <w:r w:rsidRPr="00343A43">
        <w:rPr>
          <w:rStyle w:val="hps"/>
          <w:rFonts w:cs="Arial"/>
          <w:color w:val="000000"/>
        </w:rPr>
        <w:t>economic benefits should</w:t>
      </w:r>
      <w:r w:rsidRPr="00343A43">
        <w:t xml:space="preserve"> </w:t>
      </w:r>
      <w:r w:rsidRPr="00343A43">
        <w:rPr>
          <w:rStyle w:val="hps"/>
          <w:rFonts w:cs="Arial"/>
          <w:color w:val="000000"/>
        </w:rPr>
        <w:t>exceed</w:t>
      </w:r>
      <w:r w:rsidRPr="00343A43">
        <w:t xml:space="preserve"> </w:t>
      </w:r>
      <w:r w:rsidRPr="00343A43">
        <w:rPr>
          <w:rStyle w:val="hps"/>
          <w:rFonts w:cs="Arial"/>
          <w:color w:val="000000"/>
        </w:rPr>
        <w:t>its costs</w:t>
      </w:r>
      <w:r w:rsidRPr="00343A43">
        <w:rPr>
          <w:bCs/>
        </w:rPr>
        <w:t>;</w:t>
      </w:r>
    </w:p>
    <w:p w:rsidR="008B7CC2" w:rsidRPr="00343A43" w:rsidRDefault="008B7CC2" w:rsidP="008B7CC2">
      <w:pPr>
        <w:pStyle w:val="Bullet"/>
        <w:rPr>
          <w:bCs/>
        </w:rPr>
      </w:pPr>
      <w:r w:rsidRPr="00343A43">
        <w:rPr>
          <w:rStyle w:val="hps"/>
          <w:rFonts w:cs="Arial"/>
          <w:color w:val="000000"/>
        </w:rPr>
        <w:t>Sustainable development</w:t>
      </w:r>
      <w:r w:rsidRPr="00343A43">
        <w:t xml:space="preserve">: </w:t>
      </w:r>
      <w:r w:rsidRPr="00343A43">
        <w:rPr>
          <w:rStyle w:val="hps"/>
          <w:rFonts w:cs="Arial"/>
          <w:color w:val="000000"/>
        </w:rPr>
        <w:t>transport system</w:t>
      </w:r>
      <w:r w:rsidRPr="00343A43">
        <w:t xml:space="preserve"> </w:t>
      </w:r>
      <w:r w:rsidRPr="00343A43">
        <w:rPr>
          <w:rStyle w:val="hps"/>
          <w:rFonts w:cs="Arial"/>
          <w:color w:val="000000"/>
        </w:rPr>
        <w:t>must be efficient</w:t>
      </w:r>
      <w:r w:rsidRPr="00343A43">
        <w:t xml:space="preserve"> </w:t>
      </w:r>
      <w:r w:rsidRPr="00343A43">
        <w:rPr>
          <w:rStyle w:val="hps"/>
          <w:rFonts w:cs="Arial"/>
          <w:color w:val="000000"/>
        </w:rPr>
        <w:t>in terms</w:t>
      </w:r>
      <w:r w:rsidRPr="00343A43">
        <w:t xml:space="preserve"> </w:t>
      </w:r>
      <w:r w:rsidRPr="00343A43">
        <w:rPr>
          <w:rStyle w:val="hps"/>
          <w:rFonts w:cs="Arial"/>
          <w:color w:val="000000"/>
        </w:rPr>
        <w:t>of energy consumption</w:t>
      </w:r>
      <w:r w:rsidRPr="00343A43">
        <w:t xml:space="preserve">, providing </w:t>
      </w:r>
      <w:r w:rsidRPr="00343A43">
        <w:rPr>
          <w:rStyle w:val="hps"/>
          <w:rFonts w:cs="Arial"/>
          <w:color w:val="000000"/>
        </w:rPr>
        <w:t>reserves</w:t>
      </w:r>
      <w:r w:rsidRPr="00343A43">
        <w:t xml:space="preserve"> </w:t>
      </w:r>
      <w:r w:rsidRPr="00343A43">
        <w:rPr>
          <w:rStyle w:val="hps"/>
          <w:rFonts w:cs="Arial"/>
          <w:color w:val="000000"/>
        </w:rPr>
        <w:t>for future generations</w:t>
      </w:r>
      <w:r w:rsidRPr="00343A43">
        <w:rPr>
          <w:bCs/>
        </w:rPr>
        <w:t>;</w:t>
      </w:r>
    </w:p>
    <w:p w:rsidR="008B7CC2" w:rsidRPr="00343A43" w:rsidRDefault="008B7CC2" w:rsidP="008B7CC2">
      <w:pPr>
        <w:pStyle w:val="Bullet"/>
        <w:rPr>
          <w:bCs/>
        </w:rPr>
      </w:pPr>
      <w:r w:rsidRPr="00343A43">
        <w:rPr>
          <w:bCs/>
        </w:rPr>
        <w:t xml:space="preserve">Safety: </w:t>
      </w:r>
      <w:r w:rsidRPr="00343A43">
        <w:rPr>
          <w:rStyle w:val="hps"/>
          <w:rFonts w:cs="Arial"/>
          <w:color w:val="000000"/>
        </w:rPr>
        <w:t>transportation system</w:t>
      </w:r>
      <w:r w:rsidRPr="00343A43">
        <w:rPr>
          <w:rStyle w:val="shorttext"/>
          <w:rFonts w:cs="Arial"/>
          <w:color w:val="000000"/>
        </w:rPr>
        <w:t xml:space="preserve"> </w:t>
      </w:r>
      <w:r w:rsidRPr="00343A43">
        <w:rPr>
          <w:rStyle w:val="hps"/>
          <w:rFonts w:cs="Arial"/>
          <w:color w:val="000000"/>
        </w:rPr>
        <w:t>must provide</w:t>
      </w:r>
      <w:r w:rsidRPr="00343A43">
        <w:rPr>
          <w:rStyle w:val="shorttext"/>
          <w:rFonts w:cs="Arial"/>
          <w:color w:val="000000"/>
        </w:rPr>
        <w:t xml:space="preserve"> </w:t>
      </w:r>
      <w:r w:rsidRPr="00343A43">
        <w:rPr>
          <w:rStyle w:val="hps"/>
          <w:rFonts w:cs="Arial"/>
          <w:color w:val="000000"/>
        </w:rPr>
        <w:t>security</w:t>
      </w:r>
      <w:r w:rsidRPr="00343A43">
        <w:rPr>
          <w:bCs/>
        </w:rPr>
        <w:t>;</w:t>
      </w:r>
    </w:p>
    <w:p w:rsidR="008B7CC2" w:rsidRPr="00343A43" w:rsidRDefault="008B7CC2" w:rsidP="008B7CC2">
      <w:pPr>
        <w:pStyle w:val="Bullet"/>
        <w:rPr>
          <w:bCs/>
        </w:rPr>
      </w:pPr>
      <w:r w:rsidRPr="00343A43">
        <w:rPr>
          <w:rStyle w:val="hps"/>
          <w:rFonts w:cs="Arial"/>
          <w:color w:val="000000"/>
        </w:rPr>
        <w:t>Providing</w:t>
      </w:r>
      <w:r w:rsidRPr="00343A43">
        <w:t xml:space="preserve"> </w:t>
      </w:r>
      <w:r w:rsidRPr="00343A43">
        <w:rPr>
          <w:rStyle w:val="hps"/>
          <w:rFonts w:cs="Arial"/>
          <w:color w:val="000000"/>
        </w:rPr>
        <w:t>funding</w:t>
      </w:r>
      <w:r w:rsidRPr="00343A43">
        <w:t xml:space="preserve">: Master </w:t>
      </w:r>
      <w:r w:rsidRPr="00343A43">
        <w:rPr>
          <w:rStyle w:val="hps"/>
          <w:rFonts w:cs="Arial"/>
          <w:color w:val="000000"/>
        </w:rPr>
        <w:t>Plan</w:t>
      </w:r>
      <w:r w:rsidRPr="00343A43">
        <w:t xml:space="preserve"> </w:t>
      </w:r>
      <w:r w:rsidRPr="00343A43">
        <w:rPr>
          <w:rStyle w:val="hps"/>
          <w:rFonts w:cs="Arial"/>
          <w:color w:val="000000"/>
        </w:rPr>
        <w:t>should be</w:t>
      </w:r>
      <w:r w:rsidRPr="00343A43">
        <w:t xml:space="preserve"> </w:t>
      </w:r>
      <w:r w:rsidRPr="00343A43">
        <w:rPr>
          <w:rStyle w:val="hps"/>
          <w:rFonts w:cs="Arial"/>
          <w:color w:val="000000"/>
        </w:rPr>
        <w:t>able to absorb</w:t>
      </w:r>
      <w:r w:rsidRPr="00343A43">
        <w:t xml:space="preserve"> </w:t>
      </w:r>
      <w:r w:rsidRPr="00343A43">
        <w:rPr>
          <w:rStyle w:val="hps"/>
          <w:rFonts w:cs="Arial"/>
          <w:color w:val="000000"/>
        </w:rPr>
        <w:t>EU funds</w:t>
      </w:r>
      <w:r w:rsidRPr="00343A43">
        <w:rPr>
          <w:rStyle w:val="hps"/>
          <w:rFonts w:cs="Arial"/>
          <w:color w:val="000000"/>
          <w:sz w:val="20"/>
          <w:szCs w:val="20"/>
        </w:rPr>
        <w:t>.</w:t>
      </w:r>
    </w:p>
    <w:p w:rsidR="008B7CC2" w:rsidRPr="00343A43" w:rsidRDefault="008B7CC2" w:rsidP="00273D5E">
      <w:pPr>
        <w:pStyle w:val="BulletLevel1"/>
        <w:rPr>
          <w:rFonts w:eastAsia="Calibri"/>
        </w:rPr>
      </w:pPr>
      <w:r w:rsidRPr="00343A43">
        <w:rPr>
          <w:rStyle w:val="hps"/>
          <w:rFonts w:cs="Arial"/>
          <w:color w:val="000000"/>
        </w:rPr>
        <w:t>GTMP</w:t>
      </w:r>
      <w:r w:rsidRPr="00343A43">
        <w:t xml:space="preserve"> </w:t>
      </w:r>
      <w:r w:rsidRPr="00343A43">
        <w:rPr>
          <w:rStyle w:val="hps"/>
          <w:rFonts w:cs="Arial"/>
          <w:color w:val="000000"/>
        </w:rPr>
        <w:t>take</w:t>
      </w:r>
      <w:r>
        <w:rPr>
          <w:rStyle w:val="hps"/>
          <w:rFonts w:cs="Arial"/>
          <w:color w:val="000000"/>
        </w:rPr>
        <w:t>s</w:t>
      </w:r>
      <w:r w:rsidRPr="00343A43">
        <w:rPr>
          <w:rStyle w:val="hps"/>
          <w:rFonts w:cs="Arial"/>
          <w:color w:val="000000"/>
        </w:rPr>
        <w:t xml:space="preserve"> account of</w:t>
      </w:r>
      <w:r w:rsidRPr="00343A43">
        <w:t xml:space="preserve"> necessary </w:t>
      </w:r>
      <w:r w:rsidRPr="00343A43">
        <w:rPr>
          <w:rStyle w:val="hps"/>
          <w:rFonts w:cs="Arial"/>
          <w:color w:val="000000"/>
        </w:rPr>
        <w:t>measures</w:t>
      </w:r>
      <w:r w:rsidRPr="00343A43">
        <w:t xml:space="preserve"> </w:t>
      </w:r>
      <w:r w:rsidRPr="00343A43">
        <w:rPr>
          <w:rStyle w:val="hps"/>
          <w:rFonts w:cs="Arial"/>
          <w:color w:val="000000"/>
        </w:rPr>
        <w:t>to adapt to</w:t>
      </w:r>
      <w:r w:rsidRPr="00343A43">
        <w:t xml:space="preserve"> </w:t>
      </w:r>
      <w:r w:rsidRPr="00343A43">
        <w:rPr>
          <w:rStyle w:val="hps"/>
          <w:rFonts w:cs="Arial"/>
          <w:color w:val="000000"/>
        </w:rPr>
        <w:t>climate change</w:t>
      </w:r>
      <w:r w:rsidRPr="00343A43">
        <w:rPr>
          <w:rFonts w:eastAsia="Calibri"/>
        </w:rPr>
        <w:t>;</w:t>
      </w:r>
    </w:p>
    <w:p w:rsidR="008B7CC2" w:rsidRPr="00343A43" w:rsidRDefault="008B7CC2" w:rsidP="00273D5E">
      <w:pPr>
        <w:pStyle w:val="BulletLevel1"/>
        <w:rPr>
          <w:rFonts w:eastAsia="Calibri"/>
        </w:rPr>
      </w:pPr>
      <w:r w:rsidRPr="00343A43">
        <w:rPr>
          <w:rStyle w:val="hps"/>
          <w:rFonts w:cs="Arial"/>
          <w:color w:val="000000"/>
        </w:rPr>
        <w:t>Based on the</w:t>
      </w:r>
      <w:r w:rsidRPr="00343A43">
        <w:t xml:space="preserve"> </w:t>
      </w:r>
      <w:r w:rsidRPr="00343A43">
        <w:rPr>
          <w:rStyle w:val="hps"/>
          <w:rFonts w:cs="Arial"/>
          <w:color w:val="000000"/>
        </w:rPr>
        <w:t>strategies</w:t>
      </w:r>
      <w:r w:rsidRPr="00343A43">
        <w:t xml:space="preserve"> </w:t>
      </w:r>
      <w:r w:rsidRPr="00343A43">
        <w:rPr>
          <w:rStyle w:val="hps"/>
          <w:rFonts w:cs="Arial"/>
          <w:color w:val="000000"/>
        </w:rPr>
        <w:t>/</w:t>
      </w:r>
      <w:r w:rsidRPr="00343A43">
        <w:t xml:space="preserve"> </w:t>
      </w:r>
      <w:r w:rsidRPr="00343A43">
        <w:rPr>
          <w:rStyle w:val="hps"/>
          <w:rFonts w:cs="Arial"/>
          <w:color w:val="000000"/>
        </w:rPr>
        <w:t>plans</w:t>
      </w:r>
      <w:r w:rsidRPr="00343A43">
        <w:t xml:space="preserve"> </w:t>
      </w:r>
      <w:r w:rsidRPr="00343A43">
        <w:rPr>
          <w:rStyle w:val="hps"/>
          <w:rFonts w:cs="Arial"/>
          <w:color w:val="000000"/>
        </w:rPr>
        <w:t>aimed</w:t>
      </w:r>
      <w:r w:rsidRPr="00343A43">
        <w:t xml:space="preserve"> </w:t>
      </w:r>
      <w:r w:rsidRPr="00343A43">
        <w:rPr>
          <w:rStyle w:val="hps"/>
          <w:rFonts w:cs="Arial"/>
          <w:color w:val="000000"/>
        </w:rPr>
        <w:t>particularly</w:t>
      </w:r>
      <w:r w:rsidRPr="00343A43">
        <w:t xml:space="preserve"> to </w:t>
      </w:r>
      <w:r w:rsidRPr="00343A43">
        <w:rPr>
          <w:rStyle w:val="hps"/>
          <w:rFonts w:cs="Arial"/>
          <w:color w:val="000000"/>
        </w:rPr>
        <w:t>environmental protection and</w:t>
      </w:r>
      <w:r w:rsidRPr="00343A43">
        <w:t xml:space="preserve"> on the existing </w:t>
      </w:r>
      <w:r w:rsidRPr="00343A43">
        <w:rPr>
          <w:rStyle w:val="hps"/>
          <w:rFonts w:cs="Arial"/>
          <w:color w:val="000000"/>
        </w:rPr>
        <w:t>environmental issues</w:t>
      </w:r>
      <w:r w:rsidRPr="00343A43">
        <w:t xml:space="preserve"> at national level </w:t>
      </w:r>
      <w:r w:rsidRPr="00343A43">
        <w:rPr>
          <w:rStyle w:val="hps"/>
          <w:rFonts w:cs="Arial"/>
          <w:color w:val="000000"/>
        </w:rPr>
        <w:t>related to</w:t>
      </w:r>
      <w:r w:rsidRPr="00343A43">
        <w:t xml:space="preserve"> </w:t>
      </w:r>
      <w:r w:rsidRPr="00343A43">
        <w:rPr>
          <w:rStyle w:val="hps"/>
          <w:rFonts w:cs="Arial"/>
          <w:color w:val="000000"/>
        </w:rPr>
        <w:t>the</w:t>
      </w:r>
      <w:r w:rsidRPr="00343A43">
        <w:t xml:space="preserve"> </w:t>
      </w:r>
      <w:r w:rsidRPr="00343A43">
        <w:rPr>
          <w:rStyle w:val="hps"/>
          <w:rFonts w:cs="Arial"/>
          <w:color w:val="000000"/>
        </w:rPr>
        <w:t>transport sector,</w:t>
      </w:r>
      <w:r w:rsidRPr="00343A43">
        <w:t xml:space="preserve"> </w:t>
      </w:r>
      <w:r w:rsidRPr="00343A43">
        <w:rPr>
          <w:rStyle w:val="hps"/>
          <w:rFonts w:cs="Arial"/>
          <w:color w:val="000000"/>
        </w:rPr>
        <w:t>for</w:t>
      </w:r>
      <w:r w:rsidRPr="00343A43">
        <w:t xml:space="preserve"> </w:t>
      </w:r>
      <w:r w:rsidRPr="00343A43">
        <w:rPr>
          <w:rStyle w:val="hps"/>
          <w:rFonts w:cs="Arial"/>
          <w:color w:val="000000"/>
        </w:rPr>
        <w:t>GTMP</w:t>
      </w:r>
      <w:r w:rsidRPr="00343A43">
        <w:t xml:space="preserve"> there </w:t>
      </w:r>
      <w:r w:rsidRPr="00343A43">
        <w:rPr>
          <w:rStyle w:val="hps"/>
          <w:rFonts w:cs="Arial"/>
          <w:color w:val="000000"/>
        </w:rPr>
        <w:t>have been proposed</w:t>
      </w:r>
      <w:r w:rsidRPr="00343A43">
        <w:t xml:space="preserve"> </w:t>
      </w:r>
      <w:r w:rsidRPr="00343A43">
        <w:rPr>
          <w:rStyle w:val="hps"/>
          <w:rFonts w:cs="Arial"/>
          <w:color w:val="000000"/>
        </w:rPr>
        <w:t>a number of</w:t>
      </w:r>
      <w:r w:rsidRPr="00343A43">
        <w:t xml:space="preserve"> </w:t>
      </w:r>
      <w:r w:rsidRPr="00343A43">
        <w:rPr>
          <w:rStyle w:val="hps"/>
          <w:rFonts w:cs="Arial"/>
          <w:color w:val="000000"/>
        </w:rPr>
        <w:t>relevant</w:t>
      </w:r>
      <w:r w:rsidRPr="00343A43">
        <w:t xml:space="preserve"> </w:t>
      </w:r>
      <w:r w:rsidRPr="00343A43">
        <w:rPr>
          <w:rStyle w:val="hps"/>
          <w:rFonts w:cs="Arial"/>
          <w:color w:val="000000"/>
        </w:rPr>
        <w:t>environmental</w:t>
      </w:r>
      <w:r w:rsidRPr="00343A43">
        <w:t xml:space="preserve"> </w:t>
      </w:r>
      <w:r w:rsidRPr="00343A43">
        <w:rPr>
          <w:rStyle w:val="hps"/>
          <w:rFonts w:cs="Arial"/>
          <w:color w:val="000000"/>
        </w:rPr>
        <w:t>objectives</w:t>
      </w:r>
      <w:r w:rsidRPr="00343A43">
        <w:t xml:space="preserve"> </w:t>
      </w:r>
      <w:r w:rsidRPr="00343A43">
        <w:rPr>
          <w:rStyle w:val="hps"/>
          <w:rFonts w:cs="Arial"/>
          <w:color w:val="000000"/>
        </w:rPr>
        <w:t>which take into account</w:t>
      </w:r>
      <w:r w:rsidRPr="00343A43">
        <w:t xml:space="preserve"> </w:t>
      </w:r>
      <w:r w:rsidRPr="00343A43">
        <w:rPr>
          <w:rStyle w:val="hps"/>
          <w:rFonts w:cs="Arial"/>
          <w:color w:val="000000"/>
        </w:rPr>
        <w:t>the targets set</w:t>
      </w:r>
      <w:r w:rsidRPr="00343A43">
        <w:t xml:space="preserve"> </w:t>
      </w:r>
      <w:r w:rsidRPr="00343A43">
        <w:rPr>
          <w:rStyle w:val="hps"/>
          <w:rFonts w:cs="Arial"/>
          <w:color w:val="000000"/>
        </w:rPr>
        <w:t>at national and</w:t>
      </w:r>
      <w:r w:rsidRPr="00343A43">
        <w:t xml:space="preserve"> </w:t>
      </w:r>
      <w:r w:rsidRPr="00343A43">
        <w:rPr>
          <w:rStyle w:val="hps"/>
          <w:rFonts w:cs="Arial"/>
          <w:color w:val="000000"/>
        </w:rPr>
        <w:t>European level for the</w:t>
      </w:r>
      <w:r w:rsidRPr="00343A43">
        <w:t xml:space="preserve"> </w:t>
      </w:r>
      <w:r w:rsidRPr="00343A43">
        <w:rPr>
          <w:rStyle w:val="hps"/>
          <w:rFonts w:cs="Arial"/>
          <w:color w:val="000000"/>
        </w:rPr>
        <w:t>environment protection</w:t>
      </w:r>
      <w:r w:rsidRPr="00343A43">
        <w:t xml:space="preserve"> </w:t>
      </w:r>
      <w:r w:rsidRPr="00343A43">
        <w:rPr>
          <w:rStyle w:val="hps"/>
          <w:rFonts w:cs="Arial"/>
          <w:color w:val="000000"/>
        </w:rPr>
        <w:t>(see</w:t>
      </w:r>
      <w:r w:rsidRPr="00343A43">
        <w:t xml:space="preserve"> </w:t>
      </w:r>
      <w:r w:rsidRPr="00343A43">
        <w:rPr>
          <w:rStyle w:val="hps"/>
          <w:rFonts w:cs="Arial"/>
          <w:color w:val="000000"/>
        </w:rPr>
        <w:t>also</w:t>
      </w:r>
      <w:r>
        <w:rPr>
          <w:rStyle w:val="hps"/>
          <w:rFonts w:cs="Arial"/>
          <w:color w:val="000000"/>
        </w:rPr>
        <w:t xml:space="preserve"> Section 2.3 – Objective Setting</w:t>
      </w:r>
      <w:r w:rsidRPr="00343A43">
        <w:rPr>
          <w:rStyle w:val="hps"/>
          <w:rFonts w:cs="Arial"/>
          <w:color w:val="000000"/>
        </w:rPr>
        <w:t>).</w:t>
      </w:r>
    </w:p>
    <w:p w:rsidR="008B7CC2" w:rsidRPr="00343A43" w:rsidRDefault="008B7CC2" w:rsidP="00A4081F">
      <w:pPr>
        <w:pStyle w:val="NumberedParas"/>
        <w:rPr>
          <w:rFonts w:eastAsia="Calibri"/>
        </w:rPr>
      </w:pPr>
      <w:r>
        <w:rPr>
          <w:rStyle w:val="hps"/>
          <w:rFonts w:cs="Arial"/>
          <w:color w:val="000000"/>
        </w:rPr>
        <w:t>A series of national and European policty documents were analyzed, with respect to the relation with the Master Plan, among wich the most relevant ones were:</w:t>
      </w:r>
    </w:p>
    <w:p w:rsidR="008B7CC2" w:rsidRPr="00343A43" w:rsidRDefault="008B7CC2" w:rsidP="00273D5E">
      <w:pPr>
        <w:pStyle w:val="BulletLevel1"/>
        <w:rPr>
          <w:rFonts w:eastAsia="Calibri"/>
        </w:rPr>
      </w:pPr>
      <w:r>
        <w:rPr>
          <w:rStyle w:val="hps"/>
          <w:rFonts w:cs="Arial"/>
          <w:color w:val="000000"/>
        </w:rPr>
        <w:t>European and N</w:t>
      </w:r>
      <w:r w:rsidRPr="00343A43">
        <w:rPr>
          <w:rStyle w:val="hps"/>
          <w:rFonts w:cs="Arial"/>
          <w:color w:val="000000"/>
        </w:rPr>
        <w:t>ational</w:t>
      </w:r>
      <w:r w:rsidRPr="00343A43">
        <w:rPr>
          <w:rStyle w:val="shorttext"/>
          <w:rFonts w:cs="Arial"/>
          <w:color w:val="000000"/>
        </w:rPr>
        <w:t xml:space="preserve"> </w:t>
      </w:r>
      <w:r>
        <w:rPr>
          <w:rStyle w:val="shorttext"/>
          <w:rFonts w:cs="Arial"/>
          <w:color w:val="000000"/>
        </w:rPr>
        <w:t>P</w:t>
      </w:r>
      <w:r w:rsidRPr="00343A43">
        <w:rPr>
          <w:rStyle w:val="hps"/>
          <w:rFonts w:cs="Arial"/>
          <w:color w:val="000000"/>
        </w:rPr>
        <w:t>olicies</w:t>
      </w:r>
    </w:p>
    <w:p w:rsidR="008B7CC2" w:rsidRDefault="008B7CC2" w:rsidP="008B7CC2">
      <w:pPr>
        <w:pStyle w:val="Bullet"/>
        <w:rPr>
          <w:rFonts w:eastAsia="Calibri"/>
          <w:b/>
        </w:rPr>
      </w:pPr>
      <w:r>
        <w:rPr>
          <w:rFonts w:eastAsia="Calibri"/>
          <w:b/>
        </w:rPr>
        <w:t>TEN-T Regulations</w:t>
      </w:r>
      <w:r>
        <w:rPr>
          <w:rStyle w:val="FootnoteReference"/>
          <w:rFonts w:eastAsia="Calibri"/>
          <w:b/>
        </w:rPr>
        <w:footnoteReference w:id="6"/>
      </w:r>
    </w:p>
    <w:p w:rsidR="008B7CC2" w:rsidRPr="007A4386" w:rsidRDefault="008B7CC2" w:rsidP="008B7CC2">
      <w:pPr>
        <w:pStyle w:val="Bullet"/>
        <w:rPr>
          <w:rFonts w:eastAsia="Calibri"/>
          <w:b/>
        </w:rPr>
      </w:pPr>
      <w:r w:rsidRPr="007A4386">
        <w:rPr>
          <w:rFonts w:eastAsia="Calibri"/>
          <w:b/>
        </w:rPr>
        <w:t>EU White Paper on Transport 2011)</w:t>
      </w:r>
      <w:r w:rsidRPr="007A4386">
        <w:rPr>
          <w:rFonts w:eastAsia="Calibri"/>
          <w:b/>
          <w:vertAlign w:val="superscript"/>
        </w:rPr>
        <w:footnoteReference w:id="7"/>
      </w:r>
    </w:p>
    <w:p w:rsidR="008B7CC2" w:rsidRPr="00343A43" w:rsidRDefault="008B7CC2" w:rsidP="008B7CC2">
      <w:pPr>
        <w:pStyle w:val="Bullet"/>
        <w:rPr>
          <w:rFonts w:eastAsia="Calibri"/>
        </w:rPr>
      </w:pPr>
      <w:r w:rsidRPr="00343A43">
        <w:rPr>
          <w:rStyle w:val="hps"/>
          <w:rFonts w:cs="Arial"/>
          <w:color w:val="000000"/>
        </w:rPr>
        <w:t>Government</w:t>
      </w:r>
      <w:r w:rsidRPr="00343A43">
        <w:t xml:space="preserve"> </w:t>
      </w:r>
      <w:r w:rsidRPr="00343A43">
        <w:rPr>
          <w:rStyle w:val="hps"/>
          <w:rFonts w:cs="Arial"/>
          <w:color w:val="000000"/>
        </w:rPr>
        <w:t>programs</w:t>
      </w:r>
      <w:r w:rsidRPr="00343A43">
        <w:t xml:space="preserve"> </w:t>
      </w:r>
      <w:r w:rsidRPr="00343A43">
        <w:rPr>
          <w:rStyle w:val="hps"/>
          <w:rFonts w:cs="Arial"/>
          <w:color w:val="000000"/>
        </w:rPr>
        <w:t>2013-2016</w:t>
      </w:r>
      <w:r w:rsidRPr="00343A43">
        <w:t xml:space="preserve"> </w:t>
      </w:r>
      <w:r w:rsidRPr="00343A43">
        <w:rPr>
          <w:rStyle w:val="hps"/>
          <w:rFonts w:cs="Arial"/>
          <w:color w:val="000000"/>
        </w:rPr>
        <w:t>-</w:t>
      </w:r>
      <w:r w:rsidRPr="00343A43">
        <w:t xml:space="preserve"> </w:t>
      </w:r>
      <w:r w:rsidRPr="00343A43">
        <w:rPr>
          <w:rStyle w:val="hps"/>
          <w:rFonts w:cs="Arial"/>
          <w:color w:val="000000"/>
        </w:rPr>
        <w:t>transport</w:t>
      </w:r>
      <w:r w:rsidRPr="00343A43">
        <w:t xml:space="preserve"> </w:t>
      </w:r>
      <w:r w:rsidRPr="00343A43">
        <w:rPr>
          <w:rStyle w:val="hps"/>
          <w:rFonts w:cs="Arial"/>
          <w:color w:val="000000"/>
        </w:rPr>
        <w:t>policy</w:t>
      </w:r>
      <w:r w:rsidRPr="00343A43">
        <w:t xml:space="preserve"> </w:t>
      </w:r>
      <w:r w:rsidRPr="00343A43">
        <w:rPr>
          <w:rStyle w:val="hps"/>
          <w:rFonts w:cs="Arial"/>
          <w:color w:val="000000"/>
        </w:rPr>
        <w:t>proposed</w:t>
      </w:r>
      <w:r w:rsidRPr="00343A43">
        <w:t xml:space="preserve"> </w:t>
      </w:r>
      <w:r w:rsidRPr="00343A43">
        <w:rPr>
          <w:rStyle w:val="hps"/>
          <w:rFonts w:cs="Arial"/>
          <w:color w:val="000000"/>
        </w:rPr>
        <w:t>by the Romanian Government</w:t>
      </w:r>
      <w:r w:rsidRPr="00343A43">
        <w:rPr>
          <w:rFonts w:eastAsia="Calibri"/>
          <w:vertAlign w:val="superscript"/>
        </w:rPr>
        <w:t xml:space="preserve"> </w:t>
      </w:r>
      <w:r w:rsidRPr="00343A43">
        <w:rPr>
          <w:rFonts w:eastAsia="Calibri"/>
          <w:vertAlign w:val="superscript"/>
        </w:rPr>
        <w:footnoteReference w:id="8"/>
      </w:r>
    </w:p>
    <w:p w:rsidR="008B7CC2" w:rsidRPr="00343A43" w:rsidRDefault="008B7CC2" w:rsidP="008B7CC2">
      <w:pPr>
        <w:pStyle w:val="Bullet"/>
        <w:rPr>
          <w:rFonts w:eastAsia="Calibri"/>
        </w:rPr>
      </w:pPr>
      <w:r w:rsidRPr="00343A43">
        <w:rPr>
          <w:rStyle w:val="hps"/>
          <w:rFonts w:cs="Arial"/>
          <w:color w:val="000000"/>
        </w:rPr>
        <w:t>Strategic</w:t>
      </w:r>
      <w:r w:rsidRPr="00343A43">
        <w:t xml:space="preserve"> </w:t>
      </w:r>
      <w:r w:rsidRPr="00343A43">
        <w:rPr>
          <w:rStyle w:val="hps"/>
          <w:rFonts w:cs="Arial"/>
          <w:color w:val="000000"/>
        </w:rPr>
        <w:t>Plan</w:t>
      </w:r>
      <w:r w:rsidRPr="00343A43">
        <w:t xml:space="preserve"> </w:t>
      </w:r>
      <w:r w:rsidRPr="00343A43">
        <w:rPr>
          <w:rStyle w:val="hps"/>
          <w:rFonts w:cs="Arial"/>
          <w:color w:val="000000"/>
        </w:rPr>
        <w:t>Integrated</w:t>
      </w:r>
      <w:r w:rsidRPr="00343A43">
        <w:t xml:space="preserve"> for </w:t>
      </w:r>
      <w:r w:rsidRPr="00343A43">
        <w:rPr>
          <w:rStyle w:val="hps"/>
          <w:rFonts w:cs="Arial"/>
          <w:color w:val="000000"/>
        </w:rPr>
        <w:t>Transport</w:t>
      </w:r>
      <w:r w:rsidRPr="00343A43">
        <w:t xml:space="preserve"> </w:t>
      </w:r>
      <w:r w:rsidRPr="00343A43">
        <w:rPr>
          <w:rStyle w:val="hps"/>
          <w:rFonts w:cs="Arial"/>
          <w:color w:val="000000"/>
        </w:rPr>
        <w:t>and</w:t>
      </w:r>
      <w:r w:rsidRPr="00343A43">
        <w:t xml:space="preserve"> </w:t>
      </w:r>
      <w:r w:rsidRPr="00343A43">
        <w:rPr>
          <w:rStyle w:val="hps"/>
          <w:rFonts w:cs="Arial"/>
          <w:color w:val="000000"/>
        </w:rPr>
        <w:t>Infrastructure</w:t>
      </w:r>
      <w:r w:rsidRPr="00343A43">
        <w:t xml:space="preserve"> </w:t>
      </w:r>
      <w:r w:rsidRPr="00343A43">
        <w:rPr>
          <w:rStyle w:val="hps"/>
          <w:rFonts w:cs="Arial"/>
          <w:color w:val="000000"/>
        </w:rPr>
        <w:t>-</w:t>
      </w:r>
      <w:r w:rsidRPr="00343A43">
        <w:t xml:space="preserve"> </w:t>
      </w:r>
      <w:r w:rsidRPr="00343A43">
        <w:rPr>
          <w:rStyle w:val="hps"/>
          <w:rFonts w:cs="Arial"/>
          <w:color w:val="000000"/>
        </w:rPr>
        <w:t>June 2009 (</w:t>
      </w:r>
      <w:r w:rsidRPr="00343A43">
        <w:t xml:space="preserve">Ministry of Transport </w:t>
      </w:r>
      <w:r w:rsidRPr="00343A43">
        <w:rPr>
          <w:rStyle w:val="hps"/>
          <w:rFonts w:cs="Arial"/>
          <w:color w:val="000000"/>
        </w:rPr>
        <w:t>Policy</w:t>
      </w:r>
      <w:r w:rsidRPr="00343A43">
        <w:rPr>
          <w:rFonts w:eastAsia="Calibri"/>
        </w:rPr>
        <w:t>)</w:t>
      </w:r>
      <w:r w:rsidRPr="00343A43">
        <w:rPr>
          <w:rFonts w:eastAsia="Calibri"/>
          <w:vertAlign w:val="superscript"/>
        </w:rPr>
        <w:footnoteReference w:id="9"/>
      </w:r>
    </w:p>
    <w:p w:rsidR="008B7CC2" w:rsidRPr="00343A43" w:rsidRDefault="008B7CC2" w:rsidP="00273D5E">
      <w:pPr>
        <w:pStyle w:val="BulletLevel1"/>
        <w:rPr>
          <w:rFonts w:eastAsia="Calibri"/>
        </w:rPr>
      </w:pPr>
      <w:r w:rsidRPr="00343A43">
        <w:rPr>
          <w:rStyle w:val="hps"/>
          <w:rFonts w:cs="Arial"/>
          <w:color w:val="000000"/>
        </w:rPr>
        <w:t>Partnership Agreements</w:t>
      </w:r>
    </w:p>
    <w:p w:rsidR="008B7CC2" w:rsidRPr="00343A43" w:rsidRDefault="008B7CC2" w:rsidP="008B7CC2">
      <w:pPr>
        <w:pStyle w:val="Bullet"/>
        <w:rPr>
          <w:rFonts w:eastAsia="Calibri"/>
        </w:rPr>
      </w:pPr>
      <w:r w:rsidRPr="00343A43">
        <w:rPr>
          <w:rStyle w:val="hps"/>
          <w:rFonts w:cs="Arial"/>
          <w:color w:val="000000"/>
        </w:rPr>
        <w:t>Partnership Agreement</w:t>
      </w:r>
      <w:r w:rsidRPr="00343A43">
        <w:t xml:space="preserve"> </w:t>
      </w:r>
      <w:r w:rsidRPr="00343A43">
        <w:rPr>
          <w:rStyle w:val="hps"/>
          <w:rFonts w:cs="Arial"/>
          <w:color w:val="000000"/>
        </w:rPr>
        <w:t>proposed by</w:t>
      </w:r>
      <w:r w:rsidRPr="00343A43">
        <w:t xml:space="preserve"> </w:t>
      </w:r>
      <w:r w:rsidRPr="00343A43">
        <w:rPr>
          <w:rStyle w:val="hps"/>
          <w:rFonts w:cs="Arial"/>
          <w:color w:val="000000"/>
        </w:rPr>
        <w:t>Romania</w:t>
      </w:r>
      <w:r w:rsidRPr="00343A43">
        <w:t xml:space="preserve"> </w:t>
      </w:r>
      <w:r w:rsidRPr="00343A43">
        <w:rPr>
          <w:rStyle w:val="hps"/>
          <w:rFonts w:cs="Arial"/>
          <w:color w:val="000000"/>
        </w:rPr>
        <w:t>for the programming period</w:t>
      </w:r>
      <w:r w:rsidRPr="00343A43">
        <w:t xml:space="preserve"> </w:t>
      </w:r>
      <w:r w:rsidRPr="00343A43">
        <w:rPr>
          <w:rStyle w:val="hps"/>
          <w:rFonts w:cs="Arial"/>
          <w:color w:val="000000"/>
        </w:rPr>
        <w:t>2014-2020</w:t>
      </w:r>
      <w:r w:rsidRPr="00343A43">
        <w:t xml:space="preserve"> </w:t>
      </w:r>
      <w:r w:rsidRPr="00343A43">
        <w:rPr>
          <w:rStyle w:val="hps"/>
          <w:rFonts w:cs="Arial"/>
          <w:color w:val="000000"/>
        </w:rPr>
        <w:t>(Ministry of</w:t>
      </w:r>
      <w:r w:rsidRPr="00343A43">
        <w:t xml:space="preserve"> </w:t>
      </w:r>
      <w:r w:rsidRPr="00343A43">
        <w:rPr>
          <w:rStyle w:val="hps"/>
          <w:rFonts w:cs="Arial"/>
          <w:color w:val="000000"/>
        </w:rPr>
        <w:t>European Funds</w:t>
      </w:r>
      <w:r w:rsidRPr="00343A43">
        <w:rPr>
          <w:rFonts w:eastAsia="Calibri"/>
        </w:rPr>
        <w:t>)</w:t>
      </w:r>
      <w:r w:rsidRPr="00343A43">
        <w:rPr>
          <w:rFonts w:eastAsia="Calibri"/>
          <w:vertAlign w:val="superscript"/>
        </w:rPr>
        <w:footnoteReference w:id="10"/>
      </w:r>
    </w:p>
    <w:p w:rsidR="008B7CC2" w:rsidRPr="00343A43" w:rsidRDefault="008B7CC2" w:rsidP="00273D5E">
      <w:pPr>
        <w:pStyle w:val="BulletLevel1"/>
        <w:rPr>
          <w:rFonts w:eastAsia="Calibri"/>
        </w:rPr>
      </w:pPr>
      <w:r>
        <w:rPr>
          <w:rFonts w:eastAsia="Calibri"/>
        </w:rPr>
        <w:t>European and N</w:t>
      </w:r>
      <w:r w:rsidRPr="00343A43">
        <w:rPr>
          <w:rFonts w:eastAsia="Calibri"/>
        </w:rPr>
        <w:t xml:space="preserve">ational </w:t>
      </w:r>
      <w:r>
        <w:rPr>
          <w:rFonts w:eastAsia="Calibri"/>
        </w:rPr>
        <w:t>P</w:t>
      </w:r>
      <w:r w:rsidRPr="00343A43">
        <w:rPr>
          <w:rFonts w:eastAsia="Calibri"/>
        </w:rPr>
        <w:t>rograms</w:t>
      </w:r>
    </w:p>
    <w:p w:rsidR="008B7CC2" w:rsidRPr="00343A43" w:rsidRDefault="008B7CC2" w:rsidP="008B7CC2">
      <w:pPr>
        <w:pStyle w:val="Bullet"/>
        <w:rPr>
          <w:rFonts w:eastAsia="Calibri"/>
        </w:rPr>
      </w:pPr>
      <w:r w:rsidRPr="00343A43">
        <w:rPr>
          <w:rStyle w:val="hps"/>
          <w:rFonts w:cs="Arial"/>
          <w:color w:val="000000"/>
        </w:rPr>
        <w:t>Integrated</w:t>
      </w:r>
      <w:r w:rsidRPr="00343A43">
        <w:t xml:space="preserve"> </w:t>
      </w:r>
      <w:r w:rsidRPr="00343A43">
        <w:rPr>
          <w:rStyle w:val="hps"/>
          <w:rFonts w:cs="Arial"/>
          <w:color w:val="000000"/>
        </w:rPr>
        <w:t>European action program</w:t>
      </w:r>
      <w:r w:rsidRPr="00343A43">
        <w:t xml:space="preserve"> </w:t>
      </w:r>
      <w:r w:rsidRPr="00343A43">
        <w:rPr>
          <w:rStyle w:val="hps"/>
          <w:rFonts w:cs="Arial"/>
          <w:color w:val="000000"/>
        </w:rPr>
        <w:t>for inland</w:t>
      </w:r>
      <w:r w:rsidRPr="00343A43">
        <w:t xml:space="preserve"> </w:t>
      </w:r>
      <w:r>
        <w:t>o</w:t>
      </w:r>
      <w:r w:rsidRPr="00343A43">
        <w:rPr>
          <w:rStyle w:val="hps"/>
          <w:rFonts w:cs="Arial"/>
          <w:color w:val="000000"/>
        </w:rPr>
        <w:t>waterway -</w:t>
      </w:r>
      <w:r w:rsidRPr="00343A43">
        <w:t xml:space="preserve"> </w:t>
      </w:r>
      <w:r w:rsidRPr="00343A43">
        <w:rPr>
          <w:rStyle w:val="hps"/>
          <w:rFonts w:cs="Arial"/>
          <w:color w:val="000000"/>
        </w:rPr>
        <w:t>NAIADES</w:t>
      </w:r>
      <w:r w:rsidRPr="00343A43">
        <w:t xml:space="preserve"> </w:t>
      </w:r>
      <w:r w:rsidRPr="00343A43">
        <w:rPr>
          <w:rStyle w:val="hps"/>
          <w:rFonts w:cs="Arial"/>
          <w:color w:val="000000"/>
        </w:rPr>
        <w:t>I and</w:t>
      </w:r>
      <w:r w:rsidRPr="00343A43">
        <w:t xml:space="preserve"> </w:t>
      </w:r>
      <w:r w:rsidRPr="00343A43">
        <w:rPr>
          <w:rStyle w:val="hps"/>
          <w:rFonts w:cs="Arial"/>
          <w:color w:val="000000"/>
        </w:rPr>
        <w:t>II</w:t>
      </w:r>
      <w:r w:rsidRPr="00343A43">
        <w:rPr>
          <w:rFonts w:eastAsia="Calibri"/>
        </w:rPr>
        <w:t xml:space="preserve"> </w:t>
      </w:r>
      <w:r w:rsidRPr="00343A43">
        <w:rPr>
          <w:rFonts w:eastAsia="Calibri"/>
          <w:vertAlign w:val="superscript"/>
        </w:rPr>
        <w:footnoteReference w:id="11"/>
      </w:r>
    </w:p>
    <w:p w:rsidR="008B7CC2" w:rsidRPr="00343A43" w:rsidRDefault="008B7CC2" w:rsidP="008B7CC2">
      <w:pPr>
        <w:pStyle w:val="Bullet"/>
        <w:rPr>
          <w:rFonts w:eastAsia="Calibri"/>
        </w:rPr>
      </w:pPr>
      <w:r w:rsidRPr="00343A43">
        <w:rPr>
          <w:rStyle w:val="hps"/>
          <w:rFonts w:cs="Arial"/>
          <w:color w:val="000000"/>
        </w:rPr>
        <w:t>Sectoral Operational Programme</w:t>
      </w:r>
      <w:r w:rsidRPr="00343A43">
        <w:t xml:space="preserve"> </w:t>
      </w:r>
      <w:r w:rsidRPr="00343A43">
        <w:rPr>
          <w:rStyle w:val="hps"/>
          <w:rFonts w:cs="Arial"/>
          <w:color w:val="000000"/>
        </w:rPr>
        <w:t>Transport</w:t>
      </w:r>
      <w:r w:rsidRPr="00343A43">
        <w:t xml:space="preserve"> </w:t>
      </w:r>
      <w:r w:rsidRPr="00343A43">
        <w:rPr>
          <w:rStyle w:val="hps"/>
          <w:rFonts w:cs="Arial"/>
          <w:color w:val="000000"/>
        </w:rPr>
        <w:t>(POST</w:t>
      </w:r>
      <w:r w:rsidRPr="00343A43">
        <w:t xml:space="preserve">) </w:t>
      </w:r>
      <w:r w:rsidRPr="00343A43">
        <w:rPr>
          <w:rStyle w:val="hps"/>
          <w:rFonts w:cs="Arial"/>
          <w:color w:val="000000"/>
        </w:rPr>
        <w:t>2007-2013</w:t>
      </w:r>
      <w:r w:rsidRPr="00343A43">
        <w:t xml:space="preserve">, </w:t>
      </w:r>
      <w:r w:rsidRPr="00343A43">
        <w:rPr>
          <w:rStyle w:val="hps"/>
          <w:rFonts w:cs="Arial"/>
          <w:color w:val="000000"/>
        </w:rPr>
        <w:t>Revision 2</w:t>
      </w:r>
      <w:r w:rsidRPr="00343A43">
        <w:rPr>
          <w:rFonts w:eastAsia="Calibri"/>
          <w:vertAlign w:val="superscript"/>
        </w:rPr>
        <w:footnoteReference w:id="12"/>
      </w:r>
    </w:p>
    <w:p w:rsidR="008B7CC2" w:rsidRPr="00343A43" w:rsidRDefault="008B7CC2" w:rsidP="008B7CC2">
      <w:pPr>
        <w:pStyle w:val="Bullet"/>
        <w:rPr>
          <w:rFonts w:eastAsia="Calibri"/>
        </w:rPr>
      </w:pPr>
      <w:r w:rsidRPr="00343A43">
        <w:rPr>
          <w:rStyle w:val="hps"/>
          <w:rFonts w:cs="Arial"/>
          <w:color w:val="000000"/>
        </w:rPr>
        <w:t>Strategic development program</w:t>
      </w:r>
      <w:r w:rsidRPr="00343A43">
        <w:t xml:space="preserve"> </w:t>
      </w:r>
      <w:r w:rsidRPr="00343A43">
        <w:rPr>
          <w:rStyle w:val="hps"/>
          <w:rFonts w:cs="Arial"/>
          <w:color w:val="000000"/>
        </w:rPr>
        <w:t>of airport infrastructure</w:t>
      </w:r>
      <w:r w:rsidRPr="00343A43">
        <w:t xml:space="preserve"> </w:t>
      </w:r>
      <w:r w:rsidRPr="00343A43">
        <w:rPr>
          <w:rStyle w:val="hps"/>
          <w:rFonts w:cs="Arial"/>
          <w:color w:val="000000"/>
        </w:rPr>
        <w:t>Bucharest</w:t>
      </w:r>
      <w:r w:rsidRPr="00343A43">
        <w:t xml:space="preserve"> </w:t>
      </w:r>
      <w:r w:rsidRPr="00343A43">
        <w:rPr>
          <w:rStyle w:val="hps"/>
          <w:rFonts w:cs="Arial"/>
          <w:color w:val="000000"/>
        </w:rPr>
        <w:t>Otopeni</w:t>
      </w:r>
      <w:r w:rsidRPr="00343A43">
        <w:t xml:space="preserve"> </w:t>
      </w:r>
      <w:r w:rsidRPr="00343A43">
        <w:rPr>
          <w:rStyle w:val="hps"/>
          <w:rFonts w:cs="Arial"/>
          <w:color w:val="000000"/>
        </w:rPr>
        <w:t>International</w:t>
      </w:r>
      <w:r w:rsidRPr="00343A43">
        <w:t xml:space="preserve"> </w:t>
      </w:r>
      <w:r w:rsidRPr="00343A43">
        <w:rPr>
          <w:rStyle w:val="hps"/>
          <w:rFonts w:cs="Arial"/>
          <w:color w:val="000000"/>
        </w:rPr>
        <w:t>Airport</w:t>
      </w:r>
      <w:r w:rsidRPr="00343A43">
        <w:rPr>
          <w:rFonts w:eastAsia="Calibri"/>
        </w:rPr>
        <w:t xml:space="preserve"> (1999-2015) – Law220/2002 (Gazette no 288/29.04.2002) approving the government ordinance no. 64/1999 (Gazette no. 405/26.08.1999)</w:t>
      </w:r>
    </w:p>
    <w:p w:rsidR="008B7CC2" w:rsidRPr="00343A43" w:rsidRDefault="008B7CC2" w:rsidP="008B7CC2">
      <w:pPr>
        <w:pStyle w:val="Bullet"/>
        <w:rPr>
          <w:rFonts w:eastAsia="Calibri"/>
        </w:rPr>
      </w:pPr>
      <w:r w:rsidRPr="00343A43">
        <w:rPr>
          <w:rStyle w:val="hps"/>
          <w:rFonts w:cs="Arial"/>
          <w:color w:val="000000"/>
        </w:rPr>
        <w:t>Strategic development program</w:t>
      </w:r>
      <w:r w:rsidRPr="00343A43">
        <w:t xml:space="preserve"> </w:t>
      </w:r>
      <w:r w:rsidRPr="00343A43">
        <w:rPr>
          <w:rStyle w:val="hps"/>
          <w:rFonts w:cs="Arial"/>
          <w:color w:val="000000"/>
        </w:rPr>
        <w:t>of airport infrastructure</w:t>
      </w:r>
      <w:r w:rsidRPr="00343A43">
        <w:t xml:space="preserve"> </w:t>
      </w:r>
      <w:r w:rsidRPr="00343A43">
        <w:rPr>
          <w:rStyle w:val="hps"/>
          <w:rFonts w:cs="Arial"/>
          <w:color w:val="000000"/>
        </w:rPr>
        <w:t>at</w:t>
      </w:r>
      <w:r w:rsidRPr="00343A43">
        <w:t xml:space="preserve"> </w:t>
      </w:r>
      <w:r w:rsidRPr="00343A43">
        <w:rPr>
          <w:rStyle w:val="hps"/>
          <w:rFonts w:cs="Arial"/>
          <w:color w:val="000000"/>
        </w:rPr>
        <w:t>SN</w:t>
      </w:r>
      <w:r w:rsidRPr="00343A43">
        <w:t xml:space="preserve"> </w:t>
      </w:r>
      <w:r w:rsidRPr="00343A43">
        <w:rPr>
          <w:rStyle w:val="hps"/>
          <w:rFonts w:cs="Arial"/>
          <w:color w:val="000000"/>
        </w:rPr>
        <w:t>International</w:t>
      </w:r>
      <w:r w:rsidRPr="00343A43">
        <w:t xml:space="preserve"> </w:t>
      </w:r>
      <w:r w:rsidRPr="00343A43">
        <w:rPr>
          <w:rStyle w:val="hps"/>
          <w:rFonts w:cs="Arial"/>
          <w:color w:val="000000"/>
        </w:rPr>
        <w:t>Airport</w:t>
      </w:r>
      <w:r w:rsidRPr="00343A43">
        <w:t xml:space="preserve"> </w:t>
      </w:r>
      <w:r w:rsidRPr="00343A43">
        <w:rPr>
          <w:rStyle w:val="hps"/>
          <w:rFonts w:cs="Arial"/>
          <w:color w:val="000000"/>
        </w:rPr>
        <w:t>Constanta</w:t>
      </w:r>
      <w:r w:rsidRPr="00343A43">
        <w:t xml:space="preserve"> </w:t>
      </w:r>
      <w:r w:rsidRPr="00343A43">
        <w:rPr>
          <w:rStyle w:val="hps"/>
          <w:rFonts w:cs="Arial"/>
          <w:color w:val="000000"/>
        </w:rPr>
        <w:t>SA</w:t>
      </w:r>
      <w:r w:rsidRPr="00343A43">
        <w:t xml:space="preserve"> </w:t>
      </w:r>
      <w:r w:rsidRPr="00343A43">
        <w:rPr>
          <w:rStyle w:val="hps"/>
          <w:rFonts w:cs="Arial"/>
          <w:color w:val="000000"/>
        </w:rPr>
        <w:t>between 2002-2015</w:t>
      </w:r>
      <w:r w:rsidRPr="00343A43">
        <w:t xml:space="preserve"> </w:t>
      </w:r>
      <w:r w:rsidRPr="00343A43">
        <w:rPr>
          <w:rStyle w:val="hps"/>
          <w:rFonts w:cs="Arial"/>
          <w:color w:val="000000"/>
        </w:rPr>
        <w:t>-</w:t>
      </w:r>
      <w:r w:rsidRPr="00343A43">
        <w:t xml:space="preserve"> </w:t>
      </w:r>
      <w:r w:rsidRPr="00343A43">
        <w:rPr>
          <w:rStyle w:val="hps"/>
          <w:rFonts w:cs="Arial"/>
          <w:color w:val="000000"/>
        </w:rPr>
        <w:t>GD</w:t>
      </w:r>
      <w:r w:rsidRPr="00343A43">
        <w:t xml:space="preserve">. </w:t>
      </w:r>
      <w:r w:rsidRPr="00343A43">
        <w:rPr>
          <w:rStyle w:val="hps"/>
          <w:rFonts w:cs="Arial"/>
          <w:color w:val="000000"/>
        </w:rPr>
        <w:t>623/2002</w:t>
      </w:r>
      <w:r w:rsidRPr="00343A43">
        <w:t xml:space="preserve"> </w:t>
      </w:r>
      <w:r w:rsidRPr="00343A43">
        <w:rPr>
          <w:rStyle w:val="hps"/>
          <w:rFonts w:cs="Arial"/>
          <w:color w:val="000000"/>
        </w:rPr>
        <w:t>(</w:t>
      </w:r>
      <w:r w:rsidRPr="00343A43">
        <w:t xml:space="preserve">Gazette. </w:t>
      </w:r>
      <w:r w:rsidRPr="00343A43">
        <w:rPr>
          <w:rStyle w:val="hps"/>
          <w:rFonts w:cs="Arial"/>
          <w:color w:val="000000"/>
        </w:rPr>
        <w:t>No.</w:t>
      </w:r>
      <w:r w:rsidRPr="00343A43">
        <w:t xml:space="preserve"> </w:t>
      </w:r>
      <w:r w:rsidRPr="00343A43">
        <w:rPr>
          <w:rStyle w:val="hps"/>
          <w:rFonts w:cs="Arial"/>
          <w:color w:val="000000"/>
        </w:rPr>
        <w:t>458 /</w:t>
      </w:r>
      <w:r w:rsidRPr="00343A43">
        <w:t xml:space="preserve"> </w:t>
      </w:r>
      <w:r w:rsidRPr="00343A43">
        <w:rPr>
          <w:rStyle w:val="hps"/>
          <w:rFonts w:cs="Arial"/>
          <w:color w:val="000000"/>
        </w:rPr>
        <w:t>27.06.2002</w:t>
      </w:r>
      <w:r w:rsidRPr="00343A43">
        <w:rPr>
          <w:rFonts w:eastAsia="Calibri"/>
        </w:rPr>
        <w:t>)</w:t>
      </w:r>
    </w:p>
    <w:p w:rsidR="008B7CC2" w:rsidRPr="00343A43" w:rsidRDefault="008B7CC2" w:rsidP="008B7CC2">
      <w:pPr>
        <w:pStyle w:val="Bullet"/>
        <w:rPr>
          <w:rFonts w:eastAsia="Calibri"/>
        </w:rPr>
      </w:pPr>
      <w:r w:rsidRPr="00343A43">
        <w:rPr>
          <w:rStyle w:val="hps"/>
          <w:rFonts w:cs="Arial"/>
          <w:color w:val="000000"/>
        </w:rPr>
        <w:t>Strategic development program</w:t>
      </w:r>
      <w:r w:rsidRPr="00343A43">
        <w:t xml:space="preserve"> </w:t>
      </w:r>
      <w:r w:rsidRPr="00343A43">
        <w:rPr>
          <w:rStyle w:val="hps"/>
          <w:rFonts w:cs="Arial"/>
          <w:color w:val="000000"/>
        </w:rPr>
        <w:t>of airport infrastructure</w:t>
      </w:r>
      <w:r w:rsidRPr="00343A43">
        <w:t xml:space="preserve"> </w:t>
      </w:r>
      <w:r w:rsidRPr="00343A43">
        <w:rPr>
          <w:rStyle w:val="hps"/>
          <w:rFonts w:cs="Arial"/>
          <w:color w:val="000000"/>
        </w:rPr>
        <w:t>at</w:t>
      </w:r>
      <w:r w:rsidRPr="00343A43">
        <w:t xml:space="preserve"> </w:t>
      </w:r>
      <w:r w:rsidRPr="00343A43">
        <w:rPr>
          <w:rStyle w:val="hps"/>
          <w:rFonts w:cs="Arial"/>
          <w:color w:val="000000"/>
        </w:rPr>
        <w:t>SN</w:t>
      </w:r>
      <w:r w:rsidRPr="00343A43">
        <w:t xml:space="preserve"> </w:t>
      </w:r>
      <w:r w:rsidRPr="00343A43">
        <w:rPr>
          <w:rStyle w:val="hps"/>
          <w:rFonts w:cs="Arial"/>
          <w:color w:val="000000"/>
        </w:rPr>
        <w:t>International Airport</w:t>
      </w:r>
      <w:r w:rsidRPr="00343A43">
        <w:t xml:space="preserve"> </w:t>
      </w:r>
      <w:r w:rsidRPr="00343A43">
        <w:rPr>
          <w:rStyle w:val="hps"/>
          <w:rFonts w:cs="Arial"/>
          <w:color w:val="000000"/>
        </w:rPr>
        <w:t>SA</w:t>
      </w:r>
      <w:r w:rsidRPr="00343A43">
        <w:t xml:space="preserve"> </w:t>
      </w:r>
      <w:r w:rsidRPr="00343A43">
        <w:rPr>
          <w:rStyle w:val="hps"/>
          <w:rFonts w:cs="Arial"/>
          <w:color w:val="000000"/>
        </w:rPr>
        <w:t>between 2002-2015</w:t>
      </w:r>
      <w:r w:rsidRPr="00343A43">
        <w:t xml:space="preserve"> </w:t>
      </w:r>
      <w:r w:rsidRPr="00343A43">
        <w:rPr>
          <w:rStyle w:val="hps"/>
          <w:rFonts w:cs="Arial"/>
          <w:color w:val="000000"/>
        </w:rPr>
        <w:t>-</w:t>
      </w:r>
      <w:r w:rsidRPr="00343A43">
        <w:t xml:space="preserve"> </w:t>
      </w:r>
      <w:r w:rsidRPr="00343A43">
        <w:rPr>
          <w:rStyle w:val="hps"/>
          <w:rFonts w:cs="Arial"/>
          <w:color w:val="000000"/>
        </w:rPr>
        <w:t>GD</w:t>
      </w:r>
      <w:r w:rsidRPr="00343A43">
        <w:t xml:space="preserve">. </w:t>
      </w:r>
      <w:r w:rsidRPr="00343A43">
        <w:rPr>
          <w:rStyle w:val="hps"/>
          <w:rFonts w:cs="Arial"/>
          <w:color w:val="000000"/>
        </w:rPr>
        <w:t>60/2003</w:t>
      </w:r>
      <w:r w:rsidRPr="00343A43">
        <w:t xml:space="preserve"> </w:t>
      </w:r>
      <w:r w:rsidRPr="00343A43">
        <w:rPr>
          <w:rStyle w:val="hps"/>
          <w:rFonts w:cs="Arial"/>
          <w:color w:val="000000"/>
        </w:rPr>
        <w:t>(</w:t>
      </w:r>
      <w:r w:rsidRPr="00343A43">
        <w:t xml:space="preserve">Gazette. </w:t>
      </w:r>
      <w:r w:rsidRPr="00343A43">
        <w:rPr>
          <w:rStyle w:val="hps"/>
          <w:rFonts w:cs="Arial"/>
          <w:color w:val="000000"/>
        </w:rPr>
        <w:t>No.</w:t>
      </w:r>
      <w:r w:rsidRPr="00343A43">
        <w:t xml:space="preserve"> </w:t>
      </w:r>
      <w:r w:rsidRPr="00343A43">
        <w:rPr>
          <w:rStyle w:val="hps"/>
          <w:rFonts w:cs="Arial"/>
          <w:color w:val="000000"/>
        </w:rPr>
        <w:t>76</w:t>
      </w:r>
      <w:r w:rsidRPr="00343A43">
        <w:t xml:space="preserve"> </w:t>
      </w:r>
      <w:r w:rsidRPr="00343A43">
        <w:rPr>
          <w:rStyle w:val="hps"/>
          <w:rFonts w:cs="Arial"/>
          <w:color w:val="000000"/>
        </w:rPr>
        <w:t>/</w:t>
      </w:r>
      <w:r w:rsidRPr="00343A43">
        <w:t xml:space="preserve"> </w:t>
      </w:r>
      <w:r w:rsidRPr="00343A43">
        <w:rPr>
          <w:rStyle w:val="hps"/>
          <w:rFonts w:cs="Arial"/>
          <w:color w:val="000000"/>
        </w:rPr>
        <w:t>06.02.2003</w:t>
      </w:r>
      <w:r w:rsidRPr="00343A43">
        <w:t xml:space="preserve">) amending </w:t>
      </w:r>
      <w:r w:rsidRPr="00343A43">
        <w:rPr>
          <w:rStyle w:val="hps"/>
          <w:rFonts w:cs="Arial"/>
          <w:color w:val="000000"/>
        </w:rPr>
        <w:t>GD</w:t>
      </w:r>
      <w:r w:rsidRPr="00343A43">
        <w:t xml:space="preserve"> </w:t>
      </w:r>
      <w:r w:rsidRPr="00343A43">
        <w:rPr>
          <w:rStyle w:val="hps"/>
          <w:rFonts w:cs="Arial"/>
          <w:color w:val="000000"/>
        </w:rPr>
        <w:t>615/2002</w:t>
      </w:r>
      <w:r w:rsidRPr="00343A43">
        <w:t xml:space="preserve"> </w:t>
      </w:r>
      <w:r w:rsidRPr="00343A43">
        <w:rPr>
          <w:rStyle w:val="hps"/>
          <w:rFonts w:cs="Arial"/>
          <w:color w:val="000000"/>
        </w:rPr>
        <w:t>(</w:t>
      </w:r>
      <w:r w:rsidRPr="00343A43">
        <w:t xml:space="preserve">Gazette. </w:t>
      </w:r>
      <w:r w:rsidRPr="00343A43">
        <w:rPr>
          <w:rStyle w:val="hps"/>
          <w:rFonts w:cs="Arial"/>
          <w:color w:val="000000"/>
        </w:rPr>
        <w:t>488 /</w:t>
      </w:r>
      <w:r w:rsidRPr="00343A43">
        <w:t xml:space="preserve"> </w:t>
      </w:r>
      <w:r w:rsidRPr="00343A43">
        <w:rPr>
          <w:rStyle w:val="hps"/>
          <w:rFonts w:cs="Arial"/>
          <w:color w:val="000000"/>
        </w:rPr>
        <w:t>08.07.2002</w:t>
      </w:r>
      <w:r w:rsidRPr="00343A43">
        <w:t>)</w:t>
      </w:r>
    </w:p>
    <w:p w:rsidR="008B7CC2" w:rsidRPr="00343A43" w:rsidRDefault="008B7CC2" w:rsidP="00273D5E">
      <w:pPr>
        <w:pStyle w:val="BulletLevel1"/>
        <w:rPr>
          <w:rFonts w:eastAsia="Calibri"/>
        </w:rPr>
      </w:pPr>
      <w:r>
        <w:rPr>
          <w:rFonts w:eastAsia="Calibri"/>
        </w:rPr>
        <w:t>National P</w:t>
      </w:r>
      <w:r w:rsidRPr="00343A43">
        <w:rPr>
          <w:rFonts w:eastAsia="Calibri"/>
        </w:rPr>
        <w:t>lans</w:t>
      </w:r>
    </w:p>
    <w:p w:rsidR="008B7CC2" w:rsidRPr="00343A43" w:rsidRDefault="008B7CC2" w:rsidP="008B7CC2">
      <w:pPr>
        <w:pStyle w:val="Bullet"/>
        <w:rPr>
          <w:rFonts w:eastAsia="Calibri"/>
        </w:rPr>
      </w:pPr>
      <w:r w:rsidRPr="00343A43">
        <w:rPr>
          <w:rStyle w:val="hps"/>
          <w:rFonts w:cs="Arial"/>
          <w:color w:val="000000"/>
        </w:rPr>
        <w:t>National Action</w:t>
      </w:r>
      <w:r w:rsidRPr="00343A43">
        <w:t xml:space="preserve"> </w:t>
      </w:r>
      <w:r w:rsidRPr="00343A43">
        <w:rPr>
          <w:rStyle w:val="hps"/>
          <w:rFonts w:cs="Arial"/>
          <w:color w:val="000000"/>
        </w:rPr>
        <w:t>Plan</w:t>
      </w:r>
      <w:r w:rsidRPr="00343A43">
        <w:t xml:space="preserve"> </w:t>
      </w:r>
      <w:r w:rsidRPr="00343A43">
        <w:rPr>
          <w:rStyle w:val="hps"/>
          <w:rFonts w:cs="Arial"/>
          <w:color w:val="000000"/>
        </w:rPr>
        <w:t>for Energy Efficiency</w:t>
      </w:r>
      <w:r w:rsidRPr="00343A43">
        <w:t xml:space="preserve"> </w:t>
      </w:r>
      <w:r w:rsidRPr="00343A43">
        <w:rPr>
          <w:rStyle w:val="hps"/>
          <w:rFonts w:cs="Arial"/>
          <w:color w:val="000000"/>
        </w:rPr>
        <w:t>(</w:t>
      </w:r>
      <w:r w:rsidRPr="00343A43">
        <w:t xml:space="preserve">NAPEF) </w:t>
      </w:r>
      <w:r w:rsidRPr="00343A43">
        <w:rPr>
          <w:rStyle w:val="hps"/>
          <w:rFonts w:cs="Arial"/>
          <w:color w:val="000000"/>
        </w:rPr>
        <w:t>-</w:t>
      </w:r>
      <w:r w:rsidRPr="00343A43">
        <w:t xml:space="preserve"> </w:t>
      </w:r>
      <w:r w:rsidRPr="00343A43">
        <w:rPr>
          <w:rStyle w:val="hps"/>
          <w:rFonts w:cs="Arial"/>
          <w:color w:val="000000"/>
        </w:rPr>
        <w:t>developed</w:t>
      </w:r>
      <w:r w:rsidRPr="00343A43">
        <w:t xml:space="preserve"> </w:t>
      </w:r>
      <w:r w:rsidRPr="00343A43">
        <w:rPr>
          <w:rStyle w:val="hps"/>
          <w:rFonts w:cs="Arial"/>
          <w:color w:val="000000"/>
        </w:rPr>
        <w:t>in 2007</w:t>
      </w:r>
      <w:r w:rsidRPr="00343A43">
        <w:t xml:space="preserve">, </w:t>
      </w:r>
      <w:r w:rsidRPr="00343A43">
        <w:rPr>
          <w:rStyle w:val="hps"/>
          <w:rFonts w:cs="Arial"/>
          <w:color w:val="000000"/>
        </w:rPr>
        <w:t>under review</w:t>
      </w:r>
    </w:p>
    <w:p w:rsidR="008B7CC2" w:rsidRPr="00343A43" w:rsidRDefault="008B7CC2" w:rsidP="008B7CC2">
      <w:pPr>
        <w:pStyle w:val="Bullet"/>
        <w:rPr>
          <w:rFonts w:eastAsia="Calibri"/>
        </w:rPr>
      </w:pPr>
      <w:r w:rsidRPr="00343A43">
        <w:rPr>
          <w:rStyle w:val="hps"/>
          <w:rFonts w:cs="Arial"/>
          <w:color w:val="000000"/>
        </w:rPr>
        <w:t>National Spatial</w:t>
      </w:r>
      <w:r w:rsidRPr="00343A43">
        <w:t xml:space="preserve"> </w:t>
      </w:r>
      <w:r w:rsidRPr="00343A43">
        <w:rPr>
          <w:rStyle w:val="hps"/>
          <w:rFonts w:cs="Arial"/>
          <w:color w:val="000000"/>
        </w:rPr>
        <w:t>Plan</w:t>
      </w:r>
      <w:r w:rsidRPr="00343A43">
        <w:t xml:space="preserve"> </w:t>
      </w:r>
      <w:r w:rsidRPr="00343A43">
        <w:rPr>
          <w:rStyle w:val="hps"/>
          <w:rFonts w:cs="Arial"/>
          <w:color w:val="000000"/>
        </w:rPr>
        <w:t>(</w:t>
      </w:r>
      <w:r w:rsidRPr="00343A43">
        <w:t xml:space="preserve">NSP) </w:t>
      </w:r>
      <w:r w:rsidRPr="00343A43">
        <w:rPr>
          <w:rStyle w:val="hps"/>
          <w:rFonts w:cs="Arial"/>
          <w:color w:val="000000"/>
        </w:rPr>
        <w:t>-</w:t>
      </w:r>
      <w:r w:rsidRPr="00343A43">
        <w:t xml:space="preserve"> </w:t>
      </w:r>
      <w:r w:rsidRPr="00343A43">
        <w:rPr>
          <w:rStyle w:val="hps"/>
          <w:rFonts w:cs="Arial"/>
          <w:color w:val="000000"/>
        </w:rPr>
        <w:t>Section 1</w:t>
      </w:r>
      <w:r w:rsidRPr="00343A43">
        <w:t xml:space="preserve"> </w:t>
      </w:r>
      <w:r w:rsidRPr="00343A43">
        <w:rPr>
          <w:rStyle w:val="hps"/>
          <w:rFonts w:cs="Arial"/>
          <w:color w:val="000000"/>
        </w:rPr>
        <w:t>transport network</w:t>
      </w:r>
      <w:r w:rsidRPr="00343A43">
        <w:t>. Ke</w:t>
      </w:r>
      <w:r w:rsidRPr="00343A43">
        <w:rPr>
          <w:rStyle w:val="hps"/>
          <w:rFonts w:cs="Arial"/>
          <w:color w:val="000000"/>
        </w:rPr>
        <w:t>y</w:t>
      </w:r>
      <w:r w:rsidRPr="00343A43">
        <w:t xml:space="preserve"> </w:t>
      </w:r>
      <w:r w:rsidRPr="00343A43">
        <w:rPr>
          <w:rStyle w:val="hps"/>
          <w:rFonts w:cs="Arial"/>
          <w:color w:val="000000"/>
        </w:rPr>
        <w:t>rail</w:t>
      </w:r>
      <w:r w:rsidRPr="00343A43">
        <w:t xml:space="preserve"> </w:t>
      </w:r>
      <w:r w:rsidRPr="00343A43">
        <w:rPr>
          <w:rStyle w:val="hps"/>
          <w:rFonts w:cs="Arial"/>
          <w:color w:val="000000"/>
        </w:rPr>
        <w:t>and</w:t>
      </w:r>
      <w:r w:rsidRPr="00343A43">
        <w:t xml:space="preserve"> </w:t>
      </w:r>
      <w:r w:rsidRPr="00343A43">
        <w:rPr>
          <w:rStyle w:val="hps"/>
          <w:rFonts w:cs="Arial"/>
          <w:color w:val="000000"/>
        </w:rPr>
        <w:t>road networks</w:t>
      </w:r>
      <w:r w:rsidRPr="00343A43">
        <w:t xml:space="preserve"> </w:t>
      </w:r>
      <w:r w:rsidRPr="00343A43">
        <w:rPr>
          <w:rStyle w:val="hps"/>
          <w:rFonts w:cs="Arial"/>
          <w:color w:val="000000"/>
        </w:rPr>
        <w:t>(Law</w:t>
      </w:r>
      <w:r w:rsidRPr="00343A43">
        <w:t xml:space="preserve"> </w:t>
      </w:r>
      <w:r w:rsidRPr="00343A43">
        <w:rPr>
          <w:rStyle w:val="hps"/>
          <w:rFonts w:cs="Arial"/>
          <w:color w:val="000000"/>
        </w:rPr>
        <w:t>363/2006</w:t>
      </w:r>
      <w:r w:rsidRPr="00343A43">
        <w:t>)</w:t>
      </w:r>
    </w:p>
    <w:p w:rsidR="008B7CC2" w:rsidRPr="00343A43" w:rsidRDefault="008B7CC2" w:rsidP="008B7CC2">
      <w:pPr>
        <w:pStyle w:val="Bullet"/>
        <w:rPr>
          <w:rFonts w:eastAsia="Calibri"/>
        </w:rPr>
      </w:pPr>
      <w:r w:rsidRPr="00343A43">
        <w:rPr>
          <w:rStyle w:val="hps"/>
          <w:rFonts w:cs="Arial"/>
          <w:color w:val="000000"/>
        </w:rPr>
        <w:t>LAW</w:t>
      </w:r>
      <w:r w:rsidRPr="00343A43">
        <w:t xml:space="preserve">. </w:t>
      </w:r>
      <w:r w:rsidRPr="00343A43">
        <w:rPr>
          <w:rStyle w:val="hps"/>
          <w:rFonts w:cs="Arial"/>
          <w:color w:val="000000"/>
        </w:rPr>
        <w:t>203 of</w:t>
      </w:r>
      <w:r w:rsidRPr="00343A43">
        <w:t xml:space="preserve"> </w:t>
      </w:r>
      <w:r w:rsidRPr="00343A43">
        <w:rPr>
          <w:rStyle w:val="hps"/>
          <w:rFonts w:cs="Arial"/>
          <w:color w:val="000000"/>
        </w:rPr>
        <w:t>16 May 2003</w:t>
      </w:r>
      <w:r w:rsidRPr="00343A43">
        <w:t xml:space="preserve"> </w:t>
      </w:r>
      <w:r w:rsidRPr="00343A43">
        <w:rPr>
          <w:rStyle w:val="hps"/>
          <w:rFonts w:cs="Arial"/>
          <w:color w:val="000000"/>
        </w:rPr>
        <w:t>on the implementation</w:t>
      </w:r>
      <w:r w:rsidRPr="00343A43">
        <w:t xml:space="preserve">, development and </w:t>
      </w:r>
      <w:r w:rsidRPr="00343A43">
        <w:rPr>
          <w:rStyle w:val="hps"/>
          <w:rFonts w:cs="Arial"/>
          <w:color w:val="000000"/>
        </w:rPr>
        <w:t>modernization of</w:t>
      </w:r>
      <w:r w:rsidRPr="00343A43">
        <w:t xml:space="preserve"> the </w:t>
      </w:r>
      <w:r w:rsidRPr="00343A43">
        <w:rPr>
          <w:rStyle w:val="hps"/>
          <w:rFonts w:cs="Arial"/>
          <w:color w:val="000000"/>
        </w:rPr>
        <w:t>national and</w:t>
      </w:r>
      <w:r w:rsidRPr="00343A43">
        <w:t xml:space="preserve"> </w:t>
      </w:r>
      <w:r w:rsidRPr="00343A43">
        <w:rPr>
          <w:rStyle w:val="hps"/>
          <w:rFonts w:cs="Arial"/>
          <w:color w:val="000000"/>
        </w:rPr>
        <w:t>European</w:t>
      </w:r>
      <w:r w:rsidRPr="00343A43">
        <w:t xml:space="preserve"> </w:t>
      </w:r>
      <w:r w:rsidRPr="00343A43">
        <w:rPr>
          <w:rStyle w:val="hps"/>
          <w:rFonts w:cs="Arial"/>
          <w:color w:val="000000"/>
        </w:rPr>
        <w:t>transport</w:t>
      </w:r>
      <w:r w:rsidRPr="00343A43">
        <w:rPr>
          <w:rFonts w:eastAsia="Calibri"/>
        </w:rPr>
        <w:t xml:space="preserve"> </w:t>
      </w:r>
    </w:p>
    <w:p w:rsidR="008B7CC2" w:rsidRPr="00343A43" w:rsidRDefault="008B7CC2" w:rsidP="008B7CC2">
      <w:pPr>
        <w:pStyle w:val="Bullet"/>
        <w:rPr>
          <w:rFonts w:eastAsia="Calibri"/>
        </w:rPr>
      </w:pPr>
      <w:r w:rsidRPr="00343A43">
        <w:rPr>
          <w:rStyle w:val="hps"/>
          <w:rFonts w:cs="Arial"/>
          <w:color w:val="000000"/>
        </w:rPr>
        <w:t>Management Plan</w:t>
      </w:r>
      <w:r w:rsidRPr="00343A43">
        <w:t xml:space="preserve"> </w:t>
      </w:r>
      <w:r w:rsidRPr="00343A43">
        <w:rPr>
          <w:rStyle w:val="hps"/>
          <w:rFonts w:cs="Arial"/>
          <w:color w:val="000000"/>
        </w:rPr>
        <w:t>for the</w:t>
      </w:r>
      <w:r w:rsidRPr="00343A43">
        <w:t xml:space="preserve"> </w:t>
      </w:r>
      <w:r w:rsidRPr="00343A43">
        <w:rPr>
          <w:rStyle w:val="hps"/>
          <w:rFonts w:cs="Arial"/>
          <w:color w:val="000000"/>
        </w:rPr>
        <w:t>National</w:t>
      </w:r>
      <w:r w:rsidRPr="00343A43">
        <w:t xml:space="preserve"> </w:t>
      </w:r>
      <w:r w:rsidRPr="00343A43">
        <w:rPr>
          <w:rStyle w:val="hps"/>
          <w:rFonts w:cs="Arial"/>
          <w:color w:val="000000"/>
        </w:rPr>
        <w:t>portion</w:t>
      </w:r>
      <w:r w:rsidRPr="00343A43">
        <w:t xml:space="preserve"> </w:t>
      </w:r>
      <w:r w:rsidRPr="00343A43">
        <w:rPr>
          <w:rStyle w:val="hps"/>
          <w:rFonts w:cs="Arial"/>
          <w:color w:val="000000"/>
        </w:rPr>
        <w:t>of the Danube River</w:t>
      </w:r>
      <w:r w:rsidRPr="00343A43">
        <w:t xml:space="preserve"> </w:t>
      </w:r>
      <w:r w:rsidRPr="00343A43">
        <w:rPr>
          <w:rStyle w:val="hps"/>
          <w:rFonts w:cs="Arial"/>
          <w:color w:val="000000"/>
        </w:rPr>
        <w:t>International</w:t>
      </w:r>
      <w:r w:rsidRPr="00343A43">
        <w:t xml:space="preserve"> </w:t>
      </w:r>
      <w:r w:rsidRPr="00343A43">
        <w:rPr>
          <w:rStyle w:val="hps"/>
          <w:rFonts w:cs="Arial"/>
          <w:color w:val="000000"/>
        </w:rPr>
        <w:t>Basin</w:t>
      </w:r>
      <w:r w:rsidRPr="00343A43">
        <w:t xml:space="preserve"> </w:t>
      </w:r>
      <w:r w:rsidRPr="00343A43">
        <w:rPr>
          <w:rStyle w:val="hps"/>
          <w:rFonts w:cs="Arial"/>
          <w:color w:val="000000"/>
        </w:rPr>
        <w:t>-Synthesis</w:t>
      </w:r>
      <w:r w:rsidRPr="00343A43">
        <w:t xml:space="preserve"> of the </w:t>
      </w:r>
      <w:r w:rsidRPr="00343A43">
        <w:rPr>
          <w:rStyle w:val="hps"/>
          <w:rFonts w:cs="Arial"/>
          <w:color w:val="000000"/>
        </w:rPr>
        <w:t>management plans</w:t>
      </w:r>
      <w:r w:rsidRPr="00343A43">
        <w:t xml:space="preserve"> at </w:t>
      </w:r>
      <w:r w:rsidRPr="00343A43">
        <w:rPr>
          <w:rStyle w:val="hps"/>
          <w:rFonts w:cs="Arial"/>
          <w:color w:val="000000"/>
        </w:rPr>
        <w:t>basin</w:t>
      </w:r>
      <w:r w:rsidRPr="00343A43">
        <w:t xml:space="preserve"> </w:t>
      </w:r>
      <w:r w:rsidRPr="00343A43">
        <w:rPr>
          <w:rStyle w:val="hps"/>
          <w:rFonts w:cs="Arial"/>
          <w:color w:val="000000"/>
        </w:rPr>
        <w:t>/</w:t>
      </w:r>
      <w:r w:rsidRPr="00343A43">
        <w:t xml:space="preserve"> </w:t>
      </w:r>
      <w:r w:rsidRPr="00343A43">
        <w:rPr>
          <w:rStyle w:val="hps"/>
          <w:rFonts w:cs="Arial"/>
          <w:color w:val="000000"/>
        </w:rPr>
        <w:t>catchment</w:t>
      </w:r>
      <w:r w:rsidRPr="00343A43">
        <w:t xml:space="preserve"> </w:t>
      </w:r>
      <w:r w:rsidRPr="00343A43">
        <w:rPr>
          <w:rStyle w:val="hps"/>
          <w:rFonts w:cs="Arial"/>
          <w:color w:val="000000"/>
        </w:rPr>
        <w:t>areas level</w:t>
      </w:r>
      <w:r w:rsidRPr="00343A43">
        <w:rPr>
          <w:rStyle w:val="hps"/>
          <w:rFonts w:cs="Arial"/>
          <w:color w:val="000000"/>
          <w:sz w:val="20"/>
          <w:szCs w:val="20"/>
        </w:rPr>
        <w:t xml:space="preserve">. </w:t>
      </w:r>
      <w:r w:rsidRPr="00343A43" w:rsidDel="00F40950">
        <w:rPr>
          <w:rFonts w:eastAsia="Calibri"/>
        </w:rPr>
        <w:t xml:space="preserve"> </w:t>
      </w:r>
    </w:p>
    <w:p w:rsidR="008B7CC2" w:rsidRPr="00343A43" w:rsidRDefault="008B7CC2" w:rsidP="00273D5E">
      <w:pPr>
        <w:pStyle w:val="BulletLevel1"/>
        <w:rPr>
          <w:rFonts w:eastAsia="Calibri"/>
        </w:rPr>
      </w:pPr>
      <w:r>
        <w:rPr>
          <w:rFonts w:eastAsia="Calibri"/>
        </w:rPr>
        <w:t>European and National S</w:t>
      </w:r>
      <w:r w:rsidRPr="00343A43">
        <w:rPr>
          <w:rFonts w:eastAsia="Calibri"/>
        </w:rPr>
        <w:t xml:space="preserve">trategies </w:t>
      </w:r>
    </w:p>
    <w:p w:rsidR="008B7CC2" w:rsidRPr="007A4386" w:rsidRDefault="008B7CC2" w:rsidP="008B7CC2">
      <w:pPr>
        <w:pStyle w:val="Bullet"/>
        <w:rPr>
          <w:rFonts w:eastAsia="Calibri"/>
          <w:b/>
        </w:rPr>
      </w:pPr>
      <w:r w:rsidRPr="007A4386">
        <w:rPr>
          <w:rFonts w:eastAsia="Calibri"/>
          <w:b/>
        </w:rPr>
        <w:t>Europe 2020</w:t>
      </w:r>
      <w:r w:rsidRPr="007A4386">
        <w:rPr>
          <w:rFonts w:eastAsia="Calibri"/>
          <w:b/>
          <w:sz w:val="20"/>
          <w:szCs w:val="20"/>
        </w:rPr>
        <w:t xml:space="preserve"> </w:t>
      </w:r>
      <w:r w:rsidRPr="007A4386">
        <w:rPr>
          <w:rFonts w:eastAsia="Calibri"/>
          <w:b/>
        </w:rPr>
        <w:t>Strategy</w:t>
      </w:r>
      <w:r w:rsidRPr="007A4386">
        <w:rPr>
          <w:rFonts w:eastAsia="Calibri"/>
          <w:b/>
          <w:vertAlign w:val="superscript"/>
        </w:rPr>
        <w:t xml:space="preserve"> </w:t>
      </w:r>
      <w:r w:rsidRPr="007A4386">
        <w:rPr>
          <w:rFonts w:eastAsia="Calibri"/>
          <w:b/>
          <w:vertAlign w:val="superscript"/>
        </w:rPr>
        <w:footnoteReference w:id="13"/>
      </w:r>
    </w:p>
    <w:p w:rsidR="008B7CC2" w:rsidRPr="007A4386" w:rsidRDefault="008B7CC2" w:rsidP="008B7CC2">
      <w:pPr>
        <w:pStyle w:val="Bullet"/>
        <w:rPr>
          <w:rFonts w:eastAsia="Calibri"/>
          <w:b/>
        </w:rPr>
      </w:pPr>
      <w:r w:rsidRPr="007A4386">
        <w:rPr>
          <w:rStyle w:val="hps"/>
          <w:rFonts w:cs="Arial"/>
          <w:b/>
          <w:color w:val="000000"/>
        </w:rPr>
        <w:t>EU Strategy</w:t>
      </w:r>
      <w:r w:rsidRPr="007A4386">
        <w:rPr>
          <w:rStyle w:val="shorttext"/>
          <w:rFonts w:cs="Arial"/>
          <w:b/>
          <w:color w:val="000000"/>
        </w:rPr>
        <w:t xml:space="preserve"> </w:t>
      </w:r>
      <w:r w:rsidRPr="007A4386">
        <w:rPr>
          <w:rStyle w:val="hps"/>
          <w:rFonts w:cs="Arial"/>
          <w:b/>
          <w:color w:val="000000"/>
        </w:rPr>
        <w:t>for the Danube Region</w:t>
      </w:r>
      <w:r w:rsidRPr="007A4386">
        <w:rPr>
          <w:rFonts w:eastAsia="Calibri"/>
          <w:b/>
          <w:vertAlign w:val="superscript"/>
        </w:rPr>
        <w:t xml:space="preserve"> </w:t>
      </w:r>
      <w:r w:rsidRPr="007A4386">
        <w:rPr>
          <w:rFonts w:eastAsia="Calibri"/>
          <w:b/>
          <w:vertAlign w:val="superscript"/>
        </w:rPr>
        <w:footnoteReference w:id="14"/>
      </w:r>
    </w:p>
    <w:p w:rsidR="008B7CC2" w:rsidRPr="007A4386" w:rsidRDefault="008B7CC2" w:rsidP="008B7CC2">
      <w:pPr>
        <w:pStyle w:val="Bullet"/>
        <w:rPr>
          <w:rFonts w:eastAsia="Calibri"/>
          <w:b/>
        </w:rPr>
      </w:pPr>
      <w:r w:rsidRPr="007A4386">
        <w:rPr>
          <w:rStyle w:val="hps"/>
          <w:rFonts w:cs="Arial"/>
          <w:b/>
          <w:color w:val="000000"/>
        </w:rPr>
        <w:t>EU strategy</w:t>
      </w:r>
      <w:r w:rsidRPr="007A4386">
        <w:rPr>
          <w:rStyle w:val="shorttext"/>
          <w:rFonts w:cs="Arial"/>
          <w:b/>
          <w:color w:val="000000"/>
        </w:rPr>
        <w:t xml:space="preserve"> </w:t>
      </w:r>
      <w:r w:rsidRPr="007A4386">
        <w:rPr>
          <w:rStyle w:val="hps"/>
          <w:rFonts w:cs="Arial"/>
          <w:b/>
          <w:color w:val="000000"/>
        </w:rPr>
        <w:t>on</w:t>
      </w:r>
      <w:r w:rsidRPr="007A4386">
        <w:rPr>
          <w:rStyle w:val="shorttext"/>
          <w:rFonts w:cs="Arial"/>
          <w:b/>
          <w:color w:val="000000"/>
        </w:rPr>
        <w:t xml:space="preserve"> </w:t>
      </w:r>
      <w:r w:rsidRPr="007A4386">
        <w:rPr>
          <w:rStyle w:val="hps"/>
          <w:rFonts w:cs="Arial"/>
          <w:b/>
          <w:color w:val="000000"/>
        </w:rPr>
        <w:t>climate change adaptation</w:t>
      </w:r>
      <w:r w:rsidRPr="007A4386">
        <w:rPr>
          <w:rFonts w:eastAsia="Calibri"/>
          <w:b/>
        </w:rPr>
        <w:t xml:space="preserve"> (2013)</w:t>
      </w:r>
      <w:r w:rsidRPr="007A4386">
        <w:rPr>
          <w:rFonts w:eastAsia="Calibri"/>
          <w:b/>
          <w:vertAlign w:val="superscript"/>
        </w:rPr>
        <w:footnoteReference w:id="15"/>
      </w:r>
    </w:p>
    <w:p w:rsidR="008B7CC2" w:rsidRPr="00343A43" w:rsidRDefault="008B7CC2" w:rsidP="008B7CC2">
      <w:pPr>
        <w:pStyle w:val="Bullet"/>
        <w:rPr>
          <w:rFonts w:eastAsia="Calibri"/>
        </w:rPr>
      </w:pPr>
      <w:r w:rsidRPr="00343A43">
        <w:rPr>
          <w:rStyle w:val="hps"/>
          <w:rFonts w:cs="Arial"/>
          <w:color w:val="000000"/>
        </w:rPr>
        <w:t>Marine environment Strategy</w:t>
      </w:r>
      <w:r w:rsidRPr="00343A43">
        <w:t xml:space="preserve"> </w:t>
      </w:r>
      <w:r w:rsidRPr="00343A43">
        <w:rPr>
          <w:rStyle w:val="hps"/>
          <w:rFonts w:cs="Arial"/>
          <w:color w:val="000000"/>
        </w:rPr>
        <w:t>(Directive</w:t>
      </w:r>
      <w:r w:rsidRPr="00343A43">
        <w:t xml:space="preserve"> </w:t>
      </w:r>
      <w:r w:rsidRPr="00343A43">
        <w:rPr>
          <w:rStyle w:val="hps"/>
          <w:rFonts w:cs="Arial"/>
          <w:color w:val="000000"/>
        </w:rPr>
        <w:t>2008/56</w:t>
      </w:r>
      <w:r w:rsidRPr="00343A43">
        <w:t xml:space="preserve"> </w:t>
      </w:r>
      <w:r w:rsidRPr="00343A43">
        <w:rPr>
          <w:rStyle w:val="hps"/>
          <w:rFonts w:cs="Arial"/>
          <w:color w:val="000000"/>
        </w:rPr>
        <w:t>/</w:t>
      </w:r>
      <w:r w:rsidRPr="00343A43">
        <w:t xml:space="preserve"> </w:t>
      </w:r>
      <w:r w:rsidRPr="00343A43">
        <w:rPr>
          <w:rStyle w:val="hps"/>
          <w:rFonts w:cs="Arial"/>
          <w:color w:val="000000"/>
        </w:rPr>
        <w:t>EC</w:t>
      </w:r>
      <w:r w:rsidRPr="00343A43">
        <w:t xml:space="preserve"> </w:t>
      </w:r>
      <w:r w:rsidRPr="00343A43">
        <w:rPr>
          <w:rStyle w:val="hps"/>
          <w:rFonts w:cs="Arial"/>
          <w:color w:val="000000"/>
        </w:rPr>
        <w:t>of the European Parliament</w:t>
      </w:r>
      <w:r w:rsidRPr="00343A43">
        <w:t xml:space="preserve"> </w:t>
      </w:r>
      <w:r w:rsidRPr="00343A43">
        <w:rPr>
          <w:rStyle w:val="hps"/>
          <w:rFonts w:cs="Arial"/>
          <w:color w:val="000000"/>
        </w:rPr>
        <w:t>and</w:t>
      </w:r>
      <w:r w:rsidRPr="00343A43">
        <w:t xml:space="preserve"> </w:t>
      </w:r>
      <w:r w:rsidRPr="00343A43">
        <w:rPr>
          <w:rStyle w:val="hps"/>
          <w:rFonts w:cs="Arial"/>
          <w:color w:val="000000"/>
        </w:rPr>
        <w:t>of the Council of</w:t>
      </w:r>
      <w:r w:rsidRPr="00343A43">
        <w:t xml:space="preserve"> </w:t>
      </w:r>
      <w:r w:rsidRPr="00343A43">
        <w:rPr>
          <w:rStyle w:val="hps"/>
          <w:rFonts w:cs="Arial"/>
          <w:color w:val="000000"/>
        </w:rPr>
        <w:t>17 June 2008</w:t>
      </w:r>
      <w:r w:rsidRPr="00343A43">
        <w:t xml:space="preserve"> </w:t>
      </w:r>
      <w:r w:rsidRPr="00343A43">
        <w:rPr>
          <w:rStyle w:val="hps"/>
          <w:rFonts w:cs="Arial"/>
          <w:color w:val="000000"/>
        </w:rPr>
        <w:t>establishing a</w:t>
      </w:r>
      <w:r w:rsidRPr="00343A43">
        <w:t xml:space="preserve"> c</w:t>
      </w:r>
      <w:r w:rsidRPr="00343A43">
        <w:rPr>
          <w:rStyle w:val="hps"/>
          <w:rFonts w:cs="Arial"/>
          <w:color w:val="000000"/>
        </w:rPr>
        <w:t>ommunity action framework in the field of</w:t>
      </w:r>
      <w:r w:rsidRPr="00343A43">
        <w:t xml:space="preserve"> </w:t>
      </w:r>
      <w:r w:rsidRPr="00343A43">
        <w:rPr>
          <w:rStyle w:val="hps"/>
          <w:rFonts w:cs="Arial"/>
          <w:color w:val="000000"/>
        </w:rPr>
        <w:t>marine environmental policy</w:t>
      </w:r>
      <w:r w:rsidRPr="00343A43">
        <w:rPr>
          <w:rFonts w:eastAsia="Calibri"/>
        </w:rPr>
        <w:t>)</w:t>
      </w:r>
      <w:r w:rsidRPr="00343A43">
        <w:rPr>
          <w:rFonts w:eastAsia="Calibri"/>
          <w:vertAlign w:val="superscript"/>
        </w:rPr>
        <w:footnoteReference w:id="16"/>
      </w:r>
    </w:p>
    <w:p w:rsidR="008B7CC2" w:rsidRPr="007A4386" w:rsidRDefault="008B7CC2" w:rsidP="008B7CC2">
      <w:pPr>
        <w:pStyle w:val="Bullet"/>
        <w:rPr>
          <w:rFonts w:eastAsia="Calibri"/>
          <w:b/>
        </w:rPr>
      </w:pPr>
      <w:r w:rsidRPr="007A4386">
        <w:rPr>
          <w:rFonts w:eastAsia="Calibri"/>
          <w:b/>
        </w:rPr>
        <w:t>Strategy for the sustainable transport for the period 2007-2013 and 2020, 2030</w:t>
      </w:r>
      <w:r w:rsidRPr="007A4386">
        <w:rPr>
          <w:rFonts w:eastAsia="Calibri"/>
          <w:b/>
          <w:vertAlign w:val="superscript"/>
        </w:rPr>
        <w:footnoteReference w:id="17"/>
      </w:r>
    </w:p>
    <w:p w:rsidR="008B7CC2" w:rsidRPr="00343A43" w:rsidRDefault="008B7CC2" w:rsidP="008B7CC2">
      <w:pPr>
        <w:pStyle w:val="Bullet"/>
        <w:rPr>
          <w:rFonts w:eastAsia="Calibri"/>
        </w:rPr>
      </w:pPr>
      <w:r w:rsidRPr="00343A43">
        <w:rPr>
          <w:rFonts w:eastAsia="Calibri"/>
        </w:rPr>
        <w:t>Romanian intermodal transport strategy – 2020</w:t>
      </w:r>
      <w:r w:rsidRPr="00343A43">
        <w:rPr>
          <w:rFonts w:eastAsia="Calibri"/>
          <w:vertAlign w:val="superscript"/>
        </w:rPr>
        <w:footnoteReference w:id="18"/>
      </w:r>
    </w:p>
    <w:p w:rsidR="008B7CC2" w:rsidRPr="00343A43" w:rsidRDefault="008B7CC2" w:rsidP="008B7CC2">
      <w:pPr>
        <w:pStyle w:val="Bullet"/>
        <w:rPr>
          <w:rFonts w:eastAsia="Calibri"/>
        </w:rPr>
      </w:pPr>
      <w:r w:rsidRPr="00343A43">
        <w:rPr>
          <w:rFonts w:eastAsia="Calibri"/>
        </w:rPr>
        <w:t>Romanian National Strategy on climate changes 2013 – 2020</w:t>
      </w:r>
      <w:r w:rsidRPr="00343A43">
        <w:rPr>
          <w:rFonts w:eastAsia="Calibri"/>
          <w:vertAlign w:val="superscript"/>
        </w:rPr>
        <w:footnoteReference w:id="19"/>
      </w:r>
    </w:p>
    <w:p w:rsidR="008B7CC2" w:rsidRPr="00343A43" w:rsidRDefault="008B7CC2" w:rsidP="008B7CC2">
      <w:pPr>
        <w:pStyle w:val="Bullet"/>
        <w:rPr>
          <w:rFonts w:eastAsia="Calibri"/>
        </w:rPr>
      </w:pPr>
      <w:r w:rsidRPr="00343A43">
        <w:rPr>
          <w:rFonts w:eastAsia="Calibri"/>
        </w:rPr>
        <w:t>National Strategy for the sustainable development of Romania -Horizons 2013 – 2020 – 2030</w:t>
      </w:r>
    </w:p>
    <w:p w:rsidR="008B7CC2" w:rsidRPr="00343A43" w:rsidRDefault="008B7CC2" w:rsidP="008B7CC2">
      <w:pPr>
        <w:pStyle w:val="Bullet"/>
        <w:rPr>
          <w:rFonts w:eastAsia="Calibri"/>
        </w:rPr>
      </w:pPr>
      <w:r w:rsidRPr="00343A43">
        <w:rPr>
          <w:rStyle w:val="hps"/>
          <w:rFonts w:cs="Arial"/>
          <w:color w:val="000000"/>
        </w:rPr>
        <w:t>National Strategy</w:t>
      </w:r>
      <w:r w:rsidRPr="00343A43">
        <w:t xml:space="preserve"> </w:t>
      </w:r>
      <w:r w:rsidRPr="00343A43">
        <w:rPr>
          <w:rStyle w:val="hps"/>
          <w:rFonts w:cs="Arial"/>
          <w:color w:val="000000"/>
        </w:rPr>
        <w:t>and Action Plan</w:t>
      </w:r>
      <w:r w:rsidRPr="00343A43">
        <w:t xml:space="preserve"> </w:t>
      </w:r>
      <w:r w:rsidRPr="00343A43">
        <w:rPr>
          <w:rStyle w:val="hps"/>
          <w:rFonts w:cs="Arial"/>
          <w:color w:val="000000"/>
        </w:rPr>
        <w:t>for the biodiversity</w:t>
      </w:r>
      <w:r w:rsidRPr="00343A43">
        <w:t xml:space="preserve"> </w:t>
      </w:r>
      <w:r w:rsidRPr="00343A43">
        <w:rPr>
          <w:rStyle w:val="hps"/>
          <w:rFonts w:cs="Arial"/>
          <w:color w:val="000000"/>
        </w:rPr>
        <w:t>conservation</w:t>
      </w:r>
      <w:r w:rsidRPr="00343A43">
        <w:rPr>
          <w:rFonts w:eastAsia="Calibri"/>
        </w:rPr>
        <w:t xml:space="preserve"> 2010 -2020</w:t>
      </w:r>
      <w:r w:rsidRPr="00343A43">
        <w:rPr>
          <w:rFonts w:eastAsia="Calibri"/>
          <w:vertAlign w:val="superscript"/>
        </w:rPr>
        <w:footnoteReference w:id="20"/>
      </w:r>
    </w:p>
    <w:p w:rsidR="008B7CC2" w:rsidRPr="00343A43" w:rsidRDefault="008B7CC2" w:rsidP="008B7CC2">
      <w:pPr>
        <w:pStyle w:val="Bullet"/>
        <w:rPr>
          <w:rFonts w:eastAsia="Calibri"/>
        </w:rPr>
      </w:pPr>
      <w:r w:rsidRPr="00343A43">
        <w:rPr>
          <w:rStyle w:val="hps"/>
          <w:rFonts w:cs="Arial"/>
          <w:color w:val="000000"/>
        </w:rPr>
        <w:t>National</w:t>
      </w:r>
      <w:r w:rsidRPr="00343A43">
        <w:rPr>
          <w:rStyle w:val="shorttext"/>
          <w:rFonts w:cs="Arial"/>
          <w:color w:val="000000"/>
        </w:rPr>
        <w:t xml:space="preserve"> </w:t>
      </w:r>
      <w:r w:rsidRPr="00343A43">
        <w:rPr>
          <w:rStyle w:val="hps"/>
          <w:rFonts w:cs="Arial"/>
          <w:color w:val="000000"/>
        </w:rPr>
        <w:t>Road Safety</w:t>
      </w:r>
      <w:r w:rsidRPr="00343A43">
        <w:rPr>
          <w:rStyle w:val="shorttext"/>
          <w:rFonts w:cs="Arial"/>
          <w:color w:val="000000"/>
        </w:rPr>
        <w:t xml:space="preserve"> </w:t>
      </w:r>
      <w:r w:rsidRPr="00343A43">
        <w:rPr>
          <w:rStyle w:val="hps"/>
          <w:rFonts w:cs="Arial"/>
          <w:color w:val="000000"/>
        </w:rPr>
        <w:t>Strategy</w:t>
      </w:r>
      <w:r w:rsidRPr="00343A43">
        <w:rPr>
          <w:rFonts w:eastAsia="Calibri"/>
        </w:rPr>
        <w:t xml:space="preserve"> 2011-2020</w:t>
      </w:r>
      <w:r w:rsidRPr="00343A43">
        <w:rPr>
          <w:rFonts w:eastAsia="Calibri"/>
          <w:vertAlign w:val="superscript"/>
        </w:rPr>
        <w:footnoteReference w:id="21"/>
      </w:r>
      <w:r w:rsidRPr="00343A43">
        <w:rPr>
          <w:rFonts w:eastAsia="Calibri"/>
        </w:rPr>
        <w:t xml:space="preserve"> -</w:t>
      </w:r>
      <w:r w:rsidRPr="00343A43">
        <w:rPr>
          <w:rStyle w:val="Heading2Char"/>
          <w:color w:val="000000"/>
        </w:rPr>
        <w:t xml:space="preserve"> </w:t>
      </w:r>
      <w:r w:rsidRPr="00343A43">
        <w:rPr>
          <w:rStyle w:val="hps"/>
          <w:rFonts w:cs="Arial"/>
          <w:color w:val="000000"/>
        </w:rPr>
        <w:t>consultative</w:t>
      </w:r>
      <w:r w:rsidRPr="00343A43">
        <w:rPr>
          <w:rStyle w:val="shorttext"/>
          <w:rFonts w:cs="Arial"/>
          <w:color w:val="000000"/>
        </w:rPr>
        <w:t xml:space="preserve"> </w:t>
      </w:r>
      <w:r w:rsidRPr="00343A43">
        <w:rPr>
          <w:rStyle w:val="hps"/>
          <w:rFonts w:cs="Arial"/>
          <w:color w:val="000000"/>
        </w:rPr>
        <w:t>version</w:t>
      </w:r>
    </w:p>
    <w:p w:rsidR="008B7CC2" w:rsidRPr="00343A43" w:rsidRDefault="008B7CC2" w:rsidP="008B7CC2">
      <w:pPr>
        <w:pStyle w:val="Bullet"/>
        <w:rPr>
          <w:rFonts w:eastAsia="Calibri"/>
        </w:rPr>
      </w:pPr>
      <w:r w:rsidRPr="00343A43">
        <w:rPr>
          <w:rStyle w:val="hps"/>
          <w:rFonts w:cs="Arial"/>
          <w:color w:val="000000"/>
        </w:rPr>
        <w:t>National</w:t>
      </w:r>
      <w:r w:rsidRPr="00343A43">
        <w:t xml:space="preserve"> </w:t>
      </w:r>
      <w:r w:rsidRPr="00343A43">
        <w:rPr>
          <w:rStyle w:val="hps"/>
          <w:rFonts w:cs="Arial"/>
          <w:color w:val="000000"/>
        </w:rPr>
        <w:t>Waste Management</w:t>
      </w:r>
      <w:r w:rsidRPr="00343A43">
        <w:t xml:space="preserve"> </w:t>
      </w:r>
      <w:r w:rsidRPr="00343A43">
        <w:rPr>
          <w:rStyle w:val="hps"/>
          <w:rFonts w:cs="Arial"/>
          <w:color w:val="000000"/>
        </w:rPr>
        <w:t>Strategy</w:t>
      </w:r>
      <w:r w:rsidRPr="00343A43">
        <w:t xml:space="preserve"> </w:t>
      </w:r>
      <w:r w:rsidRPr="00343A43">
        <w:rPr>
          <w:rStyle w:val="hps"/>
          <w:rFonts w:cs="Arial"/>
          <w:color w:val="000000"/>
        </w:rPr>
        <w:t>2014-2020</w:t>
      </w:r>
      <w:r w:rsidRPr="00343A43">
        <w:t xml:space="preserve">, approved by </w:t>
      </w:r>
      <w:r w:rsidRPr="00343A43">
        <w:rPr>
          <w:rStyle w:val="hps"/>
          <w:rFonts w:cs="Arial"/>
          <w:color w:val="000000"/>
        </w:rPr>
        <w:t>Government Decision</w:t>
      </w:r>
      <w:r w:rsidRPr="00343A43">
        <w:t xml:space="preserve"> </w:t>
      </w:r>
      <w:r w:rsidRPr="00343A43">
        <w:rPr>
          <w:rStyle w:val="hps"/>
          <w:rFonts w:cs="Arial"/>
          <w:color w:val="000000"/>
        </w:rPr>
        <w:t>no.</w:t>
      </w:r>
      <w:r w:rsidRPr="00343A43">
        <w:t xml:space="preserve"> </w:t>
      </w:r>
      <w:r w:rsidRPr="00343A43">
        <w:rPr>
          <w:rStyle w:val="hps"/>
          <w:rFonts w:cs="Arial"/>
          <w:color w:val="000000"/>
        </w:rPr>
        <w:t>870/2013</w:t>
      </w:r>
    </w:p>
    <w:p w:rsidR="008B7CC2" w:rsidRPr="00343A43" w:rsidRDefault="008B7CC2" w:rsidP="00273D5E">
      <w:pPr>
        <w:pStyle w:val="BulletLevel1"/>
        <w:rPr>
          <w:rFonts w:eastAsia="Calibri"/>
        </w:rPr>
      </w:pPr>
      <w:r w:rsidRPr="00343A43">
        <w:rPr>
          <w:rFonts w:eastAsia="Calibri"/>
        </w:rPr>
        <w:t>Conventions</w:t>
      </w:r>
    </w:p>
    <w:p w:rsidR="008B7CC2" w:rsidRPr="00343A43" w:rsidRDefault="008B7CC2" w:rsidP="008B7CC2">
      <w:pPr>
        <w:pStyle w:val="Bullet"/>
        <w:rPr>
          <w:rFonts w:eastAsia="Calibri"/>
        </w:rPr>
      </w:pPr>
      <w:r w:rsidRPr="00343A43">
        <w:rPr>
          <w:rStyle w:val="hps"/>
          <w:rFonts w:cs="Arial"/>
          <w:color w:val="000000"/>
        </w:rPr>
        <w:t>Law</w:t>
      </w:r>
      <w:r w:rsidRPr="00343A43">
        <w:t xml:space="preserve"> </w:t>
      </w:r>
      <w:r w:rsidRPr="00343A43">
        <w:rPr>
          <w:rStyle w:val="hps"/>
          <w:rFonts w:cs="Arial"/>
          <w:color w:val="000000"/>
        </w:rPr>
        <w:t>98/1992</w:t>
      </w:r>
      <w:r w:rsidRPr="00343A43">
        <w:t xml:space="preserve"> </w:t>
      </w:r>
      <w:r w:rsidRPr="00343A43">
        <w:rPr>
          <w:rStyle w:val="hps"/>
          <w:rFonts w:cs="Arial"/>
          <w:color w:val="000000"/>
        </w:rPr>
        <w:t>ratifying the Convention</w:t>
      </w:r>
      <w:r w:rsidRPr="00343A43">
        <w:t xml:space="preserve"> </w:t>
      </w:r>
      <w:r w:rsidRPr="00343A43">
        <w:rPr>
          <w:rStyle w:val="hps"/>
          <w:rFonts w:cs="Arial"/>
          <w:color w:val="000000"/>
        </w:rPr>
        <w:t>on the Protection of</w:t>
      </w:r>
      <w:r w:rsidRPr="00343A43">
        <w:t xml:space="preserve"> </w:t>
      </w:r>
      <w:r w:rsidRPr="00343A43">
        <w:rPr>
          <w:rStyle w:val="hps"/>
          <w:rFonts w:cs="Arial"/>
          <w:color w:val="000000"/>
        </w:rPr>
        <w:t>the Black Sea</w:t>
      </w:r>
      <w:r w:rsidRPr="00343A43">
        <w:t xml:space="preserve"> </w:t>
      </w:r>
      <w:r w:rsidRPr="00343A43">
        <w:rPr>
          <w:rStyle w:val="hps"/>
          <w:rFonts w:cs="Arial"/>
          <w:color w:val="000000"/>
        </w:rPr>
        <w:t>against</w:t>
      </w:r>
      <w:r w:rsidRPr="00343A43">
        <w:t xml:space="preserve"> </w:t>
      </w:r>
      <w:r w:rsidRPr="00343A43">
        <w:rPr>
          <w:rStyle w:val="hps"/>
          <w:rFonts w:cs="Arial"/>
          <w:color w:val="000000"/>
        </w:rPr>
        <w:t>pollution,</w:t>
      </w:r>
      <w:r w:rsidRPr="00343A43">
        <w:t xml:space="preserve"> </w:t>
      </w:r>
      <w:r w:rsidRPr="00343A43">
        <w:rPr>
          <w:rStyle w:val="hps"/>
          <w:rFonts w:cs="Arial"/>
          <w:color w:val="000000"/>
        </w:rPr>
        <w:t>signed in</w:t>
      </w:r>
      <w:r w:rsidRPr="00343A43">
        <w:t xml:space="preserve"> </w:t>
      </w:r>
      <w:r w:rsidRPr="00343A43">
        <w:rPr>
          <w:rStyle w:val="hps"/>
          <w:rFonts w:cs="Arial"/>
          <w:color w:val="000000"/>
        </w:rPr>
        <w:t>Bucharest on</w:t>
      </w:r>
      <w:r w:rsidRPr="00343A43">
        <w:t xml:space="preserve"> </w:t>
      </w:r>
      <w:r w:rsidRPr="00343A43">
        <w:rPr>
          <w:rStyle w:val="hps"/>
          <w:rFonts w:cs="Arial"/>
          <w:color w:val="000000"/>
        </w:rPr>
        <w:t>21 April 1992</w:t>
      </w:r>
      <w:r w:rsidRPr="00343A43">
        <w:t xml:space="preserve"> </w:t>
      </w:r>
      <w:r w:rsidRPr="00343A43">
        <w:rPr>
          <w:rStyle w:val="hps"/>
          <w:rFonts w:cs="Arial"/>
          <w:color w:val="000000"/>
        </w:rPr>
        <w:t>(</w:t>
      </w:r>
      <w:r w:rsidRPr="00343A43">
        <w:rPr>
          <w:rStyle w:val="atn"/>
          <w:rFonts w:cs="Arial"/>
          <w:color w:val="000000"/>
        </w:rPr>
        <w:t>known as the "</w:t>
      </w:r>
      <w:r w:rsidRPr="00343A43">
        <w:t>Bucharest Convention</w:t>
      </w:r>
      <w:r w:rsidRPr="00343A43">
        <w:rPr>
          <w:rFonts w:eastAsia="Calibri"/>
        </w:rPr>
        <w:t>”)</w:t>
      </w:r>
    </w:p>
    <w:p w:rsidR="008B7CC2" w:rsidRPr="007A4386" w:rsidRDefault="008B7CC2" w:rsidP="008B7CC2">
      <w:pPr>
        <w:pStyle w:val="Bullet"/>
        <w:rPr>
          <w:rFonts w:ascii="Arial Bold" w:eastAsia="Calibri" w:hAnsi="Arial Bold"/>
          <w:b/>
        </w:rPr>
      </w:pPr>
      <w:r w:rsidRPr="007A4386">
        <w:rPr>
          <w:rStyle w:val="hps"/>
          <w:rFonts w:ascii="Arial Bold" w:hAnsi="Arial Bold" w:cs="Arial"/>
          <w:b/>
          <w:color w:val="000000"/>
        </w:rPr>
        <w:t>Convention</w:t>
      </w:r>
      <w:r w:rsidRPr="007A4386">
        <w:rPr>
          <w:rFonts w:ascii="Arial Bold" w:hAnsi="Arial Bold"/>
          <w:b/>
        </w:rPr>
        <w:t xml:space="preserve"> </w:t>
      </w:r>
      <w:r w:rsidRPr="007A4386">
        <w:rPr>
          <w:rStyle w:val="hps"/>
          <w:rFonts w:ascii="Arial Bold" w:hAnsi="Arial Bold" w:cs="Arial"/>
          <w:b/>
          <w:color w:val="000000"/>
        </w:rPr>
        <w:t>regarding the regime</w:t>
      </w:r>
      <w:r w:rsidRPr="007A4386">
        <w:rPr>
          <w:rFonts w:ascii="Arial Bold" w:hAnsi="Arial Bold"/>
          <w:b/>
        </w:rPr>
        <w:t xml:space="preserve"> </w:t>
      </w:r>
      <w:r w:rsidRPr="007A4386">
        <w:rPr>
          <w:rStyle w:val="hps"/>
          <w:rFonts w:ascii="Arial Bold" w:hAnsi="Arial Bold" w:cs="Arial"/>
          <w:b/>
          <w:color w:val="000000"/>
        </w:rPr>
        <w:t>of navigation on</w:t>
      </w:r>
      <w:r w:rsidRPr="007A4386">
        <w:rPr>
          <w:rFonts w:ascii="Arial Bold" w:hAnsi="Arial Bold"/>
          <w:b/>
        </w:rPr>
        <w:t xml:space="preserve"> </w:t>
      </w:r>
      <w:r w:rsidRPr="007A4386">
        <w:rPr>
          <w:rStyle w:val="hps"/>
          <w:rFonts w:ascii="Arial Bold" w:hAnsi="Arial Bold" w:cs="Arial"/>
          <w:b/>
          <w:color w:val="000000"/>
        </w:rPr>
        <w:t>the Danube</w:t>
      </w:r>
      <w:r w:rsidRPr="007A4386">
        <w:rPr>
          <w:rFonts w:ascii="Arial Bold" w:hAnsi="Arial Bold"/>
          <w:b/>
        </w:rPr>
        <w:t xml:space="preserve"> </w:t>
      </w:r>
      <w:r w:rsidRPr="007A4386">
        <w:rPr>
          <w:rStyle w:val="hps"/>
          <w:rFonts w:ascii="Arial Bold" w:hAnsi="Arial Bold" w:cs="Arial"/>
          <w:b/>
          <w:color w:val="000000"/>
        </w:rPr>
        <w:t>(Belgrade,</w:t>
      </w:r>
      <w:r w:rsidRPr="007A4386">
        <w:rPr>
          <w:rFonts w:ascii="Arial Bold" w:hAnsi="Arial Bold"/>
          <w:b/>
        </w:rPr>
        <w:t xml:space="preserve"> </w:t>
      </w:r>
      <w:r w:rsidRPr="007A4386">
        <w:rPr>
          <w:rStyle w:val="hps"/>
          <w:rFonts w:ascii="Arial Bold" w:hAnsi="Arial Bold" w:cs="Arial"/>
          <w:b/>
          <w:color w:val="000000"/>
        </w:rPr>
        <w:t>1948)</w:t>
      </w:r>
      <w:r w:rsidRPr="007A4386">
        <w:rPr>
          <w:rFonts w:ascii="Arial Bold" w:hAnsi="Arial Bold"/>
          <w:b/>
        </w:rPr>
        <w:t xml:space="preserve"> </w:t>
      </w:r>
      <w:r w:rsidRPr="007A4386">
        <w:rPr>
          <w:rStyle w:val="hps"/>
          <w:rFonts w:ascii="Arial Bold" w:hAnsi="Arial Bold" w:cs="Arial"/>
          <w:b/>
          <w:color w:val="000000"/>
        </w:rPr>
        <w:t>ratified</w:t>
      </w:r>
      <w:r w:rsidRPr="007A4386">
        <w:rPr>
          <w:rFonts w:ascii="Arial Bold" w:hAnsi="Arial Bold"/>
          <w:b/>
        </w:rPr>
        <w:t xml:space="preserve"> </w:t>
      </w:r>
      <w:r w:rsidRPr="007A4386">
        <w:rPr>
          <w:rStyle w:val="hps"/>
          <w:rFonts w:ascii="Arial Bold" w:hAnsi="Arial Bold" w:cs="Arial"/>
          <w:b/>
          <w:color w:val="000000"/>
        </w:rPr>
        <w:t>by Decree</w:t>
      </w:r>
      <w:r w:rsidRPr="007A4386">
        <w:rPr>
          <w:rFonts w:ascii="Arial Bold" w:hAnsi="Arial Bold"/>
          <w:b/>
        </w:rPr>
        <w:t xml:space="preserve"> </w:t>
      </w:r>
      <w:r w:rsidRPr="007A4386">
        <w:rPr>
          <w:rStyle w:val="hps"/>
          <w:rFonts w:ascii="Arial Bold" w:hAnsi="Arial Bold" w:cs="Arial"/>
          <w:b/>
          <w:color w:val="000000"/>
        </w:rPr>
        <w:t>no.</w:t>
      </w:r>
      <w:r w:rsidRPr="007A4386">
        <w:rPr>
          <w:rFonts w:ascii="Arial Bold" w:hAnsi="Arial Bold"/>
          <w:b/>
        </w:rPr>
        <w:t xml:space="preserve"> </w:t>
      </w:r>
      <w:r w:rsidRPr="007A4386">
        <w:rPr>
          <w:rStyle w:val="hps"/>
          <w:rFonts w:ascii="Arial Bold" w:hAnsi="Arial Bold" w:cs="Arial"/>
          <w:b/>
          <w:color w:val="000000"/>
        </w:rPr>
        <w:t>298 of</w:t>
      </w:r>
      <w:r w:rsidRPr="007A4386">
        <w:rPr>
          <w:rFonts w:ascii="Arial Bold" w:hAnsi="Arial Bold"/>
          <w:b/>
        </w:rPr>
        <w:t xml:space="preserve"> </w:t>
      </w:r>
      <w:r w:rsidRPr="007A4386">
        <w:rPr>
          <w:rStyle w:val="hps"/>
          <w:rFonts w:ascii="Arial Bold" w:hAnsi="Arial Bold" w:cs="Arial"/>
          <w:b/>
          <w:color w:val="000000"/>
        </w:rPr>
        <w:t>30 October 1948</w:t>
      </w:r>
      <w:r w:rsidRPr="007A4386">
        <w:rPr>
          <w:rFonts w:ascii="Arial Bold" w:hAnsi="Arial Bold"/>
          <w:b/>
        </w:rPr>
        <w:t xml:space="preserve"> </w:t>
      </w:r>
      <w:r w:rsidRPr="007A4386">
        <w:rPr>
          <w:rStyle w:val="hps"/>
          <w:rFonts w:ascii="Arial Bold" w:hAnsi="Arial Bold" w:cs="Arial"/>
          <w:b/>
          <w:color w:val="000000"/>
        </w:rPr>
        <w:t>Additional Protocol of</w:t>
      </w:r>
      <w:r w:rsidRPr="007A4386">
        <w:rPr>
          <w:rFonts w:ascii="Arial Bold" w:hAnsi="Arial Bold"/>
          <w:b/>
        </w:rPr>
        <w:t xml:space="preserve"> </w:t>
      </w:r>
      <w:r w:rsidRPr="007A4386">
        <w:rPr>
          <w:rStyle w:val="hps"/>
          <w:rFonts w:ascii="Arial Bold" w:hAnsi="Arial Bold" w:cs="Arial"/>
          <w:b/>
          <w:color w:val="000000"/>
        </w:rPr>
        <w:t>26 March 1998</w:t>
      </w:r>
      <w:r w:rsidRPr="007A4386">
        <w:rPr>
          <w:rFonts w:ascii="Arial Bold" w:hAnsi="Arial Bold"/>
          <w:b/>
        </w:rPr>
        <w:t xml:space="preserve"> </w:t>
      </w:r>
      <w:r w:rsidRPr="007A4386">
        <w:rPr>
          <w:rStyle w:val="hps"/>
          <w:rFonts w:ascii="Arial Bold" w:hAnsi="Arial Bold" w:cs="Arial"/>
          <w:b/>
          <w:color w:val="000000"/>
        </w:rPr>
        <w:t>to the Convention of</w:t>
      </w:r>
      <w:r w:rsidRPr="007A4386">
        <w:rPr>
          <w:rFonts w:ascii="Arial Bold" w:hAnsi="Arial Bold"/>
          <w:b/>
        </w:rPr>
        <w:t xml:space="preserve"> </w:t>
      </w:r>
      <w:r w:rsidRPr="007A4386">
        <w:rPr>
          <w:rStyle w:val="hps"/>
          <w:rFonts w:ascii="Arial Bold" w:hAnsi="Arial Bold" w:cs="Arial"/>
          <w:b/>
          <w:color w:val="000000"/>
        </w:rPr>
        <w:t>18 August 1948</w:t>
      </w:r>
      <w:r w:rsidRPr="007A4386">
        <w:rPr>
          <w:rFonts w:ascii="Arial Bold" w:hAnsi="Arial Bold"/>
          <w:b/>
        </w:rPr>
        <w:t xml:space="preserve"> </w:t>
      </w:r>
      <w:r w:rsidRPr="007A4386">
        <w:rPr>
          <w:rStyle w:val="hps"/>
          <w:rFonts w:ascii="Arial Bold" w:hAnsi="Arial Bold" w:cs="Arial"/>
          <w:b/>
          <w:color w:val="000000"/>
        </w:rPr>
        <w:t>regarding</w:t>
      </w:r>
      <w:r w:rsidRPr="007A4386">
        <w:rPr>
          <w:rFonts w:ascii="Arial Bold" w:hAnsi="Arial Bold"/>
          <w:b/>
        </w:rPr>
        <w:t xml:space="preserve"> </w:t>
      </w:r>
      <w:r w:rsidRPr="007A4386">
        <w:rPr>
          <w:rStyle w:val="hps"/>
          <w:rFonts w:ascii="Arial Bold" w:hAnsi="Arial Bold" w:cs="Arial"/>
          <w:b/>
          <w:color w:val="000000"/>
        </w:rPr>
        <w:t>the regime of navigation</w:t>
      </w:r>
      <w:r w:rsidRPr="007A4386">
        <w:rPr>
          <w:rFonts w:ascii="Arial Bold" w:hAnsi="Arial Bold"/>
          <w:b/>
        </w:rPr>
        <w:t xml:space="preserve"> </w:t>
      </w:r>
      <w:r w:rsidRPr="007A4386">
        <w:rPr>
          <w:rStyle w:val="hps"/>
          <w:rFonts w:ascii="Arial Bold" w:hAnsi="Arial Bold" w:cs="Arial"/>
          <w:b/>
          <w:color w:val="000000"/>
        </w:rPr>
        <w:t>on the Danube</w:t>
      </w:r>
      <w:r w:rsidRPr="007A4386">
        <w:rPr>
          <w:rFonts w:ascii="Arial Bold" w:eastAsia="Calibri" w:hAnsi="Arial Bold"/>
          <w:b/>
        </w:rPr>
        <w:t>*)</w:t>
      </w:r>
    </w:p>
    <w:p w:rsidR="008B7CC2" w:rsidRPr="00343A43" w:rsidRDefault="008B7CC2" w:rsidP="008B7CC2">
      <w:pPr>
        <w:pStyle w:val="Bullet"/>
        <w:rPr>
          <w:rFonts w:eastAsia="Calibri"/>
        </w:rPr>
      </w:pPr>
      <w:r w:rsidRPr="00343A43">
        <w:rPr>
          <w:rStyle w:val="hps"/>
          <w:rFonts w:cs="Arial"/>
          <w:color w:val="000000"/>
        </w:rPr>
        <w:t>Law</w:t>
      </w:r>
      <w:r w:rsidRPr="00343A43">
        <w:t xml:space="preserve"> </w:t>
      </w:r>
      <w:r w:rsidRPr="00343A43">
        <w:rPr>
          <w:rStyle w:val="hps"/>
          <w:rFonts w:cs="Arial"/>
          <w:color w:val="000000"/>
        </w:rPr>
        <w:t>14/1995</w:t>
      </w:r>
      <w:r w:rsidRPr="00343A43">
        <w:t xml:space="preserve"> </w:t>
      </w:r>
      <w:r w:rsidRPr="00343A43">
        <w:rPr>
          <w:rStyle w:val="hps"/>
          <w:rFonts w:cs="Arial"/>
          <w:color w:val="000000"/>
        </w:rPr>
        <w:t>for the</w:t>
      </w:r>
      <w:r w:rsidRPr="00343A43">
        <w:t xml:space="preserve"> </w:t>
      </w:r>
      <w:r w:rsidRPr="00343A43">
        <w:rPr>
          <w:rStyle w:val="hps"/>
          <w:rFonts w:cs="Arial"/>
          <w:color w:val="000000"/>
        </w:rPr>
        <w:t>ratification of the Convention</w:t>
      </w:r>
      <w:r w:rsidRPr="00343A43">
        <w:t xml:space="preserve"> </w:t>
      </w:r>
      <w:r w:rsidRPr="00343A43">
        <w:rPr>
          <w:rStyle w:val="hps"/>
          <w:rFonts w:cs="Arial"/>
          <w:color w:val="000000"/>
        </w:rPr>
        <w:t>for the Protection of</w:t>
      </w:r>
      <w:r w:rsidRPr="00343A43">
        <w:t xml:space="preserve"> </w:t>
      </w:r>
      <w:r w:rsidRPr="00343A43">
        <w:rPr>
          <w:rStyle w:val="hps"/>
          <w:rFonts w:cs="Arial"/>
          <w:color w:val="000000"/>
        </w:rPr>
        <w:t>the Danube River</w:t>
      </w:r>
    </w:p>
    <w:p w:rsidR="008B7CC2" w:rsidRPr="00343A43" w:rsidRDefault="008B7CC2" w:rsidP="00273D5E">
      <w:pPr>
        <w:pStyle w:val="BulletLevel1"/>
        <w:rPr>
          <w:rFonts w:eastAsia="Calibri"/>
        </w:rPr>
      </w:pPr>
      <w:r>
        <w:rPr>
          <w:rFonts w:eastAsia="Calibri"/>
        </w:rPr>
        <w:t>Other D</w:t>
      </w:r>
      <w:r w:rsidRPr="00343A43">
        <w:rPr>
          <w:rFonts w:eastAsia="Calibri"/>
        </w:rPr>
        <w:t>ocuments</w:t>
      </w:r>
    </w:p>
    <w:p w:rsidR="008B7CC2" w:rsidRPr="00343A43" w:rsidRDefault="008B7CC2" w:rsidP="008B7CC2">
      <w:pPr>
        <w:pStyle w:val="Bullet"/>
        <w:rPr>
          <w:rFonts w:eastAsia="Calibri"/>
        </w:rPr>
      </w:pPr>
      <w:r w:rsidRPr="00343A43">
        <w:rPr>
          <w:rStyle w:val="hps"/>
          <w:rFonts w:cs="Arial"/>
          <w:color w:val="000000"/>
        </w:rPr>
        <w:t>Preliminary report</w:t>
      </w:r>
      <w:r w:rsidRPr="00343A43">
        <w:t xml:space="preserve"> </w:t>
      </w:r>
      <w:r w:rsidRPr="00343A43">
        <w:rPr>
          <w:rStyle w:val="hps"/>
          <w:rFonts w:cs="Arial"/>
          <w:color w:val="000000"/>
        </w:rPr>
        <w:t>on</w:t>
      </w:r>
      <w:r w:rsidRPr="00343A43">
        <w:t xml:space="preserve"> </w:t>
      </w:r>
      <w:r w:rsidRPr="00343A43">
        <w:rPr>
          <w:rStyle w:val="hps"/>
          <w:rFonts w:cs="Arial"/>
          <w:color w:val="000000"/>
        </w:rPr>
        <w:t>the</w:t>
      </w:r>
      <w:r w:rsidRPr="00343A43">
        <w:t xml:space="preserve"> </w:t>
      </w:r>
      <w:r w:rsidRPr="00343A43">
        <w:rPr>
          <w:rStyle w:val="hps"/>
          <w:rFonts w:cs="Arial"/>
          <w:color w:val="000000"/>
        </w:rPr>
        <w:t>Transportation</w:t>
      </w:r>
      <w:r w:rsidRPr="00343A43">
        <w:t xml:space="preserve"> </w:t>
      </w:r>
      <w:r w:rsidRPr="00343A43">
        <w:rPr>
          <w:rStyle w:val="hps"/>
          <w:rFonts w:cs="Arial"/>
          <w:color w:val="000000"/>
        </w:rPr>
        <w:t>developed within the project</w:t>
      </w:r>
      <w:r w:rsidRPr="00343A43">
        <w:t xml:space="preserve">: </w:t>
      </w:r>
      <w:r w:rsidRPr="00343A43">
        <w:rPr>
          <w:rStyle w:val="hps"/>
          <w:rFonts w:cs="Arial"/>
          <w:color w:val="000000"/>
        </w:rPr>
        <w:t>The operationalization</w:t>
      </w:r>
      <w:r w:rsidRPr="00343A43">
        <w:t xml:space="preserve"> </w:t>
      </w:r>
      <w:r w:rsidRPr="00343A43">
        <w:rPr>
          <w:rStyle w:val="hps"/>
          <w:rFonts w:cs="Arial"/>
          <w:color w:val="000000"/>
        </w:rPr>
        <w:t>of the national strategy</w:t>
      </w:r>
      <w:r w:rsidRPr="00343A43">
        <w:t xml:space="preserve"> </w:t>
      </w:r>
      <w:r w:rsidRPr="00343A43">
        <w:rPr>
          <w:rStyle w:val="hps"/>
          <w:rFonts w:cs="Arial"/>
          <w:color w:val="000000"/>
        </w:rPr>
        <w:t>and development</w:t>
      </w:r>
      <w:r w:rsidRPr="00343A43">
        <w:t xml:space="preserve"> </w:t>
      </w:r>
      <w:r w:rsidRPr="00343A43">
        <w:rPr>
          <w:rStyle w:val="hps"/>
          <w:rFonts w:cs="Arial"/>
          <w:color w:val="000000"/>
        </w:rPr>
        <w:t>component</w:t>
      </w:r>
      <w:r w:rsidRPr="00343A43">
        <w:t xml:space="preserve"> </w:t>
      </w:r>
      <w:r w:rsidRPr="00343A43">
        <w:rPr>
          <w:rStyle w:val="hps"/>
          <w:rFonts w:cs="Arial"/>
          <w:color w:val="000000"/>
        </w:rPr>
        <w:t>of the Operational Programs</w:t>
      </w:r>
      <w:r w:rsidRPr="00343A43">
        <w:t xml:space="preserve"> </w:t>
      </w:r>
      <w:r w:rsidRPr="00343A43">
        <w:rPr>
          <w:rStyle w:val="hps"/>
          <w:rFonts w:cs="Arial"/>
          <w:color w:val="000000"/>
        </w:rPr>
        <w:t>2014-2020</w:t>
      </w:r>
      <w:r w:rsidRPr="00343A43">
        <w:t xml:space="preserve"> </w:t>
      </w:r>
      <w:r w:rsidRPr="00343A43">
        <w:rPr>
          <w:rStyle w:val="hps"/>
          <w:rFonts w:cs="Arial"/>
          <w:color w:val="000000"/>
        </w:rPr>
        <w:t>Climate</w:t>
      </w:r>
      <w:r w:rsidRPr="00343A43">
        <w:t xml:space="preserve"> </w:t>
      </w:r>
      <w:r w:rsidRPr="00343A43">
        <w:rPr>
          <w:rStyle w:val="hps"/>
          <w:rFonts w:cs="Arial"/>
          <w:color w:val="000000"/>
        </w:rPr>
        <w:t>"</w:t>
      </w:r>
      <w:r w:rsidRPr="00343A43">
        <w:t xml:space="preserve">project of the </w:t>
      </w:r>
      <w:r w:rsidRPr="00343A43">
        <w:rPr>
          <w:rStyle w:val="hps"/>
          <w:rFonts w:cs="Arial"/>
          <w:color w:val="000000"/>
        </w:rPr>
        <w:t>MECC (Ministry of Environment and Climate Changes)</w:t>
      </w:r>
    </w:p>
    <w:p w:rsidR="008B7CC2" w:rsidRPr="00343A43" w:rsidRDefault="008B7CC2" w:rsidP="008B7CC2">
      <w:pPr>
        <w:pStyle w:val="Bullet"/>
        <w:rPr>
          <w:rFonts w:eastAsia="Calibri"/>
        </w:rPr>
      </w:pPr>
      <w:r w:rsidRPr="00343A43">
        <w:rPr>
          <w:rStyle w:val="hps"/>
          <w:rFonts w:cs="Arial"/>
          <w:color w:val="000000"/>
        </w:rPr>
        <w:t>Working Document</w:t>
      </w:r>
      <w:r w:rsidRPr="00343A43">
        <w:t xml:space="preserve"> </w:t>
      </w:r>
      <w:r w:rsidRPr="00343A43">
        <w:rPr>
          <w:rStyle w:val="hps"/>
          <w:rFonts w:cs="Arial"/>
          <w:color w:val="000000"/>
        </w:rPr>
        <w:t>of the European Commission</w:t>
      </w:r>
      <w:r w:rsidRPr="00343A43">
        <w:t xml:space="preserve"> </w:t>
      </w:r>
      <w:r w:rsidRPr="00343A43">
        <w:rPr>
          <w:rStyle w:val="hps"/>
          <w:rFonts w:cs="Arial"/>
          <w:color w:val="000000"/>
        </w:rPr>
        <w:t>-</w:t>
      </w:r>
      <w:r w:rsidRPr="00343A43">
        <w:t xml:space="preserve"> </w:t>
      </w:r>
      <w:r w:rsidRPr="00343A43">
        <w:rPr>
          <w:rStyle w:val="hps"/>
          <w:rFonts w:cs="Arial"/>
          <w:color w:val="000000"/>
        </w:rPr>
        <w:t>"</w:t>
      </w:r>
      <w:r w:rsidRPr="00343A43">
        <w:t xml:space="preserve">Adapting </w:t>
      </w:r>
      <w:r w:rsidRPr="00343A43">
        <w:rPr>
          <w:rStyle w:val="hps"/>
          <w:rFonts w:cs="Arial"/>
          <w:color w:val="000000"/>
        </w:rPr>
        <w:t>Infrastructure</w:t>
      </w:r>
      <w:r w:rsidRPr="00343A43">
        <w:t xml:space="preserve"> </w:t>
      </w:r>
      <w:r w:rsidRPr="00343A43">
        <w:rPr>
          <w:rStyle w:val="hps"/>
          <w:rFonts w:cs="Arial"/>
          <w:color w:val="000000"/>
        </w:rPr>
        <w:t>to</w:t>
      </w:r>
      <w:r w:rsidRPr="00343A43">
        <w:t xml:space="preserve"> </w:t>
      </w:r>
      <w:r w:rsidRPr="00343A43">
        <w:rPr>
          <w:rStyle w:val="hps"/>
          <w:rFonts w:cs="Arial"/>
          <w:color w:val="000000"/>
        </w:rPr>
        <w:t>Climate Change</w:t>
      </w:r>
      <w:r w:rsidRPr="00343A43">
        <w:rPr>
          <w:rFonts w:eastAsia="Calibri"/>
        </w:rPr>
        <w:t xml:space="preserve">” </w:t>
      </w:r>
      <w:r w:rsidRPr="00343A43">
        <w:rPr>
          <w:rFonts w:eastAsia="Calibri"/>
          <w:vertAlign w:val="superscript"/>
        </w:rPr>
        <w:footnoteReference w:id="22"/>
      </w:r>
    </w:p>
    <w:p w:rsidR="008B7CC2" w:rsidRPr="00343A43" w:rsidRDefault="008B7CC2" w:rsidP="008B7CC2">
      <w:pPr>
        <w:pStyle w:val="Bullet"/>
        <w:rPr>
          <w:rFonts w:eastAsia="Calibri"/>
        </w:rPr>
      </w:pPr>
      <w:r w:rsidRPr="00343A43">
        <w:rPr>
          <w:rStyle w:val="hps"/>
          <w:rFonts w:cs="Arial"/>
          <w:color w:val="000000"/>
        </w:rPr>
        <w:t>Joint Declaration</w:t>
      </w:r>
      <w:r w:rsidRPr="00343A43">
        <w:t xml:space="preserve"> </w:t>
      </w:r>
      <w:r w:rsidRPr="00343A43">
        <w:rPr>
          <w:rStyle w:val="hps"/>
          <w:rFonts w:cs="Arial"/>
          <w:color w:val="000000"/>
        </w:rPr>
        <w:t>on the principles</w:t>
      </w:r>
      <w:r w:rsidRPr="00343A43">
        <w:t xml:space="preserve"> </w:t>
      </w:r>
      <w:r w:rsidRPr="00343A43">
        <w:rPr>
          <w:rStyle w:val="hps"/>
          <w:rFonts w:cs="Arial"/>
          <w:color w:val="000000"/>
        </w:rPr>
        <w:t>guiding</w:t>
      </w:r>
      <w:r w:rsidRPr="00343A43">
        <w:t xml:space="preserve"> </w:t>
      </w:r>
      <w:r w:rsidRPr="00343A43">
        <w:rPr>
          <w:rStyle w:val="hps"/>
          <w:rFonts w:cs="Arial"/>
          <w:color w:val="000000"/>
        </w:rPr>
        <w:t>the development of</w:t>
      </w:r>
      <w:r w:rsidRPr="00343A43">
        <w:t xml:space="preserve"> </w:t>
      </w:r>
      <w:r w:rsidRPr="00343A43">
        <w:rPr>
          <w:rStyle w:val="hps"/>
          <w:rFonts w:cs="Arial"/>
          <w:color w:val="000000"/>
        </w:rPr>
        <w:t>navigation</w:t>
      </w:r>
      <w:r w:rsidRPr="00343A43">
        <w:t xml:space="preserve"> </w:t>
      </w:r>
      <w:r w:rsidRPr="00343A43">
        <w:rPr>
          <w:rStyle w:val="hps"/>
          <w:rFonts w:cs="Arial"/>
          <w:color w:val="000000"/>
        </w:rPr>
        <w:t>and</w:t>
      </w:r>
      <w:r w:rsidRPr="00343A43">
        <w:t xml:space="preserve"> </w:t>
      </w:r>
      <w:r w:rsidRPr="00343A43">
        <w:rPr>
          <w:rStyle w:val="hps"/>
          <w:rFonts w:cs="Arial"/>
          <w:color w:val="000000"/>
        </w:rPr>
        <w:t>environmental protection</w:t>
      </w:r>
      <w:r w:rsidRPr="00343A43">
        <w:t xml:space="preserve"> </w:t>
      </w:r>
      <w:r w:rsidRPr="00343A43">
        <w:rPr>
          <w:rStyle w:val="hps"/>
          <w:rFonts w:cs="Arial"/>
          <w:color w:val="000000"/>
        </w:rPr>
        <w:t>in</w:t>
      </w:r>
      <w:r w:rsidRPr="00343A43">
        <w:t xml:space="preserve"> </w:t>
      </w:r>
      <w:r w:rsidRPr="00343A43">
        <w:rPr>
          <w:rStyle w:val="hps"/>
          <w:rFonts w:cs="Arial"/>
          <w:color w:val="000000"/>
        </w:rPr>
        <w:t>the Danube River Basin</w:t>
      </w:r>
      <w:r w:rsidRPr="00343A43">
        <w:t xml:space="preserve"> </w:t>
      </w:r>
      <w:r w:rsidRPr="00343A43">
        <w:rPr>
          <w:rStyle w:val="hps"/>
          <w:rFonts w:cs="Arial"/>
          <w:color w:val="000000"/>
        </w:rPr>
        <w:t>(Joint</w:t>
      </w:r>
      <w:r w:rsidRPr="00343A43">
        <w:t xml:space="preserve"> </w:t>
      </w:r>
      <w:r w:rsidRPr="00343A43">
        <w:rPr>
          <w:rStyle w:val="hps"/>
          <w:rFonts w:cs="Arial"/>
          <w:color w:val="000000"/>
        </w:rPr>
        <w:t>Statement</w:t>
      </w:r>
      <w:r w:rsidRPr="00343A43">
        <w:t xml:space="preserve"> </w:t>
      </w:r>
      <w:r w:rsidRPr="00343A43">
        <w:rPr>
          <w:rStyle w:val="hps"/>
          <w:rFonts w:cs="Arial"/>
          <w:color w:val="000000"/>
        </w:rPr>
        <w:t>on</w:t>
      </w:r>
      <w:r w:rsidRPr="00343A43">
        <w:t xml:space="preserve"> </w:t>
      </w:r>
      <w:r w:rsidRPr="00343A43">
        <w:rPr>
          <w:rStyle w:val="hps"/>
          <w:rFonts w:cs="Arial"/>
          <w:color w:val="000000"/>
        </w:rPr>
        <w:t>Guiding</w:t>
      </w:r>
      <w:r w:rsidRPr="00343A43">
        <w:t xml:space="preserve"> </w:t>
      </w:r>
      <w:r w:rsidRPr="00343A43">
        <w:rPr>
          <w:rStyle w:val="hps"/>
          <w:rFonts w:cs="Arial"/>
          <w:color w:val="000000"/>
        </w:rPr>
        <w:t>Principles</w:t>
      </w:r>
      <w:r w:rsidRPr="00343A43">
        <w:t xml:space="preserve"> </w:t>
      </w:r>
      <w:r w:rsidRPr="00343A43">
        <w:rPr>
          <w:rStyle w:val="hps"/>
          <w:rFonts w:cs="Arial"/>
          <w:color w:val="000000"/>
        </w:rPr>
        <w:t>for the</w:t>
      </w:r>
      <w:r w:rsidRPr="00343A43">
        <w:t xml:space="preserve"> </w:t>
      </w:r>
      <w:r w:rsidRPr="00343A43">
        <w:rPr>
          <w:rStyle w:val="hps"/>
          <w:rFonts w:cs="Arial"/>
          <w:color w:val="000000"/>
        </w:rPr>
        <w:t>Development</w:t>
      </w:r>
      <w:r w:rsidRPr="00343A43">
        <w:t xml:space="preserve"> </w:t>
      </w:r>
      <w:r w:rsidRPr="00343A43">
        <w:rPr>
          <w:rStyle w:val="hps"/>
          <w:rFonts w:cs="Arial"/>
          <w:color w:val="000000"/>
        </w:rPr>
        <w:t>of</w:t>
      </w:r>
      <w:r w:rsidRPr="00343A43">
        <w:t xml:space="preserve"> </w:t>
      </w:r>
      <w:r w:rsidRPr="00343A43">
        <w:rPr>
          <w:rStyle w:val="hps"/>
          <w:rFonts w:cs="Arial"/>
          <w:color w:val="000000"/>
        </w:rPr>
        <w:t>Inland</w:t>
      </w:r>
      <w:r w:rsidRPr="00343A43">
        <w:t xml:space="preserve"> </w:t>
      </w:r>
      <w:r w:rsidRPr="00343A43">
        <w:rPr>
          <w:rStyle w:val="hps"/>
          <w:rFonts w:cs="Arial"/>
          <w:color w:val="000000"/>
        </w:rPr>
        <w:t>Navigation</w:t>
      </w:r>
      <w:r w:rsidRPr="00343A43">
        <w:t xml:space="preserve"> </w:t>
      </w:r>
      <w:r w:rsidRPr="00343A43">
        <w:rPr>
          <w:rStyle w:val="hps"/>
          <w:rFonts w:cs="Arial"/>
          <w:color w:val="000000"/>
        </w:rPr>
        <w:t>and Environmental</w:t>
      </w:r>
      <w:r w:rsidRPr="00343A43">
        <w:t xml:space="preserve"> </w:t>
      </w:r>
      <w:r w:rsidRPr="00343A43">
        <w:rPr>
          <w:rStyle w:val="hps"/>
          <w:rFonts w:cs="Arial"/>
          <w:color w:val="000000"/>
        </w:rPr>
        <w:t>Protection</w:t>
      </w:r>
      <w:r w:rsidRPr="00343A43">
        <w:t xml:space="preserve"> </w:t>
      </w:r>
      <w:r w:rsidRPr="00343A43">
        <w:rPr>
          <w:rStyle w:val="hps"/>
          <w:rFonts w:cs="Arial"/>
          <w:color w:val="000000"/>
        </w:rPr>
        <w:t>in</w:t>
      </w:r>
      <w:r w:rsidRPr="00343A43">
        <w:t xml:space="preserve"> </w:t>
      </w:r>
      <w:r w:rsidRPr="00343A43">
        <w:rPr>
          <w:rStyle w:val="hps"/>
          <w:rFonts w:cs="Arial"/>
          <w:color w:val="000000"/>
        </w:rPr>
        <w:t>the</w:t>
      </w:r>
      <w:r w:rsidRPr="00343A43">
        <w:t xml:space="preserve"> </w:t>
      </w:r>
      <w:r w:rsidRPr="00343A43">
        <w:rPr>
          <w:rStyle w:val="hps"/>
          <w:rFonts w:cs="Arial"/>
          <w:color w:val="000000"/>
        </w:rPr>
        <w:t>Danube</w:t>
      </w:r>
      <w:r w:rsidRPr="00343A43">
        <w:t xml:space="preserve"> </w:t>
      </w:r>
      <w:r w:rsidRPr="00343A43">
        <w:rPr>
          <w:rStyle w:val="hps"/>
          <w:rFonts w:cs="Arial"/>
          <w:color w:val="000000"/>
        </w:rPr>
        <w:t>River</w:t>
      </w:r>
      <w:r w:rsidRPr="00343A43">
        <w:t xml:space="preserve"> </w:t>
      </w:r>
      <w:r w:rsidRPr="00343A43">
        <w:rPr>
          <w:rStyle w:val="hps"/>
          <w:rFonts w:cs="Arial"/>
          <w:color w:val="000000"/>
        </w:rPr>
        <w:t>Basin</w:t>
      </w:r>
      <w:r w:rsidRPr="00343A43">
        <w:rPr>
          <w:rFonts w:eastAsia="Calibri"/>
        </w:rPr>
        <w:t>)”</w:t>
      </w:r>
      <w:r w:rsidRPr="00343A43">
        <w:rPr>
          <w:rFonts w:eastAsia="Calibri"/>
          <w:vertAlign w:val="superscript"/>
        </w:rPr>
        <w:footnoteReference w:id="23"/>
      </w:r>
      <w:r w:rsidRPr="00343A43">
        <w:rPr>
          <w:rFonts w:eastAsia="Calibri"/>
        </w:rPr>
        <w:t>.</w:t>
      </w:r>
    </w:p>
    <w:p w:rsidR="008B7CC2" w:rsidRDefault="008B7CC2" w:rsidP="00A4081F">
      <w:pPr>
        <w:pStyle w:val="NumberedParas"/>
      </w:pPr>
      <w:r>
        <w:t>Table 3.1 includes a brief description of the contents of the most relevant EU Policy documents, the reference period for the actions to be undertaken and also the relation with the Master Plan.</w:t>
      </w:r>
    </w:p>
    <w:p w:rsidR="008B7CC2" w:rsidRPr="00066342" w:rsidRDefault="00066342" w:rsidP="00066342">
      <w:pPr>
        <w:rPr>
          <w:rFonts w:cs="Arial"/>
          <w:b/>
          <w:bCs/>
          <w:color w:val="000000"/>
          <w:sz w:val="22"/>
          <w:szCs w:val="22"/>
          <w:lang w:val="en-US"/>
        </w:rPr>
      </w:pPr>
      <w:r>
        <w:rPr>
          <w:rFonts w:cs="Arial"/>
          <w:b/>
          <w:bCs/>
          <w:color w:val="000000"/>
          <w:sz w:val="22"/>
          <w:szCs w:val="22"/>
          <w:lang w:val="en-US"/>
        </w:rPr>
        <w:t>Table 3</w:t>
      </w:r>
      <w:r w:rsidR="008B7CC2" w:rsidRPr="00066342">
        <w:rPr>
          <w:rFonts w:cs="Arial"/>
          <w:b/>
          <w:bCs/>
          <w:color w:val="000000"/>
          <w:sz w:val="22"/>
          <w:szCs w:val="22"/>
          <w:lang w:val="en-US"/>
        </w:rPr>
        <w:t>.</w:t>
      </w:r>
      <w:r w:rsidR="00AD41C6" w:rsidRPr="00066342">
        <w:rPr>
          <w:rFonts w:cs="Arial"/>
          <w:b/>
          <w:bCs/>
          <w:color w:val="000000"/>
          <w:sz w:val="22"/>
          <w:szCs w:val="22"/>
          <w:lang w:val="en-US"/>
        </w:rPr>
        <w:fldChar w:fldCharType="begin"/>
      </w:r>
      <w:r w:rsidR="008B7CC2" w:rsidRPr="00066342">
        <w:rPr>
          <w:rFonts w:cs="Arial"/>
          <w:b/>
          <w:bCs/>
          <w:color w:val="000000"/>
          <w:sz w:val="22"/>
          <w:szCs w:val="22"/>
          <w:lang w:val="en-US"/>
        </w:rPr>
        <w:instrText xml:space="preserve"> SEQ Tabelul \* ARABIC \s 1 </w:instrText>
      </w:r>
      <w:r w:rsidR="00AD41C6" w:rsidRPr="00066342">
        <w:rPr>
          <w:rFonts w:cs="Arial"/>
          <w:b/>
          <w:bCs/>
          <w:color w:val="000000"/>
          <w:sz w:val="22"/>
          <w:szCs w:val="22"/>
          <w:lang w:val="en-US"/>
        </w:rPr>
        <w:fldChar w:fldCharType="separate"/>
      </w:r>
      <w:r w:rsidR="00C168ED">
        <w:rPr>
          <w:rFonts w:cs="Arial"/>
          <w:b/>
          <w:bCs/>
          <w:noProof/>
          <w:color w:val="000000"/>
          <w:sz w:val="22"/>
          <w:szCs w:val="22"/>
          <w:lang w:val="en-US"/>
        </w:rPr>
        <w:t>1</w:t>
      </w:r>
      <w:r w:rsidR="00AD41C6" w:rsidRPr="00066342">
        <w:rPr>
          <w:rFonts w:cs="Arial"/>
          <w:b/>
          <w:bCs/>
          <w:color w:val="000000"/>
          <w:sz w:val="22"/>
          <w:szCs w:val="22"/>
          <w:lang w:val="en-US"/>
        </w:rPr>
        <w:fldChar w:fldCharType="end"/>
      </w:r>
      <w:r w:rsidR="008B7CC2" w:rsidRPr="00066342">
        <w:rPr>
          <w:rFonts w:cs="Arial"/>
          <w:b/>
          <w:bCs/>
          <w:color w:val="000000"/>
          <w:sz w:val="22"/>
          <w:szCs w:val="22"/>
          <w:lang w:val="en-US"/>
        </w:rPr>
        <w:t xml:space="preserve"> Relationship of General Transport Master Plan with the most relevant EU Transport Policy documents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9"/>
        <w:gridCol w:w="4861"/>
        <w:gridCol w:w="1463"/>
        <w:gridCol w:w="2354"/>
      </w:tblGrid>
      <w:tr w:rsidR="008B7CC2" w:rsidRPr="0042006C" w:rsidTr="00BF3E32">
        <w:trPr>
          <w:trHeight w:val="1912"/>
          <w:tblHeader/>
          <w:jc w:val="center"/>
        </w:trPr>
        <w:tc>
          <w:tcPr>
            <w:tcW w:w="871"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8B7CC2" w:rsidRPr="0042006C" w:rsidRDefault="008B7CC2" w:rsidP="00CC0F49">
            <w:pPr>
              <w:rPr>
                <w:rFonts w:eastAsia="Calibri" w:cs="Arial"/>
                <w:b/>
                <w:color w:val="000000"/>
                <w:sz w:val="20"/>
                <w:szCs w:val="20"/>
              </w:rPr>
            </w:pPr>
            <w:r w:rsidRPr="0042006C">
              <w:rPr>
                <w:rFonts w:eastAsia="Calibri" w:cs="Arial"/>
                <w:b/>
                <w:color w:val="000000"/>
                <w:sz w:val="20"/>
                <w:szCs w:val="20"/>
              </w:rPr>
              <w:t>Strategy/Plan/ Program relevant to GTMP</w:t>
            </w:r>
          </w:p>
        </w:tc>
        <w:tc>
          <w:tcPr>
            <w:tcW w:w="2313"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8B7CC2" w:rsidRPr="0042006C" w:rsidRDefault="008B7CC2" w:rsidP="00BF3E32">
            <w:pPr>
              <w:jc w:val="center"/>
              <w:rPr>
                <w:rFonts w:eastAsia="Calibri" w:cs="Arial"/>
                <w:b/>
                <w:color w:val="000000"/>
                <w:sz w:val="20"/>
                <w:szCs w:val="20"/>
              </w:rPr>
            </w:pPr>
            <w:r w:rsidRPr="0042006C">
              <w:rPr>
                <w:rFonts w:eastAsia="Calibri" w:cs="Arial"/>
                <w:b/>
                <w:color w:val="000000"/>
                <w:sz w:val="20"/>
                <w:szCs w:val="20"/>
              </w:rPr>
              <w:t>Summary description of document</w:t>
            </w:r>
          </w:p>
        </w:tc>
        <w:tc>
          <w:tcPr>
            <w:tcW w:w="69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8B7CC2" w:rsidRPr="0042006C" w:rsidRDefault="008B7CC2" w:rsidP="00BF3E32">
            <w:pPr>
              <w:jc w:val="center"/>
              <w:rPr>
                <w:rFonts w:eastAsia="Calibri" w:cs="Arial"/>
                <w:b/>
                <w:color w:val="000000"/>
                <w:sz w:val="20"/>
                <w:szCs w:val="20"/>
              </w:rPr>
            </w:pPr>
            <w:r w:rsidRPr="0042006C">
              <w:rPr>
                <w:rFonts w:eastAsia="Calibri" w:cs="Arial"/>
                <w:b/>
                <w:color w:val="000000"/>
                <w:sz w:val="20"/>
                <w:szCs w:val="20"/>
              </w:rPr>
              <w:t>Reference period</w:t>
            </w:r>
          </w:p>
        </w:tc>
        <w:tc>
          <w:tcPr>
            <w:tcW w:w="1121"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8B7CC2" w:rsidRPr="0042006C" w:rsidRDefault="008B7CC2" w:rsidP="00BF3E32">
            <w:pPr>
              <w:jc w:val="center"/>
              <w:rPr>
                <w:rFonts w:eastAsia="Calibri" w:cs="Arial"/>
                <w:b/>
                <w:color w:val="000000"/>
                <w:sz w:val="20"/>
                <w:szCs w:val="20"/>
              </w:rPr>
            </w:pPr>
            <w:r w:rsidRPr="0042006C">
              <w:rPr>
                <w:rFonts w:eastAsia="Calibri" w:cs="Arial"/>
                <w:b/>
                <w:color w:val="000000"/>
                <w:sz w:val="20"/>
                <w:szCs w:val="20"/>
              </w:rPr>
              <w:t>Relation to General Transport Master Plan</w:t>
            </w:r>
          </w:p>
        </w:tc>
      </w:tr>
      <w:tr w:rsidR="008B7CC2" w:rsidRPr="0042006C" w:rsidTr="00BF3E32">
        <w:trPr>
          <w:trHeight w:val="1912"/>
          <w:jc w:val="center"/>
        </w:trPr>
        <w:tc>
          <w:tcPr>
            <w:tcW w:w="871"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TEN-T Regulations</w:t>
            </w:r>
          </w:p>
        </w:tc>
        <w:tc>
          <w:tcPr>
            <w:tcW w:w="2313"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cs="Arial"/>
                <w:sz w:val="20"/>
                <w:szCs w:val="20"/>
              </w:rPr>
            </w:pPr>
            <w:r w:rsidRPr="0042006C">
              <w:rPr>
                <w:rFonts w:eastAsia="Calibri" w:cs="Arial"/>
                <w:color w:val="000000"/>
                <w:sz w:val="20"/>
                <w:szCs w:val="20"/>
              </w:rPr>
              <w:t xml:space="preserve">The TEN-T network consists of two layers: a </w:t>
            </w:r>
            <w:r w:rsidRPr="0042006C">
              <w:rPr>
                <w:rFonts w:eastAsia="Calibri" w:cs="Arial"/>
                <w:b/>
                <w:color w:val="000000"/>
                <w:sz w:val="20"/>
                <w:szCs w:val="20"/>
              </w:rPr>
              <w:t>core network</w:t>
            </w:r>
            <w:r w:rsidRPr="0042006C">
              <w:rPr>
                <w:rFonts w:eastAsia="Calibri" w:cs="Arial"/>
                <w:color w:val="000000"/>
                <w:sz w:val="20"/>
                <w:szCs w:val="20"/>
              </w:rPr>
              <w:t xml:space="preserve"> intended to be completed by 2030 and a </w:t>
            </w:r>
            <w:r w:rsidRPr="0042006C">
              <w:rPr>
                <w:rFonts w:eastAsia="Calibri" w:cs="Arial"/>
                <w:b/>
                <w:color w:val="000000"/>
                <w:sz w:val="20"/>
                <w:szCs w:val="20"/>
              </w:rPr>
              <w:t>comprehensive network</w:t>
            </w:r>
            <w:r w:rsidRPr="0042006C">
              <w:rPr>
                <w:rFonts w:eastAsia="Calibri" w:cs="Arial"/>
                <w:color w:val="000000"/>
                <w:sz w:val="20"/>
                <w:szCs w:val="20"/>
              </w:rPr>
              <w:t xml:space="preserve"> feeding into this, intended to be completed by 2050. The comprehensive network will ensure full coverage of the EU and accessibility of all regions. The core network will prioritize the most important links and nodes of the TEN-T, to be fully functional until 2030. Both layers include all transport modes: road, rail, air, inland waterways and maritime transport, as well as intermodal platforms.</w:t>
            </w:r>
          </w:p>
          <w:p w:rsidR="008B7CC2" w:rsidRPr="0042006C" w:rsidRDefault="008B7CC2" w:rsidP="00BF3E32">
            <w:pPr>
              <w:rPr>
                <w:rFonts w:eastAsia="Calibri" w:cs="Arial"/>
                <w:color w:val="000000"/>
                <w:sz w:val="20"/>
                <w:szCs w:val="20"/>
              </w:rPr>
            </w:pPr>
            <w:r w:rsidRPr="0042006C">
              <w:rPr>
                <w:rFonts w:eastAsia="Calibri" w:cs="Arial"/>
                <w:color w:val="000000"/>
                <w:sz w:val="20"/>
                <w:szCs w:val="20"/>
              </w:rPr>
              <w:t>The TEN-T guidelines set common requirements for the TEN-T infrastructure – with tougher requirements for the core network. This will ensure fluent transport operations throughout the network. The policy also fosters the implementation of traffic management systems which will allow optimising the use of infrastructure and by increasing efficiency, to reduce CO</w:t>
            </w:r>
            <w:r w:rsidRPr="0042006C">
              <w:rPr>
                <w:rFonts w:eastAsia="Calibri"/>
                <w:color w:val="000000"/>
                <w:sz w:val="20"/>
                <w:szCs w:val="20"/>
              </w:rPr>
              <w:t>2 </w:t>
            </w:r>
            <w:r w:rsidRPr="0042006C">
              <w:rPr>
                <w:rFonts w:eastAsia="Calibri" w:cs="Arial"/>
                <w:color w:val="000000"/>
                <w:sz w:val="20"/>
                <w:szCs w:val="20"/>
              </w:rPr>
              <w:t>emissions.</w:t>
            </w:r>
          </w:p>
          <w:p w:rsidR="008B7CC2" w:rsidRPr="0042006C" w:rsidRDefault="008B7CC2" w:rsidP="00BF3E32">
            <w:pPr>
              <w:rPr>
                <w:rFonts w:eastAsia="Calibri"/>
                <w:sz w:val="20"/>
                <w:szCs w:val="20"/>
              </w:rPr>
            </w:pPr>
            <w:r w:rsidRPr="0042006C">
              <w:rPr>
                <w:rFonts w:eastAsia="Calibri" w:cs="Arial"/>
                <w:color w:val="000000"/>
                <w:sz w:val="20"/>
                <w:szCs w:val="20"/>
              </w:rPr>
              <w:t>Intelligent transport systems include the traffic management systems for road, rail, air and waterborne transport as well as the positioning and navigation systems.</w:t>
            </w:r>
          </w:p>
        </w:tc>
        <w:tc>
          <w:tcPr>
            <w:tcW w:w="696"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2030</w:t>
            </w:r>
          </w:p>
        </w:tc>
        <w:tc>
          <w:tcPr>
            <w:tcW w:w="1121"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The relation with the EU TEN-T policy consists of one the evaluation criteria in the project prioritisation process.</w:t>
            </w:r>
          </w:p>
          <w:p w:rsidR="008B7CC2" w:rsidRPr="0042006C" w:rsidRDefault="008B7CC2" w:rsidP="00BF3E32">
            <w:pPr>
              <w:rPr>
                <w:rFonts w:eastAsia="Calibri" w:cs="Arial"/>
                <w:color w:val="000000"/>
                <w:sz w:val="20"/>
                <w:szCs w:val="20"/>
              </w:rPr>
            </w:pPr>
            <w:r w:rsidRPr="0042006C">
              <w:rPr>
                <w:rFonts w:eastAsia="Calibri" w:cs="Arial"/>
                <w:color w:val="000000"/>
                <w:sz w:val="20"/>
                <w:szCs w:val="20"/>
              </w:rPr>
              <w:t>This reflects the fact that it is both Romania’s and the EU’s policy to improve the quality of the most important routes within and across the country.  In addition, the routes selected for the core TEN-T have already been the subject of careful analysis and evaluation, so it is logical that the Master Plan should favour projects which improve these routes. The TEN-T concept includes the connection of major nodes (cities with a population of 1 million or more) via multi-modal corridors. The assessment of network improvements used in the Master Plan implicitly takes into account the travel demand from these and other major centres.</w:t>
            </w:r>
          </w:p>
          <w:p w:rsidR="008B7CC2" w:rsidRPr="0042006C" w:rsidRDefault="008B7CC2" w:rsidP="00BF3E32">
            <w:pPr>
              <w:rPr>
                <w:rFonts w:eastAsia="Calibri" w:cs="Arial"/>
                <w:color w:val="000000"/>
                <w:sz w:val="20"/>
                <w:szCs w:val="20"/>
              </w:rPr>
            </w:pPr>
            <w:r w:rsidRPr="00066342">
              <w:rPr>
                <w:rFonts w:eastAsia="Calibri" w:cs="Arial"/>
                <w:color w:val="000000"/>
                <w:sz w:val="20"/>
                <w:szCs w:val="20"/>
              </w:rPr>
              <w:t>Maps of TEN-T Network in Romania are provided in Appendix B.</w:t>
            </w:r>
          </w:p>
        </w:tc>
      </w:tr>
      <w:tr w:rsidR="008B7CC2" w:rsidRPr="0042006C" w:rsidTr="00BF3E32">
        <w:trPr>
          <w:trHeight w:val="1912"/>
          <w:jc w:val="center"/>
        </w:trPr>
        <w:tc>
          <w:tcPr>
            <w:tcW w:w="871"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White Paper on Community Transport Policy (2011) </w:t>
            </w:r>
          </w:p>
        </w:tc>
        <w:tc>
          <w:tcPr>
            <w:tcW w:w="2313"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eastAsia="Calibri" w:cs="Arial"/>
                <w:color w:val="000000"/>
                <w:sz w:val="20"/>
                <w:szCs w:val="20"/>
              </w:rPr>
            </w:pPr>
            <w:r w:rsidRPr="0042006C">
              <w:rPr>
                <w:rStyle w:val="hps"/>
                <w:rFonts w:cs="Arial"/>
                <w:color w:val="000000"/>
                <w:sz w:val="20"/>
                <w:szCs w:val="20"/>
              </w:rPr>
              <w:t>The White Paper of Transport</w:t>
            </w:r>
            <w:r w:rsidRPr="0042006C">
              <w:rPr>
                <w:rFonts w:cs="Arial"/>
                <w:color w:val="000000"/>
                <w:sz w:val="20"/>
                <w:szCs w:val="20"/>
              </w:rPr>
              <w:t xml:space="preserve"> </w:t>
            </w:r>
            <w:r w:rsidRPr="0042006C">
              <w:rPr>
                <w:rStyle w:val="hps"/>
                <w:rFonts w:cs="Arial"/>
                <w:color w:val="000000"/>
                <w:sz w:val="20"/>
                <w:szCs w:val="20"/>
              </w:rPr>
              <w:t>is</w:t>
            </w:r>
            <w:r w:rsidRPr="0042006C">
              <w:rPr>
                <w:rFonts w:cs="Arial"/>
                <w:color w:val="000000"/>
                <w:sz w:val="20"/>
                <w:szCs w:val="20"/>
              </w:rPr>
              <w:t xml:space="preserve"> a </w:t>
            </w:r>
            <w:r w:rsidRPr="0042006C">
              <w:rPr>
                <w:rStyle w:val="hps"/>
                <w:rFonts w:cs="Arial"/>
                <w:color w:val="000000"/>
                <w:sz w:val="20"/>
                <w:szCs w:val="20"/>
              </w:rPr>
              <w:t>Roadmap</w:t>
            </w:r>
            <w:r w:rsidRPr="0042006C">
              <w:rPr>
                <w:rFonts w:cs="Arial"/>
                <w:color w:val="000000"/>
                <w:sz w:val="20"/>
                <w:szCs w:val="20"/>
              </w:rPr>
              <w:t xml:space="preserve"> </w:t>
            </w:r>
            <w:r w:rsidRPr="0042006C">
              <w:rPr>
                <w:rStyle w:val="hps"/>
                <w:rFonts w:cs="Arial"/>
                <w:color w:val="000000"/>
                <w:sz w:val="20"/>
                <w:szCs w:val="20"/>
              </w:rPr>
              <w:t>to</w:t>
            </w:r>
            <w:r w:rsidRPr="0042006C">
              <w:rPr>
                <w:rFonts w:cs="Arial"/>
                <w:color w:val="000000"/>
                <w:sz w:val="20"/>
                <w:szCs w:val="20"/>
              </w:rPr>
              <w:t xml:space="preserve"> </w:t>
            </w:r>
            <w:r w:rsidRPr="0042006C">
              <w:rPr>
                <w:rStyle w:val="hps"/>
                <w:rFonts w:cs="Arial"/>
                <w:color w:val="000000"/>
                <w:sz w:val="20"/>
                <w:szCs w:val="20"/>
              </w:rPr>
              <w:t>a</w:t>
            </w:r>
            <w:r w:rsidRPr="0042006C">
              <w:rPr>
                <w:rFonts w:cs="Arial"/>
                <w:color w:val="000000"/>
                <w:sz w:val="20"/>
                <w:szCs w:val="20"/>
              </w:rPr>
              <w:t xml:space="preserve"> </w:t>
            </w:r>
            <w:r w:rsidRPr="0042006C">
              <w:rPr>
                <w:rStyle w:val="hps"/>
                <w:rFonts w:cs="Arial"/>
                <w:color w:val="000000"/>
                <w:sz w:val="20"/>
                <w:szCs w:val="20"/>
              </w:rPr>
              <w:t>single European</w:t>
            </w:r>
            <w:r w:rsidRPr="0042006C">
              <w:rPr>
                <w:rFonts w:cs="Arial"/>
                <w:color w:val="000000"/>
                <w:sz w:val="20"/>
                <w:szCs w:val="20"/>
              </w:rPr>
              <w:t xml:space="preserve"> space of t</w:t>
            </w:r>
            <w:r w:rsidRPr="0042006C">
              <w:rPr>
                <w:rStyle w:val="hps"/>
                <w:rFonts w:cs="Arial"/>
                <w:color w:val="000000"/>
                <w:sz w:val="20"/>
                <w:szCs w:val="20"/>
              </w:rPr>
              <w:t>ransport</w:t>
            </w:r>
            <w:r w:rsidRPr="0042006C">
              <w:rPr>
                <w:rFonts w:cs="Arial"/>
                <w:color w:val="000000"/>
                <w:sz w:val="20"/>
                <w:szCs w:val="20"/>
              </w:rPr>
              <w:t xml:space="preserve"> </w:t>
            </w:r>
            <w:r w:rsidRPr="0042006C">
              <w:rPr>
                <w:rStyle w:val="hps"/>
                <w:rFonts w:cs="Arial"/>
                <w:color w:val="000000"/>
                <w:sz w:val="20"/>
                <w:szCs w:val="20"/>
              </w:rPr>
              <w:t>to a</w:t>
            </w:r>
            <w:r w:rsidRPr="0042006C">
              <w:rPr>
                <w:rFonts w:cs="Arial"/>
                <w:color w:val="000000"/>
                <w:sz w:val="20"/>
                <w:szCs w:val="20"/>
              </w:rPr>
              <w:t xml:space="preserve"> </w:t>
            </w:r>
            <w:r w:rsidRPr="0042006C">
              <w:rPr>
                <w:rStyle w:val="hps"/>
                <w:rFonts w:cs="Arial"/>
                <w:color w:val="000000"/>
                <w:sz w:val="20"/>
                <w:szCs w:val="20"/>
              </w:rPr>
              <w:t>competitive</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 xml:space="preserve">efficient transportation system. </w:t>
            </w:r>
          </w:p>
          <w:p w:rsidR="008B7CC2" w:rsidRPr="0042006C" w:rsidRDefault="008B7CC2" w:rsidP="00BF3E32">
            <w:pPr>
              <w:rPr>
                <w:rFonts w:eastAsia="Calibri" w:cs="Arial"/>
                <w:color w:val="000000"/>
                <w:sz w:val="20"/>
                <w:szCs w:val="20"/>
              </w:rPr>
            </w:pPr>
            <w:r w:rsidRPr="0042006C">
              <w:rPr>
                <w:rStyle w:val="hps"/>
                <w:rFonts w:cs="Arial"/>
                <w:color w:val="000000"/>
                <w:sz w:val="20"/>
                <w:szCs w:val="20"/>
              </w:rPr>
              <w:t>Examines</w:t>
            </w:r>
            <w:r w:rsidRPr="0042006C">
              <w:rPr>
                <w:rFonts w:cs="Arial"/>
                <w:color w:val="000000"/>
                <w:sz w:val="20"/>
                <w:szCs w:val="20"/>
              </w:rPr>
              <w:t xml:space="preserve"> </w:t>
            </w:r>
            <w:r w:rsidRPr="0042006C">
              <w:rPr>
                <w:rStyle w:val="hps"/>
                <w:rFonts w:cs="Arial"/>
                <w:color w:val="000000"/>
                <w:sz w:val="20"/>
                <w:szCs w:val="20"/>
              </w:rPr>
              <w:t>developments in</w:t>
            </w:r>
            <w:r w:rsidRPr="0042006C">
              <w:rPr>
                <w:rFonts w:cs="Arial"/>
                <w:color w:val="000000"/>
                <w:sz w:val="20"/>
                <w:szCs w:val="20"/>
              </w:rPr>
              <w:t xml:space="preserve"> </w:t>
            </w:r>
            <w:r w:rsidRPr="0042006C">
              <w:rPr>
                <w:rStyle w:val="hps"/>
                <w:rFonts w:cs="Arial"/>
                <w:color w:val="000000"/>
                <w:sz w:val="20"/>
                <w:szCs w:val="20"/>
              </w:rPr>
              <w:t>the transport sector</w:t>
            </w:r>
            <w:r w:rsidRPr="0042006C">
              <w:rPr>
                <w:rFonts w:cs="Arial"/>
                <w:color w:val="000000"/>
                <w:sz w:val="20"/>
                <w:szCs w:val="20"/>
              </w:rPr>
              <w:t xml:space="preserve">, future challenges and </w:t>
            </w:r>
            <w:r w:rsidRPr="0042006C">
              <w:rPr>
                <w:rStyle w:val="hps"/>
                <w:rFonts w:cs="Arial"/>
                <w:color w:val="000000"/>
                <w:sz w:val="20"/>
                <w:szCs w:val="20"/>
              </w:rPr>
              <w:t>policy initiatives</w:t>
            </w:r>
            <w:r w:rsidRPr="0042006C">
              <w:rPr>
                <w:rFonts w:cs="Arial"/>
                <w:color w:val="000000"/>
                <w:sz w:val="20"/>
                <w:szCs w:val="20"/>
              </w:rPr>
              <w:t xml:space="preserve"> </w:t>
            </w:r>
            <w:r w:rsidRPr="0042006C">
              <w:rPr>
                <w:rStyle w:val="hps"/>
                <w:rFonts w:cs="Arial"/>
                <w:color w:val="000000"/>
                <w:sz w:val="20"/>
                <w:szCs w:val="20"/>
              </w:rPr>
              <w:t>that</w:t>
            </w:r>
            <w:r w:rsidRPr="0042006C">
              <w:rPr>
                <w:rFonts w:cs="Arial"/>
                <w:color w:val="000000"/>
                <w:sz w:val="20"/>
                <w:szCs w:val="20"/>
              </w:rPr>
              <w:t xml:space="preserve"> </w:t>
            </w:r>
            <w:r w:rsidRPr="0042006C">
              <w:rPr>
                <w:rStyle w:val="hps"/>
                <w:rFonts w:cs="Arial"/>
                <w:color w:val="000000"/>
                <w:sz w:val="20"/>
                <w:szCs w:val="20"/>
              </w:rPr>
              <w:t>should be considered</w:t>
            </w:r>
            <w:r w:rsidRPr="0042006C">
              <w:rPr>
                <w:rFonts w:cs="Arial"/>
                <w:color w:val="000000"/>
                <w:sz w:val="20"/>
                <w:szCs w:val="20"/>
              </w:rPr>
              <w:t xml:space="preserve"> </w:t>
            </w:r>
            <w:r w:rsidRPr="0042006C">
              <w:rPr>
                <w:rStyle w:val="hps"/>
                <w:rFonts w:cs="Arial"/>
                <w:color w:val="000000"/>
                <w:sz w:val="20"/>
                <w:szCs w:val="20"/>
              </w:rPr>
              <w:t>globally</w:t>
            </w:r>
            <w:r w:rsidRPr="0042006C">
              <w:rPr>
                <w:rFonts w:eastAsia="Calibri" w:cs="Arial"/>
                <w:color w:val="000000"/>
                <w:sz w:val="20"/>
                <w:szCs w:val="20"/>
              </w:rPr>
              <w:t xml:space="preserve">. The document presents both the European Commission vision on transport as well as the key measures to allow the vision implementation. </w:t>
            </w:r>
          </w:p>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The vision for a </w:t>
            </w:r>
            <w:r w:rsidRPr="0042006C">
              <w:rPr>
                <w:rFonts w:eastAsia="Calibri" w:cs="Arial"/>
                <w:b/>
                <w:color w:val="000000"/>
                <w:sz w:val="20"/>
                <w:szCs w:val="20"/>
              </w:rPr>
              <w:t>sustainable</w:t>
            </w:r>
            <w:r w:rsidRPr="0042006C">
              <w:rPr>
                <w:rFonts w:eastAsia="Calibri" w:cs="Arial"/>
                <w:color w:val="000000"/>
                <w:sz w:val="20"/>
                <w:szCs w:val="20"/>
              </w:rPr>
              <w:t xml:space="preserve"> and  </w:t>
            </w:r>
            <w:r w:rsidRPr="0042006C">
              <w:rPr>
                <w:rFonts w:eastAsia="Calibri" w:cs="Arial"/>
                <w:b/>
                <w:color w:val="000000"/>
                <w:sz w:val="20"/>
                <w:szCs w:val="20"/>
              </w:rPr>
              <w:t>competitive transport system</w:t>
            </w:r>
            <w:r w:rsidRPr="0042006C">
              <w:rPr>
                <w:rFonts w:eastAsia="Calibri" w:cs="Arial"/>
                <w:color w:val="000000"/>
                <w:sz w:val="20"/>
                <w:szCs w:val="20"/>
              </w:rPr>
              <w:t xml:space="preserve"> refers to: </w:t>
            </w:r>
          </w:p>
          <w:p w:rsidR="008B7CC2" w:rsidRPr="0042006C" w:rsidRDefault="008B7CC2" w:rsidP="005E50B3">
            <w:pPr>
              <w:numPr>
                <w:ilvl w:val="0"/>
                <w:numId w:val="32"/>
              </w:numPr>
              <w:tabs>
                <w:tab w:val="left" w:pos="565"/>
              </w:tabs>
              <w:autoSpaceDE w:val="0"/>
              <w:autoSpaceDN w:val="0"/>
              <w:adjustRightInd w:val="0"/>
              <w:ind w:left="565" w:hanging="205"/>
              <w:rPr>
                <w:rFonts w:eastAsia="Calibri" w:cs="Arial"/>
                <w:bCs/>
                <w:color w:val="000000"/>
                <w:sz w:val="20"/>
                <w:szCs w:val="20"/>
              </w:rPr>
            </w:pPr>
            <w:r w:rsidRPr="0042006C">
              <w:rPr>
                <w:rStyle w:val="hps"/>
                <w:rFonts w:cs="Arial"/>
                <w:color w:val="000000"/>
                <w:sz w:val="20"/>
                <w:szCs w:val="20"/>
              </w:rPr>
              <w:t>Increasing</w:t>
            </w:r>
            <w:r w:rsidRPr="0042006C">
              <w:rPr>
                <w:rFonts w:cs="Arial"/>
                <w:color w:val="000000"/>
                <w:sz w:val="20"/>
                <w:szCs w:val="20"/>
              </w:rPr>
              <w:t xml:space="preserve"> </w:t>
            </w:r>
            <w:r w:rsidRPr="0042006C">
              <w:rPr>
                <w:rStyle w:val="hps"/>
                <w:rFonts w:cs="Arial"/>
                <w:color w:val="000000"/>
                <w:sz w:val="20"/>
                <w:szCs w:val="20"/>
              </w:rPr>
              <w:t>transport and</w:t>
            </w:r>
            <w:r w:rsidRPr="0042006C">
              <w:rPr>
                <w:rFonts w:cs="Arial"/>
                <w:color w:val="000000"/>
                <w:sz w:val="20"/>
                <w:szCs w:val="20"/>
              </w:rPr>
              <w:t xml:space="preserve"> </w:t>
            </w:r>
            <w:r w:rsidRPr="0042006C">
              <w:rPr>
                <w:rStyle w:val="hps"/>
                <w:rFonts w:cs="Arial"/>
                <w:color w:val="000000"/>
                <w:sz w:val="20"/>
                <w:szCs w:val="20"/>
              </w:rPr>
              <w:t>supporting</w:t>
            </w:r>
            <w:r w:rsidRPr="0042006C">
              <w:rPr>
                <w:rFonts w:cs="Arial"/>
                <w:color w:val="000000"/>
                <w:sz w:val="20"/>
                <w:szCs w:val="20"/>
              </w:rPr>
              <w:t xml:space="preserve"> </w:t>
            </w:r>
            <w:r w:rsidRPr="0042006C">
              <w:rPr>
                <w:rStyle w:val="hps"/>
                <w:rFonts w:cs="Arial"/>
                <w:color w:val="000000"/>
                <w:sz w:val="20"/>
                <w:szCs w:val="20"/>
              </w:rPr>
              <w:t>mobility</w:t>
            </w:r>
            <w:r w:rsidRPr="0042006C">
              <w:rPr>
                <w:rFonts w:cs="Arial"/>
                <w:color w:val="000000"/>
                <w:sz w:val="20"/>
                <w:szCs w:val="20"/>
              </w:rPr>
              <w:t xml:space="preserve"> </w:t>
            </w:r>
            <w:r w:rsidRPr="0042006C">
              <w:rPr>
                <w:rStyle w:val="hps"/>
                <w:rFonts w:cs="Arial"/>
                <w:color w:val="000000"/>
                <w:sz w:val="20"/>
                <w:szCs w:val="20"/>
              </w:rPr>
              <w:t>while reaching</w:t>
            </w:r>
            <w:r w:rsidRPr="0042006C">
              <w:rPr>
                <w:rFonts w:cs="Arial"/>
                <w:color w:val="000000"/>
                <w:sz w:val="20"/>
                <w:szCs w:val="20"/>
              </w:rPr>
              <w:t xml:space="preserve"> </w:t>
            </w:r>
            <w:r w:rsidRPr="0042006C">
              <w:rPr>
                <w:rStyle w:val="hps"/>
                <w:rFonts w:cs="Arial"/>
                <w:color w:val="000000"/>
                <w:sz w:val="20"/>
                <w:szCs w:val="20"/>
              </w:rPr>
              <w:t>the goal</w:t>
            </w:r>
            <w:r w:rsidRPr="0042006C">
              <w:rPr>
                <w:rFonts w:cs="Arial"/>
                <w:color w:val="000000"/>
                <w:sz w:val="20"/>
                <w:szCs w:val="20"/>
              </w:rPr>
              <w:t xml:space="preserve"> </w:t>
            </w:r>
            <w:r w:rsidRPr="0042006C">
              <w:rPr>
                <w:rStyle w:val="hps"/>
                <w:rFonts w:cs="Arial"/>
                <w:color w:val="000000"/>
                <w:sz w:val="20"/>
                <w:szCs w:val="20"/>
              </w:rPr>
              <w:t>of reducing emissions</w:t>
            </w:r>
            <w:r w:rsidRPr="0042006C">
              <w:rPr>
                <w:rFonts w:cs="Arial"/>
                <w:color w:val="000000"/>
                <w:sz w:val="20"/>
                <w:szCs w:val="20"/>
              </w:rPr>
              <w:t xml:space="preserve"> </w:t>
            </w:r>
            <w:r w:rsidRPr="0042006C">
              <w:rPr>
                <w:rStyle w:val="hps"/>
                <w:rFonts w:cs="Arial"/>
                <w:color w:val="000000"/>
                <w:sz w:val="20"/>
                <w:szCs w:val="20"/>
              </w:rPr>
              <w:t>of greenhouse</w:t>
            </w:r>
            <w:r w:rsidRPr="0042006C">
              <w:rPr>
                <w:rFonts w:cs="Arial"/>
                <w:color w:val="000000"/>
                <w:sz w:val="20"/>
                <w:szCs w:val="20"/>
              </w:rPr>
              <w:t xml:space="preserve"> </w:t>
            </w:r>
            <w:r w:rsidRPr="0042006C">
              <w:rPr>
                <w:rStyle w:val="hps"/>
                <w:rFonts w:cs="Arial"/>
                <w:color w:val="000000"/>
                <w:sz w:val="20"/>
                <w:szCs w:val="20"/>
              </w:rPr>
              <w:t>gases</w:t>
            </w:r>
            <w:r w:rsidRPr="0042006C">
              <w:rPr>
                <w:rFonts w:cs="Arial"/>
                <w:color w:val="000000"/>
                <w:sz w:val="20"/>
                <w:szCs w:val="20"/>
              </w:rPr>
              <w:t xml:space="preserve"> </w:t>
            </w:r>
            <w:r w:rsidRPr="0042006C">
              <w:rPr>
                <w:rStyle w:val="hps"/>
                <w:rFonts w:cs="Arial"/>
                <w:color w:val="000000"/>
                <w:sz w:val="20"/>
                <w:szCs w:val="20"/>
              </w:rPr>
              <w:t>by 60%.</w:t>
            </w:r>
            <w:r w:rsidRPr="0042006C">
              <w:rPr>
                <w:rFonts w:cs="Arial"/>
                <w:color w:val="000000"/>
                <w:sz w:val="20"/>
                <w:szCs w:val="20"/>
              </w:rPr>
              <w:t xml:space="preserve"> </w:t>
            </w:r>
            <w:r w:rsidRPr="0042006C">
              <w:rPr>
                <w:rStyle w:val="hps"/>
                <w:rFonts w:cs="Arial"/>
                <w:color w:val="000000"/>
                <w:sz w:val="20"/>
                <w:szCs w:val="20"/>
              </w:rPr>
              <w:t>This can</w:t>
            </w:r>
            <w:r w:rsidRPr="0042006C">
              <w:rPr>
                <w:rFonts w:cs="Arial"/>
                <w:color w:val="000000"/>
                <w:sz w:val="20"/>
                <w:szCs w:val="20"/>
              </w:rPr>
              <w:t xml:space="preserve"> </w:t>
            </w:r>
            <w:r w:rsidRPr="0042006C">
              <w:rPr>
                <w:rStyle w:val="hps"/>
                <w:rFonts w:cs="Arial"/>
                <w:color w:val="000000"/>
                <w:sz w:val="20"/>
                <w:szCs w:val="20"/>
              </w:rPr>
              <w:t>be achieved by</w:t>
            </w:r>
            <w:r w:rsidRPr="0042006C">
              <w:rPr>
                <w:rFonts w:eastAsia="Calibri" w:cs="Arial"/>
                <w:bCs/>
                <w:color w:val="000000"/>
                <w:sz w:val="20"/>
                <w:szCs w:val="20"/>
              </w:rPr>
              <w:t>:</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i/>
                <w:color w:val="000000"/>
                <w:sz w:val="20"/>
                <w:szCs w:val="20"/>
              </w:rPr>
            </w:pPr>
            <w:r w:rsidRPr="0042006C">
              <w:rPr>
                <w:rFonts w:eastAsia="Calibri" w:cs="Arial"/>
                <w:bCs/>
                <w:i/>
                <w:color w:val="000000"/>
                <w:sz w:val="20"/>
                <w:szCs w:val="20"/>
              </w:rPr>
              <w:t xml:space="preserve">Developing and implementing sustainable fuels and propulsion systems </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i/>
                <w:color w:val="000000"/>
                <w:sz w:val="20"/>
                <w:szCs w:val="20"/>
              </w:rPr>
            </w:pPr>
            <w:r w:rsidRPr="0042006C">
              <w:rPr>
                <w:rStyle w:val="hps"/>
                <w:rFonts w:cs="Arial"/>
                <w:i/>
                <w:color w:val="000000"/>
                <w:sz w:val="20"/>
                <w:szCs w:val="20"/>
              </w:rPr>
              <w:t>Optimizing</w:t>
            </w:r>
            <w:r w:rsidRPr="0042006C">
              <w:rPr>
                <w:rFonts w:cs="Arial"/>
                <w:i/>
                <w:color w:val="000000"/>
                <w:sz w:val="20"/>
                <w:szCs w:val="20"/>
              </w:rPr>
              <w:t xml:space="preserve"> </w:t>
            </w:r>
            <w:r w:rsidRPr="0042006C">
              <w:rPr>
                <w:rStyle w:val="hps"/>
                <w:rFonts w:cs="Arial"/>
                <w:i/>
                <w:color w:val="000000"/>
                <w:sz w:val="20"/>
                <w:szCs w:val="20"/>
              </w:rPr>
              <w:t>performance</w:t>
            </w:r>
            <w:r w:rsidRPr="0042006C">
              <w:rPr>
                <w:rFonts w:cs="Arial"/>
                <w:i/>
                <w:color w:val="000000"/>
                <w:sz w:val="20"/>
                <w:szCs w:val="20"/>
              </w:rPr>
              <w:t xml:space="preserve"> </w:t>
            </w:r>
            <w:r w:rsidRPr="0042006C">
              <w:rPr>
                <w:rStyle w:val="hps"/>
                <w:rFonts w:cs="Arial"/>
                <w:i/>
                <w:color w:val="000000"/>
                <w:sz w:val="20"/>
                <w:szCs w:val="20"/>
              </w:rPr>
              <w:t>of multimodal logistic chains</w:t>
            </w:r>
            <w:r w:rsidRPr="0042006C">
              <w:rPr>
                <w:rFonts w:cs="Arial"/>
                <w:i/>
                <w:color w:val="000000"/>
                <w:sz w:val="20"/>
                <w:szCs w:val="20"/>
              </w:rPr>
              <w:t xml:space="preserve">, including </w:t>
            </w:r>
            <w:r w:rsidRPr="0042006C">
              <w:rPr>
                <w:rStyle w:val="hps"/>
                <w:rFonts w:cs="Arial"/>
                <w:i/>
                <w:color w:val="000000"/>
                <w:sz w:val="20"/>
                <w:szCs w:val="20"/>
              </w:rPr>
              <w:t>wider</w:t>
            </w:r>
            <w:r w:rsidRPr="0042006C">
              <w:rPr>
                <w:rFonts w:cs="Arial"/>
                <w:i/>
                <w:color w:val="000000"/>
                <w:sz w:val="20"/>
                <w:szCs w:val="20"/>
              </w:rPr>
              <w:t xml:space="preserve"> </w:t>
            </w:r>
            <w:r w:rsidRPr="0042006C">
              <w:rPr>
                <w:rStyle w:val="hps"/>
                <w:rFonts w:cs="Arial"/>
                <w:i/>
                <w:color w:val="000000"/>
                <w:sz w:val="20"/>
                <w:szCs w:val="20"/>
              </w:rPr>
              <w:t>use</w:t>
            </w:r>
            <w:r w:rsidRPr="0042006C">
              <w:rPr>
                <w:rFonts w:cs="Arial"/>
                <w:i/>
                <w:color w:val="000000"/>
                <w:sz w:val="20"/>
                <w:szCs w:val="20"/>
              </w:rPr>
              <w:t xml:space="preserve"> </w:t>
            </w:r>
            <w:r w:rsidRPr="0042006C">
              <w:rPr>
                <w:rStyle w:val="hps"/>
                <w:rFonts w:cs="Arial"/>
                <w:i/>
                <w:color w:val="000000"/>
                <w:sz w:val="20"/>
                <w:szCs w:val="20"/>
              </w:rPr>
              <w:t>of</w:t>
            </w:r>
            <w:r w:rsidRPr="0042006C">
              <w:rPr>
                <w:rFonts w:cs="Arial"/>
                <w:i/>
                <w:color w:val="000000"/>
                <w:sz w:val="20"/>
                <w:szCs w:val="20"/>
              </w:rPr>
              <w:t xml:space="preserve"> </w:t>
            </w:r>
            <w:r w:rsidRPr="0042006C">
              <w:rPr>
                <w:rStyle w:val="hps"/>
                <w:rFonts w:cs="Arial"/>
                <w:i/>
                <w:color w:val="000000"/>
                <w:sz w:val="20"/>
                <w:szCs w:val="20"/>
              </w:rPr>
              <w:t>more efficient</w:t>
            </w:r>
            <w:r w:rsidRPr="0042006C">
              <w:rPr>
                <w:rFonts w:cs="Arial"/>
                <w:i/>
                <w:color w:val="000000"/>
                <w:sz w:val="20"/>
                <w:szCs w:val="20"/>
              </w:rPr>
              <w:t xml:space="preserve"> </w:t>
            </w:r>
            <w:r w:rsidRPr="0042006C">
              <w:rPr>
                <w:rStyle w:val="hps"/>
                <w:rFonts w:cs="Arial"/>
                <w:i/>
                <w:color w:val="000000"/>
                <w:sz w:val="20"/>
                <w:szCs w:val="20"/>
              </w:rPr>
              <w:t>modes of transport</w:t>
            </w:r>
            <w:r w:rsidRPr="0042006C">
              <w:rPr>
                <w:rFonts w:cs="Arial"/>
                <w:i/>
                <w:color w:val="000000"/>
                <w:sz w:val="20"/>
                <w:szCs w:val="20"/>
              </w:rPr>
              <w:t xml:space="preserve"> </w:t>
            </w:r>
            <w:r w:rsidRPr="0042006C">
              <w:rPr>
                <w:rStyle w:val="hps"/>
                <w:rFonts w:cs="Arial"/>
                <w:i/>
                <w:color w:val="000000"/>
                <w:sz w:val="20"/>
                <w:szCs w:val="20"/>
              </w:rPr>
              <w:t>in terms of</w:t>
            </w:r>
            <w:r w:rsidRPr="0042006C">
              <w:rPr>
                <w:rFonts w:cs="Arial"/>
                <w:i/>
                <w:color w:val="000000"/>
                <w:sz w:val="20"/>
                <w:szCs w:val="20"/>
              </w:rPr>
              <w:t xml:space="preserve"> </w:t>
            </w:r>
            <w:r w:rsidRPr="0042006C">
              <w:rPr>
                <w:rStyle w:val="hps"/>
                <w:rFonts w:cs="Arial"/>
                <w:i/>
                <w:color w:val="000000"/>
                <w:sz w:val="20"/>
                <w:szCs w:val="20"/>
              </w:rPr>
              <w:t>energy</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i/>
                <w:color w:val="000000"/>
                <w:sz w:val="20"/>
                <w:szCs w:val="20"/>
              </w:rPr>
            </w:pPr>
            <w:r w:rsidRPr="0042006C">
              <w:rPr>
                <w:rStyle w:val="hps"/>
                <w:rFonts w:cs="Arial"/>
                <w:i/>
                <w:color w:val="000000"/>
                <w:sz w:val="20"/>
                <w:szCs w:val="20"/>
              </w:rPr>
              <w:t>Increasing the efficiency of</w:t>
            </w:r>
            <w:r w:rsidRPr="0042006C">
              <w:rPr>
                <w:rFonts w:cs="Arial"/>
                <w:i/>
                <w:color w:val="000000"/>
                <w:sz w:val="20"/>
                <w:szCs w:val="20"/>
              </w:rPr>
              <w:t xml:space="preserve"> </w:t>
            </w:r>
            <w:r w:rsidRPr="0042006C">
              <w:rPr>
                <w:rStyle w:val="hps"/>
                <w:rFonts w:cs="Arial"/>
                <w:i/>
                <w:color w:val="000000"/>
                <w:sz w:val="20"/>
                <w:szCs w:val="20"/>
              </w:rPr>
              <w:t>transport and</w:t>
            </w:r>
            <w:r w:rsidRPr="0042006C">
              <w:rPr>
                <w:rFonts w:cs="Arial"/>
                <w:i/>
                <w:color w:val="000000"/>
                <w:sz w:val="20"/>
                <w:szCs w:val="20"/>
              </w:rPr>
              <w:t xml:space="preserve"> </w:t>
            </w:r>
            <w:r w:rsidRPr="0042006C">
              <w:rPr>
                <w:rStyle w:val="hps"/>
                <w:rFonts w:cs="Arial"/>
                <w:i/>
                <w:color w:val="000000"/>
                <w:sz w:val="20"/>
                <w:szCs w:val="20"/>
              </w:rPr>
              <w:t>infrastructure use</w:t>
            </w:r>
            <w:r w:rsidRPr="0042006C">
              <w:rPr>
                <w:rFonts w:cs="Arial"/>
                <w:i/>
                <w:color w:val="000000"/>
                <w:sz w:val="20"/>
                <w:szCs w:val="20"/>
              </w:rPr>
              <w:t xml:space="preserve"> </w:t>
            </w:r>
            <w:r w:rsidRPr="0042006C">
              <w:rPr>
                <w:rStyle w:val="hps"/>
                <w:rFonts w:cs="Arial"/>
                <w:i/>
                <w:color w:val="000000"/>
                <w:sz w:val="20"/>
                <w:szCs w:val="20"/>
              </w:rPr>
              <w:t>with</w:t>
            </w:r>
            <w:r w:rsidRPr="0042006C">
              <w:rPr>
                <w:rFonts w:cs="Arial"/>
                <w:i/>
                <w:color w:val="000000"/>
                <w:sz w:val="20"/>
                <w:szCs w:val="20"/>
              </w:rPr>
              <w:t xml:space="preserve"> </w:t>
            </w:r>
            <w:r w:rsidRPr="0042006C">
              <w:rPr>
                <w:rStyle w:val="hps"/>
                <w:rFonts w:cs="Arial"/>
                <w:i/>
                <w:color w:val="000000"/>
                <w:sz w:val="20"/>
                <w:szCs w:val="20"/>
              </w:rPr>
              <w:t>information systems</w:t>
            </w:r>
            <w:r w:rsidRPr="0042006C">
              <w:rPr>
                <w:rFonts w:cs="Arial"/>
                <w:i/>
                <w:color w:val="000000"/>
                <w:sz w:val="20"/>
                <w:szCs w:val="20"/>
              </w:rPr>
              <w:t xml:space="preserve"> </w:t>
            </w:r>
            <w:r w:rsidRPr="0042006C">
              <w:rPr>
                <w:rStyle w:val="hps"/>
                <w:rFonts w:cs="Arial"/>
                <w:i/>
                <w:color w:val="000000"/>
                <w:sz w:val="20"/>
                <w:szCs w:val="20"/>
              </w:rPr>
              <w:t>and</w:t>
            </w:r>
            <w:r w:rsidRPr="0042006C">
              <w:rPr>
                <w:rFonts w:cs="Arial"/>
                <w:i/>
                <w:color w:val="000000"/>
                <w:sz w:val="20"/>
                <w:szCs w:val="20"/>
              </w:rPr>
              <w:t xml:space="preserve"> </w:t>
            </w:r>
            <w:r w:rsidRPr="0042006C">
              <w:rPr>
                <w:rStyle w:val="hps"/>
                <w:rFonts w:cs="Arial"/>
                <w:i/>
                <w:color w:val="000000"/>
                <w:sz w:val="20"/>
                <w:szCs w:val="20"/>
              </w:rPr>
              <w:t>market-based incentives</w:t>
            </w:r>
          </w:p>
          <w:p w:rsidR="008B7CC2" w:rsidRPr="0042006C" w:rsidRDefault="008B7CC2" w:rsidP="005E50B3">
            <w:pPr>
              <w:numPr>
                <w:ilvl w:val="0"/>
                <w:numId w:val="32"/>
              </w:numPr>
              <w:tabs>
                <w:tab w:val="left" w:pos="565"/>
              </w:tabs>
              <w:autoSpaceDE w:val="0"/>
              <w:autoSpaceDN w:val="0"/>
              <w:adjustRightInd w:val="0"/>
              <w:ind w:left="565" w:hanging="205"/>
              <w:rPr>
                <w:rStyle w:val="hps"/>
                <w:rFonts w:eastAsia="Calibri" w:cs="Arial"/>
                <w:bCs/>
                <w:color w:val="000000"/>
                <w:sz w:val="20"/>
                <w:szCs w:val="20"/>
              </w:rPr>
            </w:pPr>
            <w:r w:rsidRPr="0042006C">
              <w:rPr>
                <w:rStyle w:val="hps"/>
                <w:rFonts w:cs="Arial"/>
                <w:color w:val="000000"/>
                <w:sz w:val="20"/>
                <w:szCs w:val="20"/>
              </w:rPr>
              <w:t>An</w:t>
            </w:r>
            <w:r w:rsidRPr="0042006C">
              <w:rPr>
                <w:rFonts w:cs="Arial"/>
                <w:color w:val="000000"/>
                <w:sz w:val="20"/>
                <w:szCs w:val="20"/>
              </w:rPr>
              <w:t xml:space="preserve"> </w:t>
            </w:r>
            <w:r w:rsidRPr="0042006C">
              <w:rPr>
                <w:rStyle w:val="hps"/>
                <w:rFonts w:cs="Arial"/>
                <w:color w:val="000000"/>
                <w:sz w:val="20"/>
                <w:szCs w:val="20"/>
              </w:rPr>
              <w:t>efficient</w:t>
            </w:r>
            <w:r w:rsidRPr="0042006C">
              <w:rPr>
                <w:rFonts w:cs="Arial"/>
                <w:color w:val="000000"/>
                <w:sz w:val="20"/>
                <w:szCs w:val="20"/>
              </w:rPr>
              <w:t xml:space="preserve"> </w:t>
            </w:r>
            <w:r w:rsidRPr="0042006C">
              <w:rPr>
                <w:rStyle w:val="hps"/>
                <w:rFonts w:cs="Arial"/>
                <w:color w:val="000000"/>
                <w:sz w:val="20"/>
                <w:szCs w:val="20"/>
              </w:rPr>
              <w:t>core network</w:t>
            </w:r>
            <w:r w:rsidRPr="0042006C">
              <w:rPr>
                <w:rFonts w:cs="Arial"/>
                <w:color w:val="000000"/>
                <w:sz w:val="20"/>
                <w:szCs w:val="20"/>
              </w:rPr>
              <w:t xml:space="preserve"> </w:t>
            </w:r>
            <w:r w:rsidRPr="0042006C">
              <w:rPr>
                <w:rStyle w:val="hps"/>
                <w:rFonts w:cs="Arial"/>
                <w:color w:val="000000"/>
                <w:sz w:val="20"/>
                <w:szCs w:val="20"/>
              </w:rPr>
              <w:t>for</w:t>
            </w:r>
            <w:r w:rsidRPr="0042006C">
              <w:rPr>
                <w:rFonts w:cs="Arial"/>
                <w:color w:val="000000"/>
                <w:sz w:val="20"/>
                <w:szCs w:val="20"/>
              </w:rPr>
              <w:t xml:space="preserve"> </w:t>
            </w:r>
            <w:r w:rsidRPr="0042006C">
              <w:rPr>
                <w:rStyle w:val="hps"/>
                <w:rFonts w:cs="Arial"/>
                <w:color w:val="000000"/>
                <w:sz w:val="20"/>
                <w:szCs w:val="20"/>
              </w:rPr>
              <w:t>transport and</w:t>
            </w:r>
            <w:r w:rsidRPr="0042006C">
              <w:rPr>
                <w:rFonts w:cs="Arial"/>
                <w:color w:val="000000"/>
                <w:sz w:val="20"/>
                <w:szCs w:val="20"/>
              </w:rPr>
              <w:t xml:space="preserve"> </w:t>
            </w:r>
            <w:r w:rsidRPr="0042006C">
              <w:rPr>
                <w:rStyle w:val="hps"/>
                <w:rFonts w:cs="Arial"/>
                <w:color w:val="000000"/>
                <w:sz w:val="20"/>
                <w:szCs w:val="20"/>
              </w:rPr>
              <w:t>long-distance</w:t>
            </w:r>
            <w:r w:rsidRPr="0042006C">
              <w:rPr>
                <w:rFonts w:cs="Arial"/>
                <w:color w:val="000000"/>
                <w:sz w:val="20"/>
                <w:szCs w:val="20"/>
              </w:rPr>
              <w:t xml:space="preserve"> </w:t>
            </w:r>
            <w:r w:rsidRPr="0042006C">
              <w:rPr>
                <w:rStyle w:val="hps"/>
                <w:rFonts w:cs="Arial"/>
                <w:color w:val="000000"/>
                <w:sz w:val="20"/>
                <w:szCs w:val="20"/>
              </w:rPr>
              <w:t>journeys</w:t>
            </w:r>
          </w:p>
          <w:p w:rsidR="008B7CC2" w:rsidRPr="0042006C" w:rsidRDefault="008B7CC2" w:rsidP="005E50B3">
            <w:pPr>
              <w:numPr>
                <w:ilvl w:val="0"/>
                <w:numId w:val="32"/>
              </w:numPr>
              <w:tabs>
                <w:tab w:val="left" w:pos="565"/>
              </w:tabs>
              <w:autoSpaceDE w:val="0"/>
              <w:autoSpaceDN w:val="0"/>
              <w:adjustRightInd w:val="0"/>
              <w:ind w:left="565" w:hanging="205"/>
              <w:rPr>
                <w:rFonts w:eastAsia="Calibri" w:cs="Arial"/>
                <w:bCs/>
                <w:color w:val="000000"/>
                <w:sz w:val="20"/>
                <w:szCs w:val="20"/>
              </w:rPr>
            </w:pPr>
            <w:r w:rsidRPr="0042006C">
              <w:rPr>
                <w:rFonts w:eastAsia="Calibri" w:cs="Arial"/>
                <w:bCs/>
                <w:color w:val="000000"/>
                <w:sz w:val="20"/>
                <w:szCs w:val="20"/>
              </w:rPr>
              <w:t>Multimodal.</w:t>
            </w:r>
          </w:p>
          <w:p w:rsidR="008B7CC2" w:rsidRPr="0042006C" w:rsidRDefault="008B7CC2" w:rsidP="005E50B3">
            <w:pPr>
              <w:numPr>
                <w:ilvl w:val="0"/>
                <w:numId w:val="32"/>
              </w:numPr>
              <w:tabs>
                <w:tab w:val="left" w:pos="565"/>
              </w:tabs>
              <w:autoSpaceDE w:val="0"/>
              <w:autoSpaceDN w:val="0"/>
              <w:adjustRightInd w:val="0"/>
              <w:ind w:left="565" w:hanging="205"/>
              <w:rPr>
                <w:rFonts w:eastAsia="Calibri" w:cs="Arial"/>
                <w:bCs/>
                <w:color w:val="000000"/>
                <w:sz w:val="20"/>
                <w:szCs w:val="20"/>
              </w:rPr>
            </w:pPr>
            <w:r w:rsidRPr="0042006C">
              <w:rPr>
                <w:rFonts w:eastAsia="Calibri" w:cs="Arial"/>
                <w:bCs/>
                <w:color w:val="000000"/>
                <w:sz w:val="20"/>
                <w:szCs w:val="20"/>
              </w:rPr>
              <w:t xml:space="preserve">Global fair transport conditions for long distance journeys and for intercontinental freight transport. </w:t>
            </w:r>
          </w:p>
          <w:p w:rsidR="008B7CC2" w:rsidRPr="0042006C" w:rsidRDefault="008B7CC2" w:rsidP="005E50B3">
            <w:pPr>
              <w:numPr>
                <w:ilvl w:val="0"/>
                <w:numId w:val="32"/>
              </w:numPr>
              <w:tabs>
                <w:tab w:val="left" w:pos="565"/>
              </w:tabs>
              <w:autoSpaceDE w:val="0"/>
              <w:autoSpaceDN w:val="0"/>
              <w:adjustRightInd w:val="0"/>
              <w:ind w:left="565" w:hanging="205"/>
              <w:rPr>
                <w:rFonts w:eastAsia="Calibri" w:cs="Arial"/>
                <w:bCs/>
                <w:color w:val="000000"/>
                <w:sz w:val="20"/>
                <w:szCs w:val="20"/>
              </w:rPr>
            </w:pPr>
            <w:r w:rsidRPr="0042006C">
              <w:rPr>
                <w:rFonts w:eastAsia="Calibri" w:cs="Arial"/>
                <w:bCs/>
                <w:color w:val="000000"/>
                <w:sz w:val="20"/>
                <w:szCs w:val="20"/>
              </w:rPr>
              <w:t xml:space="preserve">Clean urban and commuting  transport </w:t>
            </w:r>
          </w:p>
          <w:p w:rsidR="008B7CC2" w:rsidRPr="0042006C" w:rsidRDefault="008B7CC2" w:rsidP="00BF3E32">
            <w:pPr>
              <w:tabs>
                <w:tab w:val="left" w:pos="565"/>
              </w:tabs>
              <w:autoSpaceDE w:val="0"/>
              <w:autoSpaceDN w:val="0"/>
              <w:adjustRightInd w:val="0"/>
              <w:ind w:left="565" w:hanging="205"/>
              <w:rPr>
                <w:rFonts w:eastAsia="Calibri" w:cs="Arial"/>
                <w:bCs/>
                <w:color w:val="000000"/>
                <w:sz w:val="20"/>
                <w:szCs w:val="20"/>
              </w:rPr>
            </w:pPr>
            <w:r w:rsidRPr="0042006C">
              <w:rPr>
                <w:rFonts w:eastAsia="Calibri" w:cs="Arial"/>
                <w:bCs/>
                <w:color w:val="000000"/>
                <w:sz w:val="20"/>
                <w:szCs w:val="20"/>
              </w:rPr>
              <w:t>Achieving this vision involves the following:</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color w:val="000000"/>
                <w:sz w:val="20"/>
                <w:szCs w:val="20"/>
              </w:rPr>
            </w:pPr>
            <w:r w:rsidRPr="0042006C">
              <w:rPr>
                <w:rStyle w:val="hps"/>
                <w:rFonts w:cs="Arial"/>
                <w:color w:val="000000"/>
                <w:sz w:val="20"/>
                <w:szCs w:val="20"/>
              </w:rPr>
              <w:t>Creating a</w:t>
            </w:r>
            <w:r w:rsidRPr="0042006C">
              <w:rPr>
                <w:rFonts w:cs="Arial"/>
                <w:color w:val="000000"/>
                <w:sz w:val="20"/>
                <w:szCs w:val="20"/>
              </w:rPr>
              <w:t xml:space="preserve"> s</w:t>
            </w:r>
            <w:r w:rsidRPr="0042006C">
              <w:rPr>
                <w:rStyle w:val="hps"/>
                <w:rFonts w:cs="Arial"/>
                <w:color w:val="000000"/>
                <w:sz w:val="20"/>
                <w:szCs w:val="20"/>
              </w:rPr>
              <w:t>ingle European</w:t>
            </w:r>
            <w:r w:rsidRPr="0042006C">
              <w:rPr>
                <w:rFonts w:cs="Arial"/>
                <w:color w:val="000000"/>
                <w:sz w:val="20"/>
                <w:szCs w:val="20"/>
              </w:rPr>
              <w:t xml:space="preserve"> t</w:t>
            </w:r>
            <w:r w:rsidRPr="0042006C">
              <w:rPr>
                <w:rStyle w:val="hps"/>
                <w:rFonts w:cs="Arial"/>
                <w:color w:val="000000"/>
                <w:sz w:val="20"/>
                <w:szCs w:val="20"/>
              </w:rPr>
              <w:t>ransport space</w:t>
            </w:r>
            <w:r w:rsidRPr="0042006C">
              <w:rPr>
                <w:rFonts w:cs="Arial"/>
                <w:color w:val="000000"/>
                <w:sz w:val="20"/>
                <w:szCs w:val="20"/>
              </w:rPr>
              <w:t xml:space="preserve">: </w:t>
            </w:r>
            <w:r w:rsidRPr="0042006C">
              <w:rPr>
                <w:rStyle w:val="hps"/>
                <w:rFonts w:cs="Arial"/>
                <w:color w:val="000000"/>
                <w:sz w:val="20"/>
                <w:szCs w:val="20"/>
              </w:rPr>
              <w:t>by developing</w:t>
            </w:r>
            <w:r w:rsidRPr="0042006C">
              <w:rPr>
                <w:rFonts w:cs="Arial"/>
                <w:color w:val="000000"/>
                <w:sz w:val="20"/>
                <w:szCs w:val="20"/>
              </w:rPr>
              <w:t xml:space="preserve"> </w:t>
            </w:r>
            <w:r w:rsidRPr="0042006C">
              <w:rPr>
                <w:rStyle w:val="hps"/>
                <w:rFonts w:cs="Arial"/>
                <w:color w:val="000000"/>
                <w:sz w:val="20"/>
                <w:szCs w:val="20"/>
              </w:rPr>
              <w:t>rail services,</w:t>
            </w:r>
            <w:r w:rsidRPr="0042006C">
              <w:rPr>
                <w:rFonts w:cs="Arial"/>
                <w:color w:val="000000"/>
                <w:sz w:val="20"/>
                <w:szCs w:val="20"/>
              </w:rPr>
              <w:t xml:space="preserve"> </w:t>
            </w:r>
            <w:r w:rsidRPr="0042006C">
              <w:rPr>
                <w:rStyle w:val="hps"/>
                <w:rFonts w:cs="Arial"/>
                <w:color w:val="000000"/>
                <w:sz w:val="20"/>
                <w:szCs w:val="20"/>
              </w:rPr>
              <w:t>including the quality of</w:t>
            </w:r>
            <w:r w:rsidRPr="0042006C">
              <w:rPr>
                <w:rFonts w:cs="Arial"/>
                <w:color w:val="000000"/>
                <w:sz w:val="20"/>
                <w:szCs w:val="20"/>
              </w:rPr>
              <w:t xml:space="preserve"> </w:t>
            </w:r>
            <w:r w:rsidRPr="0042006C">
              <w:rPr>
                <w:rStyle w:val="hps"/>
                <w:rFonts w:cs="Arial"/>
                <w:color w:val="000000"/>
                <w:sz w:val="20"/>
                <w:szCs w:val="20"/>
              </w:rPr>
              <w:t>air</w:t>
            </w:r>
            <w:r w:rsidRPr="0042006C">
              <w:rPr>
                <w:rFonts w:cs="Arial"/>
                <w:color w:val="000000"/>
                <w:sz w:val="20"/>
                <w:szCs w:val="20"/>
              </w:rPr>
              <w:t xml:space="preserve"> </w:t>
            </w:r>
            <w:r w:rsidRPr="0042006C">
              <w:rPr>
                <w:rStyle w:val="hps"/>
                <w:rFonts w:cs="Arial"/>
                <w:color w:val="000000"/>
                <w:sz w:val="20"/>
                <w:szCs w:val="20"/>
              </w:rPr>
              <w:t>service development</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airport capacity</w:t>
            </w:r>
            <w:r w:rsidRPr="0042006C">
              <w:rPr>
                <w:rFonts w:cs="Arial"/>
                <w:color w:val="000000"/>
                <w:sz w:val="20"/>
                <w:szCs w:val="20"/>
              </w:rPr>
              <w:t xml:space="preserve">, </w:t>
            </w:r>
            <w:r w:rsidRPr="0042006C">
              <w:rPr>
                <w:rStyle w:val="hps"/>
                <w:rFonts w:cs="Arial"/>
                <w:color w:val="000000"/>
                <w:sz w:val="20"/>
                <w:szCs w:val="20"/>
              </w:rPr>
              <w:t>further transformation</w:t>
            </w:r>
            <w:r w:rsidRPr="0042006C">
              <w:rPr>
                <w:rFonts w:cs="Arial"/>
                <w:color w:val="000000"/>
                <w:sz w:val="20"/>
                <w:szCs w:val="20"/>
              </w:rPr>
              <w:t xml:space="preserve"> </w:t>
            </w:r>
            <w:r w:rsidRPr="0042006C">
              <w:rPr>
                <w:rStyle w:val="hps"/>
                <w:rFonts w:cs="Arial"/>
                <w:color w:val="000000"/>
                <w:sz w:val="20"/>
                <w:szCs w:val="20"/>
              </w:rPr>
              <w:t>of</w:t>
            </w:r>
            <w:r w:rsidRPr="0042006C">
              <w:rPr>
                <w:rFonts w:cs="Arial"/>
                <w:color w:val="000000"/>
                <w:sz w:val="20"/>
                <w:szCs w:val="20"/>
              </w:rPr>
              <w:t xml:space="preserve"> </w:t>
            </w:r>
            <w:r w:rsidRPr="0042006C">
              <w:rPr>
                <w:rStyle w:val="hps"/>
                <w:rFonts w:cs="Arial"/>
                <w:color w:val="000000"/>
                <w:sz w:val="20"/>
                <w:szCs w:val="20"/>
              </w:rPr>
              <w:t>European</w:t>
            </w:r>
            <w:r w:rsidRPr="0042006C">
              <w:rPr>
                <w:rFonts w:cs="Arial"/>
                <w:color w:val="000000"/>
                <w:sz w:val="20"/>
                <w:szCs w:val="20"/>
              </w:rPr>
              <w:t xml:space="preserve"> </w:t>
            </w:r>
            <w:r w:rsidRPr="0042006C">
              <w:rPr>
                <w:rStyle w:val="hps"/>
                <w:rFonts w:cs="Arial"/>
                <w:color w:val="000000"/>
                <w:sz w:val="20"/>
                <w:szCs w:val="20"/>
              </w:rPr>
              <w:t>maritime transport</w:t>
            </w:r>
            <w:r w:rsidRPr="0042006C">
              <w:rPr>
                <w:rFonts w:cs="Arial"/>
                <w:color w:val="000000"/>
                <w:sz w:val="20"/>
                <w:szCs w:val="20"/>
              </w:rPr>
              <w:t xml:space="preserve"> </w:t>
            </w:r>
            <w:r w:rsidRPr="0042006C">
              <w:rPr>
                <w:rStyle w:val="hps"/>
                <w:rFonts w:cs="Arial"/>
                <w:color w:val="000000"/>
                <w:sz w:val="20"/>
                <w:szCs w:val="20"/>
              </w:rPr>
              <w:t>space</w:t>
            </w:r>
            <w:r w:rsidRPr="0042006C">
              <w:rPr>
                <w:rFonts w:cs="Arial"/>
                <w:color w:val="000000"/>
                <w:sz w:val="20"/>
                <w:szCs w:val="20"/>
              </w:rPr>
              <w:t xml:space="preserve">, optimizing </w:t>
            </w:r>
            <w:r w:rsidRPr="0042006C">
              <w:rPr>
                <w:rStyle w:val="hps"/>
                <w:rFonts w:cs="Arial"/>
                <w:color w:val="000000"/>
                <w:sz w:val="20"/>
                <w:szCs w:val="20"/>
              </w:rPr>
              <w:t>the internal market for</w:t>
            </w:r>
            <w:r w:rsidRPr="0042006C">
              <w:rPr>
                <w:rFonts w:cs="Arial"/>
                <w:color w:val="000000"/>
                <w:sz w:val="20"/>
                <w:szCs w:val="20"/>
              </w:rPr>
              <w:t xml:space="preserve"> </w:t>
            </w:r>
            <w:r w:rsidRPr="0042006C">
              <w:rPr>
                <w:rStyle w:val="hps"/>
                <w:rFonts w:cs="Arial"/>
                <w:color w:val="000000"/>
                <w:sz w:val="20"/>
                <w:szCs w:val="20"/>
              </w:rPr>
              <w:t>inland waterway</w:t>
            </w:r>
            <w:r w:rsidRPr="0042006C">
              <w:rPr>
                <w:rFonts w:cs="Arial"/>
                <w:color w:val="000000"/>
                <w:sz w:val="20"/>
                <w:szCs w:val="20"/>
              </w:rPr>
              <w:t xml:space="preserve"> </w:t>
            </w:r>
            <w:r w:rsidRPr="0042006C">
              <w:rPr>
                <w:rStyle w:val="hps"/>
                <w:rFonts w:cs="Arial"/>
                <w:color w:val="000000"/>
                <w:sz w:val="20"/>
                <w:szCs w:val="20"/>
              </w:rPr>
              <w:t>transport</w:t>
            </w:r>
            <w:r w:rsidRPr="0042006C">
              <w:rPr>
                <w:rFonts w:cs="Arial"/>
                <w:color w:val="000000"/>
                <w:sz w:val="20"/>
                <w:szCs w:val="20"/>
              </w:rPr>
              <w:t xml:space="preserve">, </w:t>
            </w:r>
            <w:r w:rsidRPr="0042006C">
              <w:rPr>
                <w:rStyle w:val="hps"/>
                <w:rFonts w:cs="Arial"/>
                <w:color w:val="000000"/>
                <w:sz w:val="20"/>
                <w:szCs w:val="20"/>
              </w:rPr>
              <w:t>improvement of</w:t>
            </w:r>
            <w:r w:rsidRPr="0042006C">
              <w:rPr>
                <w:rFonts w:cs="Arial"/>
                <w:color w:val="000000"/>
                <w:sz w:val="20"/>
                <w:szCs w:val="20"/>
              </w:rPr>
              <w:t xml:space="preserve"> </w:t>
            </w:r>
            <w:r w:rsidRPr="0042006C">
              <w:rPr>
                <w:rStyle w:val="hps"/>
                <w:rFonts w:cs="Arial"/>
                <w:color w:val="000000"/>
                <w:sz w:val="20"/>
                <w:szCs w:val="20"/>
              </w:rPr>
              <w:t>road freight</w:t>
            </w:r>
            <w:r w:rsidRPr="0042006C">
              <w:rPr>
                <w:rFonts w:cs="Arial"/>
                <w:color w:val="000000"/>
                <w:sz w:val="20"/>
                <w:szCs w:val="20"/>
              </w:rPr>
              <w:t xml:space="preserve"> </w:t>
            </w:r>
            <w:r w:rsidRPr="0042006C">
              <w:rPr>
                <w:rStyle w:val="hps"/>
                <w:rFonts w:cs="Arial"/>
                <w:color w:val="000000"/>
                <w:sz w:val="20"/>
                <w:szCs w:val="20"/>
              </w:rPr>
              <w:t>creating</w:t>
            </w:r>
            <w:r w:rsidRPr="0042006C">
              <w:rPr>
                <w:rFonts w:cs="Arial"/>
                <w:color w:val="000000"/>
                <w:sz w:val="20"/>
                <w:szCs w:val="20"/>
              </w:rPr>
              <w:t xml:space="preserve"> </w:t>
            </w:r>
            <w:r w:rsidRPr="0042006C">
              <w:rPr>
                <w:rStyle w:val="hps"/>
                <w:rFonts w:cs="Arial"/>
                <w:color w:val="000000"/>
                <w:sz w:val="20"/>
                <w:szCs w:val="20"/>
              </w:rPr>
              <w:t>the necessary framework for</w:t>
            </w:r>
            <w:r w:rsidRPr="0042006C">
              <w:rPr>
                <w:rFonts w:cs="Arial"/>
                <w:color w:val="000000"/>
                <w:sz w:val="20"/>
                <w:szCs w:val="20"/>
              </w:rPr>
              <w:t xml:space="preserve"> </w:t>
            </w:r>
            <w:r w:rsidRPr="0042006C">
              <w:rPr>
                <w:rStyle w:val="hps"/>
                <w:rFonts w:cs="Arial"/>
                <w:color w:val="000000"/>
                <w:sz w:val="20"/>
                <w:szCs w:val="20"/>
              </w:rPr>
              <w:t>multimodal transport</w:t>
            </w:r>
            <w:r w:rsidRPr="0042006C">
              <w:rPr>
                <w:rFonts w:cs="Arial"/>
                <w:color w:val="000000"/>
                <w:sz w:val="20"/>
                <w:szCs w:val="20"/>
              </w:rPr>
              <w:t xml:space="preserve"> </w:t>
            </w:r>
            <w:r w:rsidRPr="0042006C">
              <w:rPr>
                <w:rStyle w:val="hps"/>
                <w:rFonts w:cs="Arial"/>
                <w:color w:val="000000"/>
                <w:sz w:val="20"/>
                <w:szCs w:val="20"/>
              </w:rPr>
              <w:t>of goods</w:t>
            </w:r>
          </w:p>
          <w:p w:rsidR="008B7CC2" w:rsidRPr="0042006C" w:rsidRDefault="008B7CC2" w:rsidP="005E50B3">
            <w:pPr>
              <w:numPr>
                <w:ilvl w:val="0"/>
                <w:numId w:val="33"/>
              </w:numPr>
              <w:tabs>
                <w:tab w:val="left" w:pos="925"/>
              </w:tabs>
              <w:autoSpaceDE w:val="0"/>
              <w:autoSpaceDN w:val="0"/>
              <w:adjustRightInd w:val="0"/>
              <w:ind w:left="925" w:hanging="270"/>
              <w:rPr>
                <w:rStyle w:val="hps"/>
                <w:rFonts w:eastAsia="Calibri" w:cs="Arial"/>
                <w:bCs/>
                <w:color w:val="000000"/>
                <w:sz w:val="20"/>
                <w:szCs w:val="20"/>
              </w:rPr>
            </w:pPr>
            <w:r w:rsidRPr="0042006C">
              <w:rPr>
                <w:rStyle w:val="hps"/>
                <w:rFonts w:cs="Arial"/>
                <w:color w:val="000000"/>
                <w:sz w:val="20"/>
                <w:szCs w:val="20"/>
              </w:rPr>
              <w:t>Promoting</w:t>
            </w:r>
            <w:r w:rsidRPr="0042006C">
              <w:rPr>
                <w:rFonts w:cs="Arial"/>
                <w:color w:val="000000"/>
                <w:sz w:val="20"/>
                <w:szCs w:val="20"/>
              </w:rPr>
              <w:t xml:space="preserve"> </w:t>
            </w:r>
            <w:r w:rsidRPr="0042006C">
              <w:rPr>
                <w:rStyle w:val="hps"/>
                <w:rFonts w:cs="Arial"/>
                <w:color w:val="000000"/>
                <w:sz w:val="20"/>
                <w:szCs w:val="20"/>
              </w:rPr>
              <w:t>employment</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quality</w:t>
            </w:r>
            <w:r w:rsidRPr="0042006C">
              <w:rPr>
                <w:rFonts w:cs="Arial"/>
                <w:color w:val="000000"/>
                <w:sz w:val="20"/>
                <w:szCs w:val="20"/>
              </w:rPr>
              <w:t xml:space="preserve">  </w:t>
            </w:r>
            <w:r w:rsidRPr="0042006C">
              <w:rPr>
                <w:rStyle w:val="hps"/>
                <w:rFonts w:cs="Arial"/>
                <w:color w:val="000000"/>
                <w:sz w:val="20"/>
                <w:szCs w:val="20"/>
              </w:rPr>
              <w:t>working conditions</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color w:val="000000"/>
                <w:sz w:val="20"/>
                <w:szCs w:val="20"/>
              </w:rPr>
            </w:pPr>
            <w:r w:rsidRPr="0042006C">
              <w:rPr>
                <w:rFonts w:eastAsia="Calibri" w:cs="Arial"/>
                <w:bCs/>
                <w:color w:val="000000"/>
                <w:sz w:val="20"/>
                <w:szCs w:val="20"/>
              </w:rPr>
              <w:t>Transport safety</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color w:val="000000"/>
                <w:sz w:val="20"/>
                <w:szCs w:val="20"/>
              </w:rPr>
            </w:pPr>
            <w:r w:rsidRPr="0042006C">
              <w:rPr>
                <w:rFonts w:eastAsia="Calibri" w:cs="Arial"/>
                <w:bCs/>
                <w:color w:val="000000"/>
                <w:sz w:val="20"/>
                <w:szCs w:val="20"/>
              </w:rPr>
              <w:t xml:space="preserve">Quality and reliability of services </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color w:val="000000"/>
                <w:sz w:val="20"/>
                <w:szCs w:val="20"/>
              </w:rPr>
            </w:pPr>
            <w:r w:rsidRPr="0042006C">
              <w:rPr>
                <w:rFonts w:eastAsia="Calibri" w:cs="Arial"/>
                <w:bCs/>
                <w:color w:val="000000"/>
                <w:sz w:val="20"/>
                <w:szCs w:val="20"/>
              </w:rPr>
              <w:t xml:space="preserve">Innovation and implementation strategy </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bCs/>
                <w:color w:val="000000"/>
                <w:sz w:val="20"/>
                <w:szCs w:val="20"/>
              </w:rPr>
            </w:pPr>
            <w:r w:rsidRPr="0042006C">
              <w:rPr>
                <w:rFonts w:eastAsia="Calibri" w:cs="Arial"/>
                <w:bCs/>
                <w:color w:val="000000"/>
                <w:sz w:val="20"/>
                <w:szCs w:val="20"/>
              </w:rPr>
              <w:t xml:space="preserve">Promoting a more sustainable behaviour </w:t>
            </w:r>
          </w:p>
          <w:p w:rsidR="008B7CC2" w:rsidRPr="0042006C" w:rsidRDefault="008B7CC2" w:rsidP="005E50B3">
            <w:pPr>
              <w:numPr>
                <w:ilvl w:val="0"/>
                <w:numId w:val="33"/>
              </w:numPr>
              <w:tabs>
                <w:tab w:val="left" w:pos="925"/>
              </w:tabs>
              <w:autoSpaceDE w:val="0"/>
              <w:autoSpaceDN w:val="0"/>
              <w:adjustRightInd w:val="0"/>
              <w:ind w:left="925" w:hanging="270"/>
              <w:rPr>
                <w:rFonts w:eastAsia="Calibri" w:cs="Arial"/>
                <w:color w:val="000000"/>
                <w:sz w:val="20"/>
                <w:szCs w:val="20"/>
              </w:rPr>
            </w:pPr>
            <w:r w:rsidRPr="0042006C">
              <w:rPr>
                <w:rFonts w:eastAsia="Calibri" w:cs="Arial"/>
                <w:bCs/>
                <w:color w:val="000000"/>
                <w:sz w:val="20"/>
                <w:szCs w:val="20"/>
              </w:rPr>
              <w:t>Modern infrastructures and smart financing</w:t>
            </w:r>
          </w:p>
        </w:tc>
        <w:tc>
          <w:tcPr>
            <w:tcW w:w="696"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2020-2050</w:t>
            </w:r>
          </w:p>
        </w:tc>
        <w:tc>
          <w:tcPr>
            <w:tcW w:w="1121" w:type="pct"/>
            <w:tcBorders>
              <w:top w:val="single" w:sz="4" w:space="0" w:color="000000"/>
              <w:left w:val="single" w:sz="4" w:space="0" w:color="000000"/>
              <w:bottom w:val="single" w:sz="4" w:space="0" w:color="000000"/>
              <w:right w:val="single" w:sz="4" w:space="0" w:color="000000"/>
            </w:tcBorders>
            <w:shd w:val="clear" w:color="auto" w:fill="auto"/>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The </w:t>
            </w:r>
            <w:r w:rsidRPr="0042006C">
              <w:rPr>
                <w:rStyle w:val="hps"/>
                <w:rFonts w:cs="Arial"/>
                <w:color w:val="000000"/>
                <w:sz w:val="20"/>
                <w:szCs w:val="20"/>
              </w:rPr>
              <w:t>General Transport</w:t>
            </w:r>
            <w:r w:rsidRPr="0042006C">
              <w:rPr>
                <w:rFonts w:cs="Arial"/>
                <w:color w:val="000000"/>
                <w:sz w:val="20"/>
                <w:szCs w:val="20"/>
              </w:rPr>
              <w:t xml:space="preserve"> </w:t>
            </w:r>
            <w:r w:rsidRPr="0042006C">
              <w:rPr>
                <w:rStyle w:val="hps"/>
                <w:rFonts w:cs="Arial"/>
                <w:color w:val="000000"/>
                <w:sz w:val="20"/>
                <w:szCs w:val="20"/>
              </w:rPr>
              <w:t>Master</w:t>
            </w:r>
            <w:r w:rsidRPr="0042006C">
              <w:rPr>
                <w:rFonts w:cs="Arial"/>
                <w:color w:val="000000"/>
                <w:sz w:val="20"/>
                <w:szCs w:val="20"/>
              </w:rPr>
              <w:t xml:space="preserve"> </w:t>
            </w:r>
            <w:r w:rsidRPr="0042006C">
              <w:rPr>
                <w:rStyle w:val="hps"/>
                <w:rFonts w:cs="Arial"/>
                <w:color w:val="000000"/>
                <w:sz w:val="20"/>
                <w:szCs w:val="20"/>
              </w:rPr>
              <w:t>Plan</w:t>
            </w:r>
            <w:r w:rsidRPr="0042006C">
              <w:rPr>
                <w:rFonts w:cs="Arial"/>
                <w:color w:val="000000"/>
                <w:sz w:val="20"/>
                <w:szCs w:val="20"/>
              </w:rPr>
              <w:t xml:space="preserve"> </w:t>
            </w:r>
            <w:r w:rsidRPr="0042006C">
              <w:rPr>
                <w:rStyle w:val="hps"/>
                <w:rFonts w:cs="Arial"/>
                <w:color w:val="000000"/>
                <w:sz w:val="20"/>
                <w:szCs w:val="20"/>
              </w:rPr>
              <w:t>objectives</w:t>
            </w:r>
            <w:r w:rsidRPr="0042006C">
              <w:rPr>
                <w:rFonts w:cs="Arial"/>
                <w:color w:val="000000"/>
                <w:sz w:val="20"/>
                <w:szCs w:val="20"/>
              </w:rPr>
              <w:t xml:space="preserve"> </w:t>
            </w:r>
            <w:r w:rsidRPr="0042006C">
              <w:rPr>
                <w:rStyle w:val="hps"/>
                <w:rFonts w:cs="Arial"/>
                <w:color w:val="000000"/>
                <w:sz w:val="20"/>
                <w:szCs w:val="20"/>
              </w:rPr>
              <w:t>are based on</w:t>
            </w:r>
            <w:r w:rsidRPr="0042006C">
              <w:rPr>
                <w:rFonts w:cs="Arial"/>
                <w:color w:val="000000"/>
                <w:sz w:val="20"/>
                <w:szCs w:val="20"/>
              </w:rPr>
              <w:t xml:space="preserve"> </w:t>
            </w:r>
            <w:r w:rsidRPr="0042006C">
              <w:rPr>
                <w:rStyle w:val="hps"/>
                <w:rFonts w:cs="Arial"/>
                <w:color w:val="000000"/>
                <w:sz w:val="20"/>
                <w:szCs w:val="20"/>
              </w:rPr>
              <w:t>the provisions of</w:t>
            </w:r>
            <w:r w:rsidRPr="0042006C">
              <w:rPr>
                <w:rFonts w:cs="Arial"/>
                <w:color w:val="000000"/>
                <w:sz w:val="20"/>
                <w:szCs w:val="20"/>
              </w:rPr>
              <w:t xml:space="preserve"> </w:t>
            </w:r>
            <w:r w:rsidRPr="0042006C">
              <w:rPr>
                <w:rStyle w:val="hps"/>
                <w:rFonts w:cs="Arial"/>
                <w:color w:val="000000"/>
                <w:sz w:val="20"/>
                <w:szCs w:val="20"/>
              </w:rPr>
              <w:t>the White Paper</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are focused</w:t>
            </w:r>
            <w:r w:rsidRPr="0042006C">
              <w:rPr>
                <w:rFonts w:cs="Arial"/>
                <w:color w:val="000000"/>
                <w:sz w:val="20"/>
                <w:szCs w:val="20"/>
              </w:rPr>
              <w:t xml:space="preserve"> </w:t>
            </w:r>
            <w:r w:rsidRPr="0042006C">
              <w:rPr>
                <w:rStyle w:val="hps"/>
                <w:rFonts w:cs="Arial"/>
                <w:color w:val="000000"/>
                <w:sz w:val="20"/>
                <w:szCs w:val="20"/>
              </w:rPr>
              <w:t>on ensuring</w:t>
            </w:r>
            <w:r w:rsidRPr="0042006C">
              <w:rPr>
                <w:rFonts w:cs="Arial"/>
                <w:color w:val="000000"/>
                <w:sz w:val="20"/>
                <w:szCs w:val="20"/>
              </w:rPr>
              <w:t xml:space="preserve"> </w:t>
            </w:r>
            <w:r w:rsidRPr="0042006C">
              <w:rPr>
                <w:rStyle w:val="hps"/>
                <w:rFonts w:cs="Arial"/>
                <w:color w:val="000000"/>
                <w:sz w:val="20"/>
                <w:szCs w:val="20"/>
              </w:rPr>
              <w:t>sustainable transport</w:t>
            </w:r>
            <w:r w:rsidRPr="0042006C">
              <w:rPr>
                <w:rFonts w:cs="Arial"/>
                <w:color w:val="000000"/>
                <w:sz w:val="20"/>
                <w:szCs w:val="20"/>
              </w:rPr>
              <w:t xml:space="preserve">, </w:t>
            </w:r>
            <w:r w:rsidRPr="0042006C">
              <w:rPr>
                <w:rStyle w:val="hps"/>
                <w:rFonts w:cs="Arial"/>
                <w:color w:val="000000"/>
                <w:sz w:val="20"/>
                <w:szCs w:val="20"/>
              </w:rPr>
              <w:t>ensuring</w:t>
            </w:r>
            <w:r w:rsidRPr="0042006C">
              <w:rPr>
                <w:rFonts w:cs="Arial"/>
                <w:color w:val="000000"/>
                <w:sz w:val="20"/>
                <w:szCs w:val="20"/>
              </w:rPr>
              <w:t xml:space="preserve"> </w:t>
            </w:r>
            <w:r w:rsidRPr="0042006C">
              <w:rPr>
                <w:rStyle w:val="hps"/>
                <w:rFonts w:cs="Arial"/>
                <w:color w:val="000000"/>
                <w:sz w:val="20"/>
                <w:szCs w:val="20"/>
              </w:rPr>
              <w:t>funding sources</w:t>
            </w:r>
            <w:r w:rsidRPr="0042006C">
              <w:rPr>
                <w:rFonts w:cs="Arial"/>
                <w:color w:val="000000"/>
                <w:sz w:val="20"/>
                <w:szCs w:val="20"/>
              </w:rPr>
              <w:t xml:space="preserve">, transport safety, </w:t>
            </w:r>
            <w:r w:rsidRPr="0042006C">
              <w:rPr>
                <w:rStyle w:val="hps"/>
                <w:rFonts w:cs="Arial"/>
                <w:color w:val="000000"/>
                <w:sz w:val="20"/>
                <w:szCs w:val="20"/>
              </w:rPr>
              <w:t>economic development</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environmental protection</w:t>
            </w:r>
            <w:r w:rsidRPr="0042006C">
              <w:rPr>
                <w:rFonts w:eastAsia="Calibri" w:cs="Arial"/>
                <w:color w:val="000000"/>
                <w:sz w:val="20"/>
                <w:szCs w:val="20"/>
              </w:rPr>
              <w:t>.</w:t>
            </w:r>
          </w:p>
          <w:p w:rsidR="008B7CC2" w:rsidRPr="0042006C" w:rsidRDefault="008B7CC2" w:rsidP="00BF3E32">
            <w:pPr>
              <w:rPr>
                <w:rFonts w:eastAsia="Calibri" w:cs="Arial"/>
                <w:color w:val="000000"/>
                <w:sz w:val="20"/>
                <w:szCs w:val="20"/>
              </w:rPr>
            </w:pPr>
          </w:p>
          <w:p w:rsidR="008B7CC2" w:rsidRPr="0042006C" w:rsidRDefault="008B7CC2" w:rsidP="00BF3E32">
            <w:pPr>
              <w:rPr>
                <w:rFonts w:eastAsia="Calibri" w:cs="Arial"/>
                <w:color w:val="000000"/>
                <w:sz w:val="20"/>
                <w:szCs w:val="20"/>
              </w:rPr>
            </w:pPr>
            <w:r w:rsidRPr="0042006C">
              <w:rPr>
                <w:rStyle w:val="hps"/>
                <w:rFonts w:cs="Arial"/>
                <w:color w:val="000000"/>
                <w:sz w:val="20"/>
                <w:szCs w:val="20"/>
              </w:rPr>
              <w:t>GTMP</w:t>
            </w:r>
            <w:r w:rsidRPr="0042006C">
              <w:rPr>
                <w:rFonts w:cs="Arial"/>
                <w:color w:val="000000"/>
                <w:sz w:val="20"/>
                <w:szCs w:val="20"/>
              </w:rPr>
              <w:t xml:space="preserve"> </w:t>
            </w:r>
            <w:r w:rsidRPr="0042006C">
              <w:rPr>
                <w:rStyle w:val="hps"/>
                <w:rFonts w:cs="Arial"/>
                <w:color w:val="000000"/>
                <w:sz w:val="20"/>
                <w:szCs w:val="20"/>
              </w:rPr>
              <w:t>will help create</w:t>
            </w:r>
            <w:r w:rsidRPr="0042006C">
              <w:rPr>
                <w:rFonts w:cs="Arial"/>
                <w:color w:val="000000"/>
                <w:sz w:val="20"/>
                <w:szCs w:val="20"/>
              </w:rPr>
              <w:t xml:space="preserve"> </w:t>
            </w:r>
            <w:r w:rsidRPr="0042006C">
              <w:rPr>
                <w:rStyle w:val="hps"/>
                <w:rFonts w:cs="Arial"/>
                <w:color w:val="000000"/>
                <w:sz w:val="20"/>
                <w:szCs w:val="20"/>
              </w:rPr>
              <w:t>an</w:t>
            </w:r>
            <w:r w:rsidRPr="0042006C">
              <w:rPr>
                <w:rFonts w:cs="Arial"/>
                <w:color w:val="000000"/>
                <w:sz w:val="20"/>
                <w:szCs w:val="20"/>
              </w:rPr>
              <w:t xml:space="preserve"> </w:t>
            </w:r>
            <w:r w:rsidRPr="0042006C">
              <w:rPr>
                <w:rStyle w:val="hps"/>
                <w:rFonts w:cs="Arial"/>
                <w:color w:val="000000"/>
                <w:sz w:val="20"/>
                <w:szCs w:val="20"/>
              </w:rPr>
              <w:t>efficient transport system</w:t>
            </w:r>
            <w:r w:rsidRPr="0042006C">
              <w:rPr>
                <w:rFonts w:cs="Arial"/>
                <w:color w:val="000000"/>
                <w:sz w:val="20"/>
                <w:szCs w:val="20"/>
              </w:rPr>
              <w:t xml:space="preserve"> </w:t>
            </w:r>
            <w:r w:rsidRPr="0042006C">
              <w:rPr>
                <w:rStyle w:val="hps"/>
                <w:rFonts w:cs="Arial"/>
                <w:color w:val="000000"/>
                <w:sz w:val="20"/>
                <w:szCs w:val="20"/>
              </w:rPr>
              <w:t>in terms of</w:t>
            </w:r>
            <w:r w:rsidRPr="0042006C">
              <w:rPr>
                <w:rFonts w:cs="Arial"/>
                <w:color w:val="000000"/>
                <w:sz w:val="20"/>
                <w:szCs w:val="20"/>
              </w:rPr>
              <w:t xml:space="preserve"> </w:t>
            </w:r>
            <w:r w:rsidRPr="0042006C">
              <w:rPr>
                <w:rStyle w:val="hps"/>
                <w:rFonts w:cs="Arial"/>
                <w:color w:val="000000"/>
                <w:sz w:val="20"/>
                <w:szCs w:val="20"/>
              </w:rPr>
              <w:t>supporting</w:t>
            </w:r>
            <w:r w:rsidRPr="0042006C">
              <w:rPr>
                <w:rFonts w:cs="Arial"/>
                <w:color w:val="000000"/>
                <w:sz w:val="20"/>
                <w:szCs w:val="20"/>
              </w:rPr>
              <w:t xml:space="preserve"> </w:t>
            </w:r>
            <w:r w:rsidRPr="0042006C">
              <w:rPr>
                <w:rStyle w:val="hps"/>
                <w:rFonts w:cs="Arial"/>
                <w:color w:val="000000"/>
                <w:sz w:val="20"/>
                <w:szCs w:val="20"/>
              </w:rPr>
              <w:t>economic</w:t>
            </w:r>
            <w:r w:rsidRPr="0042006C">
              <w:rPr>
                <w:rFonts w:cs="Arial"/>
                <w:color w:val="000000"/>
                <w:sz w:val="20"/>
                <w:szCs w:val="20"/>
              </w:rPr>
              <w:t xml:space="preserve"> </w:t>
            </w:r>
            <w:r w:rsidRPr="0042006C">
              <w:rPr>
                <w:rStyle w:val="hps"/>
                <w:rFonts w:cs="Arial"/>
                <w:color w:val="000000"/>
                <w:sz w:val="20"/>
                <w:szCs w:val="20"/>
              </w:rPr>
              <w:t>competitiveness</w:t>
            </w:r>
            <w:r w:rsidRPr="0042006C">
              <w:rPr>
                <w:rFonts w:cs="Arial"/>
                <w:color w:val="000000"/>
                <w:sz w:val="20"/>
                <w:szCs w:val="20"/>
              </w:rPr>
              <w:t xml:space="preserve"> </w:t>
            </w:r>
            <w:r w:rsidRPr="0042006C">
              <w:rPr>
                <w:rStyle w:val="hps"/>
                <w:rFonts w:cs="Arial"/>
                <w:color w:val="000000"/>
                <w:sz w:val="20"/>
                <w:szCs w:val="20"/>
              </w:rPr>
              <w:t>but also</w:t>
            </w:r>
            <w:r w:rsidRPr="0042006C">
              <w:rPr>
                <w:rFonts w:cs="Arial"/>
                <w:color w:val="000000"/>
                <w:sz w:val="20"/>
                <w:szCs w:val="20"/>
              </w:rPr>
              <w:t xml:space="preserve"> </w:t>
            </w:r>
            <w:r w:rsidRPr="0042006C">
              <w:rPr>
                <w:rStyle w:val="hps"/>
                <w:rFonts w:cs="Arial"/>
                <w:color w:val="000000"/>
                <w:sz w:val="20"/>
                <w:szCs w:val="20"/>
              </w:rPr>
              <w:t>encourage</w:t>
            </w:r>
            <w:r w:rsidRPr="0042006C">
              <w:rPr>
                <w:rFonts w:cs="Arial"/>
                <w:color w:val="000000"/>
                <w:sz w:val="20"/>
                <w:szCs w:val="20"/>
              </w:rPr>
              <w:t xml:space="preserve"> </w:t>
            </w:r>
            <w:r w:rsidRPr="0042006C">
              <w:rPr>
                <w:rStyle w:val="hps"/>
                <w:rFonts w:cs="Arial"/>
                <w:color w:val="000000"/>
                <w:sz w:val="20"/>
                <w:szCs w:val="20"/>
              </w:rPr>
              <w:t>the most efficient use</w:t>
            </w:r>
            <w:r w:rsidRPr="0042006C">
              <w:rPr>
                <w:rFonts w:cs="Arial"/>
                <w:color w:val="000000"/>
                <w:sz w:val="20"/>
                <w:szCs w:val="20"/>
              </w:rPr>
              <w:t xml:space="preserve"> </w:t>
            </w:r>
            <w:r w:rsidRPr="0042006C">
              <w:rPr>
                <w:rStyle w:val="hps"/>
                <w:rFonts w:cs="Arial"/>
                <w:color w:val="000000"/>
                <w:sz w:val="20"/>
                <w:szCs w:val="20"/>
              </w:rPr>
              <w:t>of resources</w:t>
            </w:r>
            <w:r w:rsidRPr="0042006C">
              <w:rPr>
                <w:rFonts w:cs="Arial"/>
                <w:color w:val="000000"/>
                <w:sz w:val="20"/>
                <w:szCs w:val="20"/>
              </w:rPr>
              <w:t xml:space="preserve">, reduce </w:t>
            </w:r>
            <w:r w:rsidRPr="0042006C">
              <w:rPr>
                <w:rStyle w:val="hps"/>
                <w:rFonts w:cs="Arial"/>
                <w:color w:val="000000"/>
                <w:sz w:val="20"/>
                <w:szCs w:val="20"/>
              </w:rPr>
              <w:t>negative impacts</w:t>
            </w:r>
            <w:r w:rsidRPr="0042006C">
              <w:rPr>
                <w:rFonts w:cs="Arial"/>
                <w:color w:val="000000"/>
                <w:sz w:val="20"/>
                <w:szCs w:val="20"/>
              </w:rPr>
              <w:t xml:space="preserve"> </w:t>
            </w:r>
            <w:r w:rsidRPr="0042006C">
              <w:rPr>
                <w:rStyle w:val="hps"/>
                <w:rFonts w:cs="Arial"/>
                <w:color w:val="000000"/>
                <w:sz w:val="20"/>
                <w:szCs w:val="20"/>
              </w:rPr>
              <w:t>that the</w:t>
            </w:r>
            <w:r w:rsidRPr="0042006C">
              <w:rPr>
                <w:rFonts w:cs="Arial"/>
                <w:color w:val="000000"/>
                <w:sz w:val="20"/>
                <w:szCs w:val="20"/>
              </w:rPr>
              <w:t xml:space="preserve"> </w:t>
            </w:r>
            <w:r w:rsidRPr="0042006C">
              <w:rPr>
                <w:rStyle w:val="hps"/>
                <w:rFonts w:cs="Arial"/>
                <w:color w:val="000000"/>
                <w:sz w:val="20"/>
                <w:szCs w:val="20"/>
              </w:rPr>
              <w:t>transportation</w:t>
            </w:r>
            <w:r w:rsidRPr="0042006C">
              <w:rPr>
                <w:rFonts w:cs="Arial"/>
                <w:color w:val="000000"/>
                <w:sz w:val="20"/>
                <w:szCs w:val="20"/>
              </w:rPr>
              <w:t xml:space="preserve"> </w:t>
            </w:r>
            <w:r w:rsidRPr="0042006C">
              <w:rPr>
                <w:rStyle w:val="hps"/>
                <w:rFonts w:cs="Arial"/>
                <w:color w:val="000000"/>
                <w:sz w:val="20"/>
                <w:szCs w:val="20"/>
              </w:rPr>
              <w:t>system</w:t>
            </w:r>
            <w:r w:rsidRPr="0042006C">
              <w:rPr>
                <w:rFonts w:cs="Arial"/>
                <w:color w:val="000000"/>
                <w:sz w:val="20"/>
                <w:szCs w:val="20"/>
              </w:rPr>
              <w:t xml:space="preserve"> </w:t>
            </w:r>
            <w:r w:rsidRPr="0042006C">
              <w:rPr>
                <w:rStyle w:val="hps"/>
                <w:rFonts w:cs="Arial"/>
                <w:color w:val="000000"/>
                <w:sz w:val="20"/>
                <w:szCs w:val="20"/>
              </w:rPr>
              <w:t>has on the environment</w:t>
            </w:r>
            <w:r w:rsidRPr="0042006C">
              <w:rPr>
                <w:rFonts w:cs="Arial"/>
                <w:color w:val="000000"/>
                <w:sz w:val="20"/>
                <w:szCs w:val="20"/>
              </w:rPr>
              <w:t xml:space="preserve"> </w:t>
            </w:r>
            <w:r w:rsidRPr="0042006C">
              <w:rPr>
                <w:rStyle w:val="hps"/>
                <w:rFonts w:cs="Arial"/>
                <w:color w:val="000000"/>
                <w:sz w:val="20"/>
                <w:szCs w:val="20"/>
              </w:rPr>
              <w:t>respectively on</w:t>
            </w:r>
            <w:r w:rsidRPr="0042006C">
              <w:rPr>
                <w:rFonts w:cs="Arial"/>
                <w:color w:val="000000"/>
                <w:sz w:val="20"/>
                <w:szCs w:val="20"/>
              </w:rPr>
              <w:t xml:space="preserve"> </w:t>
            </w:r>
            <w:r w:rsidRPr="0042006C">
              <w:rPr>
                <w:rStyle w:val="hps"/>
                <w:rFonts w:cs="Arial"/>
                <w:color w:val="000000"/>
                <w:sz w:val="20"/>
                <w:szCs w:val="20"/>
              </w:rPr>
              <w:t>water</w:t>
            </w:r>
            <w:r w:rsidRPr="0042006C">
              <w:rPr>
                <w:rFonts w:cs="Arial"/>
                <w:color w:val="000000"/>
                <w:sz w:val="20"/>
                <w:szCs w:val="20"/>
              </w:rPr>
              <w:t xml:space="preserve">, soil, air </w:t>
            </w:r>
            <w:r w:rsidRPr="0042006C">
              <w:rPr>
                <w:rStyle w:val="hps"/>
                <w:rFonts w:cs="Arial"/>
                <w:color w:val="000000"/>
                <w:sz w:val="20"/>
                <w:szCs w:val="20"/>
              </w:rPr>
              <w:t>populations</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natural ecosystems</w:t>
            </w:r>
          </w:p>
          <w:p w:rsidR="008B7CC2" w:rsidRPr="0042006C" w:rsidRDefault="008B7CC2" w:rsidP="00BF3E32">
            <w:pPr>
              <w:rPr>
                <w:rFonts w:eastAsia="Calibri" w:cs="Arial"/>
                <w:color w:val="000000"/>
                <w:sz w:val="20"/>
                <w:szCs w:val="20"/>
              </w:rPr>
            </w:pPr>
          </w:p>
          <w:p w:rsidR="008B7CC2" w:rsidRPr="0042006C" w:rsidRDefault="008B7CC2" w:rsidP="00BF3E32">
            <w:pPr>
              <w:rPr>
                <w:rFonts w:eastAsia="Calibri" w:cs="Arial"/>
                <w:color w:val="000000"/>
                <w:sz w:val="20"/>
                <w:szCs w:val="20"/>
              </w:rPr>
            </w:pPr>
            <w:r w:rsidRPr="0042006C">
              <w:rPr>
                <w:rStyle w:val="hps"/>
                <w:rFonts w:cs="Arial"/>
                <w:color w:val="000000"/>
                <w:sz w:val="20"/>
                <w:szCs w:val="20"/>
              </w:rPr>
              <w:t>GTMP</w:t>
            </w:r>
            <w:r w:rsidRPr="0042006C">
              <w:rPr>
                <w:rFonts w:cs="Arial"/>
                <w:color w:val="000000"/>
                <w:sz w:val="20"/>
                <w:szCs w:val="20"/>
              </w:rPr>
              <w:t xml:space="preserve"> </w:t>
            </w:r>
            <w:r w:rsidRPr="0042006C">
              <w:rPr>
                <w:rStyle w:val="hps"/>
                <w:rFonts w:cs="Arial"/>
                <w:color w:val="000000"/>
                <w:sz w:val="20"/>
                <w:szCs w:val="20"/>
              </w:rPr>
              <w:t>proposes to develop</w:t>
            </w:r>
            <w:r w:rsidRPr="0042006C">
              <w:rPr>
                <w:rFonts w:cs="Arial"/>
                <w:color w:val="000000"/>
                <w:sz w:val="20"/>
                <w:szCs w:val="20"/>
              </w:rPr>
              <w:t xml:space="preserve"> </w:t>
            </w:r>
            <w:r w:rsidRPr="0042006C">
              <w:rPr>
                <w:rStyle w:val="hps"/>
                <w:rFonts w:cs="Arial"/>
                <w:color w:val="000000"/>
                <w:sz w:val="20"/>
                <w:szCs w:val="20"/>
              </w:rPr>
              <w:t>transportation infrastructure</w:t>
            </w:r>
            <w:r w:rsidRPr="0042006C">
              <w:rPr>
                <w:rFonts w:cs="Arial"/>
                <w:color w:val="000000"/>
                <w:sz w:val="20"/>
                <w:szCs w:val="20"/>
              </w:rPr>
              <w:t xml:space="preserve"> </w:t>
            </w:r>
            <w:r w:rsidRPr="0042006C">
              <w:rPr>
                <w:rStyle w:val="hps"/>
                <w:rFonts w:cs="Arial"/>
                <w:color w:val="000000"/>
                <w:sz w:val="20"/>
                <w:szCs w:val="20"/>
              </w:rPr>
              <w:t>by creating</w:t>
            </w:r>
            <w:r w:rsidRPr="0042006C">
              <w:rPr>
                <w:rFonts w:cs="Arial"/>
                <w:color w:val="000000"/>
                <w:sz w:val="20"/>
                <w:szCs w:val="20"/>
              </w:rPr>
              <w:t xml:space="preserve"> </w:t>
            </w:r>
            <w:r w:rsidRPr="0042006C">
              <w:rPr>
                <w:rStyle w:val="hps"/>
                <w:rFonts w:cs="Arial"/>
                <w:color w:val="000000"/>
                <w:sz w:val="20"/>
                <w:szCs w:val="20"/>
              </w:rPr>
              <w:t>new transport</w:t>
            </w:r>
            <w:r w:rsidRPr="0042006C">
              <w:rPr>
                <w:rFonts w:cs="Arial"/>
                <w:color w:val="000000"/>
                <w:sz w:val="20"/>
                <w:szCs w:val="20"/>
              </w:rPr>
              <w:t xml:space="preserve"> </w:t>
            </w:r>
            <w:r w:rsidRPr="0042006C">
              <w:rPr>
                <w:rStyle w:val="hps"/>
                <w:rFonts w:cs="Arial"/>
                <w:color w:val="000000"/>
                <w:sz w:val="20"/>
                <w:szCs w:val="20"/>
              </w:rPr>
              <w:t>corridors</w:t>
            </w:r>
            <w:r w:rsidRPr="0042006C">
              <w:rPr>
                <w:rFonts w:cs="Arial"/>
                <w:color w:val="000000"/>
                <w:sz w:val="20"/>
                <w:szCs w:val="20"/>
              </w:rPr>
              <w:t xml:space="preserve"> </w:t>
            </w:r>
            <w:r w:rsidRPr="0042006C">
              <w:rPr>
                <w:rStyle w:val="hps"/>
                <w:rFonts w:cs="Arial"/>
                <w:color w:val="000000"/>
                <w:sz w:val="20"/>
                <w:szCs w:val="20"/>
              </w:rPr>
              <w:t>(</w:t>
            </w:r>
            <w:r w:rsidRPr="0042006C">
              <w:rPr>
                <w:rFonts w:cs="Arial"/>
                <w:color w:val="000000"/>
                <w:sz w:val="20"/>
                <w:szCs w:val="20"/>
              </w:rPr>
              <w:t xml:space="preserve">development of </w:t>
            </w:r>
            <w:r w:rsidRPr="0042006C">
              <w:rPr>
                <w:rStyle w:val="hps"/>
                <w:rFonts w:cs="Arial"/>
                <w:color w:val="000000"/>
                <w:sz w:val="20"/>
                <w:szCs w:val="20"/>
              </w:rPr>
              <w:t>highways,</w:t>
            </w:r>
            <w:r w:rsidRPr="0042006C">
              <w:rPr>
                <w:rFonts w:cs="Arial"/>
                <w:color w:val="000000"/>
                <w:sz w:val="20"/>
                <w:szCs w:val="20"/>
              </w:rPr>
              <w:t xml:space="preserve"> </w:t>
            </w:r>
            <w:r w:rsidRPr="0042006C">
              <w:rPr>
                <w:rStyle w:val="hps"/>
                <w:rFonts w:cs="Arial"/>
                <w:color w:val="000000"/>
                <w:sz w:val="20"/>
                <w:szCs w:val="20"/>
              </w:rPr>
              <w:t>bypasses</w:t>
            </w:r>
            <w:r w:rsidRPr="0042006C">
              <w:rPr>
                <w:rFonts w:cs="Arial"/>
                <w:color w:val="000000"/>
                <w:sz w:val="20"/>
                <w:szCs w:val="20"/>
              </w:rPr>
              <w:t xml:space="preserve">, </w:t>
            </w:r>
            <w:r w:rsidRPr="0042006C">
              <w:rPr>
                <w:rStyle w:val="hps"/>
                <w:rFonts w:cs="Arial"/>
                <w:color w:val="000000"/>
                <w:sz w:val="20"/>
                <w:szCs w:val="20"/>
              </w:rPr>
              <w:t>road)</w:t>
            </w:r>
            <w:r w:rsidRPr="0042006C">
              <w:rPr>
                <w:rFonts w:cs="Arial"/>
                <w:color w:val="000000"/>
                <w:sz w:val="20"/>
                <w:szCs w:val="20"/>
              </w:rPr>
              <w:t xml:space="preserve">, </w:t>
            </w:r>
            <w:r w:rsidRPr="0042006C">
              <w:rPr>
                <w:rStyle w:val="hps"/>
                <w:rFonts w:cs="Arial"/>
                <w:color w:val="000000"/>
                <w:sz w:val="20"/>
                <w:szCs w:val="20"/>
              </w:rPr>
              <w:t>rehabilitation of</w:t>
            </w:r>
            <w:r w:rsidRPr="0042006C">
              <w:rPr>
                <w:rFonts w:cs="Arial"/>
                <w:color w:val="000000"/>
                <w:sz w:val="20"/>
                <w:szCs w:val="20"/>
              </w:rPr>
              <w:t xml:space="preserve"> </w:t>
            </w:r>
            <w:r w:rsidRPr="0042006C">
              <w:rPr>
                <w:rStyle w:val="hps"/>
                <w:rFonts w:cs="Arial"/>
                <w:color w:val="000000"/>
                <w:sz w:val="20"/>
                <w:szCs w:val="20"/>
              </w:rPr>
              <w:t>railway lines</w:t>
            </w:r>
            <w:r w:rsidRPr="0042006C">
              <w:rPr>
                <w:rFonts w:cs="Arial"/>
                <w:color w:val="000000"/>
                <w:sz w:val="20"/>
                <w:szCs w:val="20"/>
              </w:rPr>
              <w:t xml:space="preserve"> </w:t>
            </w:r>
            <w:r w:rsidRPr="0042006C">
              <w:rPr>
                <w:rStyle w:val="hps"/>
                <w:rFonts w:cs="Arial"/>
                <w:color w:val="000000"/>
                <w:sz w:val="20"/>
                <w:szCs w:val="20"/>
              </w:rPr>
              <w:t>to achieve</w:t>
            </w:r>
            <w:r w:rsidRPr="0042006C">
              <w:rPr>
                <w:rFonts w:cs="Arial"/>
                <w:color w:val="000000"/>
                <w:sz w:val="20"/>
                <w:szCs w:val="20"/>
              </w:rPr>
              <w:t xml:space="preserve"> </w:t>
            </w:r>
            <w:r w:rsidRPr="0042006C">
              <w:rPr>
                <w:rStyle w:val="hps"/>
                <w:rFonts w:cs="Arial"/>
                <w:color w:val="000000"/>
                <w:sz w:val="20"/>
                <w:szCs w:val="20"/>
              </w:rPr>
              <w:t>high</w:t>
            </w:r>
            <w:r w:rsidRPr="0042006C">
              <w:rPr>
                <w:rFonts w:cs="Arial"/>
                <w:color w:val="000000"/>
                <w:sz w:val="20"/>
                <w:szCs w:val="20"/>
              </w:rPr>
              <w:t xml:space="preserve"> </w:t>
            </w:r>
            <w:r w:rsidRPr="0042006C">
              <w:rPr>
                <w:rStyle w:val="hps"/>
                <w:rFonts w:cs="Arial"/>
                <w:color w:val="000000"/>
                <w:sz w:val="20"/>
                <w:szCs w:val="20"/>
              </w:rPr>
              <w:t>speeds</w:t>
            </w:r>
            <w:r w:rsidRPr="0042006C">
              <w:rPr>
                <w:rFonts w:cs="Arial"/>
                <w:color w:val="000000"/>
                <w:sz w:val="20"/>
                <w:szCs w:val="20"/>
              </w:rPr>
              <w:t xml:space="preserve">, </w:t>
            </w:r>
            <w:r w:rsidRPr="0042006C">
              <w:rPr>
                <w:rStyle w:val="hps"/>
                <w:rFonts w:cs="Arial"/>
                <w:color w:val="000000"/>
                <w:sz w:val="20"/>
                <w:szCs w:val="20"/>
              </w:rPr>
              <w:t>improving navigation</w:t>
            </w:r>
            <w:r w:rsidRPr="0042006C">
              <w:rPr>
                <w:rFonts w:cs="Arial"/>
                <w:color w:val="000000"/>
                <w:sz w:val="20"/>
                <w:szCs w:val="20"/>
              </w:rPr>
              <w:t xml:space="preserve"> </w:t>
            </w:r>
            <w:r w:rsidRPr="0042006C">
              <w:rPr>
                <w:rStyle w:val="hps"/>
                <w:rFonts w:cs="Arial"/>
                <w:color w:val="000000"/>
                <w:sz w:val="20"/>
                <w:szCs w:val="20"/>
              </w:rPr>
              <w:t>on the Danube</w:t>
            </w:r>
            <w:r w:rsidRPr="0042006C">
              <w:rPr>
                <w:rFonts w:cs="Arial"/>
                <w:color w:val="000000"/>
                <w:sz w:val="20"/>
                <w:szCs w:val="20"/>
              </w:rPr>
              <w:t xml:space="preserve"> </w:t>
            </w:r>
            <w:r w:rsidRPr="0042006C">
              <w:rPr>
                <w:rStyle w:val="hps"/>
                <w:rFonts w:cs="Arial"/>
                <w:color w:val="000000"/>
                <w:sz w:val="20"/>
                <w:szCs w:val="20"/>
              </w:rPr>
              <w:t>and modernization of</w:t>
            </w:r>
            <w:r w:rsidRPr="0042006C">
              <w:rPr>
                <w:rFonts w:cs="Arial"/>
                <w:color w:val="000000"/>
                <w:sz w:val="20"/>
                <w:szCs w:val="20"/>
              </w:rPr>
              <w:t xml:space="preserve"> </w:t>
            </w:r>
            <w:r w:rsidRPr="0042006C">
              <w:rPr>
                <w:rStyle w:val="hps"/>
                <w:rFonts w:cs="Arial"/>
                <w:color w:val="000000"/>
                <w:sz w:val="20"/>
                <w:szCs w:val="20"/>
              </w:rPr>
              <w:t>port infrastructure</w:t>
            </w:r>
            <w:r w:rsidRPr="0042006C">
              <w:rPr>
                <w:rFonts w:cs="Arial"/>
                <w:color w:val="000000"/>
                <w:sz w:val="20"/>
                <w:szCs w:val="20"/>
              </w:rPr>
              <w:t xml:space="preserve">, modernize </w:t>
            </w:r>
            <w:r w:rsidRPr="0042006C">
              <w:rPr>
                <w:rStyle w:val="hps"/>
                <w:rFonts w:cs="Arial"/>
                <w:color w:val="000000"/>
                <w:sz w:val="20"/>
                <w:szCs w:val="20"/>
              </w:rPr>
              <w:t>airports</w:t>
            </w:r>
            <w:r w:rsidRPr="0042006C">
              <w:rPr>
                <w:rFonts w:eastAsia="Calibri" w:cs="Arial"/>
                <w:color w:val="000000"/>
                <w:sz w:val="20"/>
                <w:szCs w:val="20"/>
              </w:rPr>
              <w:t>.</w:t>
            </w:r>
          </w:p>
        </w:tc>
      </w:tr>
      <w:tr w:rsidR="008B7CC2" w:rsidRPr="0042006C" w:rsidTr="00BF3E32">
        <w:trPr>
          <w:jc w:val="center"/>
        </w:trPr>
        <w:tc>
          <w:tcPr>
            <w:tcW w:w="87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Europe 2020 Strategy – An European strategy for a smart, sustainable and inclusive development </w:t>
            </w:r>
          </w:p>
        </w:tc>
        <w:tc>
          <w:tcPr>
            <w:tcW w:w="2313"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Europe 2020 Strategy proposes three mutually reinforcing priorities:</w:t>
            </w:r>
          </w:p>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 xml:space="preserve">– </w:t>
            </w:r>
            <w:r w:rsidRPr="0042006C">
              <w:rPr>
                <w:rStyle w:val="hps"/>
                <w:rFonts w:cs="Arial"/>
                <w:color w:val="000000"/>
                <w:sz w:val="20"/>
                <w:szCs w:val="20"/>
              </w:rPr>
              <w:t>smart growth</w:t>
            </w:r>
            <w:r w:rsidRPr="0042006C">
              <w:rPr>
                <w:rFonts w:cs="Arial"/>
                <w:color w:val="000000"/>
                <w:sz w:val="20"/>
                <w:szCs w:val="20"/>
              </w:rPr>
              <w:t xml:space="preserve">: </w:t>
            </w:r>
            <w:r w:rsidRPr="0042006C">
              <w:rPr>
                <w:rStyle w:val="hps"/>
                <w:rFonts w:cs="Arial"/>
                <w:color w:val="000000"/>
                <w:sz w:val="20"/>
                <w:szCs w:val="20"/>
              </w:rPr>
              <w:t>developing an economy based</w:t>
            </w:r>
            <w:r w:rsidRPr="0042006C">
              <w:rPr>
                <w:rFonts w:cs="Arial"/>
                <w:color w:val="000000"/>
                <w:sz w:val="20"/>
                <w:szCs w:val="20"/>
              </w:rPr>
              <w:t xml:space="preserve"> </w:t>
            </w:r>
            <w:r w:rsidRPr="0042006C">
              <w:rPr>
                <w:rStyle w:val="hps"/>
                <w:rFonts w:cs="Arial"/>
                <w:color w:val="000000"/>
                <w:sz w:val="20"/>
                <w:szCs w:val="20"/>
              </w:rPr>
              <w:t>on knowledge and innovation</w:t>
            </w:r>
            <w:r w:rsidRPr="0042006C">
              <w:rPr>
                <w:rFonts w:eastAsia="Calibri" w:cs="Arial"/>
                <w:color w:val="000000"/>
                <w:sz w:val="20"/>
                <w:szCs w:val="20"/>
              </w:rPr>
              <w:t>;</w:t>
            </w:r>
          </w:p>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w:t>
            </w:r>
            <w:r w:rsidRPr="0042006C">
              <w:rPr>
                <w:rStyle w:val="hps"/>
                <w:rFonts w:cs="Arial"/>
                <w:color w:val="000000"/>
                <w:sz w:val="20"/>
                <w:szCs w:val="20"/>
              </w:rPr>
              <w:t>sustainable growth</w:t>
            </w:r>
            <w:r w:rsidRPr="0042006C">
              <w:rPr>
                <w:rFonts w:cs="Arial"/>
                <w:color w:val="000000"/>
                <w:sz w:val="20"/>
                <w:szCs w:val="20"/>
              </w:rPr>
              <w:t xml:space="preserve">: </w:t>
            </w:r>
            <w:r w:rsidRPr="0042006C">
              <w:rPr>
                <w:rStyle w:val="hps"/>
                <w:rFonts w:cs="Arial"/>
                <w:color w:val="000000"/>
                <w:sz w:val="20"/>
                <w:szCs w:val="20"/>
              </w:rPr>
              <w:t>promoting a more</w:t>
            </w:r>
            <w:r w:rsidRPr="0042006C">
              <w:rPr>
                <w:rFonts w:cs="Arial"/>
                <w:color w:val="000000"/>
                <w:sz w:val="20"/>
                <w:szCs w:val="20"/>
              </w:rPr>
              <w:t xml:space="preserve"> </w:t>
            </w:r>
            <w:r w:rsidRPr="0042006C">
              <w:rPr>
                <w:rStyle w:val="hps"/>
                <w:rFonts w:cs="Arial"/>
                <w:color w:val="000000"/>
                <w:sz w:val="20"/>
                <w:szCs w:val="20"/>
              </w:rPr>
              <w:t>efficient</w:t>
            </w:r>
            <w:r w:rsidRPr="0042006C">
              <w:rPr>
                <w:rFonts w:cs="Arial"/>
                <w:color w:val="000000"/>
                <w:sz w:val="20"/>
                <w:szCs w:val="20"/>
              </w:rPr>
              <w:t xml:space="preserve"> economy </w:t>
            </w:r>
            <w:r w:rsidRPr="0042006C">
              <w:rPr>
                <w:rStyle w:val="hps"/>
                <w:rFonts w:cs="Arial"/>
                <w:color w:val="000000"/>
                <w:sz w:val="20"/>
                <w:szCs w:val="20"/>
              </w:rPr>
              <w:t>in terms</w:t>
            </w:r>
            <w:r w:rsidRPr="0042006C">
              <w:rPr>
                <w:rFonts w:cs="Arial"/>
                <w:color w:val="000000"/>
                <w:sz w:val="20"/>
                <w:szCs w:val="20"/>
              </w:rPr>
              <w:t xml:space="preserve"> </w:t>
            </w:r>
            <w:r w:rsidRPr="0042006C">
              <w:rPr>
                <w:rStyle w:val="hps"/>
                <w:rFonts w:cs="Arial"/>
                <w:color w:val="000000"/>
                <w:sz w:val="20"/>
                <w:szCs w:val="20"/>
              </w:rPr>
              <w:t>of resource use,</w:t>
            </w:r>
            <w:r w:rsidRPr="0042006C">
              <w:rPr>
                <w:rFonts w:cs="Arial"/>
                <w:color w:val="000000"/>
                <w:sz w:val="20"/>
                <w:szCs w:val="20"/>
              </w:rPr>
              <w:t xml:space="preserve"> </w:t>
            </w:r>
            <w:r w:rsidRPr="0042006C">
              <w:rPr>
                <w:rStyle w:val="hps"/>
                <w:rFonts w:cs="Arial"/>
                <w:color w:val="000000"/>
                <w:sz w:val="20"/>
                <w:szCs w:val="20"/>
              </w:rPr>
              <w:t>greener and more</w:t>
            </w:r>
            <w:r w:rsidRPr="0042006C">
              <w:rPr>
                <w:rFonts w:cs="Arial"/>
                <w:color w:val="000000"/>
                <w:sz w:val="20"/>
                <w:szCs w:val="20"/>
              </w:rPr>
              <w:t xml:space="preserve"> </w:t>
            </w:r>
            <w:r w:rsidRPr="0042006C">
              <w:rPr>
                <w:rStyle w:val="hps"/>
                <w:rFonts w:cs="Arial"/>
                <w:color w:val="000000"/>
                <w:sz w:val="20"/>
                <w:szCs w:val="20"/>
              </w:rPr>
              <w:t>competitive</w:t>
            </w:r>
            <w:r w:rsidRPr="0042006C">
              <w:rPr>
                <w:rFonts w:eastAsia="Calibri" w:cs="Arial"/>
                <w:color w:val="000000"/>
                <w:sz w:val="20"/>
                <w:szCs w:val="20"/>
              </w:rPr>
              <w:t>;</w:t>
            </w:r>
          </w:p>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w:t>
            </w:r>
            <w:r w:rsidRPr="0042006C">
              <w:rPr>
                <w:rStyle w:val="hps"/>
                <w:rFonts w:cs="Arial"/>
                <w:color w:val="000000"/>
                <w:sz w:val="20"/>
                <w:szCs w:val="20"/>
              </w:rPr>
              <w:t>inclusive growth</w:t>
            </w:r>
            <w:r w:rsidRPr="0042006C">
              <w:rPr>
                <w:rFonts w:cs="Arial"/>
                <w:color w:val="000000"/>
                <w:sz w:val="20"/>
                <w:szCs w:val="20"/>
              </w:rPr>
              <w:t xml:space="preserve">: promoting </w:t>
            </w:r>
            <w:r w:rsidRPr="0042006C">
              <w:rPr>
                <w:rStyle w:val="hps"/>
                <w:rFonts w:cs="Arial"/>
                <w:color w:val="000000"/>
                <w:sz w:val="20"/>
                <w:szCs w:val="20"/>
              </w:rPr>
              <w:t>an economy with</w:t>
            </w:r>
            <w:r w:rsidRPr="0042006C">
              <w:rPr>
                <w:rFonts w:cs="Arial"/>
                <w:color w:val="000000"/>
                <w:sz w:val="20"/>
                <w:szCs w:val="20"/>
              </w:rPr>
              <w:t xml:space="preserve"> </w:t>
            </w:r>
            <w:r w:rsidRPr="0042006C">
              <w:rPr>
                <w:rStyle w:val="hps"/>
                <w:rFonts w:cs="Arial"/>
                <w:color w:val="000000"/>
                <w:sz w:val="20"/>
                <w:szCs w:val="20"/>
              </w:rPr>
              <w:t>a high rate of</w:t>
            </w:r>
            <w:r w:rsidRPr="0042006C">
              <w:rPr>
                <w:rFonts w:cs="Arial"/>
                <w:color w:val="000000"/>
                <w:sz w:val="20"/>
                <w:szCs w:val="20"/>
              </w:rPr>
              <w:t xml:space="preserve"> </w:t>
            </w:r>
            <w:r w:rsidRPr="0042006C">
              <w:rPr>
                <w:rStyle w:val="hps"/>
                <w:rFonts w:cs="Arial"/>
                <w:color w:val="000000"/>
                <w:sz w:val="20"/>
                <w:szCs w:val="20"/>
              </w:rPr>
              <w:t>employment</w:t>
            </w:r>
            <w:r w:rsidRPr="0042006C">
              <w:rPr>
                <w:rFonts w:cs="Arial"/>
                <w:color w:val="000000"/>
                <w:sz w:val="20"/>
                <w:szCs w:val="20"/>
              </w:rPr>
              <w:t xml:space="preserve">, ensuring </w:t>
            </w:r>
            <w:r w:rsidRPr="0042006C">
              <w:rPr>
                <w:rStyle w:val="hps"/>
                <w:rFonts w:cs="Arial"/>
                <w:color w:val="000000"/>
                <w:sz w:val="20"/>
                <w:szCs w:val="20"/>
              </w:rPr>
              <w:t>social and territorial cohesion</w:t>
            </w:r>
            <w:r w:rsidRPr="0042006C">
              <w:rPr>
                <w:rFonts w:eastAsia="Calibri" w:cs="Arial"/>
                <w:color w:val="000000"/>
                <w:sz w:val="20"/>
                <w:szCs w:val="20"/>
              </w:rPr>
              <w:t>.</w:t>
            </w:r>
          </w:p>
          <w:p w:rsidR="008B7CC2" w:rsidRPr="0042006C" w:rsidRDefault="008B7CC2" w:rsidP="00BF3E32">
            <w:pPr>
              <w:autoSpaceDE w:val="0"/>
              <w:autoSpaceDN w:val="0"/>
              <w:adjustRightInd w:val="0"/>
              <w:rPr>
                <w:rFonts w:eastAsia="Calibri" w:cs="Arial"/>
                <w:color w:val="000000"/>
                <w:sz w:val="20"/>
                <w:szCs w:val="20"/>
              </w:rPr>
            </w:pPr>
          </w:p>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To ensure</w:t>
            </w:r>
            <w:r w:rsidRPr="0042006C">
              <w:rPr>
                <w:rFonts w:cs="Arial"/>
                <w:color w:val="000000"/>
                <w:sz w:val="20"/>
                <w:szCs w:val="20"/>
              </w:rPr>
              <w:t xml:space="preserve"> </w:t>
            </w:r>
            <w:r w:rsidRPr="0042006C">
              <w:rPr>
                <w:rStyle w:val="hps"/>
                <w:rFonts w:cs="Arial"/>
                <w:color w:val="000000"/>
                <w:sz w:val="20"/>
                <w:szCs w:val="20"/>
              </w:rPr>
              <w:t>that each</w:t>
            </w:r>
            <w:r w:rsidRPr="0042006C">
              <w:rPr>
                <w:rFonts w:cs="Arial"/>
                <w:color w:val="000000"/>
                <w:sz w:val="20"/>
                <w:szCs w:val="20"/>
              </w:rPr>
              <w:t xml:space="preserve"> </w:t>
            </w:r>
            <w:r w:rsidRPr="0042006C">
              <w:rPr>
                <w:rStyle w:val="hps"/>
                <w:rFonts w:cs="Arial"/>
                <w:color w:val="000000"/>
                <w:sz w:val="20"/>
                <w:szCs w:val="20"/>
              </w:rPr>
              <w:t>Member State tailors the</w:t>
            </w:r>
            <w:r w:rsidRPr="0042006C">
              <w:rPr>
                <w:rFonts w:cs="Arial"/>
                <w:color w:val="000000"/>
                <w:sz w:val="20"/>
                <w:szCs w:val="20"/>
              </w:rPr>
              <w:t xml:space="preserve"> </w:t>
            </w:r>
            <w:r w:rsidRPr="0042006C">
              <w:rPr>
                <w:rStyle w:val="hps"/>
                <w:rFonts w:cs="Arial"/>
                <w:color w:val="000000"/>
                <w:sz w:val="20"/>
                <w:szCs w:val="20"/>
              </w:rPr>
              <w:t>Europe 2020 strategy to</w:t>
            </w:r>
            <w:r w:rsidRPr="0042006C">
              <w:rPr>
                <w:rFonts w:cs="Arial"/>
                <w:color w:val="000000"/>
                <w:sz w:val="20"/>
                <w:szCs w:val="20"/>
              </w:rPr>
              <w:t xml:space="preserve"> </w:t>
            </w:r>
            <w:r w:rsidRPr="0042006C">
              <w:rPr>
                <w:rStyle w:val="hps"/>
                <w:rFonts w:cs="Arial"/>
                <w:color w:val="000000"/>
                <w:sz w:val="20"/>
                <w:szCs w:val="20"/>
              </w:rPr>
              <w:t>its particular situation</w:t>
            </w:r>
            <w:r w:rsidRPr="0042006C">
              <w:rPr>
                <w:rFonts w:cs="Arial"/>
                <w:color w:val="000000"/>
                <w:sz w:val="20"/>
                <w:szCs w:val="20"/>
              </w:rPr>
              <w:t xml:space="preserve">, the Commission </w:t>
            </w:r>
            <w:r w:rsidRPr="0042006C">
              <w:rPr>
                <w:rStyle w:val="hps"/>
                <w:rFonts w:cs="Arial"/>
                <w:color w:val="000000"/>
                <w:sz w:val="20"/>
                <w:szCs w:val="20"/>
              </w:rPr>
              <w:t>proposes that</w:t>
            </w:r>
            <w:r w:rsidRPr="0042006C">
              <w:rPr>
                <w:rFonts w:cs="Arial"/>
                <w:color w:val="000000"/>
                <w:sz w:val="20"/>
                <w:szCs w:val="20"/>
              </w:rPr>
              <w:t xml:space="preserve"> </w:t>
            </w:r>
            <w:r w:rsidRPr="0042006C">
              <w:rPr>
                <w:rStyle w:val="hps"/>
                <w:rFonts w:cs="Arial"/>
                <w:color w:val="000000"/>
                <w:sz w:val="20"/>
                <w:szCs w:val="20"/>
              </w:rPr>
              <w:t>EU goals</w:t>
            </w:r>
            <w:r w:rsidRPr="0042006C">
              <w:rPr>
                <w:rFonts w:cs="Arial"/>
                <w:color w:val="000000"/>
                <w:sz w:val="20"/>
                <w:szCs w:val="20"/>
              </w:rPr>
              <w:t xml:space="preserve"> </w:t>
            </w:r>
            <w:r w:rsidRPr="0042006C">
              <w:rPr>
                <w:rStyle w:val="hps"/>
                <w:rFonts w:cs="Arial"/>
                <w:color w:val="000000"/>
                <w:sz w:val="20"/>
                <w:szCs w:val="20"/>
              </w:rPr>
              <w:t>are translated into</w:t>
            </w:r>
            <w:r w:rsidRPr="0042006C">
              <w:rPr>
                <w:rFonts w:cs="Arial"/>
                <w:color w:val="000000"/>
                <w:sz w:val="20"/>
                <w:szCs w:val="20"/>
              </w:rPr>
              <w:t xml:space="preserve"> </w:t>
            </w:r>
            <w:r w:rsidRPr="0042006C">
              <w:rPr>
                <w:rStyle w:val="hps"/>
                <w:rFonts w:cs="Arial"/>
                <w:color w:val="000000"/>
                <w:sz w:val="20"/>
                <w:szCs w:val="20"/>
              </w:rPr>
              <w:t>targets and trajectories</w:t>
            </w:r>
            <w:r w:rsidRPr="0042006C">
              <w:rPr>
                <w:rFonts w:cs="Arial"/>
                <w:color w:val="000000"/>
                <w:sz w:val="20"/>
                <w:szCs w:val="20"/>
              </w:rPr>
              <w:t xml:space="preserve">. </w:t>
            </w:r>
            <w:r w:rsidRPr="0042006C">
              <w:rPr>
                <w:rFonts w:cs="Arial"/>
                <w:color w:val="000000"/>
                <w:sz w:val="20"/>
                <w:szCs w:val="20"/>
              </w:rPr>
              <w:br/>
            </w:r>
            <w:r w:rsidRPr="0042006C">
              <w:rPr>
                <w:rStyle w:val="hps"/>
                <w:rFonts w:cs="Arial"/>
                <w:color w:val="000000"/>
                <w:sz w:val="20"/>
                <w:szCs w:val="20"/>
              </w:rPr>
              <w:t>Romania</w:t>
            </w:r>
            <w:r w:rsidRPr="0042006C">
              <w:rPr>
                <w:rFonts w:cs="Arial"/>
                <w:color w:val="000000"/>
                <w:sz w:val="20"/>
                <w:szCs w:val="20"/>
              </w:rPr>
              <w:t xml:space="preserve"> </w:t>
            </w:r>
            <w:r w:rsidRPr="0042006C">
              <w:rPr>
                <w:rStyle w:val="hps"/>
                <w:rFonts w:cs="Arial"/>
                <w:color w:val="000000"/>
                <w:sz w:val="20"/>
                <w:szCs w:val="20"/>
              </w:rPr>
              <w:t>proposes</w:t>
            </w:r>
            <w:r w:rsidRPr="0042006C">
              <w:rPr>
                <w:rFonts w:cs="Arial"/>
                <w:color w:val="000000"/>
                <w:sz w:val="20"/>
                <w:szCs w:val="20"/>
              </w:rPr>
              <w:t xml:space="preserve"> for the Energy </w:t>
            </w:r>
            <w:r w:rsidRPr="0042006C">
              <w:rPr>
                <w:rStyle w:val="hps"/>
                <w:rFonts w:cs="Arial"/>
                <w:color w:val="000000"/>
                <w:sz w:val="20"/>
                <w:szCs w:val="20"/>
              </w:rPr>
              <w:t>Sector</w:t>
            </w:r>
            <w:r w:rsidRPr="0042006C">
              <w:rPr>
                <w:rFonts w:cs="Arial"/>
                <w:color w:val="000000"/>
                <w:sz w:val="20"/>
                <w:szCs w:val="20"/>
              </w:rPr>
              <w:t xml:space="preserve"> </w:t>
            </w:r>
            <w:r w:rsidRPr="0042006C">
              <w:rPr>
                <w:rStyle w:val="hps"/>
                <w:rFonts w:cs="Arial"/>
                <w:color w:val="000000"/>
                <w:sz w:val="20"/>
                <w:szCs w:val="20"/>
              </w:rPr>
              <w:t>and transport</w:t>
            </w:r>
            <w:r w:rsidRPr="0042006C">
              <w:rPr>
                <w:rFonts w:cs="Arial"/>
                <w:color w:val="000000"/>
                <w:sz w:val="20"/>
                <w:szCs w:val="20"/>
              </w:rPr>
              <w:t xml:space="preserve"> the following</w:t>
            </w:r>
            <w:r w:rsidRPr="0042006C">
              <w:rPr>
                <w:rFonts w:eastAsia="Calibri" w:cs="Arial"/>
                <w:color w:val="000000"/>
                <w:sz w:val="20"/>
                <w:szCs w:val="20"/>
              </w:rPr>
              <w:t>:</w:t>
            </w:r>
          </w:p>
          <w:p w:rsidR="008B7CC2" w:rsidRPr="0042006C" w:rsidRDefault="008B7CC2" w:rsidP="005E50B3">
            <w:pPr>
              <w:numPr>
                <w:ilvl w:val="0"/>
                <w:numId w:val="34"/>
              </w:numPr>
              <w:autoSpaceDE w:val="0"/>
              <w:autoSpaceDN w:val="0"/>
              <w:adjustRightInd w:val="0"/>
              <w:rPr>
                <w:rFonts w:eastAsia="Calibri" w:cs="Arial"/>
                <w:color w:val="000000"/>
                <w:sz w:val="20"/>
                <w:szCs w:val="20"/>
              </w:rPr>
            </w:pPr>
            <w:r w:rsidRPr="0042006C">
              <w:rPr>
                <w:rStyle w:val="hps"/>
                <w:rFonts w:cs="Arial"/>
                <w:color w:val="000000"/>
                <w:sz w:val="20"/>
                <w:szCs w:val="20"/>
              </w:rPr>
              <w:t>Based on</w:t>
            </w:r>
            <w:r w:rsidRPr="0042006C">
              <w:rPr>
                <w:rFonts w:cs="Arial"/>
                <w:color w:val="000000"/>
                <w:sz w:val="20"/>
                <w:szCs w:val="20"/>
              </w:rPr>
              <w:t xml:space="preserve"> </w:t>
            </w:r>
            <w:r w:rsidRPr="0042006C">
              <w:rPr>
                <w:rStyle w:val="hps"/>
                <w:rFonts w:cs="Arial"/>
                <w:color w:val="000000"/>
                <w:sz w:val="20"/>
                <w:szCs w:val="20"/>
              </w:rPr>
              <w:t>the current situation</w:t>
            </w:r>
            <w:r w:rsidRPr="0042006C">
              <w:rPr>
                <w:rFonts w:cs="Arial"/>
                <w:color w:val="000000"/>
                <w:sz w:val="20"/>
                <w:szCs w:val="20"/>
              </w:rPr>
              <w:t xml:space="preserve">, namely </w:t>
            </w:r>
            <w:r w:rsidRPr="0042006C">
              <w:rPr>
                <w:rStyle w:val="hps"/>
                <w:rFonts w:cs="Arial"/>
                <w:color w:val="000000"/>
                <w:sz w:val="20"/>
                <w:szCs w:val="20"/>
              </w:rPr>
              <w:t>that</w:t>
            </w:r>
            <w:r w:rsidRPr="0042006C">
              <w:rPr>
                <w:rFonts w:cs="Arial"/>
                <w:color w:val="000000"/>
                <w:sz w:val="20"/>
                <w:szCs w:val="20"/>
              </w:rPr>
              <w:t xml:space="preserve"> </w:t>
            </w:r>
            <w:r w:rsidRPr="0042006C">
              <w:rPr>
                <w:rStyle w:val="hps"/>
                <w:rFonts w:cs="Arial"/>
                <w:color w:val="000000"/>
                <w:sz w:val="20"/>
                <w:szCs w:val="20"/>
              </w:rPr>
              <w:t>Romania has</w:t>
            </w:r>
            <w:r w:rsidRPr="0042006C">
              <w:rPr>
                <w:rFonts w:cs="Arial"/>
                <w:color w:val="000000"/>
                <w:sz w:val="20"/>
                <w:szCs w:val="20"/>
              </w:rPr>
              <w:t xml:space="preserve"> </w:t>
            </w:r>
            <w:r w:rsidRPr="0042006C">
              <w:rPr>
                <w:rStyle w:val="hps"/>
                <w:rFonts w:cs="Arial"/>
                <w:color w:val="000000"/>
                <w:sz w:val="20"/>
                <w:szCs w:val="20"/>
              </w:rPr>
              <w:t>a low degree</w:t>
            </w:r>
            <w:r w:rsidRPr="0042006C">
              <w:rPr>
                <w:rFonts w:cs="Arial"/>
                <w:color w:val="000000"/>
                <w:sz w:val="20"/>
                <w:szCs w:val="20"/>
              </w:rPr>
              <w:t xml:space="preserve"> </w:t>
            </w:r>
            <w:r w:rsidRPr="0042006C">
              <w:rPr>
                <w:rStyle w:val="hps"/>
                <w:rFonts w:cs="Arial"/>
                <w:color w:val="000000"/>
                <w:sz w:val="20"/>
                <w:szCs w:val="20"/>
              </w:rPr>
              <w:t>of competitiveness and</w:t>
            </w:r>
            <w:r w:rsidRPr="0042006C">
              <w:rPr>
                <w:rFonts w:cs="Arial"/>
                <w:color w:val="000000"/>
                <w:sz w:val="20"/>
                <w:szCs w:val="20"/>
              </w:rPr>
              <w:t xml:space="preserve"> </w:t>
            </w:r>
            <w:r w:rsidRPr="0042006C">
              <w:rPr>
                <w:rStyle w:val="hps"/>
                <w:rFonts w:cs="Arial"/>
                <w:color w:val="000000"/>
                <w:sz w:val="20"/>
                <w:szCs w:val="20"/>
              </w:rPr>
              <w:t>energy</w:t>
            </w:r>
            <w:r w:rsidRPr="0042006C">
              <w:rPr>
                <w:rFonts w:cs="Arial"/>
                <w:color w:val="000000"/>
                <w:sz w:val="20"/>
                <w:szCs w:val="20"/>
              </w:rPr>
              <w:t xml:space="preserve"> </w:t>
            </w:r>
            <w:r w:rsidRPr="0042006C">
              <w:rPr>
                <w:rStyle w:val="hps"/>
                <w:rFonts w:cs="Arial"/>
                <w:color w:val="000000"/>
                <w:sz w:val="20"/>
                <w:szCs w:val="20"/>
              </w:rPr>
              <w:t>efficiency</w:t>
            </w:r>
            <w:r w:rsidRPr="0042006C">
              <w:rPr>
                <w:rFonts w:cs="Arial"/>
                <w:color w:val="000000"/>
                <w:sz w:val="20"/>
                <w:szCs w:val="20"/>
              </w:rPr>
              <w:t xml:space="preserve"> </w:t>
            </w:r>
            <w:r w:rsidRPr="0042006C">
              <w:rPr>
                <w:rStyle w:val="hps"/>
                <w:rFonts w:cs="Arial"/>
                <w:color w:val="000000"/>
                <w:sz w:val="20"/>
                <w:szCs w:val="20"/>
              </w:rPr>
              <w:t>in</w:t>
            </w:r>
            <w:r w:rsidRPr="0042006C">
              <w:rPr>
                <w:rFonts w:cs="Arial"/>
                <w:color w:val="000000"/>
                <w:sz w:val="20"/>
                <w:szCs w:val="20"/>
              </w:rPr>
              <w:t xml:space="preserve"> </w:t>
            </w:r>
            <w:r w:rsidRPr="0042006C">
              <w:rPr>
                <w:rStyle w:val="hps"/>
                <w:rFonts w:cs="Arial"/>
                <w:color w:val="000000"/>
                <w:sz w:val="20"/>
                <w:szCs w:val="20"/>
              </w:rPr>
              <w:t>the</w:t>
            </w:r>
            <w:r w:rsidRPr="0042006C">
              <w:rPr>
                <w:rFonts w:cs="Arial"/>
                <w:color w:val="000000"/>
                <w:sz w:val="20"/>
                <w:szCs w:val="20"/>
              </w:rPr>
              <w:t xml:space="preserve"> </w:t>
            </w:r>
            <w:r w:rsidRPr="0042006C">
              <w:rPr>
                <w:rStyle w:val="hps"/>
                <w:rFonts w:cs="Arial"/>
                <w:color w:val="000000"/>
                <w:sz w:val="20"/>
                <w:szCs w:val="20"/>
              </w:rPr>
              <w:t>transport</w:t>
            </w:r>
            <w:r w:rsidRPr="0042006C">
              <w:rPr>
                <w:rFonts w:cs="Arial"/>
                <w:color w:val="000000"/>
                <w:sz w:val="20"/>
                <w:szCs w:val="20"/>
              </w:rPr>
              <w:t xml:space="preserve"> </w:t>
            </w:r>
            <w:r w:rsidRPr="0042006C">
              <w:rPr>
                <w:rStyle w:val="hps"/>
                <w:rFonts w:cs="Arial"/>
                <w:color w:val="000000"/>
                <w:sz w:val="20"/>
                <w:szCs w:val="20"/>
              </w:rPr>
              <w:t>is considered</w:t>
            </w:r>
            <w:r w:rsidRPr="0042006C">
              <w:rPr>
                <w:rFonts w:cs="Arial"/>
                <w:color w:val="000000"/>
                <w:sz w:val="20"/>
                <w:szCs w:val="20"/>
              </w:rPr>
              <w:t xml:space="preserve"> </w:t>
            </w:r>
            <w:r w:rsidRPr="0042006C">
              <w:rPr>
                <w:rStyle w:val="hps"/>
                <w:rFonts w:cs="Arial"/>
                <w:color w:val="000000"/>
                <w:sz w:val="20"/>
                <w:szCs w:val="20"/>
              </w:rPr>
              <w:t>necessary</w:t>
            </w:r>
            <w:r w:rsidRPr="0042006C">
              <w:rPr>
                <w:rFonts w:cs="Arial"/>
                <w:color w:val="000000"/>
                <w:sz w:val="20"/>
                <w:szCs w:val="20"/>
              </w:rPr>
              <w:t xml:space="preserve"> </w:t>
            </w:r>
            <w:r w:rsidRPr="0042006C">
              <w:rPr>
                <w:rStyle w:val="hps"/>
                <w:rFonts w:cs="Arial"/>
                <w:color w:val="000000"/>
                <w:sz w:val="20"/>
                <w:szCs w:val="20"/>
              </w:rPr>
              <w:t>to</w:t>
            </w:r>
            <w:r w:rsidRPr="0042006C">
              <w:rPr>
                <w:rFonts w:cs="Arial"/>
                <w:color w:val="000000"/>
                <w:sz w:val="20"/>
                <w:szCs w:val="20"/>
              </w:rPr>
              <w:t xml:space="preserve"> </w:t>
            </w:r>
            <w:r w:rsidRPr="0042006C">
              <w:rPr>
                <w:rStyle w:val="hps"/>
                <w:rFonts w:cs="Arial"/>
                <w:color w:val="000000"/>
                <w:sz w:val="20"/>
                <w:szCs w:val="20"/>
              </w:rPr>
              <w:t>ensure</w:t>
            </w:r>
            <w:r w:rsidRPr="0042006C">
              <w:rPr>
                <w:rFonts w:cs="Arial"/>
                <w:color w:val="000000"/>
                <w:sz w:val="20"/>
                <w:szCs w:val="20"/>
              </w:rPr>
              <w:t xml:space="preserve"> </w:t>
            </w:r>
            <w:r w:rsidRPr="0042006C">
              <w:rPr>
                <w:rStyle w:val="hps"/>
                <w:rFonts w:cs="Arial"/>
                <w:color w:val="000000"/>
                <w:sz w:val="20"/>
                <w:szCs w:val="20"/>
              </w:rPr>
              <w:t>the liberalization of</w:t>
            </w:r>
            <w:r w:rsidRPr="0042006C">
              <w:rPr>
                <w:rFonts w:cs="Arial"/>
                <w:color w:val="000000"/>
                <w:sz w:val="20"/>
                <w:szCs w:val="20"/>
              </w:rPr>
              <w:t xml:space="preserve"> </w:t>
            </w:r>
            <w:r w:rsidRPr="0042006C">
              <w:rPr>
                <w:rStyle w:val="hps"/>
                <w:rFonts w:cs="Arial"/>
                <w:color w:val="000000"/>
                <w:sz w:val="20"/>
                <w:szCs w:val="20"/>
              </w:rPr>
              <w:t>gas and electricity</w:t>
            </w:r>
            <w:r w:rsidRPr="0042006C">
              <w:rPr>
                <w:rFonts w:cs="Arial"/>
                <w:color w:val="000000"/>
                <w:sz w:val="20"/>
                <w:szCs w:val="20"/>
              </w:rPr>
              <w:t xml:space="preserve"> </w:t>
            </w:r>
            <w:r w:rsidRPr="0042006C">
              <w:rPr>
                <w:rStyle w:val="hps"/>
                <w:rFonts w:cs="Arial"/>
                <w:color w:val="000000"/>
                <w:sz w:val="20"/>
                <w:szCs w:val="20"/>
              </w:rPr>
              <w:t>prices</w:t>
            </w:r>
            <w:r w:rsidRPr="0042006C">
              <w:rPr>
                <w:rFonts w:cs="Arial"/>
                <w:color w:val="000000"/>
                <w:sz w:val="20"/>
                <w:szCs w:val="20"/>
              </w:rPr>
              <w:t xml:space="preserve">, strengthen </w:t>
            </w:r>
            <w:r w:rsidRPr="0042006C">
              <w:rPr>
                <w:rStyle w:val="hps"/>
                <w:rFonts w:cs="Arial"/>
                <w:color w:val="000000"/>
                <w:sz w:val="20"/>
                <w:szCs w:val="20"/>
              </w:rPr>
              <w:t>corporate governance</w:t>
            </w:r>
            <w:r w:rsidRPr="0042006C">
              <w:rPr>
                <w:rFonts w:cs="Arial"/>
                <w:color w:val="000000"/>
                <w:sz w:val="20"/>
                <w:szCs w:val="20"/>
              </w:rPr>
              <w:t xml:space="preserve"> </w:t>
            </w:r>
            <w:r w:rsidRPr="0042006C">
              <w:rPr>
                <w:rStyle w:val="hps"/>
                <w:rFonts w:cs="Arial"/>
                <w:color w:val="000000"/>
                <w:sz w:val="20"/>
                <w:szCs w:val="20"/>
              </w:rPr>
              <w:t>and state</w:t>
            </w:r>
            <w:r w:rsidRPr="0042006C">
              <w:rPr>
                <w:rFonts w:cs="Arial"/>
                <w:color w:val="000000"/>
                <w:sz w:val="20"/>
                <w:szCs w:val="20"/>
              </w:rPr>
              <w:t xml:space="preserve"> </w:t>
            </w:r>
            <w:r w:rsidRPr="0042006C">
              <w:rPr>
                <w:rStyle w:val="hps"/>
                <w:rFonts w:cs="Arial"/>
                <w:color w:val="000000"/>
                <w:sz w:val="20"/>
                <w:szCs w:val="20"/>
              </w:rPr>
              <w:t>regulatory bodies</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to complete</w:t>
            </w:r>
            <w:r w:rsidRPr="0042006C">
              <w:rPr>
                <w:rFonts w:cs="Arial"/>
                <w:color w:val="000000"/>
                <w:sz w:val="20"/>
                <w:szCs w:val="20"/>
              </w:rPr>
              <w:t xml:space="preserve"> </w:t>
            </w:r>
            <w:r w:rsidRPr="0042006C">
              <w:rPr>
                <w:rStyle w:val="hps"/>
                <w:rFonts w:cs="Arial"/>
                <w:color w:val="000000"/>
                <w:sz w:val="20"/>
                <w:szCs w:val="20"/>
              </w:rPr>
              <w:t>cross-border connections</w:t>
            </w:r>
            <w:r w:rsidRPr="0042006C">
              <w:rPr>
                <w:rFonts w:eastAsia="Calibri" w:cs="Arial"/>
                <w:color w:val="000000"/>
                <w:sz w:val="20"/>
                <w:szCs w:val="20"/>
              </w:rPr>
              <w:t xml:space="preserve">. </w:t>
            </w:r>
          </w:p>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In</w:t>
            </w:r>
            <w:r w:rsidRPr="0042006C">
              <w:rPr>
                <w:rFonts w:cs="Arial"/>
                <w:color w:val="000000"/>
                <w:sz w:val="20"/>
                <w:szCs w:val="20"/>
              </w:rPr>
              <w:t xml:space="preserve"> </w:t>
            </w:r>
            <w:r w:rsidRPr="0042006C">
              <w:rPr>
                <w:rStyle w:val="hps"/>
                <w:rFonts w:cs="Arial"/>
                <w:color w:val="000000"/>
                <w:sz w:val="20"/>
                <w:szCs w:val="20"/>
              </w:rPr>
              <w:t>terms of infrastructure</w:t>
            </w:r>
            <w:r w:rsidRPr="0042006C">
              <w:rPr>
                <w:rFonts w:cs="Arial"/>
                <w:color w:val="000000"/>
                <w:sz w:val="20"/>
                <w:szCs w:val="20"/>
              </w:rPr>
              <w:t xml:space="preserve"> </w:t>
            </w:r>
            <w:r w:rsidRPr="0042006C">
              <w:rPr>
                <w:rStyle w:val="hps"/>
                <w:rFonts w:cs="Arial"/>
                <w:color w:val="000000"/>
                <w:sz w:val="20"/>
                <w:szCs w:val="20"/>
              </w:rPr>
              <w:t>for</w:t>
            </w:r>
            <w:r w:rsidRPr="0042006C">
              <w:rPr>
                <w:rFonts w:cs="Arial"/>
                <w:color w:val="000000"/>
                <w:sz w:val="20"/>
                <w:szCs w:val="20"/>
              </w:rPr>
              <w:t xml:space="preserve"> </w:t>
            </w:r>
            <w:r w:rsidRPr="0042006C">
              <w:rPr>
                <w:rStyle w:val="hps"/>
                <w:rFonts w:cs="Arial"/>
                <w:color w:val="000000"/>
                <w:sz w:val="20"/>
                <w:szCs w:val="20"/>
              </w:rPr>
              <w:t>broadband connections</w:t>
            </w:r>
            <w:r w:rsidRPr="0042006C">
              <w:rPr>
                <w:rFonts w:cs="Arial"/>
                <w:color w:val="000000"/>
                <w:sz w:val="20"/>
                <w:szCs w:val="20"/>
              </w:rPr>
              <w:t xml:space="preserve">, now it </w:t>
            </w:r>
            <w:r w:rsidRPr="0042006C">
              <w:rPr>
                <w:rStyle w:val="hps"/>
                <w:rFonts w:cs="Arial"/>
                <w:color w:val="000000"/>
                <w:sz w:val="20"/>
                <w:szCs w:val="20"/>
              </w:rPr>
              <w:t>is</w:t>
            </w:r>
            <w:r w:rsidRPr="0042006C">
              <w:rPr>
                <w:rFonts w:cs="Arial"/>
                <w:color w:val="000000"/>
                <w:sz w:val="20"/>
                <w:szCs w:val="20"/>
              </w:rPr>
              <w:t xml:space="preserve"> </w:t>
            </w:r>
            <w:r w:rsidRPr="0042006C">
              <w:rPr>
                <w:rStyle w:val="hps"/>
                <w:rFonts w:cs="Arial"/>
                <w:color w:val="000000"/>
                <w:sz w:val="20"/>
                <w:szCs w:val="20"/>
              </w:rPr>
              <w:t>the least developed</w:t>
            </w:r>
            <w:r w:rsidRPr="0042006C">
              <w:rPr>
                <w:rFonts w:cs="Arial"/>
                <w:color w:val="000000"/>
                <w:sz w:val="20"/>
                <w:szCs w:val="20"/>
              </w:rPr>
              <w:t xml:space="preserve"> </w:t>
            </w:r>
            <w:r w:rsidRPr="0042006C">
              <w:rPr>
                <w:rStyle w:val="hps"/>
                <w:rFonts w:cs="Arial"/>
                <w:color w:val="000000"/>
                <w:sz w:val="20"/>
                <w:szCs w:val="20"/>
              </w:rPr>
              <w:t>in the EU</w:t>
            </w:r>
            <w:r w:rsidRPr="0042006C">
              <w:rPr>
                <w:rFonts w:cs="Arial"/>
                <w:color w:val="000000"/>
                <w:sz w:val="20"/>
                <w:szCs w:val="20"/>
              </w:rPr>
              <w:t xml:space="preserve">, which should </w:t>
            </w:r>
            <w:r w:rsidRPr="0042006C">
              <w:rPr>
                <w:rStyle w:val="hps"/>
                <w:rFonts w:cs="Arial"/>
                <w:color w:val="000000"/>
                <w:sz w:val="20"/>
                <w:szCs w:val="20"/>
              </w:rPr>
              <w:t>be corrected.</w:t>
            </w:r>
            <w:r w:rsidRPr="0042006C">
              <w:rPr>
                <w:rFonts w:cs="Arial"/>
                <w:color w:val="000000"/>
                <w:sz w:val="20"/>
                <w:szCs w:val="20"/>
              </w:rPr>
              <w:t xml:space="preserve"> </w:t>
            </w:r>
            <w:r w:rsidRPr="0042006C">
              <w:rPr>
                <w:rStyle w:val="hps"/>
                <w:rFonts w:cs="Arial"/>
                <w:color w:val="000000"/>
                <w:sz w:val="20"/>
                <w:szCs w:val="20"/>
              </w:rPr>
              <w:t>In the transport sector</w:t>
            </w:r>
            <w:r w:rsidRPr="0042006C">
              <w:rPr>
                <w:rFonts w:cs="Arial"/>
                <w:color w:val="000000"/>
                <w:sz w:val="20"/>
                <w:szCs w:val="20"/>
              </w:rPr>
              <w:t xml:space="preserve"> </w:t>
            </w:r>
            <w:r w:rsidRPr="0042006C">
              <w:rPr>
                <w:rStyle w:val="hps"/>
                <w:rFonts w:cs="Arial"/>
                <w:color w:val="000000"/>
                <w:sz w:val="20"/>
                <w:szCs w:val="20"/>
              </w:rPr>
              <w:t>is necessary a</w:t>
            </w:r>
            <w:r w:rsidRPr="0042006C">
              <w:rPr>
                <w:rFonts w:cs="Arial"/>
                <w:color w:val="000000"/>
                <w:sz w:val="20"/>
                <w:szCs w:val="20"/>
              </w:rPr>
              <w:t xml:space="preserve"> </w:t>
            </w:r>
            <w:r w:rsidRPr="0042006C">
              <w:rPr>
                <w:rStyle w:val="hps"/>
                <w:rFonts w:cs="Arial"/>
                <w:color w:val="000000"/>
                <w:sz w:val="20"/>
                <w:szCs w:val="20"/>
              </w:rPr>
              <w:t>long-term</w:t>
            </w:r>
            <w:r w:rsidRPr="0042006C">
              <w:rPr>
                <w:rFonts w:cs="Arial"/>
                <w:color w:val="000000"/>
                <w:sz w:val="20"/>
                <w:szCs w:val="20"/>
              </w:rPr>
              <w:t xml:space="preserve"> </w:t>
            </w:r>
            <w:r w:rsidRPr="0042006C">
              <w:rPr>
                <w:rStyle w:val="hps"/>
                <w:rFonts w:cs="Arial"/>
                <w:color w:val="000000"/>
                <w:sz w:val="20"/>
                <w:szCs w:val="20"/>
              </w:rPr>
              <w:t>comprehensive plan</w:t>
            </w:r>
            <w:r w:rsidRPr="0042006C">
              <w:rPr>
                <w:rFonts w:eastAsia="Calibri" w:cs="Arial"/>
                <w:color w:val="000000"/>
                <w:sz w:val="20"/>
                <w:szCs w:val="20"/>
              </w:rPr>
              <w:t xml:space="preserve">. </w:t>
            </w:r>
          </w:p>
        </w:tc>
        <w:tc>
          <w:tcPr>
            <w:tcW w:w="696"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2020</w:t>
            </w:r>
          </w:p>
        </w:tc>
        <w:tc>
          <w:tcPr>
            <w:tcW w:w="112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Style w:val="hps"/>
                <w:rFonts w:cs="Arial"/>
                <w:color w:val="000000"/>
                <w:sz w:val="20"/>
                <w:szCs w:val="20"/>
              </w:rPr>
              <w:t>GTMP</w:t>
            </w:r>
            <w:r w:rsidRPr="0042006C">
              <w:rPr>
                <w:rFonts w:cs="Arial"/>
                <w:color w:val="000000"/>
                <w:sz w:val="20"/>
                <w:szCs w:val="20"/>
              </w:rPr>
              <w:t xml:space="preserve"> </w:t>
            </w:r>
            <w:r w:rsidRPr="0042006C">
              <w:rPr>
                <w:rStyle w:val="hps"/>
                <w:rFonts w:cs="Arial"/>
                <w:color w:val="000000"/>
                <w:sz w:val="20"/>
                <w:szCs w:val="20"/>
              </w:rPr>
              <w:t>includes</w:t>
            </w:r>
            <w:r w:rsidRPr="0042006C">
              <w:rPr>
                <w:rFonts w:cs="Arial"/>
                <w:color w:val="000000"/>
                <w:sz w:val="20"/>
                <w:szCs w:val="20"/>
              </w:rPr>
              <w:t xml:space="preserve"> </w:t>
            </w:r>
            <w:r w:rsidRPr="0042006C">
              <w:rPr>
                <w:rStyle w:val="hps"/>
                <w:rFonts w:cs="Arial"/>
                <w:color w:val="000000"/>
                <w:sz w:val="20"/>
                <w:szCs w:val="20"/>
              </w:rPr>
              <w:t>Romanian</w:t>
            </w:r>
            <w:r w:rsidRPr="0042006C">
              <w:rPr>
                <w:rFonts w:cs="Arial"/>
                <w:color w:val="000000"/>
                <w:sz w:val="20"/>
                <w:szCs w:val="20"/>
              </w:rPr>
              <w:t xml:space="preserve"> </w:t>
            </w:r>
            <w:r w:rsidRPr="0042006C">
              <w:rPr>
                <w:rStyle w:val="hps"/>
                <w:rFonts w:cs="Arial"/>
                <w:color w:val="000000"/>
                <w:sz w:val="20"/>
                <w:szCs w:val="20"/>
              </w:rPr>
              <w:t>strategy</w:t>
            </w:r>
            <w:r w:rsidRPr="0042006C">
              <w:rPr>
                <w:rFonts w:cs="Arial"/>
                <w:color w:val="000000"/>
                <w:sz w:val="20"/>
                <w:szCs w:val="20"/>
              </w:rPr>
              <w:t xml:space="preserve"> </w:t>
            </w:r>
            <w:r w:rsidRPr="0042006C">
              <w:rPr>
                <w:rStyle w:val="hps"/>
                <w:rFonts w:cs="Arial"/>
                <w:color w:val="000000"/>
                <w:sz w:val="20"/>
                <w:szCs w:val="20"/>
              </w:rPr>
              <w:t>for the transport sector</w:t>
            </w:r>
            <w:r w:rsidRPr="0042006C">
              <w:rPr>
                <w:rFonts w:cs="Arial"/>
                <w:color w:val="000000"/>
                <w:sz w:val="20"/>
                <w:szCs w:val="20"/>
              </w:rPr>
              <w:t xml:space="preserve"> </w:t>
            </w:r>
            <w:r w:rsidRPr="0042006C">
              <w:rPr>
                <w:rStyle w:val="hps"/>
                <w:rFonts w:cs="Arial"/>
                <w:color w:val="000000"/>
                <w:sz w:val="20"/>
                <w:szCs w:val="20"/>
              </w:rPr>
              <w:t>in the short</w:t>
            </w:r>
            <w:r w:rsidRPr="0042006C">
              <w:rPr>
                <w:rFonts w:cs="Arial"/>
                <w:color w:val="000000"/>
                <w:sz w:val="20"/>
                <w:szCs w:val="20"/>
              </w:rPr>
              <w:t xml:space="preserve">, medium </w:t>
            </w:r>
            <w:r w:rsidRPr="0042006C">
              <w:rPr>
                <w:rStyle w:val="hps"/>
                <w:rFonts w:cs="Arial"/>
                <w:color w:val="000000"/>
                <w:sz w:val="20"/>
                <w:szCs w:val="20"/>
              </w:rPr>
              <w:t>and long term and</w:t>
            </w:r>
            <w:r w:rsidRPr="0042006C">
              <w:rPr>
                <w:rFonts w:cs="Arial"/>
                <w:color w:val="000000"/>
                <w:sz w:val="20"/>
                <w:szCs w:val="20"/>
              </w:rPr>
              <w:t xml:space="preserve"> </w:t>
            </w:r>
            <w:r w:rsidRPr="0042006C">
              <w:rPr>
                <w:rStyle w:val="hps"/>
                <w:rFonts w:cs="Arial"/>
                <w:color w:val="000000"/>
                <w:sz w:val="20"/>
                <w:szCs w:val="20"/>
              </w:rPr>
              <w:t>include</w:t>
            </w:r>
            <w:r w:rsidRPr="0042006C">
              <w:rPr>
                <w:rFonts w:cs="Arial"/>
                <w:color w:val="000000"/>
                <w:sz w:val="20"/>
                <w:szCs w:val="20"/>
              </w:rPr>
              <w:t xml:space="preserve"> </w:t>
            </w:r>
            <w:r w:rsidRPr="0042006C">
              <w:rPr>
                <w:rStyle w:val="hps"/>
                <w:rFonts w:cs="Arial"/>
                <w:color w:val="000000"/>
                <w:sz w:val="20"/>
                <w:szCs w:val="20"/>
              </w:rPr>
              <w:t>integrated transport</w:t>
            </w:r>
            <w:r w:rsidRPr="0042006C">
              <w:rPr>
                <w:rFonts w:cs="Arial"/>
                <w:color w:val="000000"/>
                <w:sz w:val="20"/>
                <w:szCs w:val="20"/>
              </w:rPr>
              <w:t xml:space="preserve"> </w:t>
            </w:r>
            <w:r w:rsidRPr="0042006C">
              <w:rPr>
                <w:rStyle w:val="hps"/>
                <w:rFonts w:cs="Arial"/>
                <w:color w:val="000000"/>
                <w:sz w:val="20"/>
                <w:szCs w:val="20"/>
              </w:rPr>
              <w:t>development</w:t>
            </w:r>
            <w:r w:rsidRPr="0042006C">
              <w:rPr>
                <w:rFonts w:cs="Arial"/>
                <w:color w:val="000000"/>
                <w:sz w:val="20"/>
                <w:szCs w:val="20"/>
              </w:rPr>
              <w:t xml:space="preserve"> </w:t>
            </w:r>
            <w:r w:rsidRPr="0042006C">
              <w:rPr>
                <w:rStyle w:val="hps"/>
                <w:rFonts w:cs="Arial"/>
                <w:color w:val="000000"/>
                <w:sz w:val="20"/>
                <w:szCs w:val="20"/>
              </w:rPr>
              <w:t>projects</w:t>
            </w:r>
            <w:r w:rsidRPr="0042006C">
              <w:rPr>
                <w:rFonts w:cs="Arial"/>
                <w:color w:val="000000"/>
                <w:sz w:val="20"/>
                <w:szCs w:val="20"/>
              </w:rPr>
              <w:t xml:space="preserve"> </w:t>
            </w:r>
            <w:r w:rsidRPr="0042006C">
              <w:rPr>
                <w:rStyle w:val="hps"/>
                <w:rFonts w:cs="Arial"/>
                <w:color w:val="000000"/>
                <w:sz w:val="20"/>
                <w:szCs w:val="20"/>
              </w:rPr>
              <w:t>that may be proposed</w:t>
            </w:r>
            <w:r w:rsidRPr="0042006C">
              <w:rPr>
                <w:rFonts w:cs="Arial"/>
                <w:color w:val="000000"/>
                <w:sz w:val="20"/>
                <w:szCs w:val="20"/>
              </w:rPr>
              <w:t xml:space="preserve"> </w:t>
            </w:r>
            <w:r w:rsidRPr="0042006C">
              <w:rPr>
                <w:rStyle w:val="hps"/>
                <w:rFonts w:cs="Arial"/>
                <w:color w:val="000000"/>
                <w:sz w:val="20"/>
                <w:szCs w:val="20"/>
              </w:rPr>
              <w:t>for funding</w:t>
            </w:r>
            <w:r w:rsidRPr="0042006C">
              <w:rPr>
                <w:rFonts w:cs="Arial"/>
                <w:color w:val="000000"/>
                <w:sz w:val="20"/>
                <w:szCs w:val="20"/>
              </w:rPr>
              <w:t xml:space="preserve"> </w:t>
            </w:r>
            <w:r w:rsidRPr="0042006C">
              <w:rPr>
                <w:rStyle w:val="hps"/>
                <w:rFonts w:cs="Arial"/>
                <w:color w:val="000000"/>
                <w:sz w:val="20"/>
                <w:szCs w:val="20"/>
              </w:rPr>
              <w:t>in the next</w:t>
            </w:r>
            <w:r w:rsidRPr="0042006C">
              <w:rPr>
                <w:rFonts w:cs="Arial"/>
                <w:color w:val="000000"/>
                <w:sz w:val="20"/>
                <w:szCs w:val="20"/>
              </w:rPr>
              <w:t xml:space="preserve"> </w:t>
            </w:r>
            <w:r w:rsidRPr="0042006C">
              <w:rPr>
                <w:rStyle w:val="hps"/>
                <w:rFonts w:cs="Arial"/>
                <w:color w:val="000000"/>
                <w:sz w:val="20"/>
                <w:szCs w:val="20"/>
              </w:rPr>
              <w:t>phase of</w:t>
            </w:r>
            <w:r w:rsidRPr="0042006C">
              <w:rPr>
                <w:rFonts w:cs="Arial"/>
                <w:color w:val="000000"/>
                <w:sz w:val="20"/>
                <w:szCs w:val="20"/>
              </w:rPr>
              <w:t xml:space="preserve"> </w:t>
            </w:r>
            <w:r w:rsidRPr="0042006C">
              <w:rPr>
                <w:rStyle w:val="hps"/>
                <w:rFonts w:cs="Arial"/>
                <w:color w:val="000000"/>
                <w:sz w:val="20"/>
                <w:szCs w:val="20"/>
              </w:rPr>
              <w:t>funding by</w:t>
            </w:r>
            <w:r w:rsidRPr="0042006C">
              <w:rPr>
                <w:rFonts w:cs="Arial"/>
                <w:color w:val="000000"/>
                <w:sz w:val="20"/>
                <w:szCs w:val="20"/>
              </w:rPr>
              <w:t xml:space="preserve"> </w:t>
            </w:r>
            <w:r w:rsidRPr="0042006C">
              <w:rPr>
                <w:rStyle w:val="hps"/>
                <w:rFonts w:cs="Arial"/>
                <w:color w:val="000000"/>
                <w:sz w:val="20"/>
                <w:szCs w:val="20"/>
              </w:rPr>
              <w:t>2014-2020</w:t>
            </w:r>
          </w:p>
          <w:p w:rsidR="008B7CC2" w:rsidRPr="0042006C" w:rsidRDefault="008B7CC2" w:rsidP="00BF3E32">
            <w:pPr>
              <w:rPr>
                <w:rFonts w:eastAsia="Calibri" w:cs="Arial"/>
                <w:color w:val="000000"/>
                <w:sz w:val="20"/>
                <w:szCs w:val="20"/>
              </w:rPr>
            </w:pPr>
          </w:p>
          <w:p w:rsidR="008B7CC2" w:rsidRPr="0042006C" w:rsidRDefault="008B7CC2" w:rsidP="00BF3E32">
            <w:pPr>
              <w:rPr>
                <w:rFonts w:eastAsia="Calibri" w:cs="Arial"/>
                <w:color w:val="000000"/>
                <w:sz w:val="20"/>
                <w:szCs w:val="20"/>
              </w:rPr>
            </w:pPr>
            <w:r w:rsidRPr="0042006C">
              <w:rPr>
                <w:rStyle w:val="hps"/>
                <w:rFonts w:cs="Arial"/>
                <w:color w:val="000000"/>
                <w:sz w:val="20"/>
                <w:szCs w:val="20"/>
              </w:rPr>
              <w:t>Through its proposals</w:t>
            </w:r>
            <w:r w:rsidRPr="0042006C">
              <w:rPr>
                <w:rFonts w:cs="Arial"/>
                <w:color w:val="000000"/>
                <w:sz w:val="20"/>
                <w:szCs w:val="20"/>
              </w:rPr>
              <w:t xml:space="preserve"> </w:t>
            </w:r>
            <w:r w:rsidRPr="0042006C">
              <w:rPr>
                <w:rStyle w:val="hps"/>
                <w:rFonts w:cs="Arial"/>
                <w:color w:val="000000"/>
                <w:sz w:val="20"/>
                <w:szCs w:val="20"/>
              </w:rPr>
              <w:t>in</w:t>
            </w:r>
            <w:r w:rsidRPr="0042006C">
              <w:rPr>
                <w:rFonts w:cs="Arial"/>
                <w:color w:val="000000"/>
                <w:sz w:val="20"/>
                <w:szCs w:val="20"/>
              </w:rPr>
              <w:t xml:space="preserve"> </w:t>
            </w:r>
            <w:r w:rsidRPr="0042006C">
              <w:rPr>
                <w:rStyle w:val="hps"/>
                <w:rFonts w:cs="Arial"/>
                <w:color w:val="000000"/>
                <w:sz w:val="20"/>
                <w:szCs w:val="20"/>
              </w:rPr>
              <w:t>the transport sector,</w:t>
            </w:r>
            <w:r w:rsidRPr="0042006C">
              <w:rPr>
                <w:rFonts w:cs="Arial"/>
                <w:color w:val="000000"/>
                <w:sz w:val="20"/>
                <w:szCs w:val="20"/>
              </w:rPr>
              <w:t xml:space="preserve"> </w:t>
            </w:r>
            <w:r w:rsidRPr="0042006C">
              <w:rPr>
                <w:rStyle w:val="hps"/>
                <w:rFonts w:cs="Arial"/>
                <w:color w:val="000000"/>
                <w:sz w:val="20"/>
                <w:szCs w:val="20"/>
              </w:rPr>
              <w:t>GTMP</w:t>
            </w:r>
            <w:r w:rsidRPr="0042006C">
              <w:rPr>
                <w:rFonts w:cs="Arial"/>
                <w:color w:val="000000"/>
                <w:sz w:val="20"/>
                <w:szCs w:val="20"/>
              </w:rPr>
              <w:t xml:space="preserve"> </w:t>
            </w:r>
            <w:r w:rsidRPr="0042006C">
              <w:rPr>
                <w:rStyle w:val="hps"/>
                <w:rFonts w:cs="Arial"/>
                <w:color w:val="000000"/>
                <w:sz w:val="20"/>
                <w:szCs w:val="20"/>
              </w:rPr>
              <w:t>will contribute to</w:t>
            </w:r>
            <w:r w:rsidRPr="0042006C">
              <w:rPr>
                <w:rFonts w:cs="Arial"/>
                <w:color w:val="000000"/>
                <w:sz w:val="20"/>
                <w:szCs w:val="20"/>
              </w:rPr>
              <w:t xml:space="preserve"> </w:t>
            </w:r>
            <w:r w:rsidRPr="0042006C">
              <w:rPr>
                <w:rStyle w:val="hps"/>
                <w:rFonts w:cs="Arial"/>
                <w:color w:val="000000"/>
                <w:sz w:val="20"/>
                <w:szCs w:val="20"/>
              </w:rPr>
              <w:t>effective and sustainable</w:t>
            </w:r>
            <w:r w:rsidRPr="0042006C">
              <w:rPr>
                <w:rFonts w:cs="Arial"/>
                <w:color w:val="000000"/>
                <w:sz w:val="20"/>
                <w:szCs w:val="20"/>
              </w:rPr>
              <w:t xml:space="preserve"> </w:t>
            </w:r>
            <w:r w:rsidRPr="0042006C">
              <w:rPr>
                <w:rStyle w:val="hps"/>
                <w:rFonts w:cs="Arial"/>
                <w:color w:val="000000"/>
                <w:sz w:val="20"/>
                <w:szCs w:val="20"/>
              </w:rPr>
              <w:t>economic development</w:t>
            </w:r>
            <w:r w:rsidRPr="0042006C">
              <w:rPr>
                <w:rFonts w:cs="Arial"/>
                <w:color w:val="000000"/>
                <w:sz w:val="20"/>
                <w:szCs w:val="20"/>
              </w:rPr>
              <w:t xml:space="preserve"> </w:t>
            </w:r>
            <w:r w:rsidRPr="0042006C">
              <w:rPr>
                <w:rStyle w:val="hps"/>
                <w:rFonts w:cs="Arial"/>
                <w:color w:val="000000"/>
                <w:sz w:val="20"/>
                <w:szCs w:val="20"/>
              </w:rPr>
              <w:t>of Romania</w:t>
            </w:r>
            <w:r w:rsidRPr="0042006C">
              <w:rPr>
                <w:rFonts w:cs="Arial"/>
                <w:color w:val="000000"/>
                <w:sz w:val="20"/>
                <w:szCs w:val="20"/>
              </w:rPr>
              <w:t xml:space="preserve">, </w:t>
            </w:r>
            <w:r w:rsidRPr="0042006C">
              <w:rPr>
                <w:rStyle w:val="hps"/>
                <w:rFonts w:cs="Arial"/>
                <w:color w:val="000000"/>
                <w:sz w:val="20"/>
                <w:szCs w:val="20"/>
              </w:rPr>
              <w:t>the creation of</w:t>
            </w:r>
            <w:r w:rsidRPr="0042006C">
              <w:rPr>
                <w:rFonts w:cs="Arial"/>
                <w:color w:val="000000"/>
                <w:sz w:val="20"/>
                <w:szCs w:val="20"/>
              </w:rPr>
              <w:t xml:space="preserve"> </w:t>
            </w:r>
            <w:r w:rsidRPr="0042006C">
              <w:rPr>
                <w:rStyle w:val="hps"/>
                <w:rFonts w:cs="Arial"/>
                <w:color w:val="000000"/>
                <w:sz w:val="20"/>
                <w:szCs w:val="20"/>
              </w:rPr>
              <w:t>environmentally friendly</w:t>
            </w:r>
            <w:r w:rsidRPr="0042006C">
              <w:rPr>
                <w:rFonts w:cs="Arial"/>
                <w:color w:val="000000"/>
                <w:sz w:val="20"/>
                <w:szCs w:val="20"/>
              </w:rPr>
              <w:t xml:space="preserve"> </w:t>
            </w:r>
            <w:r w:rsidRPr="0042006C">
              <w:rPr>
                <w:rStyle w:val="hps"/>
                <w:rFonts w:cs="Arial"/>
                <w:color w:val="000000"/>
                <w:sz w:val="20"/>
                <w:szCs w:val="20"/>
              </w:rPr>
              <w:t>transport</w:t>
            </w:r>
            <w:r w:rsidRPr="0042006C">
              <w:rPr>
                <w:rFonts w:cs="Arial"/>
                <w:color w:val="000000"/>
                <w:sz w:val="20"/>
                <w:szCs w:val="20"/>
              </w:rPr>
              <w:t xml:space="preserve"> </w:t>
            </w:r>
            <w:r w:rsidRPr="0042006C">
              <w:rPr>
                <w:rStyle w:val="hps"/>
                <w:rFonts w:cs="Arial"/>
                <w:color w:val="000000"/>
                <w:sz w:val="20"/>
                <w:szCs w:val="20"/>
              </w:rPr>
              <w:t>systems</w:t>
            </w:r>
            <w:r w:rsidRPr="0042006C">
              <w:rPr>
                <w:rFonts w:cs="Arial"/>
                <w:color w:val="000000"/>
                <w:sz w:val="20"/>
                <w:szCs w:val="20"/>
              </w:rPr>
              <w:t xml:space="preserve"> </w:t>
            </w:r>
            <w:r w:rsidRPr="0042006C">
              <w:rPr>
                <w:rStyle w:val="hps"/>
                <w:rFonts w:cs="Arial"/>
                <w:color w:val="000000"/>
                <w:sz w:val="20"/>
                <w:szCs w:val="20"/>
              </w:rPr>
              <w:t>and low</w:t>
            </w:r>
            <w:r w:rsidRPr="0042006C">
              <w:rPr>
                <w:rFonts w:cs="Arial"/>
                <w:color w:val="000000"/>
                <w:sz w:val="20"/>
                <w:szCs w:val="20"/>
              </w:rPr>
              <w:t xml:space="preserve"> </w:t>
            </w:r>
            <w:r w:rsidRPr="0042006C">
              <w:rPr>
                <w:rStyle w:val="hps"/>
                <w:rFonts w:cs="Arial"/>
                <w:color w:val="000000"/>
                <w:sz w:val="20"/>
                <w:szCs w:val="20"/>
              </w:rPr>
              <w:t>greenhouse gas</w:t>
            </w:r>
            <w:r w:rsidRPr="0042006C">
              <w:rPr>
                <w:rFonts w:cs="Arial"/>
                <w:color w:val="000000"/>
                <w:sz w:val="20"/>
                <w:szCs w:val="20"/>
              </w:rPr>
              <w:t xml:space="preserve"> </w:t>
            </w:r>
            <w:r w:rsidRPr="0042006C">
              <w:rPr>
                <w:rStyle w:val="hps"/>
                <w:rFonts w:cs="Arial"/>
                <w:color w:val="000000"/>
                <w:sz w:val="20"/>
                <w:szCs w:val="20"/>
              </w:rPr>
              <w:t>emissions,</w:t>
            </w:r>
            <w:r w:rsidRPr="0042006C">
              <w:rPr>
                <w:rFonts w:cs="Arial"/>
                <w:color w:val="000000"/>
                <w:sz w:val="20"/>
                <w:szCs w:val="20"/>
              </w:rPr>
              <w:t xml:space="preserve"> </w:t>
            </w:r>
            <w:r w:rsidRPr="0042006C">
              <w:rPr>
                <w:rStyle w:val="hps"/>
                <w:rFonts w:cs="Arial"/>
                <w:color w:val="000000"/>
                <w:sz w:val="20"/>
                <w:szCs w:val="20"/>
              </w:rPr>
              <w:t>ensuring</w:t>
            </w:r>
            <w:r w:rsidRPr="0042006C">
              <w:rPr>
                <w:rFonts w:cs="Arial"/>
                <w:color w:val="000000"/>
                <w:sz w:val="20"/>
                <w:szCs w:val="20"/>
              </w:rPr>
              <w:t xml:space="preserve"> </w:t>
            </w:r>
            <w:r w:rsidRPr="0042006C">
              <w:rPr>
                <w:rStyle w:val="hps"/>
                <w:rFonts w:cs="Arial"/>
                <w:color w:val="000000"/>
                <w:sz w:val="20"/>
                <w:szCs w:val="20"/>
              </w:rPr>
              <w:t>mobility and</w:t>
            </w:r>
            <w:r w:rsidRPr="0042006C">
              <w:rPr>
                <w:rFonts w:cs="Arial"/>
                <w:color w:val="000000"/>
                <w:sz w:val="20"/>
                <w:szCs w:val="20"/>
              </w:rPr>
              <w:t xml:space="preserve"> </w:t>
            </w:r>
            <w:r w:rsidRPr="0042006C">
              <w:rPr>
                <w:rStyle w:val="hps"/>
                <w:rFonts w:cs="Arial"/>
                <w:color w:val="000000"/>
                <w:sz w:val="20"/>
                <w:szCs w:val="20"/>
              </w:rPr>
              <w:t>improve</w:t>
            </w:r>
            <w:r w:rsidRPr="0042006C">
              <w:rPr>
                <w:rFonts w:cs="Arial"/>
                <w:color w:val="000000"/>
                <w:sz w:val="20"/>
                <w:szCs w:val="20"/>
              </w:rPr>
              <w:t xml:space="preserve"> </w:t>
            </w:r>
            <w:r w:rsidRPr="0042006C">
              <w:rPr>
                <w:rStyle w:val="hps"/>
                <w:rFonts w:cs="Arial"/>
                <w:color w:val="000000"/>
                <w:sz w:val="20"/>
                <w:szCs w:val="20"/>
              </w:rPr>
              <w:t>connections between</w:t>
            </w:r>
            <w:r w:rsidRPr="0042006C">
              <w:rPr>
                <w:rFonts w:cs="Arial"/>
                <w:color w:val="000000"/>
                <w:sz w:val="20"/>
                <w:szCs w:val="20"/>
              </w:rPr>
              <w:t xml:space="preserve"> </w:t>
            </w:r>
            <w:r w:rsidRPr="0042006C">
              <w:rPr>
                <w:rStyle w:val="hps"/>
                <w:rFonts w:cs="Arial"/>
                <w:color w:val="000000"/>
                <w:sz w:val="20"/>
                <w:szCs w:val="20"/>
              </w:rPr>
              <w:t>different modes of transport.</w:t>
            </w:r>
          </w:p>
        </w:tc>
      </w:tr>
      <w:tr w:rsidR="008B7CC2" w:rsidRPr="0042006C" w:rsidTr="00BF3E32">
        <w:trPr>
          <w:jc w:val="center"/>
        </w:trPr>
        <w:tc>
          <w:tcPr>
            <w:tcW w:w="87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EU Strategy for the Danube region </w:t>
            </w:r>
          </w:p>
        </w:tc>
        <w:tc>
          <w:tcPr>
            <w:tcW w:w="2313"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This strategy has been elaborated by the European Commission (EC), through the General Directorate for Regional Policies (REGIO). The strategy focuses on these: Danube region interconnectivity (improving transport infrastructure, encouraging sustainable energies, culture and tourism promotion), environment protection (achieving the environment objectives included in the Danube management plan, nutrient pollution reduction, implementation of protection plans against floods, protection against floods risks, reduction of the areas affected by erosion and biodiversity protection), consolidation of the Danube region (institutional cooperation, security), increasing prosperity in the Danube region (socio-economic development, research, employment development, improving education).</w:t>
            </w:r>
          </w:p>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The objectives of</w:t>
            </w:r>
            <w:r w:rsidRPr="0042006C">
              <w:rPr>
                <w:rFonts w:cs="Arial"/>
                <w:color w:val="000000"/>
                <w:sz w:val="20"/>
                <w:szCs w:val="20"/>
              </w:rPr>
              <w:t xml:space="preserve"> </w:t>
            </w:r>
            <w:r w:rsidRPr="0042006C">
              <w:rPr>
                <w:rStyle w:val="hps"/>
                <w:rFonts w:cs="Arial"/>
                <w:color w:val="000000"/>
                <w:sz w:val="20"/>
                <w:szCs w:val="20"/>
              </w:rPr>
              <w:t>this strategy</w:t>
            </w:r>
            <w:r w:rsidRPr="0042006C">
              <w:rPr>
                <w:rFonts w:cs="Arial"/>
                <w:color w:val="000000"/>
                <w:sz w:val="20"/>
                <w:szCs w:val="20"/>
              </w:rPr>
              <w:t xml:space="preserve"> </w:t>
            </w:r>
            <w:r w:rsidRPr="0042006C">
              <w:rPr>
                <w:rStyle w:val="hps"/>
                <w:rFonts w:cs="Arial"/>
                <w:color w:val="000000"/>
                <w:sz w:val="20"/>
                <w:szCs w:val="20"/>
              </w:rPr>
              <w:t>in terms of</w:t>
            </w:r>
            <w:r w:rsidRPr="0042006C">
              <w:rPr>
                <w:rFonts w:cs="Arial"/>
                <w:color w:val="000000"/>
                <w:sz w:val="20"/>
                <w:szCs w:val="20"/>
              </w:rPr>
              <w:t xml:space="preserve"> </w:t>
            </w:r>
            <w:r w:rsidRPr="0042006C">
              <w:rPr>
                <w:rStyle w:val="hps"/>
                <w:rFonts w:cs="Arial"/>
                <w:color w:val="000000"/>
                <w:sz w:val="20"/>
                <w:szCs w:val="20"/>
              </w:rPr>
              <w:t>the transport sector are the following</w:t>
            </w:r>
            <w:r w:rsidRPr="0042006C">
              <w:rPr>
                <w:rFonts w:eastAsia="Calibri" w:cs="Arial"/>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20% increase</w:t>
            </w:r>
            <w:r w:rsidRPr="0042006C">
              <w:rPr>
                <w:rFonts w:cs="Arial"/>
                <w:color w:val="000000"/>
                <w:sz w:val="20"/>
                <w:szCs w:val="20"/>
              </w:rPr>
              <w:t xml:space="preserve"> </w:t>
            </w:r>
            <w:r w:rsidRPr="0042006C">
              <w:rPr>
                <w:rStyle w:val="hps"/>
                <w:rFonts w:cs="Arial"/>
                <w:color w:val="000000"/>
                <w:sz w:val="20"/>
                <w:szCs w:val="20"/>
              </w:rPr>
              <w:t>compared to 2010</w:t>
            </w:r>
            <w:r w:rsidRPr="0042006C">
              <w:rPr>
                <w:rFonts w:cs="Arial"/>
                <w:color w:val="000000"/>
                <w:sz w:val="20"/>
                <w:szCs w:val="20"/>
              </w:rPr>
              <w:t xml:space="preserve"> of the </w:t>
            </w:r>
            <w:r w:rsidRPr="0042006C">
              <w:rPr>
                <w:rStyle w:val="hps"/>
                <w:rFonts w:cs="Arial"/>
                <w:color w:val="000000"/>
                <w:sz w:val="20"/>
                <w:szCs w:val="20"/>
              </w:rPr>
              <w:t>freight transport</w:t>
            </w:r>
            <w:r w:rsidRPr="0042006C">
              <w:rPr>
                <w:rFonts w:cs="Arial"/>
                <w:color w:val="000000"/>
                <w:sz w:val="20"/>
                <w:szCs w:val="20"/>
              </w:rPr>
              <w:t xml:space="preserve"> </w:t>
            </w:r>
            <w:r w:rsidRPr="0042006C">
              <w:rPr>
                <w:rStyle w:val="hps"/>
                <w:rFonts w:cs="Arial"/>
                <w:color w:val="000000"/>
                <w:sz w:val="20"/>
                <w:szCs w:val="20"/>
              </w:rPr>
              <w:t>on the river</w:t>
            </w:r>
            <w:r w:rsidRPr="0042006C">
              <w:rPr>
                <w:rFonts w:cs="Arial"/>
                <w:color w:val="000000"/>
                <w:sz w:val="20"/>
                <w:szCs w:val="20"/>
              </w:rPr>
              <w:t xml:space="preserve">, </w:t>
            </w:r>
            <w:r w:rsidRPr="0042006C">
              <w:rPr>
                <w:rStyle w:val="hps"/>
                <w:rFonts w:cs="Arial"/>
                <w:color w:val="000000"/>
                <w:sz w:val="20"/>
                <w:szCs w:val="20"/>
              </w:rPr>
              <w:t>2020</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removing</w:t>
            </w:r>
            <w:r w:rsidRPr="0042006C">
              <w:rPr>
                <w:rFonts w:cs="Arial"/>
                <w:color w:val="000000"/>
                <w:sz w:val="20"/>
                <w:szCs w:val="20"/>
              </w:rPr>
              <w:t xml:space="preserve"> </w:t>
            </w:r>
            <w:r w:rsidRPr="0042006C">
              <w:rPr>
                <w:rStyle w:val="hps"/>
                <w:rFonts w:cs="Arial"/>
                <w:color w:val="000000"/>
                <w:sz w:val="20"/>
                <w:szCs w:val="20"/>
              </w:rPr>
              <w:t>bottlenecks to</w:t>
            </w:r>
            <w:r w:rsidRPr="0042006C">
              <w:rPr>
                <w:rFonts w:cs="Arial"/>
                <w:color w:val="000000"/>
                <w:sz w:val="20"/>
                <w:szCs w:val="20"/>
              </w:rPr>
              <w:t xml:space="preserve"> </w:t>
            </w:r>
            <w:r w:rsidRPr="0042006C">
              <w:rPr>
                <w:rStyle w:val="hps"/>
                <w:rFonts w:cs="Arial"/>
                <w:color w:val="000000"/>
                <w:sz w:val="20"/>
                <w:szCs w:val="20"/>
              </w:rPr>
              <w:t>navigation on the river</w:t>
            </w:r>
            <w:r w:rsidRPr="0042006C">
              <w:rPr>
                <w:rFonts w:cs="Arial"/>
                <w:color w:val="000000"/>
                <w:sz w:val="20"/>
                <w:szCs w:val="20"/>
              </w:rPr>
              <w:t xml:space="preserve">, </w:t>
            </w:r>
            <w:r w:rsidRPr="0042006C">
              <w:rPr>
                <w:rStyle w:val="hps"/>
                <w:rFonts w:cs="Arial"/>
                <w:color w:val="000000"/>
                <w:sz w:val="20"/>
                <w:szCs w:val="20"/>
              </w:rPr>
              <w:t>until</w:t>
            </w:r>
            <w:r w:rsidRPr="0042006C">
              <w:rPr>
                <w:rFonts w:cs="Arial"/>
                <w:color w:val="000000"/>
                <w:sz w:val="20"/>
                <w:szCs w:val="20"/>
              </w:rPr>
              <w:t xml:space="preserve"> </w:t>
            </w:r>
            <w:r w:rsidRPr="0042006C">
              <w:rPr>
                <w:rStyle w:val="hps"/>
                <w:rFonts w:cs="Arial"/>
                <w:color w:val="000000"/>
                <w:sz w:val="20"/>
                <w:szCs w:val="20"/>
              </w:rPr>
              <w:t>2052</w:t>
            </w:r>
            <w:r w:rsidRPr="0042006C">
              <w:rPr>
                <w:rFonts w:cs="Arial"/>
                <w:color w:val="000000"/>
                <w:sz w:val="20"/>
                <w:szCs w:val="20"/>
              </w:rPr>
              <w:t xml:space="preserve">, </w:t>
            </w:r>
            <w:r w:rsidRPr="0042006C">
              <w:rPr>
                <w:rStyle w:val="hps"/>
                <w:rFonts w:cs="Arial"/>
                <w:color w:val="000000"/>
                <w:sz w:val="20"/>
                <w:szCs w:val="20"/>
              </w:rPr>
              <w:t>to use the</w:t>
            </w:r>
            <w:r w:rsidRPr="0042006C">
              <w:rPr>
                <w:rFonts w:cs="Arial"/>
                <w:color w:val="000000"/>
                <w:sz w:val="20"/>
                <w:szCs w:val="20"/>
              </w:rPr>
              <w:t xml:space="preserve"> </w:t>
            </w:r>
            <w:r w:rsidRPr="0042006C">
              <w:rPr>
                <w:rStyle w:val="hps"/>
                <w:rFonts w:cs="Arial"/>
                <w:color w:val="000000"/>
                <w:sz w:val="20"/>
                <w:szCs w:val="20"/>
              </w:rPr>
              <w:t>VIb type</w:t>
            </w:r>
            <w:r w:rsidRPr="0042006C">
              <w:rPr>
                <w:rFonts w:cs="Arial"/>
                <w:color w:val="000000"/>
                <w:sz w:val="20"/>
                <w:szCs w:val="20"/>
              </w:rPr>
              <w:t xml:space="preserve"> </w:t>
            </w:r>
            <w:r w:rsidRPr="0042006C">
              <w:rPr>
                <w:rStyle w:val="hps"/>
                <w:rFonts w:cs="Arial"/>
                <w:color w:val="000000"/>
                <w:sz w:val="20"/>
                <w:szCs w:val="20"/>
              </w:rPr>
              <w:t>vessels</w:t>
            </w:r>
            <w:r w:rsidRPr="0042006C">
              <w:rPr>
                <w:rFonts w:cs="Arial"/>
                <w:color w:val="000000"/>
                <w:sz w:val="20"/>
                <w:szCs w:val="20"/>
              </w:rPr>
              <w:t xml:space="preserve"> </w:t>
            </w:r>
            <w:r w:rsidRPr="0042006C">
              <w:rPr>
                <w:rStyle w:val="hps"/>
                <w:rFonts w:cs="Arial"/>
                <w:color w:val="000000"/>
                <w:sz w:val="20"/>
                <w:szCs w:val="20"/>
              </w:rPr>
              <w:t>throughout the year</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improved</w:t>
            </w:r>
            <w:r w:rsidRPr="0042006C">
              <w:rPr>
                <w:rFonts w:cs="Arial"/>
                <w:color w:val="000000"/>
                <w:sz w:val="20"/>
                <w:szCs w:val="20"/>
              </w:rPr>
              <w:t xml:space="preserve"> </w:t>
            </w:r>
            <w:r w:rsidRPr="0042006C">
              <w:rPr>
                <w:rStyle w:val="hps"/>
                <w:rFonts w:cs="Arial"/>
                <w:color w:val="000000"/>
                <w:sz w:val="20"/>
                <w:szCs w:val="20"/>
              </w:rPr>
              <w:t>travel</w:t>
            </w:r>
            <w:r w:rsidRPr="0042006C">
              <w:rPr>
                <w:rFonts w:cs="Arial"/>
                <w:color w:val="000000"/>
                <w:sz w:val="20"/>
                <w:szCs w:val="20"/>
              </w:rPr>
              <w:t xml:space="preserve"> </w:t>
            </w:r>
            <w:r w:rsidRPr="0042006C">
              <w:rPr>
                <w:rStyle w:val="hps"/>
                <w:rFonts w:cs="Arial"/>
                <w:color w:val="000000"/>
                <w:sz w:val="20"/>
                <w:szCs w:val="20"/>
              </w:rPr>
              <w:t>times for</w:t>
            </w:r>
            <w:r w:rsidRPr="0042006C">
              <w:rPr>
                <w:rFonts w:cs="Arial"/>
                <w:color w:val="000000"/>
                <w:sz w:val="20"/>
                <w:szCs w:val="20"/>
              </w:rPr>
              <w:t xml:space="preserve"> </w:t>
            </w:r>
            <w:r w:rsidRPr="0042006C">
              <w:rPr>
                <w:rStyle w:val="hps"/>
                <w:rFonts w:cs="Arial"/>
                <w:color w:val="000000"/>
                <w:sz w:val="20"/>
                <w:szCs w:val="20"/>
              </w:rPr>
              <w:t>competitive rail</w:t>
            </w:r>
            <w:r w:rsidRPr="0042006C">
              <w:rPr>
                <w:rFonts w:cs="Arial"/>
                <w:color w:val="000000"/>
                <w:sz w:val="20"/>
                <w:szCs w:val="20"/>
              </w:rPr>
              <w:t xml:space="preserve"> </w:t>
            </w:r>
            <w:r w:rsidRPr="0042006C">
              <w:rPr>
                <w:rStyle w:val="hps"/>
                <w:rFonts w:cs="Arial"/>
                <w:color w:val="000000"/>
                <w:sz w:val="20"/>
                <w:szCs w:val="20"/>
              </w:rPr>
              <w:t>connections</w:t>
            </w:r>
            <w:r w:rsidRPr="0042006C">
              <w:rPr>
                <w:rFonts w:cs="Arial"/>
                <w:color w:val="000000"/>
                <w:sz w:val="20"/>
                <w:szCs w:val="20"/>
              </w:rPr>
              <w:t xml:space="preserve"> </w:t>
            </w:r>
            <w:r w:rsidRPr="0042006C">
              <w:rPr>
                <w:rStyle w:val="hps"/>
                <w:rFonts w:cs="Arial"/>
                <w:color w:val="000000"/>
                <w:sz w:val="20"/>
                <w:szCs w:val="20"/>
              </w:rPr>
              <w:t>between</w:t>
            </w:r>
            <w:r w:rsidRPr="0042006C">
              <w:rPr>
                <w:rFonts w:cs="Arial"/>
                <w:color w:val="000000"/>
                <w:sz w:val="20"/>
                <w:szCs w:val="20"/>
              </w:rPr>
              <w:t xml:space="preserve"> </w:t>
            </w:r>
            <w:r w:rsidRPr="0042006C">
              <w:rPr>
                <w:rStyle w:val="hps"/>
                <w:rFonts w:cs="Arial"/>
                <w:color w:val="000000"/>
                <w:sz w:val="20"/>
                <w:szCs w:val="20"/>
              </w:rPr>
              <w:t>major cities</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implementing the 4</w:t>
            </w:r>
            <w:r w:rsidRPr="0042006C">
              <w:rPr>
                <w:rFonts w:cs="Arial"/>
                <w:color w:val="000000"/>
                <w:sz w:val="20"/>
                <w:szCs w:val="20"/>
              </w:rPr>
              <w:t xml:space="preserve"> </w:t>
            </w:r>
            <w:r w:rsidRPr="0042006C">
              <w:rPr>
                <w:rStyle w:val="hps"/>
                <w:rFonts w:cs="Arial"/>
                <w:color w:val="000000"/>
                <w:sz w:val="20"/>
                <w:szCs w:val="20"/>
              </w:rPr>
              <w:t>rail freight</w:t>
            </w:r>
            <w:r w:rsidRPr="0042006C">
              <w:rPr>
                <w:rFonts w:cs="Arial"/>
                <w:color w:val="000000"/>
                <w:sz w:val="20"/>
                <w:szCs w:val="20"/>
              </w:rPr>
              <w:t xml:space="preserve"> </w:t>
            </w:r>
            <w:r w:rsidRPr="0042006C">
              <w:rPr>
                <w:rStyle w:val="hps"/>
                <w:rFonts w:cs="Arial"/>
                <w:color w:val="000000"/>
                <w:sz w:val="20"/>
                <w:szCs w:val="20"/>
              </w:rPr>
              <w:t>corridors</w:t>
            </w:r>
            <w:r w:rsidRPr="0042006C">
              <w:rPr>
                <w:rFonts w:cs="Arial"/>
                <w:color w:val="000000"/>
                <w:sz w:val="20"/>
                <w:szCs w:val="20"/>
              </w:rPr>
              <w:t xml:space="preserve"> </w:t>
            </w:r>
            <w:r w:rsidRPr="0042006C">
              <w:rPr>
                <w:rStyle w:val="hps"/>
                <w:rFonts w:cs="Arial"/>
                <w:color w:val="000000"/>
                <w:sz w:val="20"/>
                <w:szCs w:val="20"/>
              </w:rPr>
              <w:t>crossing the</w:t>
            </w:r>
            <w:r w:rsidRPr="0042006C">
              <w:rPr>
                <w:rFonts w:cs="Arial"/>
                <w:color w:val="000000"/>
                <w:sz w:val="20"/>
                <w:szCs w:val="20"/>
              </w:rPr>
              <w:t xml:space="preserve"> </w:t>
            </w:r>
            <w:r w:rsidRPr="0042006C">
              <w:rPr>
                <w:rStyle w:val="hps"/>
                <w:rFonts w:cs="Arial"/>
                <w:color w:val="000000"/>
                <w:sz w:val="20"/>
                <w:szCs w:val="20"/>
              </w:rPr>
              <w:t>Danube</w:t>
            </w:r>
            <w:r w:rsidRPr="0042006C">
              <w:rPr>
                <w:rFonts w:cs="Arial"/>
                <w:color w:val="000000"/>
                <w:sz w:val="20"/>
                <w:szCs w:val="20"/>
              </w:rPr>
              <w:t xml:space="preserve">, as </w:t>
            </w:r>
            <w:r w:rsidRPr="0042006C">
              <w:rPr>
                <w:rStyle w:val="hps"/>
                <w:rFonts w:cs="Arial"/>
                <w:color w:val="000000"/>
                <w:sz w:val="20"/>
                <w:szCs w:val="20"/>
              </w:rPr>
              <w:t>planned,</w:t>
            </w:r>
            <w:r w:rsidRPr="0042006C">
              <w:rPr>
                <w:rFonts w:cs="Arial"/>
                <w:color w:val="000000"/>
                <w:sz w:val="20"/>
                <w:szCs w:val="20"/>
              </w:rPr>
              <w:t xml:space="preserve"> </w:t>
            </w:r>
            <w:r w:rsidRPr="0042006C">
              <w:rPr>
                <w:rStyle w:val="hps"/>
                <w:rFonts w:cs="Arial"/>
                <w:color w:val="000000"/>
                <w:sz w:val="20"/>
                <w:szCs w:val="20"/>
              </w:rPr>
              <w:t>within 3</w:t>
            </w:r>
            <w:r w:rsidRPr="0042006C">
              <w:rPr>
                <w:rFonts w:cs="Arial"/>
                <w:color w:val="000000"/>
                <w:sz w:val="20"/>
                <w:szCs w:val="20"/>
              </w:rPr>
              <w:t xml:space="preserve"> </w:t>
            </w:r>
            <w:r w:rsidRPr="0042006C">
              <w:rPr>
                <w:rStyle w:val="hps"/>
                <w:rFonts w:cs="Arial"/>
                <w:color w:val="000000"/>
                <w:sz w:val="20"/>
                <w:szCs w:val="20"/>
              </w:rPr>
              <w:t>or 5 years</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color w:val="000000"/>
                <w:sz w:val="20"/>
                <w:szCs w:val="20"/>
              </w:rPr>
            </w:pPr>
            <w:r w:rsidRPr="0042006C">
              <w:rPr>
                <w:rStyle w:val="hps"/>
                <w:rFonts w:cs="Arial"/>
                <w:color w:val="000000"/>
                <w:sz w:val="20"/>
                <w:szCs w:val="20"/>
              </w:rPr>
              <w:t>Development</w:t>
            </w:r>
            <w:r w:rsidRPr="0042006C">
              <w:rPr>
                <w:rFonts w:cs="Arial"/>
                <w:color w:val="000000"/>
                <w:sz w:val="20"/>
                <w:szCs w:val="20"/>
              </w:rPr>
              <w:t xml:space="preserve">, </w:t>
            </w:r>
            <w:r w:rsidRPr="0042006C">
              <w:rPr>
                <w:rStyle w:val="hps"/>
                <w:rFonts w:cs="Arial"/>
                <w:color w:val="000000"/>
                <w:sz w:val="20"/>
                <w:szCs w:val="20"/>
              </w:rPr>
              <w:t>by 2020</w:t>
            </w:r>
            <w:r w:rsidRPr="0042006C">
              <w:rPr>
                <w:rFonts w:cs="Arial"/>
                <w:color w:val="000000"/>
                <w:sz w:val="20"/>
                <w:szCs w:val="20"/>
              </w:rPr>
              <w:t xml:space="preserve">, of </w:t>
            </w:r>
            <w:r w:rsidRPr="0042006C">
              <w:rPr>
                <w:rStyle w:val="hps"/>
                <w:rFonts w:cs="Arial"/>
                <w:color w:val="000000"/>
                <w:sz w:val="20"/>
                <w:szCs w:val="20"/>
              </w:rPr>
              <w:t>efficient multimodal terminals</w:t>
            </w:r>
            <w:r w:rsidRPr="0042006C">
              <w:rPr>
                <w:rFonts w:cs="Arial"/>
                <w:color w:val="000000"/>
                <w:sz w:val="20"/>
                <w:szCs w:val="20"/>
              </w:rPr>
              <w:t xml:space="preserve"> </w:t>
            </w:r>
            <w:r w:rsidRPr="0042006C">
              <w:rPr>
                <w:rStyle w:val="hps"/>
                <w:rFonts w:cs="Arial"/>
                <w:color w:val="000000"/>
                <w:sz w:val="20"/>
                <w:szCs w:val="20"/>
              </w:rPr>
              <w:t>at Danube River ports</w:t>
            </w:r>
            <w:r w:rsidRPr="0042006C">
              <w:rPr>
                <w:rFonts w:cs="Arial"/>
                <w:color w:val="000000"/>
                <w:sz w:val="20"/>
                <w:szCs w:val="20"/>
              </w:rPr>
              <w:t xml:space="preserve"> </w:t>
            </w:r>
            <w:r w:rsidRPr="0042006C">
              <w:rPr>
                <w:rStyle w:val="hps"/>
                <w:rFonts w:cs="Arial"/>
                <w:color w:val="000000"/>
                <w:sz w:val="20"/>
                <w:szCs w:val="20"/>
              </w:rPr>
              <w:t>to</w:t>
            </w:r>
            <w:r w:rsidRPr="0042006C">
              <w:rPr>
                <w:rFonts w:cs="Arial"/>
                <w:color w:val="000000"/>
                <w:sz w:val="20"/>
                <w:szCs w:val="20"/>
              </w:rPr>
              <w:t xml:space="preserve"> </w:t>
            </w:r>
            <w:r w:rsidRPr="0042006C">
              <w:rPr>
                <w:rStyle w:val="hps"/>
                <w:rFonts w:cs="Arial"/>
                <w:color w:val="000000"/>
                <w:sz w:val="20"/>
                <w:szCs w:val="20"/>
              </w:rPr>
              <w:t>connect inland</w:t>
            </w:r>
            <w:r w:rsidRPr="0042006C">
              <w:rPr>
                <w:rFonts w:cs="Arial"/>
                <w:color w:val="000000"/>
                <w:sz w:val="20"/>
                <w:szCs w:val="20"/>
              </w:rPr>
              <w:t xml:space="preserve"> </w:t>
            </w:r>
            <w:r w:rsidRPr="0042006C">
              <w:rPr>
                <w:rStyle w:val="hps"/>
                <w:rFonts w:cs="Arial"/>
                <w:color w:val="000000"/>
                <w:sz w:val="20"/>
                <w:szCs w:val="20"/>
              </w:rPr>
              <w:t>waterways with</w:t>
            </w:r>
            <w:r w:rsidRPr="0042006C">
              <w:rPr>
                <w:rFonts w:cs="Arial"/>
                <w:color w:val="000000"/>
                <w:sz w:val="20"/>
                <w:szCs w:val="20"/>
              </w:rPr>
              <w:t xml:space="preserve"> </w:t>
            </w:r>
            <w:r w:rsidRPr="0042006C">
              <w:rPr>
                <w:rStyle w:val="hps"/>
                <w:rFonts w:cs="Arial"/>
                <w:color w:val="000000"/>
                <w:sz w:val="20"/>
                <w:szCs w:val="20"/>
              </w:rPr>
              <w:t>rail and road</w:t>
            </w:r>
            <w:r w:rsidRPr="0042006C">
              <w:rPr>
                <w:rFonts w:cs="Arial"/>
                <w:color w:val="000000"/>
                <w:sz w:val="20"/>
                <w:szCs w:val="20"/>
              </w:rPr>
              <w:t xml:space="preserve"> </w:t>
            </w:r>
            <w:r w:rsidRPr="0042006C">
              <w:rPr>
                <w:rStyle w:val="hps"/>
                <w:rFonts w:cs="Arial"/>
                <w:color w:val="000000"/>
                <w:sz w:val="20"/>
                <w:szCs w:val="20"/>
              </w:rPr>
              <w:t>transport</w:t>
            </w:r>
            <w:r w:rsidRPr="0042006C">
              <w:rPr>
                <w:rFonts w:eastAsia="Calibri" w:cs="Arial"/>
                <w:bCs/>
                <w:color w:val="000000"/>
                <w:sz w:val="20"/>
                <w:szCs w:val="20"/>
              </w:rPr>
              <w:t>.</w:t>
            </w:r>
          </w:p>
        </w:tc>
        <w:tc>
          <w:tcPr>
            <w:tcW w:w="696"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2010-2020</w:t>
            </w:r>
          </w:p>
        </w:tc>
        <w:tc>
          <w:tcPr>
            <w:tcW w:w="112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Style w:val="hps"/>
                <w:rFonts w:cs="Arial"/>
                <w:color w:val="000000"/>
                <w:sz w:val="20"/>
                <w:szCs w:val="20"/>
              </w:rPr>
              <w:t>General Transport</w:t>
            </w:r>
            <w:r w:rsidRPr="0042006C">
              <w:rPr>
                <w:rFonts w:cs="Arial"/>
                <w:color w:val="000000"/>
                <w:sz w:val="20"/>
                <w:szCs w:val="20"/>
              </w:rPr>
              <w:t xml:space="preserve"> </w:t>
            </w:r>
            <w:r w:rsidRPr="0042006C">
              <w:rPr>
                <w:rStyle w:val="hps"/>
                <w:rFonts w:cs="Arial"/>
                <w:color w:val="000000"/>
                <w:sz w:val="20"/>
                <w:szCs w:val="20"/>
              </w:rPr>
              <w:t>Master</w:t>
            </w:r>
            <w:r w:rsidRPr="0042006C">
              <w:rPr>
                <w:rFonts w:cs="Arial"/>
                <w:color w:val="000000"/>
                <w:sz w:val="20"/>
                <w:szCs w:val="20"/>
              </w:rPr>
              <w:t xml:space="preserve"> </w:t>
            </w:r>
            <w:r w:rsidRPr="0042006C">
              <w:rPr>
                <w:rStyle w:val="hps"/>
                <w:rFonts w:cs="Arial"/>
                <w:color w:val="000000"/>
                <w:sz w:val="20"/>
                <w:szCs w:val="20"/>
              </w:rPr>
              <w:t>Plan</w:t>
            </w:r>
            <w:r w:rsidRPr="0042006C">
              <w:rPr>
                <w:rFonts w:cs="Arial"/>
                <w:color w:val="000000"/>
                <w:sz w:val="20"/>
                <w:szCs w:val="20"/>
              </w:rPr>
              <w:t xml:space="preserve"> </w:t>
            </w:r>
            <w:r w:rsidRPr="0042006C">
              <w:rPr>
                <w:rStyle w:val="hps"/>
                <w:rFonts w:cs="Arial"/>
                <w:color w:val="000000"/>
                <w:sz w:val="20"/>
                <w:szCs w:val="20"/>
              </w:rPr>
              <w:t>proposes</w:t>
            </w:r>
            <w:r w:rsidRPr="0042006C">
              <w:rPr>
                <w:rFonts w:cs="Arial"/>
                <w:color w:val="000000"/>
                <w:sz w:val="20"/>
                <w:szCs w:val="20"/>
              </w:rPr>
              <w:t xml:space="preserve"> </w:t>
            </w:r>
            <w:r w:rsidRPr="0042006C">
              <w:rPr>
                <w:rStyle w:val="hps"/>
                <w:rFonts w:cs="Arial"/>
                <w:color w:val="000000"/>
                <w:sz w:val="20"/>
                <w:szCs w:val="20"/>
              </w:rPr>
              <w:t>a series of investments</w:t>
            </w:r>
            <w:r w:rsidRPr="0042006C">
              <w:rPr>
                <w:rFonts w:cs="Arial"/>
                <w:color w:val="000000"/>
                <w:sz w:val="20"/>
                <w:szCs w:val="20"/>
              </w:rPr>
              <w:t xml:space="preserve"> </w:t>
            </w:r>
            <w:r w:rsidRPr="0042006C">
              <w:rPr>
                <w:rStyle w:val="hps"/>
                <w:rFonts w:cs="Arial"/>
                <w:color w:val="000000"/>
                <w:sz w:val="20"/>
                <w:szCs w:val="20"/>
              </w:rPr>
              <w:t>to improve</w:t>
            </w:r>
            <w:r w:rsidRPr="0042006C">
              <w:rPr>
                <w:rFonts w:cs="Arial"/>
                <w:color w:val="000000"/>
                <w:sz w:val="20"/>
                <w:szCs w:val="20"/>
              </w:rPr>
              <w:t xml:space="preserve"> </w:t>
            </w:r>
            <w:r w:rsidRPr="0042006C">
              <w:rPr>
                <w:rStyle w:val="hps"/>
                <w:rFonts w:cs="Arial"/>
                <w:color w:val="000000"/>
                <w:sz w:val="20"/>
                <w:szCs w:val="20"/>
              </w:rPr>
              <w:t>waterways</w:t>
            </w:r>
            <w:r w:rsidRPr="0042006C">
              <w:rPr>
                <w:rFonts w:cs="Arial"/>
                <w:color w:val="000000"/>
                <w:sz w:val="20"/>
                <w:szCs w:val="20"/>
              </w:rPr>
              <w:t xml:space="preserve"> </w:t>
            </w:r>
            <w:r w:rsidRPr="0042006C">
              <w:rPr>
                <w:rStyle w:val="hps"/>
                <w:rFonts w:cs="Arial"/>
                <w:color w:val="000000"/>
                <w:sz w:val="20"/>
                <w:szCs w:val="20"/>
              </w:rPr>
              <w:t>in the</w:t>
            </w:r>
            <w:r w:rsidRPr="0042006C">
              <w:rPr>
                <w:rFonts w:cs="Arial"/>
                <w:color w:val="000000"/>
                <w:sz w:val="20"/>
                <w:szCs w:val="20"/>
              </w:rPr>
              <w:t xml:space="preserve"> </w:t>
            </w:r>
            <w:r w:rsidRPr="0042006C">
              <w:rPr>
                <w:rStyle w:val="hps"/>
                <w:rFonts w:cs="Arial"/>
                <w:color w:val="000000"/>
                <w:sz w:val="20"/>
                <w:szCs w:val="20"/>
              </w:rPr>
              <w:t>Romanian</w:t>
            </w:r>
            <w:r w:rsidRPr="0042006C">
              <w:rPr>
                <w:rFonts w:cs="Arial"/>
                <w:color w:val="000000"/>
                <w:sz w:val="20"/>
                <w:szCs w:val="20"/>
              </w:rPr>
              <w:t xml:space="preserve"> </w:t>
            </w:r>
            <w:r w:rsidRPr="0042006C">
              <w:rPr>
                <w:rStyle w:val="hps"/>
                <w:rFonts w:cs="Arial"/>
                <w:color w:val="000000"/>
                <w:sz w:val="20"/>
                <w:szCs w:val="20"/>
              </w:rPr>
              <w:t>Danube</w:t>
            </w:r>
            <w:r w:rsidRPr="0042006C">
              <w:rPr>
                <w:rFonts w:cs="Arial"/>
                <w:color w:val="000000"/>
                <w:sz w:val="20"/>
                <w:szCs w:val="20"/>
              </w:rPr>
              <w:t xml:space="preserve">, modernization </w:t>
            </w:r>
            <w:r w:rsidRPr="0042006C">
              <w:rPr>
                <w:rStyle w:val="hps"/>
                <w:rFonts w:cs="Arial"/>
                <w:color w:val="000000"/>
                <w:sz w:val="20"/>
                <w:szCs w:val="20"/>
              </w:rPr>
              <w:t>of port infrastructure</w:t>
            </w:r>
            <w:r w:rsidRPr="0042006C">
              <w:rPr>
                <w:rFonts w:cs="Arial"/>
                <w:color w:val="000000"/>
                <w:sz w:val="20"/>
                <w:szCs w:val="20"/>
              </w:rPr>
              <w:t xml:space="preserve">, development </w:t>
            </w:r>
            <w:r w:rsidRPr="0042006C">
              <w:rPr>
                <w:rStyle w:val="hps"/>
                <w:rFonts w:cs="Arial"/>
                <w:color w:val="000000"/>
                <w:sz w:val="20"/>
                <w:szCs w:val="20"/>
              </w:rPr>
              <w:t>of intermodal freight transport</w:t>
            </w:r>
            <w:r w:rsidRPr="0042006C">
              <w:rPr>
                <w:rFonts w:eastAsia="Calibri" w:cs="Arial"/>
                <w:color w:val="000000"/>
                <w:sz w:val="20"/>
                <w:szCs w:val="20"/>
              </w:rPr>
              <w:t>.</w:t>
            </w:r>
          </w:p>
        </w:tc>
      </w:tr>
      <w:tr w:rsidR="008B7CC2" w:rsidRPr="0042006C" w:rsidTr="00BF3E32">
        <w:trPr>
          <w:jc w:val="center"/>
        </w:trPr>
        <w:tc>
          <w:tcPr>
            <w:tcW w:w="87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European Union (EU) Strategy  on adaptation to climate changes (2013)</w:t>
            </w:r>
          </w:p>
        </w:tc>
        <w:tc>
          <w:tcPr>
            <w:tcW w:w="2313"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Style w:val="hps"/>
                <w:rFonts w:cs="Arial"/>
                <w:color w:val="000000"/>
                <w:sz w:val="20"/>
                <w:szCs w:val="20"/>
              </w:rPr>
            </w:pPr>
            <w:r w:rsidRPr="0042006C">
              <w:rPr>
                <w:rStyle w:val="hps"/>
                <w:rFonts w:cs="Arial"/>
                <w:color w:val="000000"/>
                <w:sz w:val="20"/>
                <w:szCs w:val="20"/>
              </w:rPr>
              <w:t>The overall aim</w:t>
            </w:r>
            <w:r w:rsidRPr="0042006C">
              <w:rPr>
                <w:rFonts w:cs="Arial"/>
                <w:color w:val="000000"/>
                <w:sz w:val="20"/>
                <w:szCs w:val="20"/>
              </w:rPr>
              <w:t xml:space="preserve"> </w:t>
            </w:r>
            <w:r w:rsidRPr="0042006C">
              <w:rPr>
                <w:rStyle w:val="hps"/>
                <w:rFonts w:cs="Arial"/>
                <w:color w:val="000000"/>
                <w:sz w:val="20"/>
                <w:szCs w:val="20"/>
              </w:rPr>
              <w:t>of</w:t>
            </w:r>
            <w:r w:rsidRPr="0042006C">
              <w:rPr>
                <w:rFonts w:cs="Arial"/>
                <w:color w:val="000000"/>
                <w:sz w:val="20"/>
                <w:szCs w:val="20"/>
              </w:rPr>
              <w:t xml:space="preserve"> </w:t>
            </w:r>
            <w:r w:rsidRPr="0042006C">
              <w:rPr>
                <w:rStyle w:val="hps"/>
                <w:rFonts w:cs="Arial"/>
                <w:color w:val="000000"/>
                <w:sz w:val="20"/>
                <w:szCs w:val="20"/>
              </w:rPr>
              <w:t>the EU strategy on</w:t>
            </w:r>
            <w:r w:rsidRPr="0042006C">
              <w:rPr>
                <w:rFonts w:cs="Arial"/>
                <w:color w:val="000000"/>
                <w:sz w:val="20"/>
                <w:szCs w:val="20"/>
              </w:rPr>
              <w:t xml:space="preserve"> </w:t>
            </w:r>
            <w:r w:rsidRPr="0042006C">
              <w:rPr>
                <w:rStyle w:val="hps"/>
                <w:rFonts w:cs="Arial"/>
                <w:color w:val="000000"/>
                <w:sz w:val="20"/>
                <w:szCs w:val="20"/>
              </w:rPr>
              <w:t>adaptation to climate change</w:t>
            </w:r>
            <w:r w:rsidRPr="0042006C">
              <w:rPr>
                <w:rFonts w:cs="Arial"/>
                <w:color w:val="000000"/>
                <w:sz w:val="20"/>
                <w:szCs w:val="20"/>
              </w:rPr>
              <w:t xml:space="preserve"> </w:t>
            </w:r>
            <w:r w:rsidRPr="0042006C">
              <w:rPr>
                <w:rStyle w:val="hps"/>
                <w:rFonts w:cs="Arial"/>
                <w:color w:val="000000"/>
                <w:sz w:val="20"/>
                <w:szCs w:val="20"/>
              </w:rPr>
              <w:t>is to</w:t>
            </w:r>
            <w:r w:rsidRPr="0042006C">
              <w:rPr>
                <w:rFonts w:cs="Arial"/>
                <w:color w:val="000000"/>
                <w:sz w:val="20"/>
                <w:szCs w:val="20"/>
              </w:rPr>
              <w:t xml:space="preserve"> </w:t>
            </w:r>
            <w:r w:rsidRPr="0042006C">
              <w:rPr>
                <w:rStyle w:val="hps"/>
                <w:rFonts w:cs="Arial"/>
                <w:color w:val="000000"/>
                <w:sz w:val="20"/>
                <w:szCs w:val="20"/>
              </w:rPr>
              <w:t>contribute to</w:t>
            </w:r>
            <w:r w:rsidRPr="0042006C">
              <w:rPr>
                <w:rFonts w:cs="Arial"/>
                <w:color w:val="000000"/>
                <w:sz w:val="20"/>
                <w:szCs w:val="20"/>
              </w:rPr>
              <w:t xml:space="preserve"> </w:t>
            </w:r>
            <w:r w:rsidRPr="0042006C">
              <w:rPr>
                <w:rStyle w:val="hps"/>
                <w:rFonts w:cs="Arial"/>
                <w:color w:val="000000"/>
                <w:sz w:val="20"/>
                <w:szCs w:val="20"/>
              </w:rPr>
              <w:t>a more</w:t>
            </w:r>
            <w:r w:rsidRPr="0042006C">
              <w:rPr>
                <w:rFonts w:cs="Arial"/>
                <w:color w:val="000000"/>
                <w:sz w:val="20"/>
                <w:szCs w:val="20"/>
              </w:rPr>
              <w:t xml:space="preserve"> </w:t>
            </w:r>
            <w:r w:rsidRPr="0042006C">
              <w:rPr>
                <w:rStyle w:val="hps"/>
                <w:rFonts w:cs="Arial"/>
                <w:color w:val="000000"/>
                <w:sz w:val="20"/>
                <w:szCs w:val="20"/>
              </w:rPr>
              <w:t>resilient Europe</w:t>
            </w:r>
            <w:r w:rsidRPr="0042006C">
              <w:rPr>
                <w:rFonts w:cs="Arial"/>
                <w:color w:val="000000"/>
                <w:sz w:val="20"/>
                <w:szCs w:val="20"/>
              </w:rPr>
              <w:t xml:space="preserve"> </w:t>
            </w:r>
            <w:r w:rsidRPr="0042006C">
              <w:rPr>
                <w:rStyle w:val="hps"/>
                <w:rFonts w:cs="Arial"/>
                <w:color w:val="000000"/>
                <w:sz w:val="20"/>
                <w:szCs w:val="20"/>
              </w:rPr>
              <w:t>to climate change</w:t>
            </w:r>
            <w:r w:rsidRPr="0042006C">
              <w:rPr>
                <w:rFonts w:cs="Arial"/>
                <w:color w:val="000000"/>
                <w:sz w:val="20"/>
                <w:szCs w:val="20"/>
              </w:rPr>
              <w:t xml:space="preserve">, </w:t>
            </w:r>
            <w:r w:rsidRPr="0042006C">
              <w:rPr>
                <w:rStyle w:val="hps"/>
                <w:rFonts w:cs="Arial"/>
                <w:color w:val="000000"/>
                <w:sz w:val="20"/>
                <w:szCs w:val="20"/>
              </w:rPr>
              <w:t>thereby increasing</w:t>
            </w:r>
            <w:r w:rsidRPr="0042006C">
              <w:rPr>
                <w:rFonts w:cs="Arial"/>
                <w:color w:val="000000"/>
                <w:sz w:val="20"/>
                <w:szCs w:val="20"/>
              </w:rPr>
              <w:t xml:space="preserve"> </w:t>
            </w:r>
            <w:r w:rsidRPr="0042006C">
              <w:rPr>
                <w:rStyle w:val="hps"/>
                <w:rFonts w:cs="Arial"/>
                <w:color w:val="000000"/>
                <w:sz w:val="20"/>
                <w:szCs w:val="20"/>
              </w:rPr>
              <w:t>the preparedness</w:t>
            </w:r>
            <w:r w:rsidRPr="0042006C">
              <w:rPr>
                <w:rFonts w:cs="Arial"/>
                <w:color w:val="000000"/>
                <w:sz w:val="20"/>
                <w:szCs w:val="20"/>
              </w:rPr>
              <w:t xml:space="preserve"> </w:t>
            </w:r>
            <w:r w:rsidRPr="0042006C">
              <w:rPr>
                <w:rStyle w:val="hps"/>
                <w:rFonts w:cs="Arial"/>
                <w:color w:val="000000"/>
                <w:sz w:val="20"/>
                <w:szCs w:val="20"/>
              </w:rPr>
              <w:t>and capacity</w:t>
            </w:r>
            <w:r w:rsidRPr="0042006C">
              <w:rPr>
                <w:rFonts w:cs="Arial"/>
                <w:color w:val="000000"/>
                <w:sz w:val="20"/>
                <w:szCs w:val="20"/>
              </w:rPr>
              <w:t xml:space="preserve"> </w:t>
            </w:r>
            <w:r w:rsidRPr="0042006C">
              <w:rPr>
                <w:rStyle w:val="hps"/>
                <w:rFonts w:cs="Arial"/>
                <w:color w:val="000000"/>
                <w:sz w:val="20"/>
                <w:szCs w:val="20"/>
              </w:rPr>
              <w:t>to respond to</w:t>
            </w:r>
            <w:r w:rsidRPr="0042006C">
              <w:rPr>
                <w:rFonts w:cs="Arial"/>
                <w:color w:val="000000"/>
                <w:sz w:val="20"/>
                <w:szCs w:val="20"/>
              </w:rPr>
              <w:t xml:space="preserve"> </w:t>
            </w:r>
            <w:r w:rsidRPr="0042006C">
              <w:rPr>
                <w:rStyle w:val="hps"/>
                <w:rFonts w:cs="Arial"/>
                <w:color w:val="000000"/>
                <w:sz w:val="20"/>
                <w:szCs w:val="20"/>
              </w:rPr>
              <w:t>climate change impacts</w:t>
            </w:r>
            <w:r w:rsidRPr="0042006C">
              <w:rPr>
                <w:rFonts w:cs="Arial"/>
                <w:color w:val="000000"/>
                <w:sz w:val="20"/>
                <w:szCs w:val="20"/>
              </w:rPr>
              <w:t xml:space="preserve"> </w:t>
            </w:r>
            <w:r w:rsidRPr="0042006C">
              <w:rPr>
                <w:rStyle w:val="hps"/>
                <w:rFonts w:cs="Arial"/>
                <w:color w:val="000000"/>
                <w:sz w:val="20"/>
                <w:szCs w:val="20"/>
              </w:rPr>
              <w:t>at local,</w:t>
            </w:r>
            <w:r w:rsidRPr="0042006C">
              <w:rPr>
                <w:rFonts w:cs="Arial"/>
                <w:color w:val="000000"/>
                <w:sz w:val="20"/>
                <w:szCs w:val="20"/>
              </w:rPr>
              <w:t xml:space="preserve"> </w:t>
            </w:r>
            <w:r w:rsidRPr="0042006C">
              <w:rPr>
                <w:rStyle w:val="hps"/>
                <w:rFonts w:cs="Arial"/>
                <w:color w:val="000000"/>
                <w:sz w:val="20"/>
                <w:szCs w:val="20"/>
              </w:rPr>
              <w:t>regional</w:t>
            </w:r>
            <w:r w:rsidRPr="0042006C">
              <w:rPr>
                <w:rFonts w:cs="Arial"/>
                <w:color w:val="000000"/>
                <w:sz w:val="20"/>
                <w:szCs w:val="20"/>
              </w:rPr>
              <w:t xml:space="preserve"> </w:t>
            </w:r>
            <w:r w:rsidRPr="0042006C">
              <w:rPr>
                <w:rStyle w:val="hps"/>
                <w:rFonts w:cs="Arial"/>
                <w:color w:val="000000"/>
                <w:sz w:val="20"/>
                <w:szCs w:val="20"/>
              </w:rPr>
              <w:t>and national levels</w:t>
            </w:r>
            <w:r w:rsidRPr="0042006C">
              <w:rPr>
                <w:rFonts w:cs="Arial"/>
                <w:color w:val="000000"/>
                <w:sz w:val="20"/>
                <w:szCs w:val="20"/>
              </w:rPr>
              <w:t xml:space="preserve"> as well as </w:t>
            </w:r>
            <w:r w:rsidRPr="0042006C">
              <w:rPr>
                <w:rStyle w:val="hps"/>
                <w:rFonts w:cs="Arial"/>
                <w:color w:val="000000"/>
                <w:sz w:val="20"/>
                <w:szCs w:val="20"/>
              </w:rPr>
              <w:t>EU level</w:t>
            </w:r>
            <w:r w:rsidRPr="0042006C">
              <w:rPr>
                <w:rFonts w:cs="Arial"/>
                <w:color w:val="000000"/>
                <w:sz w:val="20"/>
                <w:szCs w:val="20"/>
              </w:rPr>
              <w:t xml:space="preserve">, developing </w:t>
            </w:r>
            <w:r w:rsidRPr="0042006C">
              <w:rPr>
                <w:rStyle w:val="hps"/>
                <w:rFonts w:cs="Arial"/>
                <w:color w:val="000000"/>
                <w:sz w:val="20"/>
                <w:szCs w:val="20"/>
              </w:rPr>
              <w:t>a consistent approach</w:t>
            </w:r>
            <w:r w:rsidRPr="0042006C">
              <w:rPr>
                <w:rFonts w:cs="Arial"/>
                <w:color w:val="000000"/>
                <w:sz w:val="20"/>
                <w:szCs w:val="20"/>
              </w:rPr>
              <w:t xml:space="preserve"> </w:t>
            </w:r>
            <w:r w:rsidRPr="0042006C">
              <w:rPr>
                <w:rStyle w:val="hps"/>
                <w:rFonts w:cs="Arial"/>
                <w:color w:val="000000"/>
                <w:sz w:val="20"/>
                <w:szCs w:val="20"/>
              </w:rPr>
              <w:t>and improving</w:t>
            </w:r>
            <w:r w:rsidRPr="0042006C">
              <w:rPr>
                <w:rFonts w:cs="Arial"/>
                <w:color w:val="000000"/>
                <w:sz w:val="20"/>
                <w:szCs w:val="20"/>
              </w:rPr>
              <w:t xml:space="preserve"> </w:t>
            </w:r>
            <w:r w:rsidRPr="0042006C">
              <w:rPr>
                <w:rStyle w:val="hps"/>
                <w:rFonts w:cs="Arial"/>
                <w:color w:val="000000"/>
                <w:sz w:val="20"/>
                <w:szCs w:val="20"/>
              </w:rPr>
              <w:t>coordination.</w:t>
            </w:r>
          </w:p>
          <w:p w:rsidR="008B7CC2" w:rsidRPr="0042006C" w:rsidRDefault="008B7CC2" w:rsidP="00BF3E32">
            <w:pPr>
              <w:autoSpaceDE w:val="0"/>
              <w:autoSpaceDN w:val="0"/>
              <w:adjustRightInd w:val="0"/>
              <w:rPr>
                <w:rFonts w:eastAsia="Calibri" w:cs="Arial"/>
                <w:color w:val="000000"/>
                <w:sz w:val="20"/>
                <w:szCs w:val="20"/>
              </w:rPr>
            </w:pPr>
          </w:p>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 xml:space="preserve">The </w:t>
            </w:r>
            <w:r w:rsidRPr="0042006C">
              <w:rPr>
                <w:rStyle w:val="hps"/>
                <w:rFonts w:cs="Arial"/>
                <w:color w:val="000000"/>
                <w:sz w:val="20"/>
                <w:szCs w:val="20"/>
              </w:rPr>
              <w:t>recommended tool</w:t>
            </w:r>
            <w:r w:rsidRPr="0042006C">
              <w:rPr>
                <w:rFonts w:cs="Arial"/>
                <w:color w:val="000000"/>
                <w:sz w:val="20"/>
                <w:szCs w:val="20"/>
              </w:rPr>
              <w:t xml:space="preserve"> </w:t>
            </w:r>
            <w:r w:rsidRPr="0042006C">
              <w:rPr>
                <w:rStyle w:val="hps"/>
                <w:rFonts w:cs="Arial"/>
                <w:color w:val="000000"/>
                <w:sz w:val="20"/>
                <w:szCs w:val="20"/>
              </w:rPr>
              <w:t>globally</w:t>
            </w:r>
            <w:r w:rsidRPr="0042006C">
              <w:rPr>
                <w:rFonts w:cs="Arial"/>
                <w:color w:val="000000"/>
                <w:sz w:val="20"/>
                <w:szCs w:val="20"/>
              </w:rPr>
              <w:t xml:space="preserve"> </w:t>
            </w:r>
            <w:r w:rsidRPr="0042006C">
              <w:rPr>
                <w:rStyle w:val="hps"/>
                <w:rFonts w:cs="Arial"/>
                <w:color w:val="000000"/>
                <w:sz w:val="20"/>
                <w:szCs w:val="20"/>
              </w:rPr>
              <w:t>in the context of</w:t>
            </w:r>
            <w:r w:rsidRPr="0042006C">
              <w:rPr>
                <w:rFonts w:cs="Arial"/>
                <w:color w:val="000000"/>
                <w:sz w:val="20"/>
                <w:szCs w:val="20"/>
              </w:rPr>
              <w:t xml:space="preserve"> </w:t>
            </w:r>
            <w:r w:rsidRPr="0042006C">
              <w:rPr>
                <w:rStyle w:val="hps"/>
                <w:rFonts w:cs="Arial"/>
                <w:color w:val="000000"/>
                <w:sz w:val="20"/>
                <w:szCs w:val="20"/>
              </w:rPr>
              <w:t>the UN</w:t>
            </w:r>
            <w:r w:rsidRPr="0042006C">
              <w:rPr>
                <w:rFonts w:cs="Arial"/>
                <w:color w:val="000000"/>
                <w:sz w:val="20"/>
                <w:szCs w:val="20"/>
              </w:rPr>
              <w:t xml:space="preserve"> </w:t>
            </w:r>
            <w:r w:rsidRPr="0042006C">
              <w:rPr>
                <w:rStyle w:val="hps"/>
                <w:rFonts w:cs="Arial"/>
                <w:color w:val="000000"/>
                <w:sz w:val="20"/>
                <w:szCs w:val="20"/>
              </w:rPr>
              <w:t>Framework Convention</w:t>
            </w:r>
            <w:r w:rsidRPr="0042006C">
              <w:rPr>
                <w:rFonts w:cs="Arial"/>
                <w:color w:val="000000"/>
                <w:sz w:val="20"/>
                <w:szCs w:val="20"/>
              </w:rPr>
              <w:t xml:space="preserve"> </w:t>
            </w:r>
            <w:r w:rsidRPr="0042006C">
              <w:rPr>
                <w:rStyle w:val="hps"/>
                <w:rFonts w:cs="Arial"/>
                <w:color w:val="000000"/>
                <w:sz w:val="20"/>
                <w:szCs w:val="20"/>
              </w:rPr>
              <w:t>on Climate Change</w:t>
            </w:r>
            <w:r w:rsidRPr="0042006C">
              <w:rPr>
                <w:rFonts w:cs="Arial"/>
                <w:color w:val="000000"/>
                <w:sz w:val="20"/>
                <w:szCs w:val="20"/>
              </w:rPr>
              <w:t xml:space="preserve"> </w:t>
            </w:r>
            <w:r w:rsidRPr="0042006C">
              <w:rPr>
                <w:rStyle w:val="hps"/>
                <w:rFonts w:cs="Arial"/>
                <w:color w:val="000000"/>
                <w:sz w:val="20"/>
                <w:szCs w:val="20"/>
              </w:rPr>
              <w:t>is the</w:t>
            </w:r>
            <w:r w:rsidRPr="0042006C">
              <w:rPr>
                <w:rFonts w:cs="Arial"/>
                <w:color w:val="000000"/>
                <w:sz w:val="20"/>
                <w:szCs w:val="20"/>
              </w:rPr>
              <w:t xml:space="preserve"> </w:t>
            </w:r>
            <w:r w:rsidRPr="0042006C">
              <w:rPr>
                <w:rStyle w:val="hps"/>
                <w:rFonts w:cs="Arial"/>
                <w:color w:val="000000"/>
                <w:sz w:val="20"/>
                <w:szCs w:val="20"/>
              </w:rPr>
              <w:t>national adaptation</w:t>
            </w:r>
            <w:r w:rsidRPr="0042006C">
              <w:rPr>
                <w:rFonts w:cs="Arial"/>
                <w:color w:val="000000"/>
                <w:sz w:val="20"/>
                <w:szCs w:val="20"/>
              </w:rPr>
              <w:t xml:space="preserve"> </w:t>
            </w:r>
            <w:r w:rsidRPr="0042006C">
              <w:rPr>
                <w:rStyle w:val="hps"/>
                <w:rFonts w:cs="Arial"/>
                <w:color w:val="000000"/>
                <w:sz w:val="20"/>
                <w:szCs w:val="20"/>
              </w:rPr>
              <w:t>strategies.</w:t>
            </w:r>
          </w:p>
        </w:tc>
        <w:tc>
          <w:tcPr>
            <w:tcW w:w="696"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2014-2020</w:t>
            </w:r>
          </w:p>
        </w:tc>
        <w:tc>
          <w:tcPr>
            <w:tcW w:w="112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It is</w:t>
            </w:r>
            <w:r w:rsidRPr="0042006C">
              <w:rPr>
                <w:rFonts w:cs="Arial"/>
                <w:color w:val="000000"/>
                <w:sz w:val="20"/>
                <w:szCs w:val="20"/>
              </w:rPr>
              <w:t xml:space="preserve"> </w:t>
            </w:r>
            <w:r w:rsidRPr="0042006C">
              <w:rPr>
                <w:rStyle w:val="hps"/>
                <w:rFonts w:cs="Arial"/>
                <w:color w:val="000000"/>
                <w:sz w:val="20"/>
                <w:szCs w:val="20"/>
              </w:rPr>
              <w:t>necessary to apply</w:t>
            </w:r>
            <w:r w:rsidRPr="0042006C">
              <w:rPr>
                <w:rFonts w:cs="Arial"/>
                <w:color w:val="000000"/>
                <w:sz w:val="20"/>
                <w:szCs w:val="20"/>
              </w:rPr>
              <w:t xml:space="preserve"> </w:t>
            </w:r>
            <w:r w:rsidRPr="0042006C">
              <w:rPr>
                <w:rStyle w:val="hps"/>
                <w:rFonts w:cs="Arial"/>
                <w:color w:val="000000"/>
                <w:sz w:val="20"/>
                <w:szCs w:val="20"/>
              </w:rPr>
              <w:t>climate change adaptation</w:t>
            </w:r>
            <w:r w:rsidRPr="0042006C">
              <w:rPr>
                <w:rFonts w:cs="Arial"/>
                <w:color w:val="000000"/>
                <w:sz w:val="20"/>
                <w:szCs w:val="20"/>
              </w:rPr>
              <w:t xml:space="preserve"> </w:t>
            </w:r>
            <w:r w:rsidRPr="0042006C">
              <w:rPr>
                <w:rStyle w:val="hps"/>
                <w:rFonts w:cs="Arial"/>
                <w:color w:val="000000"/>
                <w:sz w:val="20"/>
                <w:szCs w:val="20"/>
              </w:rPr>
              <w:t>measures</w:t>
            </w:r>
            <w:r w:rsidRPr="0042006C">
              <w:rPr>
                <w:rFonts w:cs="Arial"/>
                <w:color w:val="000000"/>
                <w:sz w:val="20"/>
                <w:szCs w:val="20"/>
              </w:rPr>
              <w:t xml:space="preserve"> </w:t>
            </w:r>
            <w:r w:rsidRPr="0042006C">
              <w:rPr>
                <w:rStyle w:val="hps"/>
                <w:rFonts w:cs="Arial"/>
                <w:color w:val="000000"/>
                <w:sz w:val="20"/>
                <w:szCs w:val="20"/>
              </w:rPr>
              <w:t>in</w:t>
            </w:r>
            <w:r w:rsidRPr="0042006C">
              <w:rPr>
                <w:rFonts w:cs="Arial"/>
                <w:color w:val="000000"/>
                <w:sz w:val="20"/>
                <w:szCs w:val="20"/>
              </w:rPr>
              <w:t xml:space="preserve"> </w:t>
            </w:r>
            <w:r w:rsidRPr="0042006C">
              <w:rPr>
                <w:rStyle w:val="hps"/>
                <w:rFonts w:cs="Arial"/>
                <w:color w:val="000000"/>
                <w:sz w:val="20"/>
                <w:szCs w:val="20"/>
              </w:rPr>
              <w:t>key</w:t>
            </w:r>
            <w:r w:rsidRPr="0042006C">
              <w:rPr>
                <w:rFonts w:cs="Arial"/>
                <w:color w:val="000000"/>
                <w:sz w:val="20"/>
                <w:szCs w:val="20"/>
              </w:rPr>
              <w:t xml:space="preserve"> </w:t>
            </w:r>
            <w:r w:rsidRPr="0042006C">
              <w:rPr>
                <w:rStyle w:val="hps"/>
                <w:rFonts w:cs="Arial"/>
                <w:color w:val="000000"/>
                <w:sz w:val="20"/>
                <w:szCs w:val="20"/>
              </w:rPr>
              <w:t>vulnerable sectors</w:t>
            </w:r>
            <w:r w:rsidRPr="0042006C">
              <w:rPr>
                <w:rFonts w:cs="Arial"/>
                <w:color w:val="000000"/>
                <w:sz w:val="20"/>
                <w:szCs w:val="20"/>
              </w:rPr>
              <w:t xml:space="preserve"> </w:t>
            </w:r>
            <w:r w:rsidRPr="0042006C">
              <w:rPr>
                <w:rStyle w:val="hps"/>
                <w:rFonts w:cs="Arial"/>
                <w:color w:val="000000"/>
                <w:sz w:val="20"/>
                <w:szCs w:val="20"/>
              </w:rPr>
              <w:t>such as</w:t>
            </w:r>
            <w:r w:rsidRPr="0042006C">
              <w:rPr>
                <w:rFonts w:cs="Arial"/>
                <w:color w:val="000000"/>
                <w:sz w:val="20"/>
                <w:szCs w:val="20"/>
              </w:rPr>
              <w:t xml:space="preserve"> </w:t>
            </w:r>
            <w:r w:rsidRPr="0042006C">
              <w:rPr>
                <w:rStyle w:val="hps"/>
                <w:rFonts w:cs="Arial"/>
                <w:color w:val="000000"/>
                <w:sz w:val="20"/>
                <w:szCs w:val="20"/>
              </w:rPr>
              <w:t>the transport sector</w:t>
            </w:r>
            <w:r w:rsidRPr="0042006C">
              <w:rPr>
                <w:rFonts w:cs="Arial"/>
                <w:color w:val="000000"/>
                <w:sz w:val="20"/>
                <w:szCs w:val="20"/>
              </w:rPr>
              <w:t xml:space="preserve"> </w:t>
            </w:r>
            <w:r w:rsidRPr="0042006C">
              <w:rPr>
                <w:rStyle w:val="hps"/>
                <w:rFonts w:cs="Arial"/>
                <w:color w:val="000000"/>
                <w:sz w:val="20"/>
                <w:szCs w:val="20"/>
              </w:rPr>
              <w:t>is</w:t>
            </w:r>
            <w:r w:rsidRPr="0042006C">
              <w:rPr>
                <w:rFonts w:eastAsia="Calibri" w:cs="Arial"/>
                <w:color w:val="000000"/>
                <w:sz w:val="20"/>
                <w:szCs w:val="20"/>
              </w:rPr>
              <w:t xml:space="preserve">. </w:t>
            </w:r>
            <w:r w:rsidRPr="0042006C">
              <w:rPr>
                <w:rStyle w:val="hps"/>
                <w:rFonts w:cs="Arial"/>
                <w:color w:val="000000"/>
                <w:sz w:val="20"/>
                <w:szCs w:val="20"/>
              </w:rPr>
              <w:t>Thus,</w:t>
            </w:r>
            <w:r w:rsidRPr="0042006C">
              <w:rPr>
                <w:rFonts w:cs="Arial"/>
                <w:color w:val="000000"/>
                <w:sz w:val="20"/>
                <w:szCs w:val="20"/>
              </w:rPr>
              <w:t xml:space="preserve"> </w:t>
            </w:r>
            <w:r w:rsidRPr="0042006C">
              <w:rPr>
                <w:rStyle w:val="hps"/>
                <w:rFonts w:cs="Arial"/>
                <w:color w:val="000000"/>
                <w:sz w:val="20"/>
                <w:szCs w:val="20"/>
              </w:rPr>
              <w:t>planning</w:t>
            </w:r>
            <w:r w:rsidRPr="0042006C">
              <w:rPr>
                <w:rFonts w:cs="Arial"/>
                <w:color w:val="000000"/>
                <w:sz w:val="20"/>
                <w:szCs w:val="20"/>
              </w:rPr>
              <w:t xml:space="preserve"> </w:t>
            </w:r>
            <w:r w:rsidRPr="0042006C">
              <w:rPr>
                <w:rStyle w:val="hps"/>
                <w:rFonts w:cs="Arial"/>
                <w:color w:val="000000"/>
                <w:sz w:val="20"/>
                <w:szCs w:val="20"/>
              </w:rPr>
              <w:t>and prioritizing</w:t>
            </w:r>
            <w:r w:rsidRPr="0042006C">
              <w:rPr>
                <w:rFonts w:cs="Arial"/>
                <w:color w:val="000000"/>
                <w:sz w:val="20"/>
                <w:szCs w:val="20"/>
              </w:rPr>
              <w:t xml:space="preserve"> </w:t>
            </w:r>
            <w:r w:rsidRPr="0042006C">
              <w:rPr>
                <w:rStyle w:val="hps"/>
                <w:rFonts w:cs="Arial"/>
                <w:color w:val="000000"/>
                <w:sz w:val="20"/>
                <w:szCs w:val="20"/>
              </w:rPr>
              <w:t>investments included</w:t>
            </w:r>
            <w:r w:rsidRPr="0042006C">
              <w:rPr>
                <w:rFonts w:cs="Arial"/>
                <w:color w:val="000000"/>
                <w:sz w:val="20"/>
                <w:szCs w:val="20"/>
              </w:rPr>
              <w:t xml:space="preserve"> </w:t>
            </w:r>
            <w:r w:rsidRPr="0042006C">
              <w:rPr>
                <w:rStyle w:val="hps"/>
                <w:rFonts w:cs="Arial"/>
                <w:color w:val="000000"/>
                <w:sz w:val="20"/>
                <w:szCs w:val="20"/>
              </w:rPr>
              <w:t>in the</w:t>
            </w:r>
            <w:r w:rsidRPr="0042006C">
              <w:rPr>
                <w:rFonts w:cs="Arial"/>
                <w:color w:val="000000"/>
                <w:sz w:val="20"/>
                <w:szCs w:val="20"/>
              </w:rPr>
              <w:t xml:space="preserve"> </w:t>
            </w:r>
            <w:r w:rsidRPr="0042006C">
              <w:rPr>
                <w:rStyle w:val="hps"/>
                <w:rFonts w:cs="Arial"/>
                <w:color w:val="000000"/>
                <w:sz w:val="20"/>
                <w:szCs w:val="20"/>
              </w:rPr>
              <w:t>Master</w:t>
            </w:r>
            <w:r w:rsidRPr="0042006C">
              <w:rPr>
                <w:rFonts w:cs="Arial"/>
                <w:color w:val="000000"/>
                <w:sz w:val="20"/>
                <w:szCs w:val="20"/>
              </w:rPr>
              <w:t xml:space="preserve"> </w:t>
            </w:r>
            <w:r w:rsidRPr="0042006C">
              <w:rPr>
                <w:rStyle w:val="hps"/>
                <w:rFonts w:cs="Arial"/>
                <w:color w:val="000000"/>
                <w:sz w:val="20"/>
                <w:szCs w:val="20"/>
              </w:rPr>
              <w:t>Plan of</w:t>
            </w:r>
            <w:r w:rsidRPr="0042006C">
              <w:rPr>
                <w:rFonts w:cs="Arial"/>
                <w:color w:val="000000"/>
                <w:sz w:val="20"/>
                <w:szCs w:val="20"/>
              </w:rPr>
              <w:t xml:space="preserve"> </w:t>
            </w:r>
            <w:r w:rsidRPr="0042006C">
              <w:rPr>
                <w:rStyle w:val="hps"/>
                <w:rFonts w:cs="Arial"/>
                <w:color w:val="000000"/>
                <w:sz w:val="20"/>
                <w:szCs w:val="20"/>
              </w:rPr>
              <w:t>Transportation</w:t>
            </w:r>
            <w:r w:rsidRPr="0042006C">
              <w:rPr>
                <w:rFonts w:cs="Arial"/>
                <w:color w:val="000000"/>
                <w:sz w:val="20"/>
                <w:szCs w:val="20"/>
              </w:rPr>
              <w:t xml:space="preserve"> </w:t>
            </w:r>
            <w:r w:rsidRPr="0042006C">
              <w:rPr>
                <w:rStyle w:val="hps"/>
                <w:rFonts w:cs="Arial"/>
                <w:color w:val="000000"/>
                <w:sz w:val="20"/>
                <w:szCs w:val="20"/>
              </w:rPr>
              <w:t>has</w:t>
            </w:r>
            <w:r w:rsidRPr="0042006C">
              <w:rPr>
                <w:rFonts w:cs="Arial"/>
                <w:color w:val="000000"/>
                <w:sz w:val="20"/>
                <w:szCs w:val="20"/>
              </w:rPr>
              <w:t xml:space="preserve"> </w:t>
            </w:r>
            <w:r w:rsidRPr="0042006C">
              <w:rPr>
                <w:rStyle w:val="hps"/>
                <w:rFonts w:cs="Arial"/>
                <w:color w:val="000000"/>
                <w:sz w:val="20"/>
                <w:szCs w:val="20"/>
              </w:rPr>
              <w:t>considered the</w:t>
            </w:r>
            <w:r w:rsidRPr="0042006C">
              <w:rPr>
                <w:rFonts w:cs="Arial"/>
                <w:color w:val="000000"/>
                <w:sz w:val="20"/>
                <w:szCs w:val="20"/>
              </w:rPr>
              <w:t xml:space="preserve"> </w:t>
            </w:r>
            <w:r w:rsidRPr="0042006C">
              <w:rPr>
                <w:rStyle w:val="hps"/>
                <w:rFonts w:cs="Arial"/>
                <w:color w:val="000000"/>
                <w:sz w:val="20"/>
                <w:szCs w:val="20"/>
              </w:rPr>
              <w:t>climate</w:t>
            </w:r>
            <w:r w:rsidRPr="0042006C">
              <w:rPr>
                <w:rFonts w:cs="Arial"/>
                <w:color w:val="000000"/>
                <w:sz w:val="20"/>
                <w:szCs w:val="20"/>
              </w:rPr>
              <w:t xml:space="preserve"> </w:t>
            </w:r>
            <w:r w:rsidRPr="0042006C">
              <w:rPr>
                <w:rStyle w:val="hps"/>
                <w:rFonts w:cs="Arial"/>
                <w:color w:val="000000"/>
                <w:sz w:val="20"/>
                <w:szCs w:val="20"/>
              </w:rPr>
              <w:t>component</w:t>
            </w:r>
            <w:r w:rsidRPr="0042006C">
              <w:rPr>
                <w:rFonts w:eastAsia="Calibri" w:cs="Arial"/>
                <w:color w:val="000000"/>
                <w:sz w:val="20"/>
                <w:szCs w:val="20"/>
              </w:rPr>
              <w:t xml:space="preserve">.   </w:t>
            </w:r>
            <w:r w:rsidRPr="0042006C">
              <w:rPr>
                <w:rStyle w:val="hps"/>
                <w:rFonts w:cs="Arial"/>
                <w:color w:val="000000"/>
                <w:sz w:val="20"/>
                <w:szCs w:val="20"/>
              </w:rPr>
              <w:t>It is</w:t>
            </w:r>
            <w:r w:rsidRPr="0042006C">
              <w:rPr>
                <w:rFonts w:cs="Arial"/>
                <w:color w:val="000000"/>
                <w:sz w:val="20"/>
                <w:szCs w:val="20"/>
              </w:rPr>
              <w:t xml:space="preserve"> </w:t>
            </w:r>
            <w:r w:rsidRPr="0042006C">
              <w:rPr>
                <w:rStyle w:val="hps"/>
                <w:rFonts w:cs="Arial"/>
                <w:color w:val="000000"/>
                <w:sz w:val="20"/>
                <w:szCs w:val="20"/>
              </w:rPr>
              <w:t>expected that</w:t>
            </w:r>
            <w:r w:rsidRPr="0042006C">
              <w:rPr>
                <w:rFonts w:cs="Arial"/>
                <w:color w:val="000000"/>
                <w:sz w:val="20"/>
                <w:szCs w:val="20"/>
              </w:rPr>
              <w:t xml:space="preserve"> </w:t>
            </w:r>
            <w:r w:rsidRPr="0042006C">
              <w:rPr>
                <w:rStyle w:val="hps"/>
                <w:rFonts w:cs="Arial"/>
                <w:color w:val="000000"/>
                <w:sz w:val="20"/>
                <w:szCs w:val="20"/>
              </w:rPr>
              <w:t>the</w:t>
            </w:r>
            <w:r w:rsidRPr="0042006C">
              <w:rPr>
                <w:rFonts w:cs="Arial"/>
                <w:color w:val="000000"/>
                <w:sz w:val="20"/>
                <w:szCs w:val="20"/>
              </w:rPr>
              <w:t xml:space="preserve"> </w:t>
            </w:r>
            <w:r w:rsidRPr="0042006C">
              <w:rPr>
                <w:rStyle w:val="hps"/>
                <w:rFonts w:cs="Arial"/>
                <w:color w:val="000000"/>
                <w:sz w:val="20"/>
                <w:szCs w:val="20"/>
              </w:rPr>
              <w:t>projects</w:t>
            </w:r>
            <w:r w:rsidRPr="0042006C">
              <w:rPr>
                <w:rFonts w:cs="Arial"/>
                <w:color w:val="000000"/>
                <w:sz w:val="20"/>
                <w:szCs w:val="20"/>
              </w:rPr>
              <w:t xml:space="preserve"> </w:t>
            </w:r>
            <w:r w:rsidRPr="0042006C">
              <w:rPr>
                <w:rStyle w:val="hps"/>
                <w:rFonts w:cs="Arial"/>
                <w:color w:val="000000"/>
                <w:sz w:val="20"/>
                <w:szCs w:val="20"/>
              </w:rPr>
              <w:t>proposed in</w:t>
            </w:r>
            <w:r w:rsidRPr="0042006C">
              <w:rPr>
                <w:rFonts w:cs="Arial"/>
                <w:color w:val="000000"/>
                <w:sz w:val="20"/>
                <w:szCs w:val="20"/>
              </w:rPr>
              <w:t xml:space="preserve"> </w:t>
            </w:r>
            <w:r w:rsidRPr="0042006C">
              <w:rPr>
                <w:rStyle w:val="hps"/>
                <w:rFonts w:cs="Arial"/>
                <w:color w:val="000000"/>
                <w:sz w:val="20"/>
                <w:szCs w:val="20"/>
              </w:rPr>
              <w:t>the Master</w:t>
            </w:r>
            <w:r w:rsidRPr="0042006C">
              <w:rPr>
                <w:rFonts w:cs="Arial"/>
                <w:color w:val="000000"/>
                <w:sz w:val="20"/>
                <w:szCs w:val="20"/>
              </w:rPr>
              <w:t xml:space="preserve"> </w:t>
            </w:r>
            <w:r w:rsidRPr="0042006C">
              <w:rPr>
                <w:rStyle w:val="hps"/>
                <w:rFonts w:cs="Arial"/>
                <w:color w:val="000000"/>
                <w:sz w:val="20"/>
                <w:szCs w:val="20"/>
              </w:rPr>
              <w:t>Plan of</w:t>
            </w:r>
            <w:r w:rsidRPr="0042006C">
              <w:rPr>
                <w:rFonts w:cs="Arial"/>
                <w:color w:val="000000"/>
                <w:sz w:val="20"/>
                <w:szCs w:val="20"/>
              </w:rPr>
              <w:t xml:space="preserve"> </w:t>
            </w:r>
            <w:r w:rsidRPr="0042006C">
              <w:rPr>
                <w:rStyle w:val="hps"/>
                <w:rFonts w:cs="Arial"/>
                <w:color w:val="000000"/>
                <w:sz w:val="20"/>
                <w:szCs w:val="20"/>
              </w:rPr>
              <w:t>Transportation</w:t>
            </w:r>
            <w:r w:rsidRPr="0042006C">
              <w:rPr>
                <w:rFonts w:cs="Arial"/>
                <w:color w:val="000000"/>
                <w:sz w:val="20"/>
                <w:szCs w:val="20"/>
              </w:rPr>
              <w:t xml:space="preserve"> </w:t>
            </w:r>
            <w:r w:rsidRPr="0042006C">
              <w:rPr>
                <w:rStyle w:val="hps"/>
                <w:rFonts w:cs="Arial"/>
                <w:color w:val="000000"/>
                <w:sz w:val="20"/>
                <w:szCs w:val="20"/>
              </w:rPr>
              <w:t>to lead</w:t>
            </w:r>
            <w:r w:rsidRPr="0042006C">
              <w:rPr>
                <w:rFonts w:cs="Arial"/>
                <w:color w:val="000000"/>
                <w:sz w:val="20"/>
                <w:szCs w:val="20"/>
              </w:rPr>
              <w:t xml:space="preserve"> </w:t>
            </w:r>
            <w:r w:rsidRPr="0042006C">
              <w:rPr>
                <w:rStyle w:val="hps"/>
                <w:rFonts w:cs="Arial"/>
                <w:color w:val="000000"/>
                <w:sz w:val="20"/>
                <w:szCs w:val="20"/>
              </w:rPr>
              <w:t>to the reduction of</w:t>
            </w:r>
            <w:r w:rsidRPr="0042006C">
              <w:rPr>
                <w:rFonts w:cs="Arial"/>
                <w:color w:val="000000"/>
                <w:sz w:val="20"/>
                <w:szCs w:val="20"/>
              </w:rPr>
              <w:t xml:space="preserve"> </w:t>
            </w:r>
            <w:r w:rsidRPr="0042006C">
              <w:rPr>
                <w:rStyle w:val="hps"/>
                <w:rFonts w:cs="Arial"/>
                <w:color w:val="000000"/>
                <w:sz w:val="20"/>
                <w:szCs w:val="20"/>
              </w:rPr>
              <w:t>greenhouse</w:t>
            </w:r>
            <w:r w:rsidRPr="0042006C">
              <w:rPr>
                <w:rFonts w:cs="Arial"/>
                <w:color w:val="000000"/>
                <w:sz w:val="20"/>
                <w:szCs w:val="20"/>
              </w:rPr>
              <w:t xml:space="preserve"> </w:t>
            </w:r>
            <w:r w:rsidRPr="0042006C">
              <w:rPr>
                <w:rStyle w:val="hps"/>
                <w:rFonts w:cs="Arial"/>
                <w:color w:val="000000"/>
                <w:sz w:val="20"/>
                <w:szCs w:val="20"/>
              </w:rPr>
              <w:t>gas</w:t>
            </w:r>
            <w:r w:rsidRPr="0042006C">
              <w:rPr>
                <w:rFonts w:eastAsia="Calibri" w:cs="Arial"/>
                <w:color w:val="000000"/>
                <w:sz w:val="20"/>
                <w:szCs w:val="20"/>
              </w:rPr>
              <w:t>.</w:t>
            </w:r>
          </w:p>
        </w:tc>
      </w:tr>
      <w:tr w:rsidR="008B7CC2" w:rsidRPr="0042006C" w:rsidTr="00BF3E32">
        <w:trPr>
          <w:jc w:val="center"/>
        </w:trPr>
        <w:tc>
          <w:tcPr>
            <w:tcW w:w="87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Fonts w:eastAsia="Calibri" w:cs="Arial"/>
                <w:color w:val="000000"/>
                <w:sz w:val="20"/>
                <w:szCs w:val="20"/>
              </w:rPr>
              <w:t xml:space="preserve">Sustainable transport strategy </w:t>
            </w:r>
          </w:p>
        </w:tc>
        <w:tc>
          <w:tcPr>
            <w:tcW w:w="2313"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Fonts w:eastAsia="Calibri" w:cs="Arial"/>
                <w:color w:val="000000"/>
                <w:sz w:val="20"/>
                <w:szCs w:val="20"/>
              </w:rPr>
            </w:pPr>
            <w:r w:rsidRPr="0042006C">
              <w:rPr>
                <w:rFonts w:eastAsia="Calibri" w:cs="Arial"/>
                <w:color w:val="000000"/>
                <w:sz w:val="20"/>
                <w:szCs w:val="20"/>
              </w:rPr>
              <w:t>Sets the priority projects in transport identified by Romania together with EU which should be achieved by 2015.</w:t>
            </w:r>
          </w:p>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The overall objective</w:t>
            </w:r>
            <w:r w:rsidRPr="0042006C">
              <w:rPr>
                <w:rFonts w:cs="Arial"/>
                <w:color w:val="000000"/>
                <w:sz w:val="20"/>
                <w:szCs w:val="20"/>
              </w:rPr>
              <w:t xml:space="preserve"> </w:t>
            </w:r>
            <w:r w:rsidRPr="0042006C">
              <w:rPr>
                <w:rStyle w:val="hps"/>
                <w:rFonts w:cs="Arial"/>
                <w:color w:val="000000"/>
                <w:sz w:val="20"/>
                <w:szCs w:val="20"/>
              </w:rPr>
              <w:t>is to develop</w:t>
            </w:r>
            <w:r w:rsidRPr="0042006C">
              <w:rPr>
                <w:rFonts w:cs="Arial"/>
                <w:color w:val="000000"/>
                <w:sz w:val="20"/>
                <w:szCs w:val="20"/>
              </w:rPr>
              <w:t xml:space="preserve"> </w:t>
            </w:r>
            <w:r w:rsidRPr="0042006C">
              <w:rPr>
                <w:rStyle w:val="hps"/>
                <w:rFonts w:cs="Arial"/>
                <w:color w:val="000000"/>
                <w:sz w:val="20"/>
                <w:szCs w:val="20"/>
              </w:rPr>
              <w:t>balanced</w:t>
            </w:r>
            <w:r w:rsidRPr="0042006C">
              <w:rPr>
                <w:rFonts w:cs="Arial"/>
                <w:color w:val="000000"/>
                <w:sz w:val="20"/>
                <w:szCs w:val="20"/>
              </w:rPr>
              <w:t xml:space="preserve"> </w:t>
            </w:r>
            <w:r w:rsidRPr="0042006C">
              <w:rPr>
                <w:rStyle w:val="hps"/>
                <w:rFonts w:cs="Arial"/>
                <w:color w:val="000000"/>
                <w:sz w:val="20"/>
                <w:szCs w:val="20"/>
              </w:rPr>
              <w:t>national transportation system</w:t>
            </w:r>
            <w:r w:rsidRPr="0042006C">
              <w:rPr>
                <w:rFonts w:cs="Arial"/>
                <w:color w:val="000000"/>
                <w:sz w:val="20"/>
                <w:szCs w:val="20"/>
              </w:rPr>
              <w:t xml:space="preserve"> </w:t>
            </w:r>
            <w:r w:rsidRPr="0042006C">
              <w:rPr>
                <w:rStyle w:val="hps"/>
                <w:rFonts w:cs="Arial"/>
                <w:color w:val="000000"/>
                <w:sz w:val="20"/>
                <w:szCs w:val="20"/>
              </w:rPr>
              <w:t>to provide</w:t>
            </w:r>
            <w:r w:rsidRPr="0042006C">
              <w:rPr>
                <w:rFonts w:cs="Arial"/>
                <w:color w:val="000000"/>
                <w:sz w:val="20"/>
                <w:szCs w:val="20"/>
              </w:rPr>
              <w:t xml:space="preserve"> </w:t>
            </w:r>
            <w:r w:rsidRPr="0042006C">
              <w:rPr>
                <w:rStyle w:val="hps"/>
                <w:rFonts w:cs="Arial"/>
                <w:color w:val="000000"/>
                <w:sz w:val="20"/>
                <w:szCs w:val="20"/>
              </w:rPr>
              <w:t>infrastructure</w:t>
            </w:r>
            <w:r w:rsidRPr="0042006C">
              <w:rPr>
                <w:rFonts w:cs="Arial"/>
                <w:color w:val="000000"/>
                <w:sz w:val="20"/>
                <w:szCs w:val="20"/>
              </w:rPr>
              <w:t xml:space="preserve"> </w:t>
            </w:r>
            <w:r w:rsidRPr="0042006C">
              <w:rPr>
                <w:rStyle w:val="hps"/>
                <w:rFonts w:cs="Arial"/>
                <w:color w:val="000000"/>
                <w:sz w:val="20"/>
                <w:szCs w:val="20"/>
              </w:rPr>
              <w:t>and transport services,</w:t>
            </w:r>
            <w:r w:rsidRPr="0042006C">
              <w:rPr>
                <w:rFonts w:cs="Arial"/>
                <w:color w:val="000000"/>
                <w:sz w:val="20"/>
                <w:szCs w:val="20"/>
              </w:rPr>
              <w:t xml:space="preserve"> </w:t>
            </w:r>
            <w:r w:rsidRPr="0042006C">
              <w:rPr>
                <w:rStyle w:val="hps"/>
                <w:rFonts w:cs="Arial"/>
                <w:color w:val="000000"/>
                <w:sz w:val="20"/>
                <w:szCs w:val="20"/>
              </w:rPr>
              <w:t>sustainable development</w:t>
            </w:r>
            <w:r w:rsidRPr="0042006C">
              <w:rPr>
                <w:rFonts w:cs="Arial"/>
                <w:color w:val="000000"/>
                <w:sz w:val="20"/>
                <w:szCs w:val="20"/>
              </w:rPr>
              <w:t xml:space="preserve"> </w:t>
            </w:r>
            <w:r w:rsidRPr="0042006C">
              <w:rPr>
                <w:rStyle w:val="hps"/>
                <w:rFonts w:cs="Arial"/>
                <w:color w:val="000000"/>
                <w:sz w:val="20"/>
                <w:szCs w:val="20"/>
              </w:rPr>
              <w:t>of economy and</w:t>
            </w:r>
            <w:r w:rsidRPr="0042006C">
              <w:rPr>
                <w:rFonts w:cs="Arial"/>
                <w:color w:val="000000"/>
                <w:sz w:val="20"/>
                <w:szCs w:val="20"/>
              </w:rPr>
              <w:t xml:space="preserve"> </w:t>
            </w:r>
            <w:r w:rsidRPr="0042006C">
              <w:rPr>
                <w:rStyle w:val="hps"/>
                <w:rFonts w:cs="Arial"/>
                <w:color w:val="000000"/>
                <w:sz w:val="20"/>
                <w:szCs w:val="20"/>
              </w:rPr>
              <w:t>quality of life</w:t>
            </w:r>
            <w:r w:rsidRPr="0042006C">
              <w:rPr>
                <w:rFonts w:eastAsia="Calibri" w:cs="Arial"/>
                <w:color w:val="000000"/>
                <w:sz w:val="20"/>
                <w:szCs w:val="20"/>
              </w:rPr>
              <w:t>.</w:t>
            </w:r>
          </w:p>
          <w:p w:rsidR="008B7CC2" w:rsidRPr="0042006C" w:rsidRDefault="008B7CC2" w:rsidP="00BF3E32">
            <w:pPr>
              <w:autoSpaceDE w:val="0"/>
              <w:autoSpaceDN w:val="0"/>
              <w:adjustRightInd w:val="0"/>
              <w:rPr>
                <w:rFonts w:eastAsia="Calibri" w:cs="Arial"/>
                <w:color w:val="000000"/>
                <w:sz w:val="20"/>
                <w:szCs w:val="20"/>
              </w:rPr>
            </w:pPr>
            <w:r w:rsidRPr="0042006C">
              <w:rPr>
                <w:rStyle w:val="hps"/>
                <w:rFonts w:cs="Arial"/>
                <w:color w:val="000000"/>
                <w:sz w:val="20"/>
                <w:szCs w:val="20"/>
              </w:rPr>
              <w:t>The specific objectives</w:t>
            </w:r>
            <w:r w:rsidRPr="0042006C">
              <w:rPr>
                <w:rFonts w:cs="Arial"/>
                <w:color w:val="000000"/>
                <w:sz w:val="20"/>
                <w:szCs w:val="20"/>
              </w:rPr>
              <w:t xml:space="preserve"> </w:t>
            </w:r>
            <w:r w:rsidRPr="0042006C">
              <w:rPr>
                <w:rStyle w:val="hps"/>
                <w:rFonts w:cs="Arial"/>
                <w:color w:val="000000"/>
                <w:sz w:val="20"/>
                <w:szCs w:val="20"/>
              </w:rPr>
              <w:t>envisaged for</w:t>
            </w:r>
            <w:r w:rsidRPr="0042006C">
              <w:rPr>
                <w:rFonts w:cs="Arial"/>
                <w:color w:val="000000"/>
                <w:sz w:val="20"/>
                <w:szCs w:val="20"/>
              </w:rPr>
              <w:t xml:space="preserve"> </w:t>
            </w:r>
            <w:r w:rsidRPr="0042006C">
              <w:rPr>
                <w:rStyle w:val="hps"/>
                <w:rFonts w:cs="Arial"/>
                <w:color w:val="000000"/>
                <w:sz w:val="20"/>
                <w:szCs w:val="20"/>
              </w:rPr>
              <w:t>the overall objective</w:t>
            </w:r>
            <w:r w:rsidRPr="0042006C">
              <w:rPr>
                <w:rFonts w:cs="Arial"/>
                <w:color w:val="000000"/>
                <w:sz w:val="20"/>
                <w:szCs w:val="20"/>
              </w:rPr>
              <w:t xml:space="preserve"> </w:t>
            </w:r>
            <w:r w:rsidRPr="0042006C">
              <w:rPr>
                <w:rStyle w:val="hps"/>
                <w:rFonts w:cs="Arial"/>
                <w:color w:val="000000"/>
                <w:sz w:val="20"/>
                <w:szCs w:val="20"/>
              </w:rPr>
              <w:t>are the following</w:t>
            </w:r>
            <w:r w:rsidRPr="0042006C">
              <w:rPr>
                <w:rFonts w:eastAsia="Calibri" w:cs="Arial"/>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Fonts w:eastAsia="Calibri" w:cs="Arial"/>
                <w:bCs/>
                <w:color w:val="000000"/>
                <w:sz w:val="20"/>
                <w:szCs w:val="20"/>
              </w:rPr>
              <w:t>modernization and development of the transport network of European and national interest;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increase</w:t>
            </w:r>
            <w:r w:rsidRPr="0042006C">
              <w:rPr>
                <w:rStyle w:val="shorttext"/>
                <w:rFonts w:cs="Arial"/>
                <w:color w:val="000000"/>
                <w:sz w:val="20"/>
                <w:szCs w:val="20"/>
              </w:rPr>
              <w:t xml:space="preserve"> </w:t>
            </w:r>
            <w:r w:rsidRPr="0042006C">
              <w:rPr>
                <w:rStyle w:val="hps"/>
                <w:rFonts w:cs="Arial"/>
                <w:color w:val="000000"/>
                <w:sz w:val="20"/>
                <w:szCs w:val="20"/>
              </w:rPr>
              <w:t>the safety and</w:t>
            </w:r>
            <w:r w:rsidRPr="0042006C">
              <w:rPr>
                <w:rStyle w:val="shorttext"/>
                <w:rFonts w:cs="Arial"/>
                <w:color w:val="000000"/>
                <w:sz w:val="20"/>
                <w:szCs w:val="20"/>
              </w:rPr>
              <w:t xml:space="preserve"> </w:t>
            </w:r>
            <w:r w:rsidRPr="0042006C">
              <w:rPr>
                <w:rStyle w:val="hps"/>
                <w:rFonts w:cs="Arial"/>
                <w:color w:val="000000"/>
                <w:sz w:val="20"/>
                <w:szCs w:val="20"/>
              </w:rPr>
              <w:t>quality of services</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liberalization</w:t>
            </w:r>
            <w:r w:rsidRPr="0042006C">
              <w:rPr>
                <w:rStyle w:val="shorttext"/>
                <w:rFonts w:cs="Arial"/>
                <w:color w:val="000000"/>
                <w:sz w:val="20"/>
                <w:szCs w:val="20"/>
              </w:rPr>
              <w:t xml:space="preserve"> </w:t>
            </w:r>
            <w:r w:rsidRPr="0042006C">
              <w:rPr>
                <w:rStyle w:val="hps"/>
                <w:rFonts w:cs="Arial"/>
                <w:color w:val="000000"/>
                <w:sz w:val="20"/>
                <w:szCs w:val="20"/>
              </w:rPr>
              <w:t>of internal</w:t>
            </w:r>
            <w:r w:rsidRPr="0042006C">
              <w:rPr>
                <w:rStyle w:val="shorttext"/>
                <w:rFonts w:cs="Arial"/>
                <w:color w:val="000000"/>
                <w:sz w:val="20"/>
                <w:szCs w:val="20"/>
              </w:rPr>
              <w:t xml:space="preserve"> </w:t>
            </w:r>
            <w:r w:rsidRPr="0042006C">
              <w:rPr>
                <w:rStyle w:val="hps"/>
                <w:rFonts w:cs="Arial"/>
                <w:color w:val="000000"/>
                <w:sz w:val="20"/>
                <w:szCs w:val="20"/>
              </w:rPr>
              <w:t>transport</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stimulate</w:t>
            </w:r>
            <w:r w:rsidRPr="0042006C">
              <w:rPr>
                <w:rStyle w:val="shorttext"/>
                <w:rFonts w:cs="Arial"/>
                <w:color w:val="000000"/>
                <w:sz w:val="20"/>
                <w:szCs w:val="20"/>
              </w:rPr>
              <w:t xml:space="preserve"> </w:t>
            </w:r>
            <w:r w:rsidRPr="0042006C">
              <w:rPr>
                <w:rStyle w:val="hps"/>
                <w:rFonts w:cs="Arial"/>
                <w:color w:val="000000"/>
                <w:sz w:val="20"/>
                <w:szCs w:val="20"/>
              </w:rPr>
              <w:t>economic development</w:t>
            </w:r>
            <w:r w:rsidRPr="0042006C">
              <w:rPr>
                <w:rStyle w:val="shorttext"/>
                <w:rFonts w:cs="Arial"/>
                <w:color w:val="000000"/>
                <w:sz w:val="20"/>
                <w:szCs w:val="20"/>
              </w:rPr>
              <w:t xml:space="preserve"> </w:t>
            </w:r>
            <w:r w:rsidRPr="0042006C">
              <w:rPr>
                <w:rStyle w:val="hps"/>
                <w:rFonts w:cs="Arial"/>
                <w:color w:val="000000"/>
                <w:sz w:val="20"/>
                <w:szCs w:val="20"/>
              </w:rPr>
              <w:t>and competitiveness</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strengthening</w:t>
            </w:r>
            <w:r w:rsidRPr="0042006C">
              <w:rPr>
                <w:rFonts w:cs="Arial"/>
                <w:color w:val="000000"/>
                <w:sz w:val="20"/>
                <w:szCs w:val="20"/>
              </w:rPr>
              <w:t xml:space="preserve"> </w:t>
            </w:r>
            <w:r w:rsidRPr="0042006C">
              <w:rPr>
                <w:rStyle w:val="hps"/>
                <w:rFonts w:cs="Arial"/>
                <w:color w:val="000000"/>
                <w:sz w:val="20"/>
                <w:szCs w:val="20"/>
              </w:rPr>
              <w:t>social and territorial cohesion</w:t>
            </w:r>
            <w:r w:rsidRPr="0042006C">
              <w:rPr>
                <w:rFonts w:cs="Arial"/>
                <w:color w:val="000000"/>
                <w:sz w:val="20"/>
                <w:szCs w:val="20"/>
              </w:rPr>
              <w:t xml:space="preserve"> </w:t>
            </w:r>
            <w:r w:rsidRPr="0042006C">
              <w:rPr>
                <w:rStyle w:val="hps"/>
                <w:rFonts w:cs="Arial"/>
                <w:color w:val="000000"/>
                <w:sz w:val="20"/>
                <w:szCs w:val="20"/>
              </w:rPr>
              <w:t>at regional</w:t>
            </w:r>
            <w:r w:rsidRPr="0042006C">
              <w:rPr>
                <w:rFonts w:cs="Arial"/>
                <w:color w:val="000000"/>
                <w:sz w:val="20"/>
                <w:szCs w:val="20"/>
              </w:rPr>
              <w:t xml:space="preserve"> </w:t>
            </w:r>
            <w:r w:rsidRPr="0042006C">
              <w:rPr>
                <w:rStyle w:val="hps"/>
                <w:rFonts w:cs="Arial"/>
                <w:color w:val="000000"/>
                <w:sz w:val="20"/>
                <w:szCs w:val="20"/>
              </w:rPr>
              <w:t>and national</w:t>
            </w:r>
            <w:r w:rsidRPr="0042006C">
              <w:rPr>
                <w:rFonts w:eastAsia="Calibri" w:cs="Arial"/>
                <w:bCs/>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color w:val="000000"/>
                <w:sz w:val="20"/>
                <w:szCs w:val="20"/>
              </w:rPr>
            </w:pPr>
            <w:r w:rsidRPr="0042006C">
              <w:rPr>
                <w:rStyle w:val="hps"/>
                <w:rFonts w:cs="Arial"/>
                <w:color w:val="000000"/>
                <w:sz w:val="20"/>
                <w:szCs w:val="20"/>
              </w:rPr>
              <w:t>Compatibility</w:t>
            </w:r>
            <w:r w:rsidRPr="0042006C">
              <w:rPr>
                <w:rStyle w:val="shorttext"/>
                <w:rFonts w:cs="Arial"/>
                <w:color w:val="000000"/>
                <w:sz w:val="20"/>
                <w:szCs w:val="20"/>
              </w:rPr>
              <w:t xml:space="preserve"> </w:t>
            </w:r>
            <w:r w:rsidRPr="0042006C">
              <w:rPr>
                <w:rStyle w:val="hps"/>
                <w:rFonts w:cs="Arial"/>
                <w:color w:val="000000"/>
                <w:sz w:val="20"/>
                <w:szCs w:val="20"/>
              </w:rPr>
              <w:t>with the environment</w:t>
            </w:r>
            <w:r w:rsidRPr="0042006C">
              <w:rPr>
                <w:rFonts w:eastAsia="Calibri" w:cs="Arial"/>
                <w:color w:val="000000"/>
                <w:sz w:val="20"/>
                <w:szCs w:val="20"/>
              </w:rPr>
              <w:t>.</w:t>
            </w:r>
          </w:p>
        </w:tc>
        <w:tc>
          <w:tcPr>
            <w:tcW w:w="696"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jc w:val="center"/>
              <w:rPr>
                <w:rFonts w:eastAsia="Calibri" w:cs="Arial"/>
                <w:color w:val="000000"/>
                <w:sz w:val="20"/>
                <w:szCs w:val="20"/>
              </w:rPr>
            </w:pPr>
            <w:r w:rsidRPr="0042006C">
              <w:rPr>
                <w:rFonts w:eastAsia="Calibri" w:cs="Arial"/>
                <w:color w:val="000000"/>
                <w:sz w:val="20"/>
                <w:szCs w:val="20"/>
              </w:rPr>
              <w:t>2007-2013, 2020, 2030</w:t>
            </w:r>
          </w:p>
        </w:tc>
        <w:tc>
          <w:tcPr>
            <w:tcW w:w="112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Style w:val="hps"/>
                <w:rFonts w:cs="Arial"/>
                <w:color w:val="000000"/>
                <w:sz w:val="20"/>
                <w:szCs w:val="20"/>
              </w:rPr>
              <w:t>General Transport</w:t>
            </w:r>
            <w:r w:rsidRPr="0042006C">
              <w:rPr>
                <w:rFonts w:cs="Arial"/>
                <w:color w:val="000000"/>
                <w:sz w:val="20"/>
                <w:szCs w:val="20"/>
              </w:rPr>
              <w:t xml:space="preserve"> </w:t>
            </w:r>
            <w:r w:rsidRPr="0042006C">
              <w:rPr>
                <w:rStyle w:val="hps"/>
                <w:rFonts w:cs="Arial"/>
                <w:color w:val="000000"/>
                <w:sz w:val="20"/>
                <w:szCs w:val="20"/>
              </w:rPr>
              <w:t>Master</w:t>
            </w:r>
            <w:r w:rsidRPr="0042006C">
              <w:rPr>
                <w:rFonts w:cs="Arial"/>
                <w:color w:val="000000"/>
                <w:sz w:val="20"/>
                <w:szCs w:val="20"/>
              </w:rPr>
              <w:t xml:space="preserve"> </w:t>
            </w:r>
            <w:r w:rsidRPr="0042006C">
              <w:rPr>
                <w:rStyle w:val="hps"/>
                <w:rFonts w:cs="Arial"/>
                <w:color w:val="000000"/>
                <w:sz w:val="20"/>
                <w:szCs w:val="20"/>
              </w:rPr>
              <w:t>Plan</w:t>
            </w:r>
            <w:r w:rsidRPr="0042006C">
              <w:rPr>
                <w:rFonts w:cs="Arial"/>
                <w:color w:val="000000"/>
                <w:sz w:val="20"/>
                <w:szCs w:val="20"/>
              </w:rPr>
              <w:t xml:space="preserve"> </w:t>
            </w:r>
            <w:r w:rsidRPr="0042006C">
              <w:rPr>
                <w:rStyle w:val="hps"/>
                <w:rFonts w:cs="Arial"/>
                <w:color w:val="000000"/>
                <w:sz w:val="20"/>
                <w:szCs w:val="20"/>
              </w:rPr>
              <w:t>will</w:t>
            </w:r>
            <w:r w:rsidRPr="0042006C">
              <w:rPr>
                <w:rFonts w:cs="Arial"/>
                <w:color w:val="000000"/>
                <w:sz w:val="20"/>
                <w:szCs w:val="20"/>
              </w:rPr>
              <w:t xml:space="preserve"> </w:t>
            </w:r>
            <w:r w:rsidRPr="0042006C">
              <w:rPr>
                <w:rStyle w:val="hps"/>
                <w:rFonts w:cs="Arial"/>
                <w:color w:val="000000"/>
                <w:sz w:val="20"/>
                <w:szCs w:val="20"/>
              </w:rPr>
              <w:t>propose a list of</w:t>
            </w:r>
            <w:r w:rsidRPr="0042006C">
              <w:rPr>
                <w:rFonts w:cs="Arial"/>
                <w:color w:val="000000"/>
                <w:sz w:val="20"/>
                <w:szCs w:val="20"/>
              </w:rPr>
              <w:t xml:space="preserve"> </w:t>
            </w:r>
            <w:r w:rsidRPr="0042006C">
              <w:rPr>
                <w:rStyle w:val="hps"/>
                <w:rFonts w:cs="Arial"/>
                <w:color w:val="000000"/>
                <w:sz w:val="20"/>
                <w:szCs w:val="20"/>
              </w:rPr>
              <w:t>priority investments</w:t>
            </w:r>
            <w:r w:rsidRPr="0042006C">
              <w:rPr>
                <w:rFonts w:cs="Arial"/>
                <w:color w:val="000000"/>
                <w:sz w:val="20"/>
                <w:szCs w:val="20"/>
              </w:rPr>
              <w:t xml:space="preserve"> </w:t>
            </w:r>
            <w:r w:rsidRPr="0042006C">
              <w:rPr>
                <w:rStyle w:val="hps"/>
                <w:rFonts w:cs="Arial"/>
                <w:color w:val="000000"/>
                <w:sz w:val="20"/>
                <w:szCs w:val="20"/>
              </w:rPr>
              <w:t>selected by</w:t>
            </w:r>
            <w:r w:rsidRPr="0042006C">
              <w:rPr>
                <w:rFonts w:cs="Arial"/>
                <w:color w:val="000000"/>
                <w:sz w:val="20"/>
                <w:szCs w:val="20"/>
              </w:rPr>
              <w:t xml:space="preserve"> </w:t>
            </w:r>
            <w:r w:rsidRPr="0042006C">
              <w:rPr>
                <w:rStyle w:val="hps"/>
                <w:rFonts w:cs="Arial"/>
                <w:color w:val="000000"/>
                <w:sz w:val="20"/>
                <w:szCs w:val="20"/>
              </w:rPr>
              <w:t>specific selection criteria</w:t>
            </w:r>
            <w:r w:rsidRPr="0042006C">
              <w:rPr>
                <w:rFonts w:cs="Arial"/>
                <w:color w:val="000000"/>
                <w:sz w:val="20"/>
                <w:szCs w:val="20"/>
              </w:rPr>
              <w:t xml:space="preserve"> </w:t>
            </w:r>
            <w:r w:rsidRPr="0042006C">
              <w:rPr>
                <w:rStyle w:val="hps"/>
                <w:rFonts w:cs="Arial"/>
                <w:color w:val="000000"/>
                <w:sz w:val="20"/>
                <w:szCs w:val="20"/>
              </w:rPr>
              <w:t>taking into account the</w:t>
            </w:r>
            <w:r w:rsidRPr="0042006C">
              <w:rPr>
                <w:rFonts w:cs="Arial"/>
                <w:color w:val="000000"/>
                <w:sz w:val="20"/>
                <w:szCs w:val="20"/>
              </w:rPr>
              <w:t xml:space="preserve"> </w:t>
            </w:r>
            <w:r w:rsidRPr="0042006C">
              <w:rPr>
                <w:rStyle w:val="hps"/>
                <w:rFonts w:cs="Arial"/>
                <w:color w:val="000000"/>
                <w:sz w:val="20"/>
                <w:szCs w:val="20"/>
              </w:rPr>
              <w:t>provisions of</w:t>
            </w:r>
            <w:r w:rsidRPr="0042006C">
              <w:rPr>
                <w:rFonts w:cs="Arial"/>
                <w:color w:val="000000"/>
                <w:sz w:val="20"/>
                <w:szCs w:val="20"/>
              </w:rPr>
              <w:t xml:space="preserve"> </w:t>
            </w:r>
            <w:r w:rsidRPr="0042006C">
              <w:rPr>
                <w:rStyle w:val="hps"/>
                <w:rFonts w:cs="Arial"/>
                <w:color w:val="000000"/>
                <w:sz w:val="20"/>
                <w:szCs w:val="20"/>
              </w:rPr>
              <w:t>sustainable transport</w:t>
            </w:r>
            <w:r w:rsidRPr="0042006C">
              <w:rPr>
                <w:rFonts w:cs="Arial"/>
                <w:color w:val="000000"/>
                <w:sz w:val="20"/>
                <w:szCs w:val="20"/>
              </w:rPr>
              <w:t xml:space="preserve"> </w:t>
            </w:r>
            <w:r w:rsidRPr="0042006C">
              <w:rPr>
                <w:rStyle w:val="hps"/>
                <w:rFonts w:cs="Arial"/>
                <w:color w:val="000000"/>
                <w:sz w:val="20"/>
                <w:szCs w:val="20"/>
              </w:rPr>
              <w:t>strategy</w:t>
            </w:r>
            <w:r w:rsidRPr="0042006C">
              <w:rPr>
                <w:rFonts w:cs="Arial"/>
                <w:color w:val="000000"/>
                <w:sz w:val="20"/>
                <w:szCs w:val="20"/>
              </w:rPr>
              <w:t xml:space="preserve">. </w:t>
            </w:r>
            <w:r w:rsidRPr="0042006C">
              <w:rPr>
                <w:rStyle w:val="hps"/>
                <w:rFonts w:cs="Arial"/>
                <w:color w:val="000000"/>
                <w:sz w:val="20"/>
                <w:szCs w:val="20"/>
              </w:rPr>
              <w:t>Proposed investments</w:t>
            </w:r>
            <w:r w:rsidRPr="0042006C">
              <w:rPr>
                <w:rFonts w:cs="Arial"/>
                <w:color w:val="000000"/>
                <w:sz w:val="20"/>
                <w:szCs w:val="20"/>
              </w:rPr>
              <w:t xml:space="preserve"> </w:t>
            </w:r>
            <w:r w:rsidRPr="0042006C">
              <w:rPr>
                <w:rStyle w:val="hps"/>
                <w:rFonts w:cs="Arial"/>
                <w:color w:val="000000"/>
                <w:sz w:val="20"/>
                <w:szCs w:val="20"/>
              </w:rPr>
              <w:t>by</w:t>
            </w:r>
            <w:r w:rsidRPr="0042006C">
              <w:rPr>
                <w:rFonts w:cs="Arial"/>
                <w:color w:val="000000"/>
                <w:sz w:val="20"/>
                <w:szCs w:val="20"/>
              </w:rPr>
              <w:t xml:space="preserve"> </w:t>
            </w:r>
            <w:r w:rsidRPr="0042006C">
              <w:rPr>
                <w:rStyle w:val="hps"/>
                <w:rFonts w:cs="Arial"/>
                <w:color w:val="000000"/>
                <w:sz w:val="20"/>
                <w:szCs w:val="20"/>
              </w:rPr>
              <w:t>GTMP consider the following</w:t>
            </w:r>
            <w:r w:rsidRPr="0042006C">
              <w:rPr>
                <w:rFonts w:eastAsia="Calibri" w:cs="Arial"/>
                <w:color w:val="000000"/>
                <w:sz w:val="20"/>
                <w:szCs w:val="20"/>
              </w:rPr>
              <w: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development of</w:t>
            </w:r>
            <w:r w:rsidRPr="0042006C">
              <w:rPr>
                <w:rStyle w:val="shorttext"/>
                <w:rFonts w:cs="Arial"/>
                <w:color w:val="000000"/>
                <w:sz w:val="20"/>
                <w:szCs w:val="20"/>
              </w:rPr>
              <w:t xml:space="preserve"> </w:t>
            </w:r>
            <w:r w:rsidRPr="0042006C">
              <w:rPr>
                <w:rStyle w:val="hps"/>
                <w:rFonts w:cs="Arial"/>
                <w:color w:val="000000"/>
                <w:sz w:val="20"/>
                <w:szCs w:val="20"/>
              </w:rPr>
              <w:t>transportation infrastructure</w:t>
            </w:r>
            <w:r w:rsidRPr="0042006C">
              <w:rPr>
                <w:rFonts w:eastAsia="Calibri" w:cs="Arial"/>
                <w:bCs/>
                <w:color w:val="000000"/>
                <w:sz w:val="20"/>
                <w:szCs w:val="20"/>
              </w:rPr>
              <w:t xml:space="preserve">  </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improvement and</w:t>
            </w:r>
            <w:r w:rsidRPr="0042006C">
              <w:rPr>
                <w:rStyle w:val="shorttext"/>
                <w:rFonts w:cs="Arial"/>
                <w:color w:val="000000"/>
                <w:sz w:val="20"/>
                <w:szCs w:val="20"/>
              </w:rPr>
              <w:t xml:space="preserve"> </w:t>
            </w:r>
            <w:r w:rsidRPr="0042006C">
              <w:rPr>
                <w:rStyle w:val="hps"/>
                <w:rFonts w:cs="Arial"/>
                <w:color w:val="000000"/>
                <w:sz w:val="20"/>
                <w:szCs w:val="20"/>
              </w:rPr>
              <w:t>efficient</w:t>
            </w:r>
            <w:r w:rsidRPr="0042006C">
              <w:rPr>
                <w:rStyle w:val="shorttext"/>
                <w:rFonts w:cs="Arial"/>
                <w:color w:val="000000"/>
                <w:sz w:val="20"/>
                <w:szCs w:val="20"/>
              </w:rPr>
              <w:t xml:space="preserve"> </w:t>
            </w:r>
            <w:r w:rsidRPr="0042006C">
              <w:rPr>
                <w:rStyle w:val="hps"/>
                <w:rFonts w:cs="Arial"/>
                <w:color w:val="000000"/>
                <w:sz w:val="20"/>
                <w:szCs w:val="20"/>
              </w:rPr>
              <w:t>rail infrastructure</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Fonts w:eastAsia="Calibri" w:cs="Arial"/>
                <w:bCs/>
                <w:color w:val="000000"/>
                <w:sz w:val="20"/>
                <w:szCs w:val="20"/>
              </w:rPr>
              <w:t>development of intermodal transport</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improvement of</w:t>
            </w:r>
            <w:r w:rsidRPr="0042006C">
              <w:rPr>
                <w:rStyle w:val="shorttext"/>
                <w:rFonts w:cs="Arial"/>
                <w:color w:val="000000"/>
                <w:sz w:val="20"/>
                <w:szCs w:val="20"/>
              </w:rPr>
              <w:t xml:space="preserve"> </w:t>
            </w:r>
            <w:r w:rsidRPr="0042006C">
              <w:rPr>
                <w:rStyle w:val="hps"/>
                <w:rFonts w:cs="Arial"/>
                <w:color w:val="000000"/>
                <w:sz w:val="20"/>
                <w:szCs w:val="20"/>
              </w:rPr>
              <w:t>air transport infrastructure</w:t>
            </w:r>
          </w:p>
        </w:tc>
      </w:tr>
      <w:tr w:rsidR="008B7CC2" w:rsidRPr="0042006C" w:rsidTr="00BF3E32">
        <w:trPr>
          <w:cantSplit/>
          <w:trHeight w:val="1134"/>
          <w:jc w:val="center"/>
        </w:trPr>
        <w:tc>
          <w:tcPr>
            <w:tcW w:w="87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rPr>
                <w:rFonts w:eastAsia="Calibri" w:cs="Arial"/>
                <w:color w:val="000000"/>
                <w:sz w:val="20"/>
                <w:szCs w:val="20"/>
              </w:rPr>
            </w:pPr>
            <w:r w:rsidRPr="0042006C">
              <w:rPr>
                <w:rStyle w:val="hps"/>
                <w:rFonts w:cs="Arial"/>
                <w:color w:val="000000"/>
                <w:sz w:val="20"/>
                <w:szCs w:val="20"/>
              </w:rPr>
              <w:t>Convention</w:t>
            </w:r>
            <w:r w:rsidRPr="0042006C">
              <w:rPr>
                <w:rFonts w:cs="Arial"/>
                <w:color w:val="000000"/>
                <w:sz w:val="20"/>
                <w:szCs w:val="20"/>
              </w:rPr>
              <w:t xml:space="preserve"> </w:t>
            </w:r>
            <w:r w:rsidRPr="0042006C">
              <w:rPr>
                <w:rStyle w:val="hps"/>
                <w:rFonts w:cs="Arial"/>
                <w:color w:val="000000"/>
                <w:sz w:val="20"/>
                <w:szCs w:val="20"/>
              </w:rPr>
              <w:t>regarding the regime</w:t>
            </w:r>
            <w:r w:rsidRPr="0042006C">
              <w:rPr>
                <w:rFonts w:cs="Arial"/>
                <w:color w:val="000000"/>
                <w:sz w:val="20"/>
                <w:szCs w:val="20"/>
              </w:rPr>
              <w:t xml:space="preserve"> </w:t>
            </w:r>
            <w:r w:rsidRPr="0042006C">
              <w:rPr>
                <w:rStyle w:val="hps"/>
                <w:rFonts w:cs="Arial"/>
                <w:color w:val="000000"/>
                <w:sz w:val="20"/>
                <w:szCs w:val="20"/>
              </w:rPr>
              <w:t>of navigation on</w:t>
            </w:r>
            <w:r w:rsidRPr="0042006C">
              <w:rPr>
                <w:rFonts w:cs="Arial"/>
                <w:color w:val="000000"/>
                <w:sz w:val="20"/>
                <w:szCs w:val="20"/>
              </w:rPr>
              <w:t xml:space="preserve"> </w:t>
            </w:r>
            <w:r w:rsidRPr="0042006C">
              <w:rPr>
                <w:rStyle w:val="hps"/>
                <w:rFonts w:cs="Arial"/>
                <w:color w:val="000000"/>
                <w:sz w:val="20"/>
                <w:szCs w:val="20"/>
              </w:rPr>
              <w:t>the Danube</w:t>
            </w:r>
            <w:r w:rsidRPr="0042006C">
              <w:rPr>
                <w:rFonts w:cs="Arial"/>
                <w:color w:val="000000"/>
                <w:sz w:val="20"/>
                <w:szCs w:val="20"/>
              </w:rPr>
              <w:t xml:space="preserve"> </w:t>
            </w:r>
            <w:r w:rsidRPr="0042006C">
              <w:rPr>
                <w:rStyle w:val="hps"/>
                <w:rFonts w:cs="Arial"/>
                <w:color w:val="000000"/>
                <w:sz w:val="20"/>
                <w:szCs w:val="20"/>
              </w:rPr>
              <w:t>(Belgrade,</w:t>
            </w:r>
            <w:r w:rsidRPr="0042006C">
              <w:rPr>
                <w:rFonts w:cs="Arial"/>
                <w:color w:val="000000"/>
                <w:sz w:val="20"/>
                <w:szCs w:val="20"/>
              </w:rPr>
              <w:t xml:space="preserve"> </w:t>
            </w:r>
            <w:r w:rsidRPr="0042006C">
              <w:rPr>
                <w:rStyle w:val="hps"/>
                <w:rFonts w:cs="Arial"/>
                <w:color w:val="000000"/>
                <w:sz w:val="20"/>
                <w:szCs w:val="20"/>
              </w:rPr>
              <w:t>1948)</w:t>
            </w:r>
            <w:r w:rsidRPr="0042006C">
              <w:rPr>
                <w:rFonts w:cs="Arial"/>
                <w:color w:val="000000"/>
                <w:sz w:val="20"/>
                <w:szCs w:val="20"/>
              </w:rPr>
              <w:t xml:space="preserve">, ratified </w:t>
            </w:r>
            <w:r w:rsidRPr="0042006C">
              <w:rPr>
                <w:rStyle w:val="hps"/>
                <w:rFonts w:cs="Arial"/>
                <w:color w:val="000000"/>
                <w:sz w:val="20"/>
                <w:szCs w:val="20"/>
              </w:rPr>
              <w:t>by Decree</w:t>
            </w:r>
            <w:r w:rsidRPr="0042006C">
              <w:rPr>
                <w:rFonts w:cs="Arial"/>
                <w:color w:val="000000"/>
                <w:sz w:val="20"/>
                <w:szCs w:val="20"/>
              </w:rPr>
              <w:t xml:space="preserve"> </w:t>
            </w:r>
            <w:r w:rsidRPr="0042006C">
              <w:rPr>
                <w:rStyle w:val="hps"/>
                <w:rFonts w:cs="Arial"/>
                <w:color w:val="000000"/>
                <w:sz w:val="20"/>
                <w:szCs w:val="20"/>
              </w:rPr>
              <w:t>no.</w:t>
            </w:r>
            <w:r w:rsidRPr="0042006C">
              <w:rPr>
                <w:rFonts w:cs="Arial"/>
                <w:color w:val="000000"/>
                <w:sz w:val="20"/>
                <w:szCs w:val="20"/>
              </w:rPr>
              <w:t xml:space="preserve"> </w:t>
            </w:r>
            <w:r w:rsidRPr="0042006C">
              <w:rPr>
                <w:rStyle w:val="hps"/>
                <w:rFonts w:cs="Arial"/>
                <w:color w:val="000000"/>
                <w:sz w:val="20"/>
                <w:szCs w:val="20"/>
              </w:rPr>
              <w:t>298 of</w:t>
            </w:r>
            <w:r w:rsidRPr="0042006C">
              <w:rPr>
                <w:rFonts w:cs="Arial"/>
                <w:color w:val="000000"/>
                <w:sz w:val="20"/>
                <w:szCs w:val="20"/>
              </w:rPr>
              <w:t xml:space="preserve"> </w:t>
            </w:r>
            <w:r w:rsidRPr="0042006C">
              <w:rPr>
                <w:rStyle w:val="hps"/>
                <w:rFonts w:cs="Arial"/>
                <w:color w:val="000000"/>
                <w:sz w:val="20"/>
                <w:szCs w:val="20"/>
              </w:rPr>
              <w:t>October 30, 1948</w:t>
            </w:r>
          </w:p>
          <w:p w:rsidR="008B7CC2" w:rsidRPr="0042006C" w:rsidRDefault="008B7CC2" w:rsidP="00BF3E32">
            <w:pPr>
              <w:rPr>
                <w:rFonts w:eastAsia="Calibri" w:cs="Arial"/>
                <w:b/>
                <w:bCs/>
                <w:color w:val="000000"/>
                <w:sz w:val="20"/>
                <w:szCs w:val="20"/>
              </w:rPr>
            </w:pPr>
            <w:r w:rsidRPr="0042006C">
              <w:rPr>
                <w:rStyle w:val="hps"/>
                <w:rFonts w:cs="Arial"/>
                <w:b/>
                <w:color w:val="000000"/>
                <w:sz w:val="20"/>
                <w:szCs w:val="20"/>
              </w:rPr>
              <w:t>Additional Protocol of</w:t>
            </w:r>
            <w:r w:rsidRPr="0042006C">
              <w:rPr>
                <w:rFonts w:cs="Arial"/>
                <w:b/>
                <w:color w:val="000000"/>
                <w:sz w:val="20"/>
                <w:szCs w:val="20"/>
              </w:rPr>
              <w:t xml:space="preserve"> </w:t>
            </w:r>
            <w:r w:rsidRPr="0042006C">
              <w:rPr>
                <w:rStyle w:val="hps"/>
                <w:rFonts w:cs="Arial"/>
                <w:b/>
                <w:color w:val="000000"/>
                <w:sz w:val="20"/>
                <w:szCs w:val="20"/>
              </w:rPr>
              <w:t>26 March 1998</w:t>
            </w:r>
            <w:r w:rsidRPr="0042006C">
              <w:rPr>
                <w:rFonts w:cs="Arial"/>
                <w:b/>
                <w:color w:val="000000"/>
                <w:sz w:val="20"/>
                <w:szCs w:val="20"/>
              </w:rPr>
              <w:t xml:space="preserve"> </w:t>
            </w:r>
            <w:r w:rsidRPr="0042006C">
              <w:rPr>
                <w:rStyle w:val="hps"/>
                <w:rFonts w:cs="Arial"/>
                <w:b/>
                <w:color w:val="000000"/>
                <w:sz w:val="20"/>
                <w:szCs w:val="20"/>
              </w:rPr>
              <w:t xml:space="preserve">to the Convention </w:t>
            </w:r>
            <w:r w:rsidRPr="0042006C">
              <w:rPr>
                <w:rStyle w:val="hps"/>
                <w:rFonts w:cs="Arial"/>
                <w:color w:val="000000"/>
                <w:sz w:val="20"/>
                <w:szCs w:val="20"/>
              </w:rPr>
              <w:t>of</w:t>
            </w:r>
            <w:r w:rsidRPr="0042006C">
              <w:rPr>
                <w:rFonts w:cs="Arial"/>
                <w:color w:val="000000"/>
                <w:sz w:val="20"/>
                <w:szCs w:val="20"/>
              </w:rPr>
              <w:t xml:space="preserve"> </w:t>
            </w:r>
            <w:r w:rsidRPr="0042006C">
              <w:rPr>
                <w:rStyle w:val="hps"/>
                <w:rFonts w:cs="Arial"/>
                <w:color w:val="000000"/>
                <w:sz w:val="20"/>
                <w:szCs w:val="20"/>
              </w:rPr>
              <w:t>18 August 1948</w:t>
            </w:r>
            <w:r w:rsidRPr="0042006C">
              <w:rPr>
                <w:rFonts w:cs="Arial"/>
                <w:b/>
                <w:color w:val="000000"/>
                <w:sz w:val="20"/>
                <w:szCs w:val="20"/>
              </w:rPr>
              <w:t xml:space="preserve"> </w:t>
            </w:r>
            <w:r w:rsidRPr="0042006C">
              <w:rPr>
                <w:rStyle w:val="hps"/>
                <w:rFonts w:cs="Arial"/>
                <w:b/>
                <w:color w:val="000000"/>
                <w:sz w:val="20"/>
                <w:szCs w:val="20"/>
              </w:rPr>
              <w:t>regarding</w:t>
            </w:r>
            <w:r w:rsidRPr="0042006C">
              <w:rPr>
                <w:rFonts w:cs="Arial"/>
                <w:b/>
                <w:color w:val="000000"/>
                <w:sz w:val="20"/>
                <w:szCs w:val="20"/>
              </w:rPr>
              <w:t xml:space="preserve"> </w:t>
            </w:r>
            <w:r w:rsidRPr="0042006C">
              <w:rPr>
                <w:rStyle w:val="hps"/>
                <w:rFonts w:cs="Arial"/>
                <w:b/>
                <w:color w:val="000000"/>
                <w:sz w:val="20"/>
                <w:szCs w:val="20"/>
              </w:rPr>
              <w:t>the regime of navigation</w:t>
            </w:r>
            <w:r w:rsidRPr="0042006C">
              <w:rPr>
                <w:rFonts w:cs="Arial"/>
                <w:b/>
                <w:color w:val="000000"/>
                <w:sz w:val="20"/>
                <w:szCs w:val="20"/>
              </w:rPr>
              <w:t xml:space="preserve"> </w:t>
            </w:r>
            <w:r w:rsidRPr="0042006C">
              <w:rPr>
                <w:rStyle w:val="hps"/>
                <w:rFonts w:cs="Arial"/>
                <w:b/>
                <w:color w:val="000000"/>
                <w:sz w:val="20"/>
                <w:szCs w:val="20"/>
              </w:rPr>
              <w:t>of the Danube</w:t>
            </w:r>
            <w:r w:rsidRPr="0042006C">
              <w:rPr>
                <w:rFonts w:eastAsia="Calibri" w:cs="Arial"/>
                <w:b/>
                <w:bCs/>
                <w:color w:val="000000"/>
                <w:sz w:val="20"/>
                <w:szCs w:val="20"/>
              </w:rPr>
              <w:t>*)</w:t>
            </w:r>
          </w:p>
        </w:tc>
        <w:tc>
          <w:tcPr>
            <w:tcW w:w="2313"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Fonts w:eastAsia="Calibri" w:cs="Arial"/>
                <w:iCs/>
                <w:color w:val="000000"/>
                <w:sz w:val="20"/>
                <w:szCs w:val="20"/>
              </w:rPr>
            </w:pPr>
            <w:r w:rsidRPr="0042006C">
              <w:rPr>
                <w:rStyle w:val="hps"/>
                <w:rFonts w:cs="Arial"/>
                <w:color w:val="000000"/>
                <w:sz w:val="20"/>
                <w:szCs w:val="20"/>
              </w:rPr>
              <w:t>It is an</w:t>
            </w:r>
            <w:r w:rsidRPr="0042006C">
              <w:rPr>
                <w:rFonts w:cs="Arial"/>
                <w:color w:val="000000"/>
                <w:sz w:val="20"/>
                <w:szCs w:val="20"/>
              </w:rPr>
              <w:t xml:space="preserve"> </w:t>
            </w:r>
            <w:r w:rsidRPr="0042006C">
              <w:rPr>
                <w:rStyle w:val="hps"/>
                <w:rFonts w:cs="Arial"/>
                <w:color w:val="000000"/>
                <w:sz w:val="20"/>
                <w:szCs w:val="20"/>
              </w:rPr>
              <w:t>international legal instrument</w:t>
            </w:r>
            <w:r w:rsidRPr="0042006C">
              <w:rPr>
                <w:rFonts w:cs="Arial"/>
                <w:color w:val="000000"/>
                <w:sz w:val="20"/>
                <w:szCs w:val="20"/>
              </w:rPr>
              <w:t xml:space="preserve"> </w:t>
            </w:r>
            <w:r w:rsidRPr="0042006C">
              <w:rPr>
                <w:rStyle w:val="hps"/>
                <w:rFonts w:cs="Arial"/>
                <w:color w:val="000000"/>
                <w:sz w:val="20"/>
                <w:szCs w:val="20"/>
              </w:rPr>
              <w:t>governing</w:t>
            </w:r>
            <w:r w:rsidRPr="0042006C">
              <w:rPr>
                <w:rFonts w:cs="Arial"/>
                <w:color w:val="000000"/>
                <w:sz w:val="20"/>
                <w:szCs w:val="20"/>
              </w:rPr>
              <w:t xml:space="preserve"> </w:t>
            </w:r>
            <w:r w:rsidRPr="0042006C">
              <w:rPr>
                <w:rStyle w:val="hps"/>
                <w:rFonts w:cs="Arial"/>
                <w:color w:val="000000"/>
                <w:sz w:val="20"/>
                <w:szCs w:val="20"/>
              </w:rPr>
              <w:t>navigation on the Danube</w:t>
            </w:r>
            <w:r w:rsidRPr="0042006C">
              <w:rPr>
                <w:rFonts w:eastAsia="Calibri" w:cs="Arial"/>
                <w:iCs/>
                <w:color w:val="000000"/>
                <w:sz w:val="20"/>
                <w:szCs w:val="20"/>
              </w:rPr>
              <w:t>.</w:t>
            </w:r>
            <w:r w:rsidRPr="0042006C">
              <w:rPr>
                <w:rFonts w:eastAsia="Calibri" w:cs="Arial"/>
                <w:color w:val="000000"/>
                <w:sz w:val="20"/>
                <w:szCs w:val="20"/>
              </w:rPr>
              <w:t xml:space="preserve"> </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Navigation on the</w:t>
            </w:r>
            <w:r w:rsidRPr="0042006C">
              <w:rPr>
                <w:rFonts w:cs="Arial"/>
                <w:color w:val="000000"/>
                <w:sz w:val="20"/>
                <w:szCs w:val="20"/>
              </w:rPr>
              <w:t xml:space="preserve"> </w:t>
            </w:r>
            <w:r w:rsidRPr="0042006C">
              <w:rPr>
                <w:rStyle w:val="hps"/>
                <w:rFonts w:cs="Arial"/>
                <w:color w:val="000000"/>
                <w:sz w:val="20"/>
                <w:szCs w:val="20"/>
              </w:rPr>
              <w:t>Danube</w:t>
            </w:r>
            <w:r w:rsidRPr="0042006C">
              <w:rPr>
                <w:rFonts w:cs="Arial"/>
                <w:color w:val="000000"/>
                <w:sz w:val="20"/>
                <w:szCs w:val="20"/>
              </w:rPr>
              <w:t xml:space="preserve"> </w:t>
            </w:r>
            <w:r w:rsidRPr="0042006C">
              <w:rPr>
                <w:rStyle w:val="hps"/>
                <w:rFonts w:cs="Arial"/>
                <w:color w:val="000000"/>
                <w:sz w:val="20"/>
                <w:szCs w:val="20"/>
              </w:rPr>
              <w:t>shall be free</w:t>
            </w:r>
            <w:r w:rsidRPr="0042006C">
              <w:rPr>
                <w:rFonts w:cs="Arial"/>
                <w:color w:val="000000"/>
                <w:sz w:val="20"/>
                <w:szCs w:val="20"/>
              </w:rPr>
              <w:t xml:space="preserve"> </w:t>
            </w:r>
            <w:r w:rsidRPr="0042006C">
              <w:rPr>
                <w:rStyle w:val="hps"/>
                <w:rFonts w:cs="Arial"/>
                <w:color w:val="000000"/>
                <w:sz w:val="20"/>
                <w:szCs w:val="20"/>
              </w:rPr>
              <w:t>and open to</w:t>
            </w:r>
            <w:r w:rsidRPr="0042006C">
              <w:rPr>
                <w:rFonts w:cs="Arial"/>
                <w:color w:val="000000"/>
                <w:sz w:val="20"/>
                <w:szCs w:val="20"/>
              </w:rPr>
              <w:t xml:space="preserve"> </w:t>
            </w:r>
            <w:r w:rsidRPr="0042006C">
              <w:rPr>
                <w:rStyle w:val="hps"/>
                <w:rFonts w:cs="Arial"/>
                <w:color w:val="000000"/>
                <w:sz w:val="20"/>
                <w:szCs w:val="20"/>
              </w:rPr>
              <w:t>trade</w:t>
            </w:r>
            <w:r w:rsidRPr="0042006C">
              <w:rPr>
                <w:rFonts w:cs="Arial"/>
                <w:color w:val="000000"/>
                <w:sz w:val="20"/>
                <w:szCs w:val="20"/>
              </w:rPr>
              <w:t xml:space="preserve"> </w:t>
            </w:r>
            <w:r w:rsidRPr="0042006C">
              <w:rPr>
                <w:rStyle w:val="hps"/>
                <w:rFonts w:cs="Arial"/>
                <w:color w:val="000000"/>
                <w:sz w:val="20"/>
                <w:szCs w:val="20"/>
              </w:rPr>
              <w:t>and cargo</w:t>
            </w:r>
            <w:r w:rsidRPr="0042006C">
              <w:rPr>
                <w:rFonts w:cs="Arial"/>
                <w:color w:val="000000"/>
                <w:sz w:val="20"/>
                <w:szCs w:val="20"/>
              </w:rPr>
              <w:t xml:space="preserve"> </w:t>
            </w:r>
            <w:r w:rsidRPr="0042006C">
              <w:rPr>
                <w:rStyle w:val="hps"/>
                <w:rFonts w:cs="Arial"/>
                <w:color w:val="000000"/>
                <w:sz w:val="20"/>
                <w:szCs w:val="20"/>
              </w:rPr>
              <w:t>ships</w:t>
            </w:r>
            <w:r w:rsidRPr="0042006C">
              <w:rPr>
                <w:rFonts w:cs="Arial"/>
                <w:color w:val="000000"/>
                <w:sz w:val="20"/>
                <w:szCs w:val="20"/>
              </w:rPr>
              <w:t xml:space="preserve"> </w:t>
            </w:r>
            <w:r w:rsidRPr="0042006C">
              <w:rPr>
                <w:rStyle w:val="hps"/>
                <w:rFonts w:cs="Arial"/>
                <w:color w:val="000000"/>
                <w:sz w:val="20"/>
                <w:szCs w:val="20"/>
              </w:rPr>
              <w:t>of all</w:t>
            </w:r>
            <w:r w:rsidRPr="0042006C">
              <w:rPr>
                <w:rFonts w:cs="Arial"/>
                <w:color w:val="000000"/>
                <w:sz w:val="20"/>
                <w:szCs w:val="20"/>
              </w:rPr>
              <w:t xml:space="preserve"> </w:t>
            </w:r>
            <w:r w:rsidRPr="0042006C">
              <w:rPr>
                <w:rStyle w:val="hps"/>
                <w:rFonts w:cs="Arial"/>
                <w:color w:val="000000"/>
                <w:sz w:val="20"/>
                <w:szCs w:val="20"/>
              </w:rPr>
              <w:t>states</w:t>
            </w:r>
            <w:r w:rsidRPr="0042006C">
              <w:rPr>
                <w:rFonts w:cs="Arial"/>
                <w:color w:val="000000"/>
                <w:sz w:val="20"/>
                <w:szCs w:val="20"/>
              </w:rPr>
              <w:t xml:space="preserve"> </w:t>
            </w:r>
            <w:r w:rsidRPr="0042006C">
              <w:rPr>
                <w:rStyle w:val="hps"/>
                <w:rFonts w:cs="Arial"/>
                <w:color w:val="000000"/>
                <w:sz w:val="20"/>
                <w:szCs w:val="20"/>
              </w:rPr>
              <w:t>on an equal footing</w:t>
            </w:r>
            <w:r w:rsidRPr="0042006C">
              <w:rPr>
                <w:rFonts w:cs="Arial"/>
                <w:color w:val="000000"/>
                <w:sz w:val="20"/>
                <w:szCs w:val="20"/>
              </w:rPr>
              <w:t xml:space="preserve"> </w:t>
            </w:r>
            <w:r w:rsidRPr="0042006C">
              <w:rPr>
                <w:rStyle w:val="hps"/>
                <w:rFonts w:cs="Arial"/>
                <w:color w:val="000000"/>
                <w:sz w:val="20"/>
                <w:szCs w:val="20"/>
              </w:rPr>
              <w:t>in</w:t>
            </w:r>
            <w:r w:rsidRPr="0042006C">
              <w:rPr>
                <w:rFonts w:cs="Arial"/>
                <w:color w:val="000000"/>
                <w:sz w:val="20"/>
                <w:szCs w:val="20"/>
              </w:rPr>
              <w:t xml:space="preserve"> </w:t>
            </w:r>
            <w:r w:rsidRPr="0042006C">
              <w:rPr>
                <w:rStyle w:val="hps"/>
                <w:rFonts w:cs="Arial"/>
                <w:color w:val="000000"/>
                <w:sz w:val="20"/>
                <w:szCs w:val="20"/>
              </w:rPr>
              <w:t>terms of port rights</w:t>
            </w:r>
            <w:r w:rsidRPr="0042006C">
              <w:rPr>
                <w:rFonts w:cs="Arial"/>
                <w:color w:val="000000"/>
                <w:sz w:val="20"/>
                <w:szCs w:val="20"/>
              </w:rPr>
              <w:t xml:space="preserve"> </w:t>
            </w:r>
            <w:r w:rsidRPr="0042006C">
              <w:rPr>
                <w:rStyle w:val="hps"/>
                <w:rFonts w:cs="Arial"/>
                <w:color w:val="000000"/>
                <w:sz w:val="20"/>
                <w:szCs w:val="20"/>
              </w:rPr>
              <w:t>and</w:t>
            </w:r>
            <w:r w:rsidRPr="0042006C">
              <w:rPr>
                <w:rFonts w:cs="Arial"/>
                <w:color w:val="000000"/>
                <w:sz w:val="20"/>
                <w:szCs w:val="20"/>
              </w:rPr>
              <w:t xml:space="preserve"> </w:t>
            </w:r>
            <w:r w:rsidRPr="0042006C">
              <w:rPr>
                <w:rStyle w:val="hps"/>
                <w:rFonts w:cs="Arial"/>
                <w:color w:val="000000"/>
                <w:sz w:val="20"/>
                <w:szCs w:val="20"/>
              </w:rPr>
              <w:t>duties</w:t>
            </w:r>
            <w:r w:rsidRPr="0042006C">
              <w:rPr>
                <w:rFonts w:cs="Arial"/>
                <w:color w:val="000000"/>
                <w:sz w:val="20"/>
                <w:szCs w:val="20"/>
              </w:rPr>
              <w:t xml:space="preserve"> </w:t>
            </w:r>
            <w:r w:rsidRPr="0042006C">
              <w:rPr>
                <w:rStyle w:val="hps"/>
                <w:rFonts w:cs="Arial"/>
                <w:color w:val="000000"/>
                <w:sz w:val="20"/>
                <w:szCs w:val="20"/>
              </w:rPr>
              <w:t>of navigation, as well as the conditions</w:t>
            </w:r>
            <w:r w:rsidRPr="0042006C">
              <w:rPr>
                <w:rFonts w:cs="Arial"/>
                <w:color w:val="000000"/>
                <w:sz w:val="20"/>
                <w:szCs w:val="20"/>
              </w:rPr>
              <w:t xml:space="preserve"> which is </w:t>
            </w:r>
            <w:r w:rsidRPr="0042006C">
              <w:rPr>
                <w:rStyle w:val="hps"/>
                <w:rFonts w:cs="Arial"/>
                <w:color w:val="000000"/>
                <w:sz w:val="20"/>
                <w:szCs w:val="20"/>
              </w:rPr>
              <w:t>subject to</w:t>
            </w:r>
            <w:r w:rsidRPr="0042006C">
              <w:rPr>
                <w:rFonts w:cs="Arial"/>
                <w:color w:val="000000"/>
                <w:sz w:val="20"/>
                <w:szCs w:val="20"/>
              </w:rPr>
              <w:t xml:space="preserve"> </w:t>
            </w:r>
            <w:r w:rsidRPr="0042006C">
              <w:rPr>
                <w:rStyle w:val="hps"/>
                <w:rFonts w:cs="Arial"/>
                <w:color w:val="000000"/>
                <w:sz w:val="20"/>
                <w:szCs w:val="20"/>
              </w:rPr>
              <w:t>Merchant Shipping</w:t>
            </w:r>
            <w:r w:rsidRPr="0042006C">
              <w:rPr>
                <w:rFonts w:eastAsia="Calibri" w:cs="Arial"/>
                <w:bCs/>
                <w:color w:val="000000"/>
                <w:sz w:val="20"/>
                <w:szCs w:val="20"/>
              </w:rPr>
              <w:t xml:space="preserve"> </w:t>
            </w:r>
          </w:p>
          <w:p w:rsidR="008B7CC2" w:rsidRPr="0042006C" w:rsidRDefault="008B7CC2" w:rsidP="005E50B3">
            <w:pPr>
              <w:numPr>
                <w:ilvl w:val="0"/>
                <w:numId w:val="32"/>
              </w:numPr>
              <w:tabs>
                <w:tab w:val="left" w:pos="475"/>
              </w:tabs>
              <w:autoSpaceDE w:val="0"/>
              <w:autoSpaceDN w:val="0"/>
              <w:adjustRightInd w:val="0"/>
              <w:ind w:left="475" w:hanging="270"/>
              <w:rPr>
                <w:rFonts w:eastAsia="Calibri" w:cs="Arial"/>
                <w:bCs/>
                <w:color w:val="000000"/>
                <w:sz w:val="20"/>
                <w:szCs w:val="20"/>
              </w:rPr>
            </w:pPr>
            <w:r w:rsidRPr="0042006C">
              <w:rPr>
                <w:rStyle w:val="hps"/>
                <w:rFonts w:cs="Arial"/>
                <w:color w:val="000000"/>
                <w:sz w:val="20"/>
                <w:szCs w:val="20"/>
              </w:rPr>
              <w:t>All</w:t>
            </w:r>
            <w:r w:rsidRPr="0042006C">
              <w:rPr>
                <w:rFonts w:cs="Arial"/>
                <w:color w:val="000000"/>
                <w:sz w:val="20"/>
                <w:szCs w:val="20"/>
              </w:rPr>
              <w:t xml:space="preserve"> </w:t>
            </w:r>
            <w:r w:rsidRPr="0042006C">
              <w:rPr>
                <w:rStyle w:val="hps"/>
                <w:rFonts w:cs="Arial"/>
                <w:color w:val="000000"/>
                <w:sz w:val="20"/>
                <w:szCs w:val="20"/>
              </w:rPr>
              <w:t>countries of the Danube</w:t>
            </w:r>
            <w:r w:rsidRPr="0042006C">
              <w:rPr>
                <w:rFonts w:cs="Arial"/>
                <w:color w:val="000000"/>
                <w:sz w:val="20"/>
                <w:szCs w:val="20"/>
              </w:rPr>
              <w:t xml:space="preserve"> </w:t>
            </w:r>
            <w:r w:rsidRPr="0042006C">
              <w:rPr>
                <w:rStyle w:val="hps"/>
                <w:rFonts w:cs="Arial"/>
                <w:color w:val="000000"/>
                <w:sz w:val="20"/>
                <w:szCs w:val="20"/>
              </w:rPr>
              <w:t>will provide</w:t>
            </w:r>
            <w:r w:rsidRPr="0042006C">
              <w:rPr>
                <w:rFonts w:cs="Arial"/>
                <w:color w:val="000000"/>
                <w:sz w:val="20"/>
                <w:szCs w:val="20"/>
              </w:rPr>
              <w:t xml:space="preserve"> </w:t>
            </w:r>
            <w:r w:rsidRPr="0042006C">
              <w:rPr>
                <w:rStyle w:val="hps"/>
                <w:rFonts w:cs="Arial"/>
                <w:color w:val="000000"/>
                <w:sz w:val="20"/>
                <w:szCs w:val="20"/>
              </w:rPr>
              <w:t>the necessary work</w:t>
            </w:r>
            <w:r w:rsidRPr="0042006C">
              <w:rPr>
                <w:rFonts w:cs="Arial"/>
                <w:color w:val="000000"/>
                <w:sz w:val="20"/>
                <w:szCs w:val="20"/>
              </w:rPr>
              <w:t xml:space="preserve"> </w:t>
            </w:r>
            <w:r w:rsidRPr="0042006C">
              <w:rPr>
                <w:rStyle w:val="hps"/>
                <w:rFonts w:cs="Arial"/>
                <w:color w:val="000000"/>
                <w:sz w:val="20"/>
                <w:szCs w:val="20"/>
              </w:rPr>
              <w:t>to improve</w:t>
            </w:r>
            <w:r w:rsidRPr="0042006C">
              <w:rPr>
                <w:rFonts w:cs="Arial"/>
                <w:color w:val="000000"/>
                <w:sz w:val="20"/>
                <w:szCs w:val="20"/>
              </w:rPr>
              <w:t xml:space="preserve"> </w:t>
            </w:r>
            <w:r w:rsidRPr="0042006C">
              <w:rPr>
                <w:rStyle w:val="hps"/>
                <w:rFonts w:cs="Arial"/>
                <w:color w:val="000000"/>
                <w:sz w:val="20"/>
                <w:szCs w:val="20"/>
              </w:rPr>
              <w:t>navigation conditions</w:t>
            </w:r>
            <w:r w:rsidRPr="0042006C">
              <w:rPr>
                <w:rFonts w:cs="Arial"/>
                <w:color w:val="000000"/>
                <w:sz w:val="20"/>
                <w:szCs w:val="20"/>
              </w:rPr>
              <w:t xml:space="preserve"> </w:t>
            </w:r>
            <w:r w:rsidRPr="0042006C">
              <w:rPr>
                <w:rStyle w:val="hps"/>
                <w:rFonts w:cs="Arial"/>
                <w:color w:val="000000"/>
                <w:sz w:val="20"/>
                <w:szCs w:val="20"/>
              </w:rPr>
              <w:t>without hindering</w:t>
            </w:r>
            <w:r w:rsidRPr="0042006C">
              <w:rPr>
                <w:rFonts w:cs="Arial"/>
                <w:color w:val="000000"/>
                <w:sz w:val="20"/>
                <w:szCs w:val="20"/>
              </w:rPr>
              <w:t xml:space="preserve"> </w:t>
            </w:r>
            <w:r w:rsidRPr="0042006C">
              <w:rPr>
                <w:rStyle w:val="hps"/>
                <w:rFonts w:cs="Arial"/>
                <w:color w:val="000000"/>
                <w:sz w:val="20"/>
                <w:szCs w:val="20"/>
              </w:rPr>
              <w:t>or</w:t>
            </w:r>
            <w:r w:rsidRPr="0042006C">
              <w:rPr>
                <w:rFonts w:cs="Arial"/>
                <w:color w:val="000000"/>
                <w:sz w:val="20"/>
                <w:szCs w:val="20"/>
              </w:rPr>
              <w:t xml:space="preserve"> </w:t>
            </w:r>
            <w:r w:rsidRPr="0042006C">
              <w:rPr>
                <w:rStyle w:val="hps"/>
                <w:rFonts w:cs="Arial"/>
                <w:color w:val="000000"/>
                <w:sz w:val="20"/>
                <w:szCs w:val="20"/>
              </w:rPr>
              <w:t>impeding</w:t>
            </w:r>
            <w:r w:rsidRPr="0042006C">
              <w:rPr>
                <w:rFonts w:cs="Arial"/>
                <w:color w:val="000000"/>
                <w:sz w:val="20"/>
                <w:szCs w:val="20"/>
              </w:rPr>
              <w:t xml:space="preserve"> </w:t>
            </w:r>
            <w:r w:rsidRPr="0042006C">
              <w:rPr>
                <w:rStyle w:val="hps"/>
                <w:rFonts w:cs="Arial"/>
                <w:color w:val="000000"/>
                <w:sz w:val="20"/>
                <w:szCs w:val="20"/>
              </w:rPr>
              <w:t>navigation on</w:t>
            </w:r>
            <w:r w:rsidRPr="0042006C">
              <w:rPr>
                <w:rFonts w:cs="Arial"/>
                <w:color w:val="000000"/>
                <w:sz w:val="20"/>
                <w:szCs w:val="20"/>
              </w:rPr>
              <w:t xml:space="preserve"> </w:t>
            </w:r>
            <w:r w:rsidRPr="0042006C">
              <w:rPr>
                <w:rStyle w:val="hps"/>
                <w:rFonts w:cs="Arial"/>
                <w:color w:val="000000"/>
                <w:sz w:val="20"/>
                <w:szCs w:val="20"/>
              </w:rPr>
              <w:t>the Danube</w:t>
            </w:r>
            <w:r w:rsidRPr="0042006C">
              <w:rPr>
                <w:rFonts w:cs="Arial"/>
                <w:color w:val="000000"/>
                <w:sz w:val="20"/>
                <w:szCs w:val="20"/>
              </w:rPr>
              <w:t xml:space="preserve"> </w:t>
            </w:r>
            <w:r w:rsidRPr="0042006C">
              <w:rPr>
                <w:rStyle w:val="hps"/>
                <w:rFonts w:cs="Arial"/>
                <w:color w:val="000000"/>
                <w:sz w:val="20"/>
                <w:szCs w:val="20"/>
              </w:rPr>
              <w:t>waterways</w:t>
            </w:r>
          </w:p>
          <w:p w:rsidR="008B7CC2" w:rsidRPr="0042006C" w:rsidRDefault="008B7CC2" w:rsidP="00BF3E32">
            <w:pPr>
              <w:autoSpaceDE w:val="0"/>
              <w:autoSpaceDN w:val="0"/>
              <w:adjustRightInd w:val="0"/>
              <w:rPr>
                <w:rFonts w:eastAsia="Calibri" w:cs="Arial"/>
                <w:iCs/>
                <w:color w:val="000000"/>
                <w:sz w:val="20"/>
                <w:szCs w:val="20"/>
              </w:rPr>
            </w:pPr>
            <w:r w:rsidRPr="0042006C">
              <w:rPr>
                <w:rStyle w:val="hps"/>
                <w:rFonts w:cs="Arial"/>
                <w:color w:val="000000"/>
                <w:sz w:val="20"/>
                <w:szCs w:val="20"/>
              </w:rPr>
              <w:t>Convention</w:t>
            </w:r>
            <w:r w:rsidRPr="0042006C">
              <w:rPr>
                <w:rFonts w:cs="Arial"/>
                <w:color w:val="000000"/>
                <w:sz w:val="20"/>
                <w:szCs w:val="20"/>
              </w:rPr>
              <w:t xml:space="preserve"> </w:t>
            </w:r>
            <w:r w:rsidRPr="0042006C">
              <w:rPr>
                <w:rStyle w:val="hps"/>
                <w:rFonts w:cs="Arial"/>
                <w:color w:val="000000"/>
                <w:sz w:val="20"/>
                <w:szCs w:val="20"/>
              </w:rPr>
              <w:t>is coordinated by</w:t>
            </w:r>
            <w:r w:rsidRPr="0042006C">
              <w:rPr>
                <w:rFonts w:cs="Arial"/>
                <w:color w:val="000000"/>
                <w:sz w:val="20"/>
                <w:szCs w:val="20"/>
              </w:rPr>
              <w:t xml:space="preserve"> </w:t>
            </w:r>
            <w:r w:rsidRPr="0042006C">
              <w:rPr>
                <w:rStyle w:val="hps"/>
                <w:rFonts w:cs="Arial"/>
                <w:color w:val="000000"/>
                <w:sz w:val="20"/>
                <w:szCs w:val="20"/>
              </w:rPr>
              <w:t>a</w:t>
            </w:r>
            <w:r w:rsidRPr="0042006C">
              <w:rPr>
                <w:rFonts w:cs="Arial"/>
                <w:color w:val="000000"/>
                <w:sz w:val="20"/>
                <w:szCs w:val="20"/>
              </w:rPr>
              <w:t xml:space="preserve"> </w:t>
            </w:r>
            <w:r w:rsidRPr="0042006C">
              <w:rPr>
                <w:rStyle w:val="hps"/>
                <w:rFonts w:cs="Arial"/>
                <w:color w:val="000000"/>
                <w:sz w:val="20"/>
                <w:szCs w:val="20"/>
              </w:rPr>
              <w:t>"</w:t>
            </w:r>
            <w:r w:rsidRPr="0042006C">
              <w:rPr>
                <w:rFonts w:cs="Arial"/>
                <w:color w:val="000000"/>
                <w:sz w:val="20"/>
                <w:szCs w:val="20"/>
              </w:rPr>
              <w:t xml:space="preserve">commission" </w:t>
            </w:r>
            <w:r w:rsidRPr="0042006C">
              <w:rPr>
                <w:rStyle w:val="hps"/>
                <w:rFonts w:cs="Arial"/>
                <w:color w:val="000000"/>
                <w:sz w:val="20"/>
                <w:szCs w:val="20"/>
              </w:rPr>
              <w:t>which includes</w:t>
            </w:r>
            <w:r w:rsidRPr="0042006C">
              <w:rPr>
                <w:rFonts w:cs="Arial"/>
                <w:color w:val="000000"/>
                <w:sz w:val="20"/>
                <w:szCs w:val="20"/>
              </w:rPr>
              <w:t xml:space="preserve"> </w:t>
            </w:r>
            <w:r w:rsidRPr="0042006C">
              <w:rPr>
                <w:rStyle w:val="hps"/>
                <w:rFonts w:cs="Arial"/>
                <w:color w:val="000000"/>
                <w:sz w:val="20"/>
                <w:szCs w:val="20"/>
              </w:rPr>
              <w:t>representatives of the Member</w:t>
            </w:r>
            <w:r w:rsidRPr="0042006C">
              <w:rPr>
                <w:rFonts w:cs="Arial"/>
                <w:color w:val="000000"/>
                <w:sz w:val="20"/>
                <w:szCs w:val="20"/>
              </w:rPr>
              <w:t xml:space="preserve"> </w:t>
            </w:r>
            <w:r w:rsidRPr="0042006C">
              <w:rPr>
                <w:rStyle w:val="hps"/>
                <w:rFonts w:cs="Arial"/>
                <w:color w:val="000000"/>
                <w:sz w:val="20"/>
                <w:szCs w:val="20"/>
              </w:rPr>
              <w:t>States</w:t>
            </w:r>
            <w:r w:rsidRPr="0042006C">
              <w:rPr>
                <w:rFonts w:eastAsia="Calibri" w:cs="Arial"/>
                <w:color w:val="000000"/>
                <w:sz w:val="20"/>
                <w:szCs w:val="20"/>
                <w:shd w:val="clear" w:color="auto" w:fill="FFFFFF"/>
              </w:rPr>
              <w:t>.</w:t>
            </w:r>
          </w:p>
        </w:tc>
        <w:tc>
          <w:tcPr>
            <w:tcW w:w="696" w:type="pct"/>
            <w:tcBorders>
              <w:top w:val="single" w:sz="4" w:space="0" w:color="000000"/>
              <w:left w:val="single" w:sz="4" w:space="0" w:color="000000"/>
              <w:bottom w:val="single" w:sz="4" w:space="0" w:color="000000"/>
              <w:right w:val="single" w:sz="4" w:space="0" w:color="000000"/>
            </w:tcBorders>
            <w:textDirection w:val="btLr"/>
          </w:tcPr>
          <w:p w:rsidR="008B7CC2" w:rsidRPr="0042006C" w:rsidRDefault="008B7CC2" w:rsidP="00BF3E32">
            <w:pPr>
              <w:ind w:left="113" w:right="113"/>
              <w:rPr>
                <w:rFonts w:eastAsia="Calibri" w:cs="Arial"/>
                <w:color w:val="000000"/>
                <w:sz w:val="20"/>
                <w:szCs w:val="20"/>
              </w:rPr>
            </w:pPr>
            <w:r w:rsidRPr="0042006C">
              <w:rPr>
                <w:rFonts w:eastAsia="Calibri" w:cs="Arial"/>
                <w:color w:val="000000"/>
                <w:sz w:val="20"/>
                <w:szCs w:val="20"/>
              </w:rPr>
              <w:t xml:space="preserve">Starting with the date the convention was ratified </w:t>
            </w:r>
          </w:p>
        </w:tc>
        <w:tc>
          <w:tcPr>
            <w:tcW w:w="1121" w:type="pct"/>
            <w:tcBorders>
              <w:top w:val="single" w:sz="4" w:space="0" w:color="000000"/>
              <w:left w:val="single" w:sz="4" w:space="0" w:color="000000"/>
              <w:bottom w:val="single" w:sz="4" w:space="0" w:color="000000"/>
              <w:right w:val="single" w:sz="4" w:space="0" w:color="000000"/>
            </w:tcBorders>
          </w:tcPr>
          <w:p w:rsidR="008B7CC2" w:rsidRPr="0042006C" w:rsidRDefault="008B7CC2" w:rsidP="00BF3E32">
            <w:pPr>
              <w:autoSpaceDE w:val="0"/>
              <w:autoSpaceDN w:val="0"/>
              <w:adjustRightInd w:val="0"/>
              <w:rPr>
                <w:rStyle w:val="hps"/>
                <w:rFonts w:cs="Arial"/>
                <w:color w:val="000000"/>
                <w:sz w:val="20"/>
                <w:szCs w:val="20"/>
              </w:rPr>
            </w:pPr>
            <w:r w:rsidRPr="0042006C">
              <w:rPr>
                <w:rStyle w:val="hps"/>
                <w:rFonts w:cs="Arial"/>
                <w:color w:val="000000"/>
                <w:sz w:val="20"/>
                <w:szCs w:val="20"/>
              </w:rPr>
              <w:t>Romania</w:t>
            </w:r>
            <w:r w:rsidRPr="0042006C">
              <w:rPr>
                <w:rFonts w:cs="Arial"/>
                <w:color w:val="000000"/>
                <w:sz w:val="20"/>
                <w:szCs w:val="20"/>
              </w:rPr>
              <w:t xml:space="preserve"> </w:t>
            </w:r>
            <w:r w:rsidRPr="0042006C">
              <w:rPr>
                <w:rStyle w:val="hps"/>
                <w:rFonts w:cs="Arial"/>
                <w:color w:val="000000"/>
                <w:sz w:val="20"/>
                <w:szCs w:val="20"/>
              </w:rPr>
              <w:t>must comply with</w:t>
            </w:r>
            <w:r w:rsidRPr="0042006C">
              <w:rPr>
                <w:rFonts w:cs="Arial"/>
                <w:color w:val="000000"/>
                <w:sz w:val="20"/>
                <w:szCs w:val="20"/>
              </w:rPr>
              <w:t xml:space="preserve"> </w:t>
            </w:r>
            <w:r w:rsidRPr="0042006C">
              <w:rPr>
                <w:rStyle w:val="hps"/>
                <w:rFonts w:cs="Arial"/>
                <w:color w:val="000000"/>
                <w:sz w:val="20"/>
                <w:szCs w:val="20"/>
              </w:rPr>
              <w:t>the</w:t>
            </w:r>
            <w:r w:rsidRPr="0042006C">
              <w:rPr>
                <w:rFonts w:cs="Arial"/>
                <w:color w:val="000000"/>
                <w:sz w:val="20"/>
                <w:szCs w:val="20"/>
              </w:rPr>
              <w:t xml:space="preserve"> </w:t>
            </w:r>
            <w:r w:rsidRPr="0042006C">
              <w:rPr>
                <w:rStyle w:val="hps"/>
                <w:rFonts w:cs="Arial"/>
                <w:color w:val="000000"/>
                <w:sz w:val="20"/>
                <w:szCs w:val="20"/>
              </w:rPr>
              <w:t>Convention</w:t>
            </w:r>
            <w:r w:rsidRPr="0042006C">
              <w:rPr>
                <w:rFonts w:cs="Arial"/>
                <w:color w:val="000000"/>
                <w:sz w:val="20"/>
                <w:szCs w:val="20"/>
              </w:rPr>
              <w:t xml:space="preserve"> </w:t>
            </w:r>
            <w:r w:rsidRPr="0042006C">
              <w:rPr>
                <w:rStyle w:val="hps"/>
                <w:rFonts w:cs="Arial"/>
                <w:color w:val="000000"/>
                <w:sz w:val="20"/>
                <w:szCs w:val="20"/>
              </w:rPr>
              <w:t>regarding the regime</w:t>
            </w:r>
            <w:r w:rsidRPr="0042006C">
              <w:rPr>
                <w:rFonts w:cs="Arial"/>
                <w:color w:val="000000"/>
                <w:sz w:val="20"/>
                <w:szCs w:val="20"/>
              </w:rPr>
              <w:t xml:space="preserve"> </w:t>
            </w:r>
            <w:r w:rsidRPr="0042006C">
              <w:rPr>
                <w:rStyle w:val="hps"/>
                <w:rFonts w:cs="Arial"/>
                <w:color w:val="000000"/>
                <w:sz w:val="20"/>
                <w:szCs w:val="20"/>
              </w:rPr>
              <w:t>of navigation on</w:t>
            </w:r>
            <w:r w:rsidRPr="0042006C">
              <w:rPr>
                <w:rFonts w:cs="Arial"/>
                <w:color w:val="000000"/>
                <w:sz w:val="20"/>
                <w:szCs w:val="20"/>
              </w:rPr>
              <w:t xml:space="preserve"> </w:t>
            </w:r>
            <w:r w:rsidRPr="0042006C">
              <w:rPr>
                <w:rStyle w:val="hps"/>
                <w:rFonts w:cs="Arial"/>
                <w:color w:val="000000"/>
                <w:sz w:val="20"/>
                <w:szCs w:val="20"/>
              </w:rPr>
              <w:t>the Danube.</w:t>
            </w:r>
            <w:r w:rsidRPr="0042006C">
              <w:rPr>
                <w:rFonts w:cs="Arial"/>
                <w:color w:val="000000"/>
                <w:sz w:val="20"/>
                <w:szCs w:val="20"/>
              </w:rPr>
              <w:t xml:space="preserve"> The Danube </w:t>
            </w:r>
            <w:r w:rsidRPr="0042006C">
              <w:rPr>
                <w:rStyle w:val="hps"/>
                <w:rFonts w:cs="Arial"/>
                <w:color w:val="000000"/>
                <w:sz w:val="20"/>
                <w:szCs w:val="20"/>
              </w:rPr>
              <w:t>Fairway</w:t>
            </w:r>
            <w:r w:rsidRPr="0042006C">
              <w:rPr>
                <w:rFonts w:cs="Arial"/>
                <w:color w:val="000000"/>
                <w:sz w:val="20"/>
                <w:szCs w:val="20"/>
              </w:rPr>
              <w:t xml:space="preserve"> </w:t>
            </w:r>
            <w:r w:rsidRPr="0042006C">
              <w:rPr>
                <w:rStyle w:val="hps"/>
                <w:rFonts w:cs="Arial"/>
                <w:color w:val="000000"/>
                <w:sz w:val="20"/>
                <w:szCs w:val="20"/>
              </w:rPr>
              <w:t>must meet the</w:t>
            </w:r>
            <w:r w:rsidRPr="0042006C">
              <w:rPr>
                <w:rFonts w:cs="Arial"/>
                <w:color w:val="000000"/>
                <w:sz w:val="20"/>
                <w:szCs w:val="20"/>
              </w:rPr>
              <w:t xml:space="preserve"> </w:t>
            </w:r>
            <w:r w:rsidRPr="0042006C">
              <w:rPr>
                <w:rStyle w:val="hps"/>
                <w:rFonts w:cs="Arial"/>
                <w:color w:val="000000"/>
                <w:sz w:val="20"/>
                <w:szCs w:val="20"/>
              </w:rPr>
              <w:t>internationally accepted</w:t>
            </w:r>
            <w:r w:rsidRPr="0042006C">
              <w:rPr>
                <w:rFonts w:cs="Arial"/>
                <w:color w:val="000000"/>
                <w:sz w:val="20"/>
                <w:szCs w:val="20"/>
              </w:rPr>
              <w:t xml:space="preserve"> </w:t>
            </w:r>
            <w:r w:rsidRPr="0042006C">
              <w:rPr>
                <w:rStyle w:val="hps"/>
                <w:rFonts w:cs="Arial"/>
                <w:color w:val="000000"/>
                <w:sz w:val="20"/>
                <w:szCs w:val="20"/>
              </w:rPr>
              <w:t>standards</w:t>
            </w:r>
            <w:r w:rsidRPr="0042006C">
              <w:rPr>
                <w:rFonts w:cs="Arial"/>
                <w:color w:val="000000"/>
                <w:sz w:val="20"/>
                <w:szCs w:val="20"/>
              </w:rPr>
              <w:t xml:space="preserve"> </w:t>
            </w:r>
            <w:r w:rsidRPr="0042006C">
              <w:rPr>
                <w:rStyle w:val="hps"/>
                <w:rFonts w:cs="Arial"/>
                <w:color w:val="000000"/>
                <w:sz w:val="20"/>
                <w:szCs w:val="20"/>
              </w:rPr>
              <w:t>as</w:t>
            </w:r>
            <w:r w:rsidRPr="0042006C">
              <w:rPr>
                <w:rFonts w:cs="Arial"/>
                <w:color w:val="000000"/>
                <w:sz w:val="20"/>
                <w:szCs w:val="20"/>
              </w:rPr>
              <w:t xml:space="preserve"> </w:t>
            </w:r>
            <w:r w:rsidRPr="0042006C">
              <w:rPr>
                <w:rStyle w:val="hps"/>
                <w:rFonts w:cs="Arial"/>
                <w:color w:val="000000"/>
                <w:sz w:val="20"/>
                <w:szCs w:val="20"/>
              </w:rPr>
              <w:t>set by the</w:t>
            </w:r>
            <w:r w:rsidRPr="0042006C">
              <w:rPr>
                <w:rFonts w:cs="Arial"/>
                <w:color w:val="000000"/>
                <w:sz w:val="20"/>
                <w:szCs w:val="20"/>
              </w:rPr>
              <w:t xml:space="preserve"> </w:t>
            </w:r>
            <w:r w:rsidRPr="0042006C">
              <w:rPr>
                <w:rStyle w:val="hps"/>
                <w:rFonts w:cs="Arial"/>
                <w:color w:val="000000"/>
                <w:sz w:val="20"/>
                <w:szCs w:val="20"/>
              </w:rPr>
              <w:t>Danube Commission</w:t>
            </w:r>
          </w:p>
          <w:p w:rsidR="008B7CC2" w:rsidRPr="0042006C" w:rsidRDefault="008B7CC2" w:rsidP="00BF3E32">
            <w:pPr>
              <w:autoSpaceDE w:val="0"/>
              <w:autoSpaceDN w:val="0"/>
              <w:adjustRightInd w:val="0"/>
              <w:rPr>
                <w:rFonts w:eastAsia="Calibri" w:cs="Arial"/>
                <w:color w:val="000000"/>
                <w:sz w:val="20"/>
                <w:szCs w:val="20"/>
              </w:rPr>
            </w:pPr>
          </w:p>
          <w:p w:rsidR="008B7CC2" w:rsidRPr="0042006C" w:rsidRDefault="008B7CC2" w:rsidP="00BF3E32">
            <w:pPr>
              <w:rPr>
                <w:rFonts w:eastAsia="Calibri" w:cs="Arial"/>
                <w:iCs/>
                <w:color w:val="000000"/>
                <w:sz w:val="20"/>
                <w:szCs w:val="20"/>
              </w:rPr>
            </w:pPr>
            <w:r w:rsidRPr="0042006C">
              <w:rPr>
                <w:rStyle w:val="hps"/>
                <w:rFonts w:cs="Arial"/>
                <w:color w:val="000000"/>
                <w:sz w:val="20"/>
                <w:szCs w:val="20"/>
              </w:rPr>
              <w:t>GTMP</w:t>
            </w:r>
            <w:r w:rsidRPr="0042006C">
              <w:rPr>
                <w:rFonts w:cs="Arial"/>
                <w:color w:val="000000"/>
                <w:sz w:val="20"/>
                <w:szCs w:val="20"/>
              </w:rPr>
              <w:t xml:space="preserve"> </w:t>
            </w:r>
            <w:r w:rsidRPr="0042006C">
              <w:rPr>
                <w:rStyle w:val="hps"/>
                <w:rFonts w:cs="Arial"/>
                <w:color w:val="000000"/>
                <w:sz w:val="20"/>
                <w:szCs w:val="20"/>
              </w:rPr>
              <w:t>implementation</w:t>
            </w:r>
            <w:r w:rsidRPr="0042006C">
              <w:rPr>
                <w:rFonts w:cs="Arial"/>
                <w:color w:val="000000"/>
                <w:sz w:val="20"/>
                <w:szCs w:val="20"/>
              </w:rPr>
              <w:t xml:space="preserve"> </w:t>
            </w:r>
            <w:r w:rsidRPr="0042006C">
              <w:rPr>
                <w:rStyle w:val="hps"/>
                <w:rFonts w:cs="Arial"/>
                <w:color w:val="000000"/>
                <w:sz w:val="20"/>
                <w:szCs w:val="20"/>
              </w:rPr>
              <w:t>will contribute to</w:t>
            </w:r>
            <w:r w:rsidRPr="0042006C">
              <w:rPr>
                <w:rFonts w:cs="Arial"/>
                <w:color w:val="000000"/>
                <w:sz w:val="20"/>
                <w:szCs w:val="20"/>
              </w:rPr>
              <w:t xml:space="preserve"> </w:t>
            </w:r>
            <w:r w:rsidRPr="0042006C">
              <w:rPr>
                <w:rStyle w:val="hps"/>
                <w:rFonts w:cs="Arial"/>
                <w:color w:val="000000"/>
                <w:sz w:val="20"/>
                <w:szCs w:val="20"/>
              </w:rPr>
              <w:t>the improvement of</w:t>
            </w:r>
            <w:r w:rsidRPr="0042006C">
              <w:rPr>
                <w:rFonts w:cs="Arial"/>
                <w:color w:val="000000"/>
                <w:sz w:val="20"/>
                <w:szCs w:val="20"/>
              </w:rPr>
              <w:t xml:space="preserve"> </w:t>
            </w:r>
            <w:r w:rsidRPr="0042006C">
              <w:rPr>
                <w:rStyle w:val="hps"/>
                <w:rFonts w:cs="Arial"/>
                <w:color w:val="000000"/>
                <w:sz w:val="20"/>
                <w:szCs w:val="20"/>
              </w:rPr>
              <w:t>navigation</w:t>
            </w:r>
            <w:r w:rsidRPr="0042006C">
              <w:rPr>
                <w:rFonts w:cs="Arial"/>
                <w:color w:val="000000"/>
                <w:sz w:val="20"/>
                <w:szCs w:val="20"/>
              </w:rPr>
              <w:t xml:space="preserve"> and refurbished </w:t>
            </w:r>
            <w:r w:rsidRPr="0042006C">
              <w:rPr>
                <w:rStyle w:val="hps"/>
                <w:rFonts w:cs="Arial"/>
                <w:color w:val="000000"/>
                <w:sz w:val="20"/>
                <w:szCs w:val="20"/>
              </w:rPr>
              <w:t>port infrastructure</w:t>
            </w:r>
            <w:r w:rsidRPr="0042006C">
              <w:rPr>
                <w:rFonts w:eastAsia="Calibri" w:cs="Arial"/>
                <w:iCs/>
                <w:color w:val="000000"/>
                <w:sz w:val="20"/>
                <w:szCs w:val="20"/>
              </w:rPr>
              <w:t>.</w:t>
            </w:r>
          </w:p>
        </w:tc>
      </w:tr>
    </w:tbl>
    <w:p w:rsidR="008B7CC2" w:rsidRDefault="008B7CC2" w:rsidP="008B7CC2">
      <w:pPr>
        <w:rPr>
          <w:color w:val="000000"/>
        </w:rPr>
      </w:pPr>
    </w:p>
    <w:p w:rsidR="008B7CC2" w:rsidRDefault="008B7CC2" w:rsidP="00A4081F">
      <w:pPr>
        <w:pStyle w:val="NumberedParas"/>
      </w:pPr>
      <w:r>
        <w:t>Sections 3.2.-3.7 describe the headline figures and historical trends for transport in Romania, on all modes and at an integrated European level</w:t>
      </w:r>
      <w:r w:rsidR="00066342">
        <w:t>.</w:t>
      </w:r>
    </w:p>
    <w:p w:rsidR="00CE705B" w:rsidRDefault="00CE705B">
      <w:pPr>
        <w:rPr>
          <w:sz w:val="22"/>
          <w:szCs w:val="22"/>
        </w:rPr>
      </w:pPr>
      <w:r>
        <w:br w:type="page"/>
      </w:r>
    </w:p>
    <w:p w:rsidR="00CE705B" w:rsidRPr="008E03B0" w:rsidRDefault="00CE705B" w:rsidP="00045287">
      <w:pPr>
        <w:pStyle w:val="Hdg2"/>
      </w:pPr>
      <w:bookmarkStart w:id="50" w:name="_Toc396234276"/>
      <w:bookmarkStart w:id="51" w:name="_Toc413056037"/>
      <w:r>
        <w:t>Road Transport Trends</w:t>
      </w:r>
      <w:bookmarkEnd w:id="50"/>
      <w:r>
        <w:t xml:space="preserve"> in European Context</w:t>
      </w:r>
      <w:bookmarkEnd w:id="51"/>
    </w:p>
    <w:p w:rsidR="00CE705B" w:rsidRPr="00C8675F" w:rsidRDefault="00CE705B" w:rsidP="00A4081F">
      <w:pPr>
        <w:pStyle w:val="NumberedParas"/>
      </w:pPr>
      <w:r w:rsidRPr="00604286">
        <w:t xml:space="preserve">An efficient, safe and reliable road network is of fundamental importance to the success of the Romanian economy and, ultimately, to recognising the potential for growth. </w:t>
      </w:r>
    </w:p>
    <w:p w:rsidR="00CE705B" w:rsidRPr="00C8675F" w:rsidRDefault="00CE705B" w:rsidP="00A4081F">
      <w:pPr>
        <w:pStyle w:val="NumberedParas"/>
      </w:pPr>
      <w:r w:rsidRPr="00604286">
        <w:t>The highway network in Romania is classified into five categories:</w:t>
      </w:r>
    </w:p>
    <w:p w:rsidR="00CE705B" w:rsidRPr="00C8675F" w:rsidRDefault="00CE705B" w:rsidP="00273D5E">
      <w:pPr>
        <w:pStyle w:val="BulletLevel1"/>
      </w:pPr>
      <w:r w:rsidRPr="00604286">
        <w:t>Motorways (Autostrăzi) - A;</w:t>
      </w:r>
    </w:p>
    <w:p w:rsidR="00CE705B" w:rsidRPr="00C8675F" w:rsidRDefault="00CE705B" w:rsidP="00273D5E">
      <w:pPr>
        <w:pStyle w:val="BulletLevel1"/>
      </w:pPr>
      <w:r w:rsidRPr="00604286">
        <w:t>National and European Roads (Dumuri Naționale si Europene) – DN/E;</w:t>
      </w:r>
    </w:p>
    <w:p w:rsidR="00CE705B" w:rsidRPr="00C8675F" w:rsidRDefault="00CE705B" w:rsidP="00273D5E">
      <w:pPr>
        <w:pStyle w:val="BulletLevel1"/>
      </w:pPr>
      <w:r w:rsidRPr="00604286">
        <w:t>National Roads (Dumuri Naționale) – DN;</w:t>
      </w:r>
    </w:p>
    <w:p w:rsidR="00CE705B" w:rsidRPr="00C8675F" w:rsidRDefault="00CE705B" w:rsidP="00273D5E">
      <w:pPr>
        <w:pStyle w:val="BulletLevel1"/>
      </w:pPr>
      <w:r w:rsidRPr="00604286">
        <w:t xml:space="preserve">County Roads (Dumuri Județene) – DJ; and </w:t>
      </w:r>
    </w:p>
    <w:p w:rsidR="00CE705B" w:rsidRPr="00C8675F" w:rsidRDefault="00CE705B" w:rsidP="00273D5E">
      <w:pPr>
        <w:pStyle w:val="BulletLevel1"/>
      </w:pPr>
      <w:r w:rsidRPr="00604286">
        <w:t>Communal Roads (Dumuri Comunale) – DC.</w:t>
      </w:r>
    </w:p>
    <w:p w:rsidR="00CE705B" w:rsidRPr="00331249" w:rsidRDefault="00CE705B" w:rsidP="00A4081F">
      <w:pPr>
        <w:pStyle w:val="NumberedParas"/>
        <w:rPr>
          <w:bCs/>
        </w:rPr>
      </w:pPr>
      <w:r w:rsidRPr="00604286">
        <w:t xml:space="preserve">The motorway and national road network accounts for just 20% of the entire network as summarised </w:t>
      </w:r>
      <w:r w:rsidRPr="00331249">
        <w:t>in Table 3</w:t>
      </w:r>
      <w:bookmarkStart w:id="52" w:name="_Ref369075889"/>
      <w:bookmarkStart w:id="53" w:name="_Ref369075883"/>
      <w:r w:rsidR="00331249">
        <w:t>.2</w:t>
      </w:r>
      <w:r w:rsidRPr="00331249">
        <w:rPr>
          <w:bCs/>
          <w:sz w:val="18"/>
          <w:szCs w:val="18"/>
        </w:rPr>
        <w:t>.</w:t>
      </w:r>
    </w:p>
    <w:p w:rsidR="00CE705B" w:rsidRDefault="00CE705B" w:rsidP="00CE705B">
      <w:pPr>
        <w:ind w:left="851"/>
        <w:rPr>
          <w:b/>
          <w:bCs/>
          <w:sz w:val="22"/>
          <w:szCs w:val="22"/>
        </w:rPr>
      </w:pPr>
      <w:r w:rsidRPr="000562AC">
        <w:rPr>
          <w:b/>
          <w:bCs/>
          <w:sz w:val="22"/>
          <w:szCs w:val="22"/>
        </w:rPr>
        <w:t xml:space="preserve">Table </w:t>
      </w:r>
      <w:bookmarkEnd w:id="52"/>
      <w:r w:rsidRPr="000562AC">
        <w:rPr>
          <w:b/>
          <w:bCs/>
          <w:sz w:val="22"/>
          <w:szCs w:val="22"/>
        </w:rPr>
        <w:t>3</w:t>
      </w:r>
      <w:r w:rsidR="000562AC">
        <w:rPr>
          <w:b/>
          <w:bCs/>
          <w:sz w:val="22"/>
          <w:szCs w:val="22"/>
        </w:rPr>
        <w:t>.2</w:t>
      </w:r>
      <w:r w:rsidRPr="000562AC">
        <w:rPr>
          <w:b/>
          <w:bCs/>
          <w:sz w:val="22"/>
          <w:szCs w:val="22"/>
        </w:rPr>
        <w:t xml:space="preserve"> Length</w:t>
      </w:r>
      <w:r w:rsidRPr="00604286">
        <w:rPr>
          <w:b/>
          <w:bCs/>
          <w:sz w:val="22"/>
          <w:szCs w:val="22"/>
        </w:rPr>
        <w:t xml:space="preserve"> of Road Network by Category</w:t>
      </w:r>
      <w:bookmarkEnd w:id="53"/>
    </w:p>
    <w:tbl>
      <w:tblPr>
        <w:tblW w:w="5812"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843"/>
      </w:tblGrid>
      <w:tr w:rsidR="00CE705B" w:rsidRPr="00C8675F" w:rsidTr="00BF3E32">
        <w:tc>
          <w:tcPr>
            <w:tcW w:w="2410" w:type="dxa"/>
            <w:shd w:val="clear" w:color="auto" w:fill="B8CCE4" w:themeFill="accent1" w:themeFillTint="66"/>
            <w:vAlign w:val="center"/>
          </w:tcPr>
          <w:p w:rsidR="00CE705B" w:rsidRPr="00C8675F" w:rsidRDefault="00CE705B" w:rsidP="00BF3E32">
            <w:pPr>
              <w:spacing w:line="276" w:lineRule="auto"/>
              <w:rPr>
                <w:b/>
                <w:sz w:val="22"/>
                <w:szCs w:val="22"/>
              </w:rPr>
            </w:pPr>
            <w:r w:rsidRPr="00604286">
              <w:rPr>
                <w:b/>
                <w:sz w:val="22"/>
                <w:szCs w:val="22"/>
              </w:rPr>
              <w:t>Road Type</w:t>
            </w:r>
          </w:p>
        </w:tc>
        <w:tc>
          <w:tcPr>
            <w:tcW w:w="1559" w:type="dxa"/>
            <w:shd w:val="clear" w:color="auto" w:fill="B8CCE4" w:themeFill="accent1" w:themeFillTint="66"/>
            <w:vAlign w:val="center"/>
          </w:tcPr>
          <w:p w:rsidR="00CE705B" w:rsidRPr="00C8675F" w:rsidRDefault="00CE705B" w:rsidP="00BF3E32">
            <w:pPr>
              <w:spacing w:line="276" w:lineRule="auto"/>
              <w:jc w:val="center"/>
              <w:rPr>
                <w:b/>
                <w:sz w:val="22"/>
                <w:szCs w:val="22"/>
              </w:rPr>
            </w:pPr>
            <w:r w:rsidRPr="00604286">
              <w:rPr>
                <w:b/>
                <w:sz w:val="22"/>
                <w:szCs w:val="22"/>
              </w:rPr>
              <w:t>Kilometres</w:t>
            </w:r>
          </w:p>
        </w:tc>
        <w:tc>
          <w:tcPr>
            <w:tcW w:w="1843" w:type="dxa"/>
            <w:shd w:val="clear" w:color="auto" w:fill="B8CCE4" w:themeFill="accent1" w:themeFillTint="66"/>
            <w:vAlign w:val="center"/>
          </w:tcPr>
          <w:p w:rsidR="00CE705B" w:rsidRPr="00C8675F" w:rsidRDefault="00CE705B" w:rsidP="00BF3E32">
            <w:pPr>
              <w:spacing w:line="276" w:lineRule="auto"/>
              <w:jc w:val="center"/>
              <w:rPr>
                <w:b/>
                <w:sz w:val="22"/>
                <w:szCs w:val="22"/>
              </w:rPr>
            </w:pPr>
            <w:r w:rsidRPr="00604286">
              <w:rPr>
                <w:b/>
                <w:sz w:val="22"/>
                <w:szCs w:val="22"/>
              </w:rPr>
              <w:t>Proportion</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Motorway</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362.6</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0.5%</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National European</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5,697.7</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7.1%</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Other National</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9,930.9</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12.4%</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County</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36,009.8</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45.1%</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Commune</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27,780.8</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34.8%</w:t>
            </w:r>
          </w:p>
        </w:tc>
      </w:tr>
      <w:tr w:rsidR="00CE705B" w:rsidRPr="00C8675F" w:rsidTr="00BF3E32">
        <w:tc>
          <w:tcPr>
            <w:tcW w:w="2410" w:type="dxa"/>
            <w:vAlign w:val="center"/>
          </w:tcPr>
          <w:p w:rsidR="00CE705B" w:rsidRPr="00C8675F" w:rsidRDefault="00CE705B" w:rsidP="00BF3E32">
            <w:pPr>
              <w:spacing w:line="276" w:lineRule="auto"/>
              <w:rPr>
                <w:bCs/>
                <w:sz w:val="22"/>
                <w:szCs w:val="22"/>
              </w:rPr>
            </w:pPr>
            <w:r w:rsidRPr="00604286">
              <w:rPr>
                <w:bCs/>
                <w:sz w:val="22"/>
                <w:szCs w:val="22"/>
              </w:rPr>
              <w:t>Total</w:t>
            </w:r>
          </w:p>
        </w:tc>
        <w:tc>
          <w:tcPr>
            <w:tcW w:w="1559" w:type="dxa"/>
            <w:vAlign w:val="center"/>
          </w:tcPr>
          <w:p w:rsidR="00CE705B" w:rsidRPr="00C8675F" w:rsidRDefault="00CE705B" w:rsidP="00BF3E32">
            <w:pPr>
              <w:spacing w:line="276" w:lineRule="auto"/>
              <w:jc w:val="center"/>
              <w:rPr>
                <w:bCs/>
                <w:sz w:val="22"/>
                <w:szCs w:val="22"/>
              </w:rPr>
            </w:pPr>
            <w:r w:rsidRPr="00604286">
              <w:rPr>
                <w:bCs/>
                <w:sz w:val="22"/>
                <w:szCs w:val="22"/>
              </w:rPr>
              <w:t>79,781.7</w:t>
            </w:r>
          </w:p>
        </w:tc>
        <w:tc>
          <w:tcPr>
            <w:tcW w:w="1843" w:type="dxa"/>
            <w:vAlign w:val="center"/>
          </w:tcPr>
          <w:p w:rsidR="00CE705B" w:rsidRPr="00C8675F" w:rsidRDefault="00CE705B" w:rsidP="00BF3E32">
            <w:pPr>
              <w:spacing w:line="276" w:lineRule="auto"/>
              <w:jc w:val="center"/>
              <w:rPr>
                <w:bCs/>
                <w:sz w:val="22"/>
                <w:szCs w:val="22"/>
              </w:rPr>
            </w:pPr>
            <w:r w:rsidRPr="00604286">
              <w:rPr>
                <w:bCs/>
                <w:sz w:val="22"/>
                <w:szCs w:val="22"/>
              </w:rPr>
              <w:t>-</w:t>
            </w:r>
          </w:p>
        </w:tc>
      </w:tr>
    </w:tbl>
    <w:p w:rsidR="00CE705B" w:rsidRDefault="00CE705B" w:rsidP="00CE705B">
      <w:pPr>
        <w:ind w:left="851"/>
        <w:rPr>
          <w:i/>
        </w:rPr>
      </w:pPr>
      <w:r w:rsidRPr="00604286">
        <w:rPr>
          <w:i/>
        </w:rPr>
        <w:t>Source: AECOM analysis of individual DRDP data</w:t>
      </w:r>
    </w:p>
    <w:p w:rsidR="00CE705B" w:rsidRDefault="00CE705B" w:rsidP="00CE705B">
      <w:pPr>
        <w:rPr>
          <w:sz w:val="22"/>
          <w:szCs w:val="22"/>
        </w:rPr>
      </w:pPr>
    </w:p>
    <w:p w:rsidR="00CE705B" w:rsidRPr="00C8675F" w:rsidRDefault="00CE705B" w:rsidP="00A4081F">
      <w:pPr>
        <w:pStyle w:val="NumberedParas"/>
      </w:pPr>
      <w:r w:rsidRPr="000562AC">
        <w:t xml:space="preserve">Standard of Network Provision and Function: </w:t>
      </w:r>
      <w:r w:rsidRPr="00604286">
        <w:t>Almost 90% of the national network is single carriageway standard</w:t>
      </w:r>
      <w:r>
        <w:t>,</w:t>
      </w:r>
      <w:r w:rsidRPr="00604286">
        <w:t xml:space="preserve"> this impacts upon both travel time and safety. Some national roads utilise a single carriageway with a hard shoulder but this is typically of sub-standard width. This is not sufficient to accommodate overtaking of local agricultural vehicles, which commonly make use of the network, nor heavy goods vehicles which are prevalent on any national network and need to be accommodated safely.</w:t>
      </w:r>
    </w:p>
    <w:p w:rsidR="00CE705B" w:rsidRPr="00C8675F" w:rsidRDefault="00CE705B" w:rsidP="00A4081F">
      <w:pPr>
        <w:pStyle w:val="NumberedParas"/>
      </w:pPr>
      <w:r w:rsidRPr="00604286">
        <w:t>Compared to the rest of Europe, the level of motorway provision is very low. Recent European statistics comparing the level of motorway provision to that of all national / main roads, places Romania 30</w:t>
      </w:r>
      <w:r w:rsidRPr="00604286">
        <w:rPr>
          <w:vertAlign w:val="superscript"/>
        </w:rPr>
        <w:t>th</w:t>
      </w:r>
      <w:r w:rsidRPr="00604286">
        <w:t xml:space="preserve"> out of 31 (for those countries with relevant data available). This has an impact upon the reliability of the road network for business and the economy.</w:t>
      </w:r>
    </w:p>
    <w:p w:rsidR="00CE705B" w:rsidRPr="00C8675F" w:rsidRDefault="00CE705B" w:rsidP="00A4081F">
      <w:pPr>
        <w:pStyle w:val="NumberedParas"/>
      </w:pPr>
      <w:r w:rsidRPr="00604286">
        <w:t>It is also worth noting that the same data source identifies that Romania is 7</w:t>
      </w:r>
      <w:r w:rsidRPr="00604286">
        <w:rPr>
          <w:vertAlign w:val="superscript"/>
        </w:rPr>
        <w:t>th</w:t>
      </w:r>
      <w:r>
        <w:t xml:space="preserve"> out of 33 countries in terms of</w:t>
      </w:r>
      <w:r w:rsidRPr="00604286">
        <w:rPr>
          <w:vertAlign w:val="superscript"/>
        </w:rPr>
        <w:t xml:space="preserve"> </w:t>
      </w:r>
      <w:r w:rsidRPr="00604286">
        <w:t xml:space="preserve">the proportion of the total network that is classified as “national”. This shows that the proportional extent of the national network is higher than most EU countries. </w:t>
      </w:r>
      <w:r w:rsidRPr="000562AC">
        <w:t>Figure 3.1 shows</w:t>
      </w:r>
      <w:r w:rsidRPr="00604286">
        <w:t xml:space="preserve"> the percentage of the overall road network which is categorised as being part of the National Network and the percentage of that network which is Motorway standard for countries with comparable total road network lengths as Romania. </w:t>
      </w:r>
    </w:p>
    <w:p w:rsidR="00066342" w:rsidRDefault="00066342">
      <w:pPr>
        <w:rPr>
          <w:b/>
          <w:sz w:val="22"/>
          <w:szCs w:val="22"/>
        </w:rPr>
      </w:pPr>
      <w:r>
        <w:rPr>
          <w:b/>
          <w:sz w:val="22"/>
          <w:szCs w:val="22"/>
        </w:rPr>
        <w:br w:type="page"/>
      </w:r>
    </w:p>
    <w:p w:rsidR="00CE705B" w:rsidRDefault="00CE705B" w:rsidP="00CE705B">
      <w:pPr>
        <w:ind w:left="851"/>
        <w:rPr>
          <w:b/>
          <w:sz w:val="22"/>
          <w:szCs w:val="22"/>
        </w:rPr>
      </w:pPr>
      <w:r>
        <w:rPr>
          <w:noProof/>
          <w:lang w:val="ro-RO" w:eastAsia="ro-RO"/>
        </w:rPr>
        <w:drawing>
          <wp:inline distT="0" distB="0" distL="0" distR="0" wp14:anchorId="08C8628B" wp14:editId="0A79299E">
            <wp:extent cx="4820285" cy="2616200"/>
            <wp:effectExtent l="19050" t="0" r="18415" b="0"/>
            <wp:docPr id="247"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CE705B" w:rsidRDefault="00CE705B" w:rsidP="00CE705B"/>
    <w:p w:rsidR="00066342" w:rsidRDefault="00066342" w:rsidP="000562AC">
      <w:pPr>
        <w:ind w:left="851"/>
        <w:rPr>
          <w:i/>
        </w:rPr>
      </w:pPr>
      <w:r w:rsidRPr="00066342">
        <w:rPr>
          <w:i/>
        </w:rPr>
        <w:t>Source: EUROSTAT</w:t>
      </w:r>
    </w:p>
    <w:p w:rsidR="000562AC" w:rsidRDefault="000562AC" w:rsidP="000562AC">
      <w:pPr>
        <w:spacing w:before="120" w:after="120"/>
        <w:ind w:left="851"/>
        <w:rPr>
          <w:b/>
          <w:sz w:val="22"/>
          <w:szCs w:val="22"/>
        </w:rPr>
      </w:pPr>
      <w:r w:rsidRPr="00604286">
        <w:rPr>
          <w:b/>
          <w:sz w:val="22"/>
          <w:szCs w:val="22"/>
        </w:rPr>
        <w:t xml:space="preserve">Figure </w:t>
      </w:r>
      <w:r>
        <w:rPr>
          <w:b/>
          <w:sz w:val="22"/>
          <w:szCs w:val="22"/>
        </w:rPr>
        <w:t>3.1 Percentage</w:t>
      </w:r>
      <w:r w:rsidRPr="00604286">
        <w:rPr>
          <w:b/>
          <w:sz w:val="22"/>
          <w:szCs w:val="22"/>
        </w:rPr>
        <w:t xml:space="preserve"> of Road Networks Classified as “National”</w:t>
      </w:r>
    </w:p>
    <w:p w:rsidR="00CE705B" w:rsidRPr="00C8675F" w:rsidRDefault="00CE705B" w:rsidP="00A4081F">
      <w:pPr>
        <w:pStyle w:val="NumberedParas"/>
      </w:pPr>
      <w:r w:rsidRPr="00604286">
        <w:t>CESTRIN have provided data to AECOM on the state of the national network as at 1st January 2012. The data provided includes information on the type of surfacing, an assessment of the quality of that surfacing (based on IRR surface roughness values) and also the type of topography through which the road section runs. We have not been able to obtain equivalent data for the non-national network.</w:t>
      </w:r>
    </w:p>
    <w:p w:rsidR="00CE705B" w:rsidRPr="00C8675F" w:rsidRDefault="00CE705B" w:rsidP="00A4081F">
      <w:pPr>
        <w:pStyle w:val="NumberedParas"/>
      </w:pPr>
      <w:r w:rsidRPr="00604286">
        <w:t xml:space="preserve">Table </w:t>
      </w:r>
      <w:r w:rsidR="000562AC">
        <w:t>3.3</w:t>
      </w:r>
      <w:r w:rsidRPr="00604286">
        <w:t xml:space="preserve"> shows the proportion of the network that is considered good, average or poor broken down by surface type and topography.</w:t>
      </w:r>
    </w:p>
    <w:p w:rsidR="00CE705B" w:rsidRDefault="00CE705B" w:rsidP="00CE705B">
      <w:pPr>
        <w:ind w:left="851"/>
        <w:rPr>
          <w:b/>
          <w:sz w:val="22"/>
          <w:szCs w:val="22"/>
        </w:rPr>
      </w:pPr>
      <w:bookmarkStart w:id="54" w:name="_Ref369077037"/>
      <w:r w:rsidRPr="000562AC">
        <w:rPr>
          <w:b/>
          <w:sz w:val="22"/>
          <w:szCs w:val="22"/>
        </w:rPr>
        <w:t xml:space="preserve">Table </w:t>
      </w:r>
      <w:bookmarkEnd w:id="54"/>
      <w:r w:rsidRPr="000562AC">
        <w:rPr>
          <w:b/>
          <w:sz w:val="22"/>
          <w:szCs w:val="22"/>
        </w:rPr>
        <w:t>3</w:t>
      </w:r>
      <w:r w:rsidR="000562AC">
        <w:rPr>
          <w:b/>
          <w:sz w:val="22"/>
          <w:szCs w:val="22"/>
        </w:rPr>
        <w:t>.3</w:t>
      </w:r>
      <w:r w:rsidRPr="000562AC">
        <w:rPr>
          <w:b/>
          <w:sz w:val="22"/>
          <w:szCs w:val="22"/>
        </w:rPr>
        <w:t xml:space="preserve"> National</w:t>
      </w:r>
      <w:r w:rsidRPr="00604286">
        <w:rPr>
          <w:b/>
          <w:sz w:val="22"/>
          <w:szCs w:val="22"/>
        </w:rPr>
        <w:t xml:space="preserve"> Road Network - Surface Condition</w:t>
      </w:r>
    </w:p>
    <w:tbl>
      <w:tblPr>
        <w:tblW w:w="448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
        <w:gridCol w:w="1043"/>
        <w:gridCol w:w="975"/>
        <w:gridCol w:w="1068"/>
        <w:gridCol w:w="882"/>
        <w:gridCol w:w="1206"/>
        <w:gridCol w:w="1016"/>
        <w:gridCol w:w="1051"/>
        <w:gridCol w:w="887"/>
        <w:gridCol w:w="827"/>
      </w:tblGrid>
      <w:tr w:rsidR="00CE705B" w:rsidRPr="00C8675F" w:rsidTr="00BF3E32">
        <w:trPr>
          <w:cantSplit/>
          <w:trHeight w:val="329"/>
        </w:trPr>
        <w:tc>
          <w:tcPr>
            <w:tcW w:w="800" w:type="pct"/>
            <w:gridSpan w:val="2"/>
            <w:shd w:val="clear" w:color="auto" w:fill="B8CCE4" w:themeFill="accent1" w:themeFillTint="66"/>
            <w:vAlign w:val="center"/>
          </w:tcPr>
          <w:p w:rsidR="00CE705B" w:rsidRPr="00C8675F" w:rsidRDefault="00CE705B" w:rsidP="00BF3E32">
            <w:pPr>
              <w:jc w:val="center"/>
            </w:pPr>
          </w:p>
        </w:tc>
        <w:tc>
          <w:tcPr>
            <w:tcW w:w="517" w:type="pct"/>
            <w:shd w:val="clear" w:color="auto" w:fill="B8CCE4" w:themeFill="accent1" w:themeFillTint="66"/>
            <w:vAlign w:val="center"/>
          </w:tcPr>
          <w:p w:rsidR="00CE705B" w:rsidRPr="00C8675F" w:rsidRDefault="00CE705B" w:rsidP="00BF3E32">
            <w:pPr>
              <w:jc w:val="center"/>
              <w:rPr>
                <w:b/>
              </w:rPr>
            </w:pPr>
            <w:r w:rsidRPr="00604286">
              <w:rPr>
                <w:b/>
              </w:rPr>
              <w:t>Asphalt</w:t>
            </w:r>
          </w:p>
        </w:tc>
        <w:tc>
          <w:tcPr>
            <w:tcW w:w="567" w:type="pct"/>
            <w:shd w:val="clear" w:color="auto" w:fill="B8CCE4" w:themeFill="accent1" w:themeFillTint="66"/>
            <w:vAlign w:val="center"/>
          </w:tcPr>
          <w:p w:rsidR="00CE705B" w:rsidRPr="00C8675F" w:rsidRDefault="00CE705B" w:rsidP="00BF3E32">
            <w:pPr>
              <w:jc w:val="center"/>
              <w:rPr>
                <w:b/>
              </w:rPr>
            </w:pPr>
            <w:r w:rsidRPr="00604286">
              <w:rPr>
                <w:b/>
              </w:rPr>
              <w:t>Concrete</w:t>
            </w:r>
          </w:p>
        </w:tc>
        <w:tc>
          <w:tcPr>
            <w:tcW w:w="468" w:type="pct"/>
            <w:shd w:val="clear" w:color="auto" w:fill="B8CCE4" w:themeFill="accent1" w:themeFillTint="66"/>
            <w:vAlign w:val="center"/>
          </w:tcPr>
          <w:p w:rsidR="00CE705B" w:rsidRPr="00C8675F" w:rsidRDefault="00CE705B" w:rsidP="00BF3E32">
            <w:pPr>
              <w:jc w:val="center"/>
              <w:rPr>
                <w:b/>
              </w:rPr>
            </w:pPr>
            <w:r w:rsidRPr="00604286">
              <w:rPr>
                <w:b/>
              </w:rPr>
              <w:t>Paved</w:t>
            </w:r>
          </w:p>
        </w:tc>
        <w:tc>
          <w:tcPr>
            <w:tcW w:w="640" w:type="pct"/>
            <w:shd w:val="clear" w:color="auto" w:fill="B8CCE4" w:themeFill="accent1" w:themeFillTint="66"/>
            <w:vAlign w:val="center"/>
          </w:tcPr>
          <w:p w:rsidR="00CE705B" w:rsidRPr="00C8675F" w:rsidRDefault="00CE705B" w:rsidP="00BF3E32">
            <w:pPr>
              <w:jc w:val="center"/>
              <w:rPr>
                <w:b/>
              </w:rPr>
            </w:pPr>
            <w:r w:rsidRPr="00604286">
              <w:rPr>
                <w:b/>
              </w:rPr>
              <w:t>Light Bituminous Pavement</w:t>
            </w:r>
          </w:p>
        </w:tc>
        <w:tc>
          <w:tcPr>
            <w:tcW w:w="539" w:type="pct"/>
            <w:shd w:val="clear" w:color="auto" w:fill="B8CCE4" w:themeFill="accent1" w:themeFillTint="66"/>
            <w:vAlign w:val="center"/>
          </w:tcPr>
          <w:p w:rsidR="00CE705B" w:rsidRPr="00C8675F" w:rsidRDefault="00CE705B" w:rsidP="00BF3E32">
            <w:pPr>
              <w:jc w:val="center"/>
              <w:rPr>
                <w:b/>
              </w:rPr>
            </w:pPr>
            <w:r w:rsidRPr="00604286">
              <w:rPr>
                <w:b/>
              </w:rPr>
              <w:t>Stone</w:t>
            </w:r>
          </w:p>
        </w:tc>
        <w:tc>
          <w:tcPr>
            <w:tcW w:w="558" w:type="pct"/>
            <w:shd w:val="clear" w:color="auto" w:fill="B8CCE4" w:themeFill="accent1" w:themeFillTint="66"/>
            <w:vAlign w:val="center"/>
          </w:tcPr>
          <w:p w:rsidR="00CE705B" w:rsidRPr="00C8675F" w:rsidRDefault="00CE705B" w:rsidP="00BF3E32">
            <w:pPr>
              <w:jc w:val="center"/>
              <w:rPr>
                <w:b/>
              </w:rPr>
            </w:pPr>
            <w:r w:rsidRPr="00604286">
              <w:rPr>
                <w:b/>
              </w:rPr>
              <w:t>Earth</w:t>
            </w:r>
          </w:p>
        </w:tc>
        <w:tc>
          <w:tcPr>
            <w:tcW w:w="910" w:type="pct"/>
            <w:gridSpan w:val="2"/>
            <w:shd w:val="clear" w:color="auto" w:fill="B8CCE4" w:themeFill="accent1" w:themeFillTint="66"/>
            <w:vAlign w:val="center"/>
          </w:tcPr>
          <w:p w:rsidR="00CE705B" w:rsidRPr="00C8675F" w:rsidRDefault="00CE705B" w:rsidP="00BF3E32">
            <w:pPr>
              <w:jc w:val="center"/>
              <w:rPr>
                <w:b/>
              </w:rPr>
            </w:pPr>
            <w:r w:rsidRPr="00604286">
              <w:rPr>
                <w:b/>
              </w:rPr>
              <w:t>Total</w:t>
            </w:r>
          </w:p>
        </w:tc>
      </w:tr>
      <w:tr w:rsidR="00CE705B" w:rsidRPr="00C8675F" w:rsidTr="00BF3E32">
        <w:trPr>
          <w:cantSplit/>
          <w:trHeight w:val="329"/>
        </w:trPr>
        <w:tc>
          <w:tcPr>
            <w:tcW w:w="247" w:type="pct"/>
            <w:vMerge w:val="restart"/>
            <w:shd w:val="clear" w:color="auto" w:fill="auto"/>
            <w:textDirection w:val="btLr"/>
            <w:vAlign w:val="center"/>
          </w:tcPr>
          <w:p w:rsidR="00CE705B" w:rsidRPr="00C8675F" w:rsidRDefault="00CE705B" w:rsidP="00BF3E32">
            <w:pPr>
              <w:jc w:val="center"/>
            </w:pPr>
            <w:r w:rsidRPr="00604286">
              <w:t>Hill</w:t>
            </w:r>
          </w:p>
        </w:tc>
        <w:tc>
          <w:tcPr>
            <w:tcW w:w="553" w:type="pct"/>
            <w:shd w:val="clear" w:color="auto" w:fill="auto"/>
            <w:vAlign w:val="center"/>
          </w:tcPr>
          <w:p w:rsidR="00CE705B" w:rsidRPr="00C8675F" w:rsidRDefault="00CE705B" w:rsidP="00BF3E32">
            <w:pPr>
              <w:jc w:val="center"/>
            </w:pPr>
            <w:r w:rsidRPr="00604286">
              <w:t>Good</w:t>
            </w:r>
          </w:p>
        </w:tc>
        <w:tc>
          <w:tcPr>
            <w:tcW w:w="517" w:type="pct"/>
            <w:shd w:val="clear" w:color="auto" w:fill="auto"/>
            <w:vAlign w:val="center"/>
          </w:tcPr>
          <w:p w:rsidR="00CE705B" w:rsidRPr="00C8675F" w:rsidRDefault="00CE705B" w:rsidP="00BF3E32">
            <w:pPr>
              <w:jc w:val="center"/>
            </w:pPr>
            <w:r w:rsidRPr="00604286">
              <w:t>19.2%</w:t>
            </w:r>
          </w:p>
        </w:tc>
        <w:tc>
          <w:tcPr>
            <w:tcW w:w="567" w:type="pct"/>
            <w:shd w:val="clear" w:color="auto" w:fill="auto"/>
            <w:vAlign w:val="center"/>
          </w:tcPr>
          <w:p w:rsidR="00CE705B" w:rsidRPr="00C8675F" w:rsidRDefault="00CE705B" w:rsidP="00BF3E32">
            <w:pPr>
              <w:jc w:val="center"/>
            </w:pPr>
            <w:r w:rsidRPr="00604286">
              <w:t>0.8%</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0.3%</w:t>
            </w:r>
          </w:p>
        </w:tc>
        <w:tc>
          <w:tcPr>
            <w:tcW w:w="539" w:type="pct"/>
            <w:shd w:val="clear" w:color="auto" w:fill="auto"/>
            <w:vAlign w:val="center"/>
          </w:tcPr>
          <w:p w:rsidR="00CE705B" w:rsidRPr="00C8675F" w:rsidRDefault="00CE705B" w:rsidP="00BF3E32">
            <w:pPr>
              <w:jc w:val="center"/>
            </w:pPr>
            <w:r w:rsidRPr="00604286">
              <w:t>0.0%</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20.4%</w:t>
            </w:r>
          </w:p>
        </w:tc>
        <w:tc>
          <w:tcPr>
            <w:tcW w:w="439" w:type="pct"/>
            <w:vMerge w:val="restart"/>
            <w:shd w:val="clear" w:color="auto" w:fill="auto"/>
            <w:vAlign w:val="center"/>
          </w:tcPr>
          <w:p w:rsidR="00CE705B" w:rsidRPr="00C8675F" w:rsidRDefault="00CE705B" w:rsidP="00BF3E32">
            <w:pPr>
              <w:jc w:val="center"/>
              <w:rPr>
                <w:bCs/>
              </w:rPr>
            </w:pPr>
            <w:r w:rsidRPr="00604286">
              <w:rPr>
                <w:bCs/>
              </w:rPr>
              <w:t>40.6%</w:t>
            </w:r>
          </w:p>
        </w:tc>
      </w:tr>
      <w:tr w:rsidR="00CE705B" w:rsidRPr="00C8675F" w:rsidTr="00BF3E32">
        <w:trPr>
          <w:cantSplit/>
          <w:trHeight w:val="329"/>
        </w:trPr>
        <w:tc>
          <w:tcPr>
            <w:tcW w:w="247" w:type="pct"/>
            <w:vMerge/>
            <w:shd w:val="clear" w:color="auto" w:fill="auto"/>
            <w:textDirection w:val="btLr"/>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Average</w:t>
            </w:r>
          </w:p>
        </w:tc>
        <w:tc>
          <w:tcPr>
            <w:tcW w:w="517" w:type="pct"/>
            <w:shd w:val="clear" w:color="auto" w:fill="auto"/>
            <w:vAlign w:val="center"/>
          </w:tcPr>
          <w:p w:rsidR="00CE705B" w:rsidRPr="00C8675F" w:rsidRDefault="00CE705B" w:rsidP="00BF3E32">
            <w:pPr>
              <w:jc w:val="center"/>
            </w:pPr>
            <w:r w:rsidRPr="00604286">
              <w:t>11.5%</w:t>
            </w:r>
          </w:p>
        </w:tc>
        <w:tc>
          <w:tcPr>
            <w:tcW w:w="567" w:type="pct"/>
            <w:shd w:val="clear" w:color="auto" w:fill="auto"/>
            <w:vAlign w:val="center"/>
          </w:tcPr>
          <w:p w:rsidR="00CE705B" w:rsidRPr="00C8675F" w:rsidRDefault="00CE705B" w:rsidP="00BF3E32">
            <w:pPr>
              <w:jc w:val="center"/>
            </w:pPr>
            <w:r w:rsidRPr="00604286">
              <w:t>1.4%</w:t>
            </w:r>
          </w:p>
        </w:tc>
        <w:tc>
          <w:tcPr>
            <w:tcW w:w="468" w:type="pct"/>
            <w:shd w:val="clear" w:color="auto" w:fill="auto"/>
            <w:vAlign w:val="center"/>
          </w:tcPr>
          <w:p w:rsidR="00CE705B" w:rsidRPr="00C8675F" w:rsidRDefault="00CE705B" w:rsidP="00BF3E32">
            <w:pPr>
              <w:jc w:val="center"/>
            </w:pPr>
            <w:r w:rsidRPr="00604286">
              <w:t>0.1%</w:t>
            </w:r>
          </w:p>
        </w:tc>
        <w:tc>
          <w:tcPr>
            <w:tcW w:w="640" w:type="pct"/>
            <w:shd w:val="clear" w:color="auto" w:fill="auto"/>
            <w:vAlign w:val="center"/>
          </w:tcPr>
          <w:p w:rsidR="00CE705B" w:rsidRPr="00C8675F" w:rsidRDefault="00CE705B" w:rsidP="00BF3E32">
            <w:pPr>
              <w:jc w:val="center"/>
            </w:pPr>
            <w:r w:rsidRPr="00604286">
              <w:t>1.4%</w:t>
            </w:r>
          </w:p>
        </w:tc>
        <w:tc>
          <w:tcPr>
            <w:tcW w:w="539" w:type="pct"/>
            <w:shd w:val="clear" w:color="auto" w:fill="auto"/>
            <w:vAlign w:val="center"/>
          </w:tcPr>
          <w:p w:rsidR="00CE705B" w:rsidRPr="00C8675F" w:rsidRDefault="00CE705B" w:rsidP="00BF3E32">
            <w:pPr>
              <w:jc w:val="center"/>
            </w:pPr>
            <w:r w:rsidRPr="00604286">
              <w:t>0.3%</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14.6%</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247" w:type="pct"/>
            <w:vMerge/>
            <w:shd w:val="clear" w:color="auto" w:fill="auto"/>
            <w:textDirection w:val="btLr"/>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Poor</w:t>
            </w:r>
          </w:p>
        </w:tc>
        <w:tc>
          <w:tcPr>
            <w:tcW w:w="517" w:type="pct"/>
            <w:shd w:val="clear" w:color="auto" w:fill="auto"/>
            <w:vAlign w:val="center"/>
          </w:tcPr>
          <w:p w:rsidR="00CE705B" w:rsidRPr="00C8675F" w:rsidRDefault="00CE705B" w:rsidP="00BF3E32">
            <w:pPr>
              <w:jc w:val="center"/>
            </w:pPr>
            <w:r w:rsidRPr="00604286">
              <w:t>3.8%</w:t>
            </w:r>
          </w:p>
        </w:tc>
        <w:tc>
          <w:tcPr>
            <w:tcW w:w="567" w:type="pct"/>
            <w:shd w:val="clear" w:color="auto" w:fill="auto"/>
            <w:vAlign w:val="center"/>
          </w:tcPr>
          <w:p w:rsidR="00CE705B" w:rsidRPr="00C8675F" w:rsidRDefault="00CE705B" w:rsidP="00BF3E32">
            <w:pPr>
              <w:jc w:val="center"/>
            </w:pPr>
            <w:r w:rsidRPr="00604286">
              <w:t>0.9%</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0.8%</w:t>
            </w:r>
          </w:p>
        </w:tc>
        <w:tc>
          <w:tcPr>
            <w:tcW w:w="539" w:type="pct"/>
            <w:shd w:val="clear" w:color="auto" w:fill="auto"/>
            <w:vAlign w:val="center"/>
          </w:tcPr>
          <w:p w:rsidR="00CE705B" w:rsidRPr="00C8675F" w:rsidRDefault="00CE705B" w:rsidP="00BF3E32">
            <w:pPr>
              <w:jc w:val="center"/>
            </w:pPr>
            <w:r w:rsidRPr="00604286">
              <w:t>0.1%</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5.6%</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247" w:type="pct"/>
            <w:vMerge w:val="restart"/>
            <w:shd w:val="clear" w:color="auto" w:fill="auto"/>
            <w:textDirection w:val="btLr"/>
            <w:vAlign w:val="center"/>
          </w:tcPr>
          <w:p w:rsidR="00CE705B" w:rsidRPr="00C8675F" w:rsidRDefault="00CE705B" w:rsidP="00BF3E32">
            <w:pPr>
              <w:jc w:val="center"/>
            </w:pPr>
            <w:r w:rsidRPr="00604286">
              <w:t>Mountain</w:t>
            </w:r>
          </w:p>
        </w:tc>
        <w:tc>
          <w:tcPr>
            <w:tcW w:w="553" w:type="pct"/>
            <w:shd w:val="clear" w:color="auto" w:fill="auto"/>
            <w:vAlign w:val="center"/>
          </w:tcPr>
          <w:p w:rsidR="00CE705B" w:rsidRPr="00C8675F" w:rsidRDefault="00CE705B" w:rsidP="00BF3E32">
            <w:pPr>
              <w:jc w:val="center"/>
            </w:pPr>
            <w:r w:rsidRPr="00604286">
              <w:t>Good</w:t>
            </w:r>
          </w:p>
        </w:tc>
        <w:tc>
          <w:tcPr>
            <w:tcW w:w="517" w:type="pct"/>
            <w:shd w:val="clear" w:color="auto" w:fill="auto"/>
            <w:vAlign w:val="center"/>
          </w:tcPr>
          <w:p w:rsidR="00CE705B" w:rsidRPr="00C8675F" w:rsidRDefault="00CE705B" w:rsidP="00BF3E32">
            <w:pPr>
              <w:jc w:val="center"/>
            </w:pPr>
            <w:r w:rsidRPr="00604286">
              <w:t>10.3%</w:t>
            </w:r>
          </w:p>
        </w:tc>
        <w:tc>
          <w:tcPr>
            <w:tcW w:w="567" w:type="pct"/>
            <w:shd w:val="clear" w:color="auto" w:fill="auto"/>
            <w:vAlign w:val="center"/>
          </w:tcPr>
          <w:p w:rsidR="00CE705B" w:rsidRPr="00C8675F" w:rsidRDefault="00CE705B" w:rsidP="00BF3E32">
            <w:pPr>
              <w:jc w:val="center"/>
            </w:pPr>
            <w:r w:rsidRPr="00604286">
              <w:t>0.4%</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0.1%</w:t>
            </w:r>
          </w:p>
        </w:tc>
        <w:tc>
          <w:tcPr>
            <w:tcW w:w="539" w:type="pct"/>
            <w:shd w:val="clear" w:color="auto" w:fill="auto"/>
            <w:vAlign w:val="center"/>
          </w:tcPr>
          <w:p w:rsidR="00CE705B" w:rsidRPr="00C8675F" w:rsidRDefault="00CE705B" w:rsidP="00BF3E32">
            <w:pPr>
              <w:jc w:val="center"/>
            </w:pPr>
            <w:r w:rsidRPr="00604286">
              <w:t>0.0%</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10.8%</w:t>
            </w:r>
          </w:p>
        </w:tc>
        <w:tc>
          <w:tcPr>
            <w:tcW w:w="439" w:type="pct"/>
            <w:vMerge w:val="restart"/>
            <w:shd w:val="clear" w:color="auto" w:fill="auto"/>
            <w:vAlign w:val="center"/>
          </w:tcPr>
          <w:p w:rsidR="00CE705B" w:rsidRPr="00C8675F" w:rsidRDefault="00CE705B" w:rsidP="00BF3E32">
            <w:pPr>
              <w:jc w:val="center"/>
              <w:rPr>
                <w:bCs/>
              </w:rPr>
            </w:pPr>
            <w:r w:rsidRPr="00604286">
              <w:rPr>
                <w:bCs/>
              </w:rPr>
              <w:t>18.3%</w:t>
            </w:r>
          </w:p>
        </w:tc>
      </w:tr>
      <w:tr w:rsidR="00CE705B" w:rsidRPr="00C8675F" w:rsidTr="00BF3E32">
        <w:trPr>
          <w:cantSplit/>
          <w:trHeight w:val="329"/>
        </w:trPr>
        <w:tc>
          <w:tcPr>
            <w:tcW w:w="247" w:type="pct"/>
            <w:vMerge/>
            <w:shd w:val="clear" w:color="auto" w:fill="auto"/>
            <w:textDirection w:val="btLr"/>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Average</w:t>
            </w:r>
          </w:p>
        </w:tc>
        <w:tc>
          <w:tcPr>
            <w:tcW w:w="517" w:type="pct"/>
            <w:shd w:val="clear" w:color="auto" w:fill="auto"/>
            <w:vAlign w:val="center"/>
          </w:tcPr>
          <w:p w:rsidR="00CE705B" w:rsidRPr="00C8675F" w:rsidRDefault="00CE705B" w:rsidP="00BF3E32">
            <w:pPr>
              <w:jc w:val="center"/>
            </w:pPr>
            <w:r w:rsidRPr="00604286">
              <w:t>4.0%</w:t>
            </w:r>
          </w:p>
        </w:tc>
        <w:tc>
          <w:tcPr>
            <w:tcW w:w="567" w:type="pct"/>
            <w:shd w:val="clear" w:color="auto" w:fill="auto"/>
            <w:vAlign w:val="center"/>
          </w:tcPr>
          <w:p w:rsidR="00CE705B" w:rsidRPr="00C8675F" w:rsidRDefault="00CE705B" w:rsidP="00BF3E32">
            <w:pPr>
              <w:jc w:val="center"/>
            </w:pPr>
            <w:r w:rsidRPr="00604286">
              <w:t>0.2%</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0.2%</w:t>
            </w:r>
          </w:p>
        </w:tc>
        <w:tc>
          <w:tcPr>
            <w:tcW w:w="539" w:type="pct"/>
            <w:shd w:val="clear" w:color="auto" w:fill="auto"/>
            <w:vAlign w:val="center"/>
          </w:tcPr>
          <w:p w:rsidR="00CE705B" w:rsidRPr="00C8675F" w:rsidRDefault="00CE705B" w:rsidP="00BF3E32">
            <w:pPr>
              <w:jc w:val="center"/>
            </w:pPr>
            <w:r w:rsidRPr="00604286">
              <w:t>0.1%</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4.5%</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247" w:type="pct"/>
            <w:vMerge/>
            <w:shd w:val="clear" w:color="auto" w:fill="auto"/>
            <w:textDirection w:val="btLr"/>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Poor</w:t>
            </w:r>
          </w:p>
        </w:tc>
        <w:tc>
          <w:tcPr>
            <w:tcW w:w="517" w:type="pct"/>
            <w:shd w:val="clear" w:color="auto" w:fill="auto"/>
            <w:vAlign w:val="center"/>
          </w:tcPr>
          <w:p w:rsidR="00CE705B" w:rsidRPr="00C8675F" w:rsidRDefault="00CE705B" w:rsidP="00BF3E32">
            <w:pPr>
              <w:jc w:val="center"/>
            </w:pPr>
            <w:r w:rsidRPr="00604286">
              <w:t>1.2%</w:t>
            </w:r>
          </w:p>
        </w:tc>
        <w:tc>
          <w:tcPr>
            <w:tcW w:w="567" w:type="pct"/>
            <w:shd w:val="clear" w:color="auto" w:fill="auto"/>
            <w:vAlign w:val="center"/>
          </w:tcPr>
          <w:p w:rsidR="00CE705B" w:rsidRPr="00C8675F" w:rsidRDefault="00CE705B" w:rsidP="00BF3E32">
            <w:pPr>
              <w:jc w:val="center"/>
            </w:pPr>
            <w:r w:rsidRPr="00604286">
              <w:t>0.3%</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0.5%</w:t>
            </w:r>
          </w:p>
        </w:tc>
        <w:tc>
          <w:tcPr>
            <w:tcW w:w="539" w:type="pct"/>
            <w:shd w:val="clear" w:color="auto" w:fill="auto"/>
            <w:vAlign w:val="center"/>
          </w:tcPr>
          <w:p w:rsidR="00CE705B" w:rsidRPr="00C8675F" w:rsidRDefault="00CE705B" w:rsidP="00BF3E32">
            <w:pPr>
              <w:jc w:val="center"/>
            </w:pPr>
            <w:r w:rsidRPr="00604286">
              <w:t>0.9%</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2.9%</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247" w:type="pct"/>
            <w:vMerge w:val="restart"/>
            <w:shd w:val="clear" w:color="auto" w:fill="auto"/>
            <w:textDirection w:val="btLr"/>
            <w:vAlign w:val="center"/>
          </w:tcPr>
          <w:p w:rsidR="00CE705B" w:rsidRPr="00C8675F" w:rsidRDefault="00CE705B" w:rsidP="00BF3E32">
            <w:pPr>
              <w:jc w:val="center"/>
            </w:pPr>
            <w:r w:rsidRPr="00604286">
              <w:t>Plains</w:t>
            </w:r>
          </w:p>
        </w:tc>
        <w:tc>
          <w:tcPr>
            <w:tcW w:w="553" w:type="pct"/>
            <w:shd w:val="clear" w:color="auto" w:fill="auto"/>
            <w:vAlign w:val="center"/>
          </w:tcPr>
          <w:p w:rsidR="00CE705B" w:rsidRPr="00C8675F" w:rsidRDefault="00CE705B" w:rsidP="00BF3E32">
            <w:pPr>
              <w:jc w:val="center"/>
            </w:pPr>
            <w:r w:rsidRPr="00604286">
              <w:t>Good</w:t>
            </w:r>
          </w:p>
        </w:tc>
        <w:tc>
          <w:tcPr>
            <w:tcW w:w="517" w:type="pct"/>
            <w:shd w:val="clear" w:color="auto" w:fill="auto"/>
            <w:vAlign w:val="center"/>
          </w:tcPr>
          <w:p w:rsidR="00CE705B" w:rsidRPr="00C8675F" w:rsidRDefault="00CE705B" w:rsidP="00BF3E32">
            <w:pPr>
              <w:jc w:val="center"/>
            </w:pPr>
            <w:r w:rsidRPr="00604286">
              <w:t>19.9%</w:t>
            </w:r>
          </w:p>
        </w:tc>
        <w:tc>
          <w:tcPr>
            <w:tcW w:w="567" w:type="pct"/>
            <w:shd w:val="clear" w:color="auto" w:fill="auto"/>
            <w:vAlign w:val="center"/>
          </w:tcPr>
          <w:p w:rsidR="00CE705B" w:rsidRPr="00C8675F" w:rsidRDefault="00CE705B" w:rsidP="00BF3E32">
            <w:pPr>
              <w:jc w:val="center"/>
            </w:pPr>
            <w:r w:rsidRPr="00604286">
              <w:t>1.0%</w:t>
            </w:r>
          </w:p>
        </w:tc>
        <w:tc>
          <w:tcPr>
            <w:tcW w:w="468" w:type="pct"/>
            <w:shd w:val="clear" w:color="auto" w:fill="auto"/>
            <w:vAlign w:val="center"/>
          </w:tcPr>
          <w:p w:rsidR="00CE705B" w:rsidRPr="00C8675F" w:rsidRDefault="00CE705B" w:rsidP="00BF3E32">
            <w:pPr>
              <w:jc w:val="center"/>
            </w:pPr>
            <w:r w:rsidRPr="00604286">
              <w:t>0.1%</w:t>
            </w:r>
          </w:p>
        </w:tc>
        <w:tc>
          <w:tcPr>
            <w:tcW w:w="640" w:type="pct"/>
            <w:shd w:val="clear" w:color="auto" w:fill="auto"/>
            <w:vAlign w:val="center"/>
          </w:tcPr>
          <w:p w:rsidR="00CE705B" w:rsidRPr="00C8675F" w:rsidRDefault="00CE705B" w:rsidP="00BF3E32">
            <w:pPr>
              <w:jc w:val="center"/>
            </w:pPr>
            <w:r w:rsidRPr="00604286">
              <w:t>0.7%</w:t>
            </w:r>
          </w:p>
        </w:tc>
        <w:tc>
          <w:tcPr>
            <w:tcW w:w="539" w:type="pct"/>
            <w:shd w:val="clear" w:color="auto" w:fill="auto"/>
            <w:vAlign w:val="center"/>
          </w:tcPr>
          <w:p w:rsidR="00CE705B" w:rsidRPr="00C8675F" w:rsidRDefault="00CE705B" w:rsidP="00BF3E32">
            <w:pPr>
              <w:jc w:val="center"/>
            </w:pPr>
            <w:r w:rsidRPr="00604286">
              <w:t>0.0%</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21.7%</w:t>
            </w:r>
          </w:p>
        </w:tc>
        <w:tc>
          <w:tcPr>
            <w:tcW w:w="439" w:type="pct"/>
            <w:vMerge w:val="restart"/>
            <w:shd w:val="clear" w:color="auto" w:fill="auto"/>
            <w:vAlign w:val="center"/>
          </w:tcPr>
          <w:p w:rsidR="00CE705B" w:rsidRPr="00C8675F" w:rsidRDefault="00CE705B" w:rsidP="00BF3E32">
            <w:pPr>
              <w:jc w:val="center"/>
              <w:rPr>
                <w:bCs/>
              </w:rPr>
            </w:pPr>
            <w:r w:rsidRPr="00604286">
              <w:rPr>
                <w:bCs/>
              </w:rPr>
              <w:t>41.2%</w:t>
            </w:r>
          </w:p>
        </w:tc>
      </w:tr>
      <w:tr w:rsidR="00CE705B" w:rsidRPr="00C8675F" w:rsidTr="00BF3E32">
        <w:trPr>
          <w:cantSplit/>
          <w:trHeight w:val="329"/>
        </w:trPr>
        <w:tc>
          <w:tcPr>
            <w:tcW w:w="247" w:type="pct"/>
            <w:vMerge/>
            <w:shd w:val="clear" w:color="auto" w:fill="auto"/>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Average</w:t>
            </w:r>
          </w:p>
        </w:tc>
        <w:tc>
          <w:tcPr>
            <w:tcW w:w="517" w:type="pct"/>
            <w:shd w:val="clear" w:color="auto" w:fill="auto"/>
            <w:vAlign w:val="center"/>
          </w:tcPr>
          <w:p w:rsidR="00CE705B" w:rsidRPr="00C8675F" w:rsidRDefault="00CE705B" w:rsidP="00BF3E32">
            <w:pPr>
              <w:jc w:val="center"/>
            </w:pPr>
            <w:r w:rsidRPr="00604286">
              <w:t>10.4%</w:t>
            </w:r>
          </w:p>
        </w:tc>
        <w:tc>
          <w:tcPr>
            <w:tcW w:w="567" w:type="pct"/>
            <w:shd w:val="clear" w:color="auto" w:fill="auto"/>
            <w:vAlign w:val="center"/>
          </w:tcPr>
          <w:p w:rsidR="00CE705B" w:rsidRPr="00C8675F" w:rsidRDefault="00CE705B" w:rsidP="00BF3E32">
            <w:pPr>
              <w:jc w:val="center"/>
            </w:pPr>
            <w:r w:rsidRPr="00604286">
              <w:t>0.5%</w:t>
            </w:r>
          </w:p>
        </w:tc>
        <w:tc>
          <w:tcPr>
            <w:tcW w:w="468" w:type="pct"/>
            <w:shd w:val="clear" w:color="auto" w:fill="auto"/>
            <w:vAlign w:val="center"/>
          </w:tcPr>
          <w:p w:rsidR="00CE705B" w:rsidRPr="00C8675F" w:rsidRDefault="00CE705B" w:rsidP="00BF3E32">
            <w:pPr>
              <w:jc w:val="center"/>
            </w:pPr>
            <w:r w:rsidRPr="00604286">
              <w:t>0.0%</w:t>
            </w:r>
          </w:p>
        </w:tc>
        <w:tc>
          <w:tcPr>
            <w:tcW w:w="640" w:type="pct"/>
            <w:shd w:val="clear" w:color="auto" w:fill="auto"/>
            <w:vAlign w:val="center"/>
          </w:tcPr>
          <w:p w:rsidR="00CE705B" w:rsidRPr="00C8675F" w:rsidRDefault="00CE705B" w:rsidP="00BF3E32">
            <w:pPr>
              <w:jc w:val="center"/>
            </w:pPr>
            <w:r w:rsidRPr="00604286">
              <w:t>0.7%</w:t>
            </w:r>
          </w:p>
        </w:tc>
        <w:tc>
          <w:tcPr>
            <w:tcW w:w="539" w:type="pct"/>
            <w:shd w:val="clear" w:color="auto" w:fill="auto"/>
            <w:vAlign w:val="center"/>
          </w:tcPr>
          <w:p w:rsidR="00CE705B" w:rsidRPr="00C8675F" w:rsidRDefault="00CE705B" w:rsidP="00BF3E32">
            <w:pPr>
              <w:jc w:val="center"/>
            </w:pPr>
            <w:r w:rsidRPr="00604286">
              <w:t>0.1%</w:t>
            </w:r>
          </w:p>
        </w:tc>
        <w:tc>
          <w:tcPr>
            <w:tcW w:w="558" w:type="pct"/>
            <w:shd w:val="clear" w:color="auto" w:fill="auto"/>
            <w:vAlign w:val="center"/>
          </w:tcPr>
          <w:p w:rsidR="00CE705B" w:rsidRPr="00C8675F" w:rsidRDefault="00CE705B" w:rsidP="00BF3E32">
            <w:pPr>
              <w:jc w:val="center"/>
            </w:pPr>
            <w:r w:rsidRPr="00604286">
              <w:t>0.0%</w:t>
            </w:r>
          </w:p>
        </w:tc>
        <w:tc>
          <w:tcPr>
            <w:tcW w:w="471" w:type="pct"/>
            <w:shd w:val="clear" w:color="auto" w:fill="auto"/>
            <w:vAlign w:val="center"/>
          </w:tcPr>
          <w:p w:rsidR="00CE705B" w:rsidRPr="00C8675F" w:rsidRDefault="00CE705B" w:rsidP="00BF3E32">
            <w:pPr>
              <w:jc w:val="center"/>
              <w:rPr>
                <w:bCs/>
              </w:rPr>
            </w:pPr>
            <w:r w:rsidRPr="00604286">
              <w:rPr>
                <w:bCs/>
              </w:rPr>
              <w:t>11.7%</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247" w:type="pct"/>
            <w:vMerge/>
            <w:shd w:val="clear" w:color="auto" w:fill="auto"/>
            <w:vAlign w:val="center"/>
          </w:tcPr>
          <w:p w:rsidR="00CE705B" w:rsidRPr="00C8675F" w:rsidRDefault="00CE705B" w:rsidP="00BF3E32">
            <w:pPr>
              <w:jc w:val="center"/>
            </w:pPr>
          </w:p>
        </w:tc>
        <w:tc>
          <w:tcPr>
            <w:tcW w:w="553" w:type="pct"/>
            <w:shd w:val="clear" w:color="auto" w:fill="auto"/>
            <w:vAlign w:val="center"/>
          </w:tcPr>
          <w:p w:rsidR="00CE705B" w:rsidRPr="00C8675F" w:rsidRDefault="00CE705B" w:rsidP="00BF3E32">
            <w:pPr>
              <w:jc w:val="center"/>
            </w:pPr>
            <w:r w:rsidRPr="00604286">
              <w:t>Poor</w:t>
            </w:r>
          </w:p>
        </w:tc>
        <w:tc>
          <w:tcPr>
            <w:tcW w:w="517" w:type="pct"/>
            <w:shd w:val="clear" w:color="auto" w:fill="auto"/>
            <w:vAlign w:val="center"/>
          </w:tcPr>
          <w:p w:rsidR="00CE705B" w:rsidRPr="00C8675F" w:rsidRDefault="00CE705B" w:rsidP="00BF3E32">
            <w:pPr>
              <w:jc w:val="center"/>
            </w:pPr>
            <w:r w:rsidRPr="00604286">
              <w:t>5.5%</w:t>
            </w:r>
          </w:p>
        </w:tc>
        <w:tc>
          <w:tcPr>
            <w:tcW w:w="567" w:type="pct"/>
            <w:shd w:val="clear" w:color="auto" w:fill="auto"/>
            <w:vAlign w:val="center"/>
          </w:tcPr>
          <w:p w:rsidR="00CE705B" w:rsidRPr="00C8675F" w:rsidRDefault="00CE705B" w:rsidP="00BF3E32">
            <w:pPr>
              <w:jc w:val="center"/>
            </w:pPr>
            <w:r w:rsidRPr="00604286">
              <w:t>0.6%</w:t>
            </w:r>
          </w:p>
        </w:tc>
        <w:tc>
          <w:tcPr>
            <w:tcW w:w="468" w:type="pct"/>
            <w:shd w:val="clear" w:color="auto" w:fill="auto"/>
            <w:vAlign w:val="center"/>
          </w:tcPr>
          <w:p w:rsidR="00CE705B" w:rsidRPr="00C8675F" w:rsidRDefault="00CE705B" w:rsidP="00BF3E32">
            <w:pPr>
              <w:jc w:val="center"/>
            </w:pPr>
            <w:r w:rsidRPr="00604286">
              <w:t>0.1%</w:t>
            </w:r>
          </w:p>
        </w:tc>
        <w:tc>
          <w:tcPr>
            <w:tcW w:w="640" w:type="pct"/>
            <w:shd w:val="clear" w:color="auto" w:fill="auto"/>
            <w:vAlign w:val="center"/>
          </w:tcPr>
          <w:p w:rsidR="00CE705B" w:rsidRPr="00C8675F" w:rsidRDefault="00CE705B" w:rsidP="00BF3E32">
            <w:pPr>
              <w:jc w:val="center"/>
            </w:pPr>
            <w:r w:rsidRPr="00604286">
              <w:t>1.4%</w:t>
            </w:r>
          </w:p>
        </w:tc>
        <w:tc>
          <w:tcPr>
            <w:tcW w:w="539" w:type="pct"/>
            <w:shd w:val="clear" w:color="auto" w:fill="auto"/>
            <w:vAlign w:val="center"/>
          </w:tcPr>
          <w:p w:rsidR="00CE705B" w:rsidRPr="00C8675F" w:rsidRDefault="00CE705B" w:rsidP="00BF3E32">
            <w:pPr>
              <w:jc w:val="center"/>
            </w:pPr>
            <w:r w:rsidRPr="00604286">
              <w:t>0.1%</w:t>
            </w:r>
          </w:p>
        </w:tc>
        <w:tc>
          <w:tcPr>
            <w:tcW w:w="558" w:type="pct"/>
            <w:shd w:val="clear" w:color="auto" w:fill="auto"/>
            <w:vAlign w:val="center"/>
          </w:tcPr>
          <w:p w:rsidR="00CE705B" w:rsidRPr="00C8675F" w:rsidRDefault="00CE705B" w:rsidP="00BF3E32">
            <w:pPr>
              <w:jc w:val="center"/>
            </w:pPr>
            <w:r w:rsidRPr="00604286">
              <w:t>0.1%</w:t>
            </w:r>
          </w:p>
        </w:tc>
        <w:tc>
          <w:tcPr>
            <w:tcW w:w="471" w:type="pct"/>
            <w:shd w:val="clear" w:color="auto" w:fill="auto"/>
            <w:vAlign w:val="center"/>
          </w:tcPr>
          <w:p w:rsidR="00CE705B" w:rsidRPr="00C8675F" w:rsidRDefault="00CE705B" w:rsidP="00BF3E32">
            <w:pPr>
              <w:jc w:val="center"/>
              <w:rPr>
                <w:bCs/>
              </w:rPr>
            </w:pPr>
            <w:r w:rsidRPr="00604286">
              <w:rPr>
                <w:bCs/>
              </w:rPr>
              <w:t>7.7%</w:t>
            </w:r>
          </w:p>
        </w:tc>
        <w:tc>
          <w:tcPr>
            <w:tcW w:w="439" w:type="pct"/>
            <w:vMerge/>
            <w:shd w:val="clear" w:color="auto" w:fill="auto"/>
            <w:vAlign w:val="center"/>
          </w:tcPr>
          <w:p w:rsidR="00CE705B" w:rsidRPr="00C8675F" w:rsidRDefault="00CE705B" w:rsidP="00BF3E32">
            <w:pPr>
              <w:jc w:val="center"/>
              <w:rPr>
                <w:b/>
                <w:bCs/>
              </w:rPr>
            </w:pPr>
          </w:p>
        </w:tc>
      </w:tr>
      <w:tr w:rsidR="00CE705B" w:rsidRPr="00C8675F" w:rsidTr="00BF3E32">
        <w:trPr>
          <w:cantSplit/>
          <w:trHeight w:val="329"/>
        </w:trPr>
        <w:tc>
          <w:tcPr>
            <w:tcW w:w="800" w:type="pct"/>
            <w:gridSpan w:val="2"/>
            <w:shd w:val="clear" w:color="auto" w:fill="auto"/>
            <w:vAlign w:val="center"/>
          </w:tcPr>
          <w:p w:rsidR="00CE705B" w:rsidRPr="00C8675F" w:rsidRDefault="00CE705B" w:rsidP="00BF3E32">
            <w:pPr>
              <w:jc w:val="center"/>
            </w:pPr>
            <w:r w:rsidRPr="00604286">
              <w:t>Total</w:t>
            </w:r>
          </w:p>
        </w:tc>
        <w:tc>
          <w:tcPr>
            <w:tcW w:w="517" w:type="pct"/>
            <w:shd w:val="clear" w:color="auto" w:fill="auto"/>
            <w:vAlign w:val="center"/>
          </w:tcPr>
          <w:p w:rsidR="00CE705B" w:rsidRPr="00C8675F" w:rsidRDefault="00CE705B" w:rsidP="00BF3E32">
            <w:pPr>
              <w:jc w:val="center"/>
              <w:rPr>
                <w:bCs/>
              </w:rPr>
            </w:pPr>
            <w:r w:rsidRPr="00604286">
              <w:rPr>
                <w:bCs/>
              </w:rPr>
              <w:t>85.7%</w:t>
            </w:r>
          </w:p>
        </w:tc>
        <w:tc>
          <w:tcPr>
            <w:tcW w:w="567" w:type="pct"/>
            <w:shd w:val="clear" w:color="auto" w:fill="auto"/>
            <w:vAlign w:val="center"/>
          </w:tcPr>
          <w:p w:rsidR="00CE705B" w:rsidRPr="00C8675F" w:rsidRDefault="00CE705B" w:rsidP="00BF3E32">
            <w:pPr>
              <w:jc w:val="center"/>
              <w:rPr>
                <w:bCs/>
              </w:rPr>
            </w:pPr>
            <w:r w:rsidRPr="00604286">
              <w:rPr>
                <w:bCs/>
              </w:rPr>
              <w:t>6.3%</w:t>
            </w:r>
          </w:p>
        </w:tc>
        <w:tc>
          <w:tcPr>
            <w:tcW w:w="468" w:type="pct"/>
            <w:shd w:val="clear" w:color="auto" w:fill="auto"/>
            <w:vAlign w:val="center"/>
          </w:tcPr>
          <w:p w:rsidR="00CE705B" w:rsidRPr="00C8675F" w:rsidRDefault="00CE705B" w:rsidP="00BF3E32">
            <w:pPr>
              <w:jc w:val="center"/>
              <w:rPr>
                <w:bCs/>
              </w:rPr>
            </w:pPr>
            <w:r w:rsidRPr="00604286">
              <w:rPr>
                <w:bCs/>
              </w:rPr>
              <w:t>0.2%</w:t>
            </w:r>
          </w:p>
        </w:tc>
        <w:tc>
          <w:tcPr>
            <w:tcW w:w="640" w:type="pct"/>
            <w:shd w:val="clear" w:color="auto" w:fill="auto"/>
            <w:vAlign w:val="center"/>
          </w:tcPr>
          <w:p w:rsidR="00CE705B" w:rsidRPr="00C8675F" w:rsidRDefault="00CE705B" w:rsidP="00BF3E32">
            <w:pPr>
              <w:jc w:val="center"/>
              <w:rPr>
                <w:bCs/>
              </w:rPr>
            </w:pPr>
            <w:r w:rsidRPr="00604286">
              <w:rPr>
                <w:bCs/>
              </w:rPr>
              <w:t>6.0%</w:t>
            </w:r>
          </w:p>
        </w:tc>
        <w:tc>
          <w:tcPr>
            <w:tcW w:w="539" w:type="pct"/>
            <w:shd w:val="clear" w:color="auto" w:fill="auto"/>
            <w:vAlign w:val="center"/>
          </w:tcPr>
          <w:p w:rsidR="00CE705B" w:rsidRPr="00C8675F" w:rsidRDefault="00CE705B" w:rsidP="00BF3E32">
            <w:pPr>
              <w:jc w:val="center"/>
              <w:rPr>
                <w:bCs/>
              </w:rPr>
            </w:pPr>
            <w:r w:rsidRPr="00604286">
              <w:rPr>
                <w:bCs/>
              </w:rPr>
              <w:t>1.6%</w:t>
            </w:r>
          </w:p>
        </w:tc>
        <w:tc>
          <w:tcPr>
            <w:tcW w:w="558" w:type="pct"/>
            <w:shd w:val="clear" w:color="auto" w:fill="auto"/>
            <w:vAlign w:val="center"/>
          </w:tcPr>
          <w:p w:rsidR="00CE705B" w:rsidRPr="00C8675F" w:rsidRDefault="00CE705B" w:rsidP="00BF3E32">
            <w:pPr>
              <w:jc w:val="center"/>
              <w:rPr>
                <w:bCs/>
              </w:rPr>
            </w:pPr>
            <w:r w:rsidRPr="00604286">
              <w:rPr>
                <w:bCs/>
              </w:rPr>
              <w:t>0.1%</w:t>
            </w:r>
          </w:p>
        </w:tc>
        <w:tc>
          <w:tcPr>
            <w:tcW w:w="471" w:type="pct"/>
            <w:shd w:val="clear" w:color="auto" w:fill="auto"/>
            <w:vAlign w:val="center"/>
          </w:tcPr>
          <w:p w:rsidR="00CE705B" w:rsidRPr="00C8675F" w:rsidRDefault="00CE705B" w:rsidP="00BF3E32">
            <w:pPr>
              <w:jc w:val="center"/>
              <w:rPr>
                <w:bCs/>
              </w:rPr>
            </w:pPr>
            <w:r w:rsidRPr="00604286">
              <w:rPr>
                <w:bCs/>
              </w:rPr>
              <w:t>100.0%</w:t>
            </w:r>
          </w:p>
        </w:tc>
        <w:tc>
          <w:tcPr>
            <w:tcW w:w="439" w:type="pct"/>
            <w:shd w:val="clear" w:color="auto" w:fill="auto"/>
            <w:vAlign w:val="center"/>
          </w:tcPr>
          <w:p w:rsidR="00CE705B" w:rsidRPr="00C8675F" w:rsidRDefault="00CE705B" w:rsidP="00BF3E32">
            <w:pPr>
              <w:jc w:val="center"/>
              <w:rPr>
                <w:bCs/>
              </w:rPr>
            </w:pPr>
            <w:r w:rsidRPr="00604286">
              <w:rPr>
                <w:bCs/>
              </w:rPr>
              <w:t>100.0%</w:t>
            </w:r>
          </w:p>
        </w:tc>
      </w:tr>
    </w:tbl>
    <w:p w:rsidR="00CE705B" w:rsidRDefault="00CE705B" w:rsidP="00CE705B">
      <w:pPr>
        <w:ind w:left="851"/>
      </w:pPr>
      <w:r w:rsidRPr="00604286">
        <w:rPr>
          <w:i/>
        </w:rPr>
        <w:t>Source: AECOM analysis of CESTRIN Viabilitate data</w:t>
      </w:r>
    </w:p>
    <w:p w:rsidR="00CE705B" w:rsidRPr="0070283A" w:rsidRDefault="00CE705B" w:rsidP="00A4081F">
      <w:pPr>
        <w:pStyle w:val="NumberedParas"/>
      </w:pPr>
      <w:r w:rsidRPr="00604286">
        <w:t>The notable point from this is that only just over 50% of the national network is classified as good with a further 30% average and 20% poor. The expectation is that the national network should be at the top end of the standard for any country.</w:t>
      </w:r>
    </w:p>
    <w:p w:rsidR="00CE705B" w:rsidRPr="00C8675F" w:rsidRDefault="00CE705B" w:rsidP="00A4081F">
      <w:pPr>
        <w:pStyle w:val="NumberedParas"/>
      </w:pPr>
      <w:r w:rsidRPr="00E8263B">
        <w:rPr>
          <w:b/>
        </w:rPr>
        <w:t>Safety:</w:t>
      </w:r>
      <w:r>
        <w:t xml:space="preserve"> </w:t>
      </w:r>
      <w:r w:rsidRPr="00604286">
        <w:t>Romania has a significant road accident problem as evidenced by comparisons with the EU. The EC use three separate indicators as follows:</w:t>
      </w:r>
    </w:p>
    <w:p w:rsidR="00CE705B" w:rsidRPr="00C8675F" w:rsidRDefault="00CE705B" w:rsidP="00273D5E">
      <w:pPr>
        <w:pStyle w:val="BulletLevel1"/>
      </w:pPr>
      <w:r w:rsidRPr="00604286">
        <w:t>Fatalities per million inhabitants;</w:t>
      </w:r>
    </w:p>
    <w:p w:rsidR="00CE705B" w:rsidRPr="00C8675F" w:rsidRDefault="00CE705B" w:rsidP="00273D5E">
      <w:pPr>
        <w:pStyle w:val="BulletLevel1"/>
      </w:pPr>
      <w:r w:rsidRPr="00604286">
        <w:t>Fatalities per 10 billion pkm; and</w:t>
      </w:r>
    </w:p>
    <w:p w:rsidR="00CE705B" w:rsidRPr="00C8675F" w:rsidRDefault="00CE705B" w:rsidP="00273D5E">
      <w:pPr>
        <w:pStyle w:val="BulletLevel1"/>
      </w:pPr>
      <w:r w:rsidRPr="00604286">
        <w:t>Fatalities per million passenger cars.</w:t>
      </w:r>
    </w:p>
    <w:p w:rsidR="00CE705B" w:rsidRPr="00C8675F" w:rsidRDefault="00CE705B" w:rsidP="00A4081F">
      <w:pPr>
        <w:pStyle w:val="NumberedParas"/>
      </w:pPr>
      <w:r w:rsidRPr="00604286">
        <w:t>In this order, Romania’s score and ranking is as follows:</w:t>
      </w:r>
    </w:p>
    <w:p w:rsidR="00CE705B" w:rsidRPr="00C8675F" w:rsidRDefault="00CE705B" w:rsidP="00273D5E">
      <w:pPr>
        <w:pStyle w:val="BulletLevel1"/>
      </w:pPr>
      <w:r w:rsidRPr="00604286">
        <w:t xml:space="preserve">24th out of 28 – 94 versus EU average of 60; </w:t>
      </w:r>
    </w:p>
    <w:p w:rsidR="00CE705B" w:rsidRPr="00C8675F" w:rsidRDefault="00CE705B" w:rsidP="00273D5E">
      <w:pPr>
        <w:pStyle w:val="BulletLevel1"/>
      </w:pPr>
      <w:r w:rsidRPr="00604286">
        <w:t>28th out of 28 – 259 versus EU average of 61; and</w:t>
      </w:r>
    </w:p>
    <w:p w:rsidR="00CE705B" w:rsidRPr="00C8675F" w:rsidRDefault="00CE705B" w:rsidP="00273D5E">
      <w:pPr>
        <w:pStyle w:val="BulletLevel1"/>
      </w:pPr>
      <w:r w:rsidRPr="00604286">
        <w:t>28th out of 28 – 466 versus EU average of 126.</w:t>
      </w:r>
    </w:p>
    <w:p w:rsidR="00CE705B" w:rsidRDefault="00CE705B" w:rsidP="00A4081F">
      <w:pPr>
        <w:pStyle w:val="NumberedParas"/>
      </w:pPr>
      <w:r w:rsidRPr="00604286">
        <w:t>From these data, it is fair to conclude that Romania has the worst road fatality accident rate in Europe.</w:t>
      </w:r>
    </w:p>
    <w:p w:rsidR="00CE705B" w:rsidRDefault="00CE705B" w:rsidP="00A4081F">
      <w:pPr>
        <w:pStyle w:val="NumberedParas"/>
      </w:pPr>
      <w:r w:rsidRPr="00604286">
        <w:t>It is also important to recognise that whilst the national network accounts for around 30% of all accidents in Romania, it accounts for well over 50% of all fatal accidents.</w:t>
      </w:r>
    </w:p>
    <w:p w:rsidR="00CE705B" w:rsidRPr="000562AC" w:rsidRDefault="00CE705B" w:rsidP="00A4081F">
      <w:pPr>
        <w:pStyle w:val="NumberedParas"/>
      </w:pPr>
      <w:r w:rsidRPr="00BD6070">
        <w:t xml:space="preserve">The overall pedestrian accident rate for Romania is the worst in Europe and significantly </w:t>
      </w:r>
      <w:r w:rsidR="00066342">
        <w:t>above</w:t>
      </w:r>
      <w:r w:rsidRPr="00BD6070">
        <w:t xml:space="preserve"> the EU </w:t>
      </w:r>
      <w:r w:rsidRPr="000562AC">
        <w:t xml:space="preserve">average – </w:t>
      </w:r>
      <w:r w:rsidR="000562AC">
        <w:t>see Table 3.4</w:t>
      </w:r>
      <w:r w:rsidRPr="000562AC">
        <w:t>.</w:t>
      </w:r>
    </w:p>
    <w:p w:rsidR="00CE705B" w:rsidRPr="001A0FB5" w:rsidRDefault="000562AC" w:rsidP="000562AC">
      <w:pPr>
        <w:ind w:left="851"/>
        <w:rPr>
          <w:b/>
          <w:sz w:val="22"/>
          <w:szCs w:val="22"/>
        </w:rPr>
      </w:pPr>
      <w:r>
        <w:rPr>
          <w:b/>
          <w:sz w:val="22"/>
          <w:szCs w:val="22"/>
        </w:rPr>
        <w:t>Table 3.4</w:t>
      </w:r>
      <w:r w:rsidR="00CE705B" w:rsidRPr="000562AC">
        <w:rPr>
          <w:b/>
          <w:sz w:val="22"/>
          <w:szCs w:val="22"/>
        </w:rPr>
        <w:tab/>
        <w:t>EU Comparative Statistics on Pedestrian Fatality Rates</w:t>
      </w:r>
    </w:p>
    <w:tbl>
      <w:tblPr>
        <w:tblW w:w="0" w:type="auto"/>
        <w:tblInd w:w="851" w:type="dxa"/>
        <w:tblBorders>
          <w:top w:val="single" w:sz="6" w:space="0" w:color="9E0880"/>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517"/>
        <w:gridCol w:w="9"/>
        <w:gridCol w:w="1559"/>
        <w:gridCol w:w="1418"/>
        <w:gridCol w:w="1837"/>
      </w:tblGrid>
      <w:tr w:rsidR="00CE705B" w:rsidRPr="008B293B" w:rsidTr="000562AC">
        <w:trPr>
          <w:trHeight w:val="213"/>
          <w:tblHeader/>
        </w:trPr>
        <w:tc>
          <w:tcPr>
            <w:tcW w:w="1526" w:type="dxa"/>
            <w:gridSpan w:val="2"/>
            <w:shd w:val="clear" w:color="auto" w:fill="C6D9F1" w:themeFill="text2" w:themeFillTint="33"/>
            <w:vAlign w:val="center"/>
          </w:tcPr>
          <w:p w:rsidR="00CE705B" w:rsidRPr="000C749E" w:rsidRDefault="00CE705B" w:rsidP="000562AC">
            <w:pPr>
              <w:spacing w:line="276" w:lineRule="auto"/>
              <w:ind w:firstLine="29"/>
              <w:rPr>
                <w:b/>
                <w:sz w:val="22"/>
                <w:szCs w:val="22"/>
              </w:rPr>
            </w:pPr>
            <w:r w:rsidRPr="000C749E">
              <w:rPr>
                <w:b/>
                <w:sz w:val="22"/>
                <w:szCs w:val="22"/>
              </w:rPr>
              <w:t>Country</w:t>
            </w:r>
          </w:p>
        </w:tc>
        <w:tc>
          <w:tcPr>
            <w:tcW w:w="1559" w:type="dxa"/>
            <w:shd w:val="clear" w:color="auto" w:fill="C6D9F1" w:themeFill="text2" w:themeFillTint="33"/>
            <w:vAlign w:val="center"/>
          </w:tcPr>
          <w:p w:rsidR="00CE705B" w:rsidRPr="000C749E" w:rsidRDefault="00CE705B" w:rsidP="000562AC">
            <w:pPr>
              <w:spacing w:line="276" w:lineRule="auto"/>
              <w:jc w:val="center"/>
              <w:rPr>
                <w:b/>
                <w:sz w:val="22"/>
                <w:szCs w:val="22"/>
              </w:rPr>
            </w:pPr>
            <w:r w:rsidRPr="000C749E">
              <w:rPr>
                <w:b/>
                <w:sz w:val="22"/>
                <w:szCs w:val="22"/>
              </w:rPr>
              <w:t>No. of Fatalities</w:t>
            </w:r>
          </w:p>
        </w:tc>
        <w:tc>
          <w:tcPr>
            <w:tcW w:w="1418" w:type="dxa"/>
            <w:shd w:val="clear" w:color="auto" w:fill="C6D9F1" w:themeFill="text2" w:themeFillTint="33"/>
            <w:vAlign w:val="center"/>
          </w:tcPr>
          <w:p w:rsidR="00CE705B" w:rsidRPr="000C749E" w:rsidRDefault="00CE705B" w:rsidP="000562AC">
            <w:pPr>
              <w:spacing w:line="276" w:lineRule="auto"/>
              <w:jc w:val="center"/>
              <w:rPr>
                <w:b/>
                <w:sz w:val="22"/>
                <w:szCs w:val="22"/>
              </w:rPr>
            </w:pPr>
            <w:r w:rsidRPr="000C749E">
              <w:rPr>
                <w:b/>
                <w:sz w:val="22"/>
                <w:szCs w:val="22"/>
              </w:rPr>
              <w:t>Population [million]</w:t>
            </w:r>
          </w:p>
        </w:tc>
        <w:tc>
          <w:tcPr>
            <w:tcW w:w="1837" w:type="dxa"/>
            <w:shd w:val="clear" w:color="auto" w:fill="C6D9F1" w:themeFill="text2" w:themeFillTint="33"/>
            <w:vAlign w:val="center"/>
          </w:tcPr>
          <w:p w:rsidR="00CE705B" w:rsidRPr="000C749E" w:rsidRDefault="00CE705B" w:rsidP="000562AC">
            <w:pPr>
              <w:spacing w:line="276" w:lineRule="auto"/>
              <w:jc w:val="center"/>
              <w:rPr>
                <w:b/>
                <w:sz w:val="22"/>
                <w:szCs w:val="22"/>
              </w:rPr>
            </w:pPr>
            <w:r w:rsidRPr="000C749E">
              <w:rPr>
                <w:b/>
                <w:sz w:val="22"/>
                <w:szCs w:val="22"/>
              </w:rPr>
              <w:t>Pedestrian fatalities by million inhabitants</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BE</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106</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10.8</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9.8</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CZ</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168</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10.5</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16.0</w:t>
            </w:r>
          </w:p>
        </w:tc>
      </w:tr>
      <w:tr w:rsidR="00CE705B" w:rsidRPr="008B293B" w:rsidTr="000562AC">
        <w:trPr>
          <w:trHeight w:val="65"/>
        </w:trPr>
        <w:tc>
          <w:tcPr>
            <w:tcW w:w="1517" w:type="dxa"/>
            <w:vAlign w:val="center"/>
          </w:tcPr>
          <w:p w:rsidR="00CE705B" w:rsidRPr="000C749E" w:rsidRDefault="00CE705B" w:rsidP="000562AC">
            <w:pPr>
              <w:spacing w:line="276" w:lineRule="auto"/>
              <w:rPr>
                <w:bCs/>
                <w:sz w:val="22"/>
                <w:szCs w:val="22"/>
              </w:rPr>
            </w:pPr>
            <w:r w:rsidRPr="000C749E">
              <w:rPr>
                <w:bCs/>
                <w:sz w:val="22"/>
                <w:szCs w:val="22"/>
              </w:rPr>
              <w:t>DK</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44</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5.5</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8.0</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DE</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476</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82.0</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5.8</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EE</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23</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1.3</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17.7</w:t>
            </w:r>
          </w:p>
        </w:tc>
      </w:tr>
      <w:tr w:rsidR="00CE705B" w:rsidRPr="008B293B" w:rsidTr="000562AC">
        <w:trPr>
          <w:trHeight w:val="97"/>
        </w:trPr>
        <w:tc>
          <w:tcPr>
            <w:tcW w:w="1517" w:type="dxa"/>
            <w:vAlign w:val="center"/>
          </w:tcPr>
          <w:p w:rsidR="00CE705B" w:rsidRPr="000C749E" w:rsidRDefault="00CE705B" w:rsidP="000562AC">
            <w:pPr>
              <w:spacing w:line="276" w:lineRule="auto"/>
              <w:rPr>
                <w:bCs/>
                <w:sz w:val="22"/>
                <w:szCs w:val="22"/>
              </w:rPr>
            </w:pPr>
            <w:r w:rsidRPr="000C749E">
              <w:rPr>
                <w:bCs/>
                <w:sz w:val="22"/>
                <w:szCs w:val="22"/>
              </w:rPr>
              <w:t>IE</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44</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4.4</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10.0</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EL</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179</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11.3</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15.8</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ES</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471</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45.8</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10.3</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FR</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485</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64.4</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7.5</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IT</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614</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60.0</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10.2</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LV</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79</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2.3</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34.3</w:t>
            </w:r>
          </w:p>
        </w:tc>
      </w:tr>
      <w:tr w:rsidR="00CE705B" w:rsidRPr="008B293B" w:rsidTr="000562AC">
        <w:trPr>
          <w:trHeight w:val="97"/>
        </w:trPr>
        <w:tc>
          <w:tcPr>
            <w:tcW w:w="1517" w:type="dxa"/>
            <w:vAlign w:val="center"/>
          </w:tcPr>
          <w:p w:rsidR="00CE705B" w:rsidRPr="000C749E" w:rsidRDefault="00CE705B" w:rsidP="000562AC">
            <w:pPr>
              <w:spacing w:line="276" w:lineRule="auto"/>
              <w:rPr>
                <w:bCs/>
                <w:sz w:val="22"/>
                <w:szCs w:val="22"/>
              </w:rPr>
            </w:pPr>
            <w:r w:rsidRPr="000C749E">
              <w:rPr>
                <w:bCs/>
                <w:sz w:val="22"/>
                <w:szCs w:val="22"/>
              </w:rPr>
              <w:t>LU</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0.5</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2.0</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HU</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192</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10.0</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19.2</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MT</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2</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0.4</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5.0</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NL</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63</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16.5</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3.8</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AT</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98</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8.4</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11.7</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PL</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1,236</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38.1</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32.4</w:t>
            </w:r>
          </w:p>
        </w:tc>
      </w:tr>
      <w:tr w:rsidR="00CE705B" w:rsidRPr="008B293B" w:rsidTr="000562AC">
        <w:trPr>
          <w:trHeight w:val="97"/>
        </w:trPr>
        <w:tc>
          <w:tcPr>
            <w:tcW w:w="1517" w:type="dxa"/>
            <w:tcBorders>
              <w:bottom w:val="single" w:sz="8" w:space="0" w:color="auto"/>
            </w:tcBorders>
            <w:vAlign w:val="center"/>
          </w:tcPr>
          <w:p w:rsidR="00CE705B" w:rsidRPr="000C749E" w:rsidRDefault="00CE705B" w:rsidP="000562AC">
            <w:pPr>
              <w:spacing w:line="276" w:lineRule="auto"/>
              <w:rPr>
                <w:bCs/>
                <w:sz w:val="22"/>
                <w:szCs w:val="22"/>
              </w:rPr>
            </w:pPr>
            <w:r w:rsidRPr="000C749E">
              <w:rPr>
                <w:bCs/>
                <w:sz w:val="22"/>
                <w:szCs w:val="22"/>
              </w:rPr>
              <w:t>PT</w:t>
            </w:r>
          </w:p>
        </w:tc>
        <w:tc>
          <w:tcPr>
            <w:tcW w:w="1568" w:type="dxa"/>
            <w:gridSpan w:val="2"/>
            <w:tcBorders>
              <w:bottom w:val="single" w:sz="8" w:space="0" w:color="auto"/>
            </w:tcBorders>
            <w:vAlign w:val="center"/>
          </w:tcPr>
          <w:p w:rsidR="00CE705B" w:rsidRPr="000C749E" w:rsidRDefault="00CE705B" w:rsidP="000562AC">
            <w:pPr>
              <w:spacing w:line="276" w:lineRule="auto"/>
              <w:jc w:val="center"/>
              <w:rPr>
                <w:bCs/>
                <w:sz w:val="22"/>
                <w:szCs w:val="22"/>
              </w:rPr>
            </w:pPr>
            <w:r w:rsidRPr="000C749E">
              <w:rPr>
                <w:bCs/>
                <w:sz w:val="22"/>
                <w:szCs w:val="22"/>
              </w:rPr>
              <w:t>195</w:t>
            </w:r>
          </w:p>
        </w:tc>
        <w:tc>
          <w:tcPr>
            <w:tcW w:w="1418" w:type="dxa"/>
            <w:tcBorders>
              <w:bottom w:val="single" w:sz="8" w:space="0" w:color="auto"/>
            </w:tcBorders>
            <w:vAlign w:val="center"/>
          </w:tcPr>
          <w:p w:rsidR="00CE705B" w:rsidRPr="000C749E" w:rsidRDefault="00CE705B" w:rsidP="000562AC">
            <w:pPr>
              <w:spacing w:line="276" w:lineRule="auto"/>
              <w:jc w:val="center"/>
              <w:rPr>
                <w:bCs/>
                <w:sz w:val="22"/>
                <w:szCs w:val="22"/>
              </w:rPr>
            </w:pPr>
            <w:r w:rsidRPr="000C749E">
              <w:rPr>
                <w:bCs/>
                <w:sz w:val="22"/>
                <w:szCs w:val="22"/>
              </w:rPr>
              <w:t>10.6</w:t>
            </w:r>
          </w:p>
        </w:tc>
        <w:tc>
          <w:tcPr>
            <w:tcW w:w="1837" w:type="dxa"/>
            <w:tcBorders>
              <w:bottom w:val="single" w:sz="8" w:space="0" w:color="auto"/>
            </w:tcBorders>
            <w:vAlign w:val="center"/>
          </w:tcPr>
          <w:p w:rsidR="00CE705B" w:rsidRPr="000C749E" w:rsidRDefault="00CE705B" w:rsidP="000562AC">
            <w:pPr>
              <w:spacing w:line="276" w:lineRule="auto"/>
              <w:jc w:val="center"/>
              <w:rPr>
                <w:bCs/>
                <w:sz w:val="22"/>
                <w:szCs w:val="22"/>
              </w:rPr>
            </w:pPr>
            <w:r w:rsidRPr="000C749E">
              <w:rPr>
                <w:bCs/>
                <w:sz w:val="22"/>
                <w:szCs w:val="22"/>
              </w:rPr>
              <w:t>18.4</w:t>
            </w:r>
          </w:p>
        </w:tc>
      </w:tr>
      <w:tr w:rsidR="00CE705B" w:rsidRPr="008B293B" w:rsidTr="000562AC">
        <w:trPr>
          <w:trHeight w:val="95"/>
        </w:trPr>
        <w:tc>
          <w:tcPr>
            <w:tcW w:w="1517" w:type="dxa"/>
            <w:tcBorders>
              <w:top w:val="single" w:sz="8" w:space="0" w:color="auto"/>
            </w:tcBorders>
            <w:shd w:val="clear" w:color="auto" w:fill="E5B8B7" w:themeFill="accent2" w:themeFillTint="66"/>
            <w:vAlign w:val="center"/>
          </w:tcPr>
          <w:p w:rsidR="00CE705B" w:rsidRPr="000C749E" w:rsidRDefault="00CE705B" w:rsidP="000562AC">
            <w:pPr>
              <w:spacing w:line="276" w:lineRule="auto"/>
              <w:rPr>
                <w:bCs/>
                <w:sz w:val="22"/>
                <w:szCs w:val="22"/>
              </w:rPr>
            </w:pPr>
            <w:r w:rsidRPr="000C749E">
              <w:rPr>
                <w:bCs/>
                <w:sz w:val="22"/>
                <w:szCs w:val="22"/>
              </w:rPr>
              <w:t>RO</w:t>
            </w:r>
          </w:p>
        </w:tc>
        <w:tc>
          <w:tcPr>
            <w:tcW w:w="1568" w:type="dxa"/>
            <w:gridSpan w:val="2"/>
            <w:tcBorders>
              <w:top w:val="single" w:sz="8" w:space="0" w:color="auto"/>
            </w:tcBorders>
            <w:shd w:val="clear" w:color="auto" w:fill="E5B8B7" w:themeFill="accent2" w:themeFillTint="66"/>
            <w:vAlign w:val="center"/>
          </w:tcPr>
          <w:p w:rsidR="00CE705B" w:rsidRPr="000C749E" w:rsidRDefault="00CE705B" w:rsidP="000562AC">
            <w:pPr>
              <w:spacing w:line="276" w:lineRule="auto"/>
              <w:jc w:val="center"/>
              <w:rPr>
                <w:bCs/>
                <w:sz w:val="22"/>
                <w:szCs w:val="22"/>
              </w:rPr>
            </w:pPr>
            <w:r w:rsidRPr="000C749E">
              <w:rPr>
                <w:bCs/>
                <w:sz w:val="22"/>
                <w:szCs w:val="22"/>
              </w:rPr>
              <w:t>868</w:t>
            </w:r>
          </w:p>
        </w:tc>
        <w:tc>
          <w:tcPr>
            <w:tcW w:w="1418" w:type="dxa"/>
            <w:tcBorders>
              <w:top w:val="single" w:sz="8" w:space="0" w:color="auto"/>
            </w:tcBorders>
            <w:shd w:val="clear" w:color="auto" w:fill="E5B8B7" w:themeFill="accent2" w:themeFillTint="66"/>
            <w:vAlign w:val="center"/>
          </w:tcPr>
          <w:p w:rsidR="00CE705B" w:rsidRPr="000C749E" w:rsidRDefault="00CE705B" w:rsidP="000562AC">
            <w:pPr>
              <w:spacing w:line="276" w:lineRule="auto"/>
              <w:jc w:val="center"/>
              <w:rPr>
                <w:bCs/>
                <w:sz w:val="22"/>
                <w:szCs w:val="22"/>
              </w:rPr>
            </w:pPr>
            <w:r w:rsidRPr="000C749E">
              <w:rPr>
                <w:bCs/>
                <w:sz w:val="22"/>
                <w:szCs w:val="22"/>
              </w:rPr>
              <w:t>21.5</w:t>
            </w:r>
          </w:p>
        </w:tc>
        <w:tc>
          <w:tcPr>
            <w:tcW w:w="1837" w:type="dxa"/>
            <w:tcBorders>
              <w:top w:val="single" w:sz="8" w:space="0" w:color="auto"/>
            </w:tcBorders>
            <w:shd w:val="clear" w:color="auto" w:fill="E5B8B7" w:themeFill="accent2" w:themeFillTint="66"/>
            <w:vAlign w:val="center"/>
          </w:tcPr>
          <w:p w:rsidR="00CE705B" w:rsidRPr="000C749E" w:rsidRDefault="00CE705B" w:rsidP="000562AC">
            <w:pPr>
              <w:spacing w:line="276" w:lineRule="auto"/>
              <w:jc w:val="center"/>
              <w:rPr>
                <w:bCs/>
                <w:sz w:val="22"/>
                <w:szCs w:val="22"/>
              </w:rPr>
            </w:pPr>
            <w:r w:rsidRPr="000C749E">
              <w:rPr>
                <w:bCs/>
                <w:sz w:val="22"/>
                <w:szCs w:val="22"/>
              </w:rPr>
              <w:t>40.4</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SI</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26</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2.0</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13.0</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SK</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126</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5.4</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23.3</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FI</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35</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5.3</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6.6</w:t>
            </w:r>
          </w:p>
        </w:tc>
      </w:tr>
      <w:tr w:rsidR="00CE705B" w:rsidRPr="008B293B" w:rsidTr="000562AC">
        <w:trPr>
          <w:trHeight w:val="95"/>
        </w:trPr>
        <w:tc>
          <w:tcPr>
            <w:tcW w:w="1517" w:type="dxa"/>
            <w:vAlign w:val="center"/>
          </w:tcPr>
          <w:p w:rsidR="00CE705B" w:rsidRPr="000C749E" w:rsidRDefault="00CE705B" w:rsidP="000562AC">
            <w:pPr>
              <w:spacing w:line="276" w:lineRule="auto"/>
              <w:rPr>
                <w:bCs/>
                <w:sz w:val="22"/>
                <w:szCs w:val="22"/>
              </w:rPr>
            </w:pPr>
            <w:r w:rsidRPr="000C749E">
              <w:rPr>
                <w:bCs/>
                <w:sz w:val="22"/>
                <w:szCs w:val="22"/>
              </w:rPr>
              <w:t>SE</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44</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9.2</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4.8</w:t>
            </w:r>
          </w:p>
        </w:tc>
      </w:tr>
      <w:tr w:rsidR="00CE705B" w:rsidRPr="008B293B" w:rsidTr="000562AC">
        <w:trPr>
          <w:trHeight w:val="97"/>
        </w:trPr>
        <w:tc>
          <w:tcPr>
            <w:tcW w:w="1517" w:type="dxa"/>
            <w:vAlign w:val="center"/>
          </w:tcPr>
          <w:p w:rsidR="00CE705B" w:rsidRPr="000C749E" w:rsidRDefault="00CE705B" w:rsidP="000562AC">
            <w:pPr>
              <w:spacing w:line="276" w:lineRule="auto"/>
              <w:rPr>
                <w:bCs/>
                <w:sz w:val="22"/>
                <w:szCs w:val="22"/>
              </w:rPr>
            </w:pPr>
            <w:r w:rsidRPr="000C749E">
              <w:rPr>
                <w:bCs/>
                <w:sz w:val="22"/>
                <w:szCs w:val="22"/>
              </w:rPr>
              <w:t>UK</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429</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61.6</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7.0</w:t>
            </w:r>
          </w:p>
        </w:tc>
      </w:tr>
      <w:tr w:rsidR="00CE705B" w:rsidRPr="008B293B" w:rsidTr="000562AC">
        <w:trPr>
          <w:trHeight w:val="110"/>
        </w:trPr>
        <w:tc>
          <w:tcPr>
            <w:tcW w:w="1517" w:type="dxa"/>
            <w:vAlign w:val="center"/>
          </w:tcPr>
          <w:p w:rsidR="00CE705B" w:rsidRPr="000C749E" w:rsidRDefault="00CE705B" w:rsidP="000562AC">
            <w:pPr>
              <w:spacing w:line="276" w:lineRule="auto"/>
              <w:rPr>
                <w:bCs/>
                <w:sz w:val="22"/>
                <w:szCs w:val="22"/>
              </w:rPr>
            </w:pPr>
            <w:r w:rsidRPr="000C749E">
              <w:rPr>
                <w:bCs/>
                <w:sz w:val="22"/>
                <w:szCs w:val="22"/>
              </w:rPr>
              <w:t>EU-24</w:t>
            </w:r>
          </w:p>
        </w:tc>
        <w:tc>
          <w:tcPr>
            <w:tcW w:w="1568" w:type="dxa"/>
            <w:gridSpan w:val="2"/>
            <w:vAlign w:val="center"/>
          </w:tcPr>
          <w:p w:rsidR="00CE705B" w:rsidRPr="000C749E" w:rsidRDefault="00CE705B" w:rsidP="000562AC">
            <w:pPr>
              <w:spacing w:line="276" w:lineRule="auto"/>
              <w:jc w:val="center"/>
              <w:rPr>
                <w:bCs/>
                <w:sz w:val="22"/>
                <w:szCs w:val="22"/>
              </w:rPr>
            </w:pPr>
            <w:r w:rsidRPr="000C749E">
              <w:rPr>
                <w:bCs/>
                <w:sz w:val="22"/>
                <w:szCs w:val="22"/>
              </w:rPr>
              <w:t>6,004</w:t>
            </w:r>
          </w:p>
        </w:tc>
        <w:tc>
          <w:tcPr>
            <w:tcW w:w="1418" w:type="dxa"/>
            <w:vAlign w:val="center"/>
          </w:tcPr>
          <w:p w:rsidR="00CE705B" w:rsidRPr="000C749E" w:rsidRDefault="00CE705B" w:rsidP="000562AC">
            <w:pPr>
              <w:spacing w:line="276" w:lineRule="auto"/>
              <w:jc w:val="center"/>
              <w:rPr>
                <w:bCs/>
                <w:sz w:val="22"/>
                <w:szCs w:val="22"/>
              </w:rPr>
            </w:pPr>
            <w:r w:rsidRPr="000C749E">
              <w:rPr>
                <w:bCs/>
                <w:sz w:val="22"/>
                <w:szCs w:val="22"/>
              </w:rPr>
              <w:t>487.8</w:t>
            </w:r>
          </w:p>
        </w:tc>
        <w:tc>
          <w:tcPr>
            <w:tcW w:w="1837" w:type="dxa"/>
            <w:vAlign w:val="center"/>
          </w:tcPr>
          <w:p w:rsidR="00CE705B" w:rsidRPr="000C749E" w:rsidRDefault="00CE705B" w:rsidP="000562AC">
            <w:pPr>
              <w:spacing w:line="276" w:lineRule="auto"/>
              <w:jc w:val="center"/>
              <w:rPr>
                <w:bCs/>
                <w:sz w:val="22"/>
                <w:szCs w:val="22"/>
              </w:rPr>
            </w:pPr>
            <w:r w:rsidRPr="000C749E">
              <w:rPr>
                <w:bCs/>
                <w:sz w:val="22"/>
                <w:szCs w:val="22"/>
              </w:rPr>
              <w:t>12.3</w:t>
            </w:r>
          </w:p>
        </w:tc>
      </w:tr>
    </w:tbl>
    <w:p w:rsidR="00CE705B" w:rsidRPr="00BD6070" w:rsidRDefault="00CE705B" w:rsidP="000562AC">
      <w:pPr>
        <w:ind w:left="851"/>
        <w:rPr>
          <w:highlight w:val="yellow"/>
        </w:rPr>
      </w:pPr>
      <w:r>
        <w:rPr>
          <w:i/>
        </w:rPr>
        <w:br w:type="textWrapping" w:clear="all"/>
      </w:r>
      <w:r w:rsidRPr="00BD6070">
        <w:rPr>
          <w:i/>
        </w:rPr>
        <w:t>Source: EU DaCoTA - Pedestrian fatalities per million inhabitants by country, EU-24*, 2010 Pedestrian fatalities</w:t>
      </w:r>
    </w:p>
    <w:p w:rsidR="00CE705B" w:rsidRPr="007C33AF" w:rsidRDefault="00CE705B" w:rsidP="00A4081F">
      <w:pPr>
        <w:pStyle w:val="NumberedParas"/>
      </w:pPr>
      <w:r w:rsidRPr="007C33AF">
        <w:rPr>
          <w:b/>
        </w:rPr>
        <w:t>Car Ownership Levels:</w:t>
      </w:r>
      <w:r w:rsidRPr="007C33AF">
        <w:t xml:space="preserve"> There has been a steady growth in car ownership levels in Romania with the long term trend averaging around 5% per annum.</w:t>
      </w:r>
    </w:p>
    <w:p w:rsidR="00CE705B" w:rsidRPr="00C8675F" w:rsidRDefault="00CE705B" w:rsidP="00A4081F">
      <w:pPr>
        <w:pStyle w:val="NumberedParas"/>
      </w:pPr>
      <w:r w:rsidRPr="00604286">
        <w:t>This needs to be seen in context however with car ownership levels in the rest of Europe. The comparison is provided in</w:t>
      </w:r>
      <w:r>
        <w:t xml:space="preserve"> </w:t>
      </w:r>
      <w:r w:rsidRPr="005961B6">
        <w:t>Figure 3.2 with</w:t>
      </w:r>
      <w:r w:rsidRPr="00604286">
        <w:t xml:space="preserve"> the values for Romania highlighted in red.</w:t>
      </w:r>
    </w:p>
    <w:p w:rsidR="00CE705B" w:rsidRDefault="00CE705B" w:rsidP="00CE705B">
      <w:pPr>
        <w:ind w:left="851"/>
        <w:rPr>
          <w:b/>
          <w:sz w:val="22"/>
          <w:szCs w:val="22"/>
        </w:rPr>
      </w:pPr>
      <w:r>
        <w:rPr>
          <w:noProof/>
          <w:sz w:val="22"/>
          <w:szCs w:val="22"/>
          <w:lang w:val="ro-RO" w:eastAsia="ro-RO"/>
        </w:rPr>
        <w:drawing>
          <wp:inline distT="0" distB="0" distL="0" distR="0" wp14:anchorId="653E51F0" wp14:editId="22DA3F3A">
            <wp:extent cx="5636567" cy="3607640"/>
            <wp:effectExtent l="19050" t="0" r="21283" b="0"/>
            <wp:docPr id="7"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CE705B" w:rsidRDefault="00CE705B" w:rsidP="00CE705B">
      <w:pPr>
        <w:ind w:left="851"/>
      </w:pPr>
      <w:r w:rsidRPr="00604286">
        <w:rPr>
          <w:i/>
        </w:rPr>
        <w:t>Source: Eurostat</w:t>
      </w:r>
    </w:p>
    <w:p w:rsidR="000562AC" w:rsidRDefault="000562AC" w:rsidP="000562AC">
      <w:pPr>
        <w:spacing w:before="120" w:after="120"/>
        <w:ind w:left="851"/>
        <w:rPr>
          <w:b/>
          <w:sz w:val="22"/>
          <w:szCs w:val="22"/>
        </w:rPr>
      </w:pPr>
      <w:r w:rsidRPr="000562AC">
        <w:rPr>
          <w:b/>
          <w:sz w:val="22"/>
          <w:szCs w:val="22"/>
        </w:rPr>
        <w:t>Figure 3.2 Comparison</w:t>
      </w:r>
      <w:r w:rsidRPr="00604286">
        <w:rPr>
          <w:b/>
          <w:sz w:val="22"/>
          <w:szCs w:val="22"/>
        </w:rPr>
        <w:t xml:space="preserve"> of EU Car Ownership Levels (2010)</w:t>
      </w:r>
    </w:p>
    <w:p w:rsidR="00CE705B" w:rsidRDefault="00CE705B" w:rsidP="00A4081F">
      <w:pPr>
        <w:pStyle w:val="NumberedParas"/>
      </w:pPr>
      <w:r w:rsidRPr="003F7FF9">
        <w:t xml:space="preserve">Clearly car ownership levels are lagging some way behind the rest of Europe. </w:t>
      </w:r>
      <w:r>
        <w:t>Car</w:t>
      </w:r>
      <w:r w:rsidRPr="00604286">
        <w:t xml:space="preserve"> ownership is forecast to grow strongly in Romania</w:t>
      </w:r>
      <w:r>
        <w:t xml:space="preserve">, as shown in </w:t>
      </w:r>
      <w:r w:rsidRPr="000562AC">
        <w:t>Figure 3.3. 19</w:t>
      </w:r>
      <w:r w:rsidRPr="00604286">
        <w:t>.3% of population have a car available i</w:t>
      </w:r>
      <w:r>
        <w:t>n 2011 rising to 24.9% by 2020. This</w:t>
      </w:r>
      <w:r w:rsidRPr="00604286">
        <w:t xml:space="preserve"> will have a direct impact on the likelihood of road becoming the mode of choice for even more passenger journeys than presently is the case</w:t>
      </w:r>
      <w:r w:rsidR="00066342">
        <w:t>.</w:t>
      </w:r>
    </w:p>
    <w:p w:rsidR="00CE705B" w:rsidRDefault="00CE705B">
      <w:pPr>
        <w:rPr>
          <w:sz w:val="22"/>
          <w:szCs w:val="22"/>
        </w:rPr>
      </w:pPr>
      <w:r>
        <w:br w:type="page"/>
      </w:r>
    </w:p>
    <w:p w:rsidR="00CE705B" w:rsidRDefault="00CE705B" w:rsidP="00CE705B">
      <w:pPr>
        <w:ind w:left="851"/>
        <w:rPr>
          <w:b/>
          <w:sz w:val="22"/>
          <w:szCs w:val="22"/>
        </w:rPr>
      </w:pPr>
      <w:r w:rsidRPr="000562AC">
        <w:rPr>
          <w:b/>
          <w:noProof/>
          <w:sz w:val="22"/>
          <w:szCs w:val="22"/>
          <w:lang w:val="ro-RO" w:eastAsia="ro-RO"/>
        </w:rPr>
        <w:drawing>
          <wp:anchor distT="0" distB="0" distL="114300" distR="114300" simplePos="0" relativeHeight="251646464" behindDoc="0" locked="0" layoutInCell="1" allowOverlap="0" wp14:anchorId="29B86226" wp14:editId="219A099F">
            <wp:simplePos x="0" y="0"/>
            <wp:positionH relativeFrom="column">
              <wp:posOffset>548005</wp:posOffset>
            </wp:positionH>
            <wp:positionV relativeFrom="paragraph">
              <wp:posOffset>221615</wp:posOffset>
            </wp:positionV>
            <wp:extent cx="5631815" cy="3267075"/>
            <wp:effectExtent l="19050" t="0" r="26035" b="0"/>
            <wp:wrapTopAndBottom/>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p>
    <w:p w:rsidR="00CE705B" w:rsidRDefault="00CE705B" w:rsidP="00CE705B">
      <w:pPr>
        <w:ind w:left="851"/>
        <w:rPr>
          <w:i/>
        </w:rPr>
      </w:pPr>
      <w:r w:rsidRPr="00604286">
        <w:rPr>
          <w:i/>
        </w:rPr>
        <w:t>Source: INS, AECOM Model Development Report</w:t>
      </w:r>
    </w:p>
    <w:p w:rsidR="00CE705B" w:rsidRDefault="000562AC" w:rsidP="00A4081F">
      <w:pPr>
        <w:pStyle w:val="NumberedParas"/>
        <w:numPr>
          <w:ilvl w:val="0"/>
          <w:numId w:val="0"/>
        </w:numPr>
        <w:ind w:left="851"/>
      </w:pPr>
      <w:r w:rsidRPr="000562AC">
        <w:t>Figure 3.3 Forecast of Car Ownership in Romania</w:t>
      </w:r>
    </w:p>
    <w:p w:rsidR="00CE705B" w:rsidRDefault="00CE705B" w:rsidP="00A4081F">
      <w:pPr>
        <w:pStyle w:val="NumberedParas"/>
      </w:pPr>
      <w:r w:rsidRPr="00744DF2">
        <w:t>By 2020 however car ownership will still be well below the current national average across the rest of Europe.</w:t>
      </w:r>
    </w:p>
    <w:p w:rsidR="00CE705B" w:rsidRDefault="00CE705B" w:rsidP="00CE705B">
      <w:pPr>
        <w:rPr>
          <w:sz w:val="22"/>
          <w:szCs w:val="22"/>
        </w:rPr>
      </w:pPr>
    </w:p>
    <w:p w:rsidR="00CE705B" w:rsidRPr="00C8675F" w:rsidRDefault="00CE705B" w:rsidP="00CE705B">
      <w:pPr>
        <w:rPr>
          <w:sz w:val="22"/>
          <w:szCs w:val="22"/>
        </w:rPr>
      </w:pPr>
    </w:p>
    <w:p w:rsidR="00CE705B" w:rsidRDefault="00CE705B">
      <w:pPr>
        <w:rPr>
          <w:sz w:val="22"/>
          <w:szCs w:val="22"/>
        </w:rPr>
      </w:pPr>
      <w:r>
        <w:br w:type="page"/>
      </w:r>
    </w:p>
    <w:p w:rsidR="00CE705B" w:rsidRPr="008E03B0" w:rsidRDefault="00CE705B" w:rsidP="00045287">
      <w:pPr>
        <w:pStyle w:val="Hdg2"/>
      </w:pPr>
      <w:bookmarkStart w:id="55" w:name="_Toc396234277"/>
      <w:bookmarkStart w:id="56" w:name="_Toc413056038"/>
      <w:r>
        <w:t>Rail Transport Trends</w:t>
      </w:r>
      <w:bookmarkEnd w:id="55"/>
      <w:r>
        <w:t xml:space="preserve"> in European Context</w:t>
      </w:r>
      <w:bookmarkEnd w:id="56"/>
    </w:p>
    <w:p w:rsidR="00CE705B" w:rsidRPr="00C8675F" w:rsidRDefault="00CE705B" w:rsidP="00CE705B"/>
    <w:p w:rsidR="00CE705B" w:rsidRPr="005841F9" w:rsidRDefault="00CE705B" w:rsidP="00A4081F">
      <w:pPr>
        <w:pStyle w:val="NumberedParas"/>
      </w:pPr>
      <w:r w:rsidRPr="00D03733">
        <w:rPr>
          <w:b/>
        </w:rPr>
        <w:t>Rail Network Characteristics</w:t>
      </w:r>
      <w:r>
        <w:t xml:space="preserve">: </w:t>
      </w:r>
      <w:r w:rsidRPr="005841F9">
        <w:t>Total</w:t>
      </w:r>
      <w:r>
        <w:t xml:space="preserve"> Romanian</w:t>
      </w:r>
      <w:r w:rsidRPr="005841F9">
        <w:t xml:space="preserve"> route network length stands at 10,818 km.</w:t>
      </w:r>
      <w:r>
        <w:t xml:space="preserve"> </w:t>
      </w:r>
      <w:r w:rsidR="00066342">
        <w:t xml:space="preserve">Table 3.4 </w:t>
      </w:r>
      <w:r w:rsidRPr="005841F9">
        <w:t>sets out some of the key statistics associated with the network.</w:t>
      </w:r>
    </w:p>
    <w:p w:rsidR="00CE705B" w:rsidRPr="000562AC" w:rsidRDefault="000562AC" w:rsidP="000562AC">
      <w:pPr>
        <w:pStyle w:val="Caption"/>
        <w:keepNext/>
        <w:ind w:left="851"/>
        <w:rPr>
          <w:b/>
          <w:bCs w:val="0"/>
          <w:sz w:val="22"/>
          <w:szCs w:val="22"/>
          <w:lang w:val="ro-RO"/>
        </w:rPr>
      </w:pPr>
      <w:r w:rsidRPr="000562AC">
        <w:rPr>
          <w:b/>
          <w:bCs w:val="0"/>
          <w:sz w:val="22"/>
          <w:szCs w:val="22"/>
          <w:lang w:val="ro-RO"/>
        </w:rPr>
        <w:t>Table 3.5</w:t>
      </w:r>
      <w:r w:rsidR="00CE705B" w:rsidRPr="000562AC">
        <w:rPr>
          <w:b/>
          <w:bCs w:val="0"/>
          <w:sz w:val="22"/>
          <w:szCs w:val="22"/>
          <w:lang w:val="ro-RO"/>
        </w:rPr>
        <w:t xml:space="preserve"> Rail Infrastructure Statistics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84"/>
        <w:gridCol w:w="3478"/>
        <w:gridCol w:w="1984"/>
      </w:tblGrid>
      <w:tr w:rsidR="00CE705B" w:rsidRPr="00066342" w:rsidTr="000562AC">
        <w:tc>
          <w:tcPr>
            <w:tcW w:w="2693" w:type="dxa"/>
            <w:shd w:val="clear" w:color="auto" w:fill="C6D9F1"/>
            <w:vAlign w:val="center"/>
          </w:tcPr>
          <w:p w:rsidR="00CE705B" w:rsidRPr="00066342" w:rsidRDefault="00CE705B" w:rsidP="00393122">
            <w:pPr>
              <w:rPr>
                <w:b/>
                <w:sz w:val="22"/>
                <w:szCs w:val="22"/>
                <w:lang w:eastAsia="en-GB"/>
              </w:rPr>
            </w:pPr>
            <w:r w:rsidRPr="00066342">
              <w:rPr>
                <w:b/>
                <w:sz w:val="22"/>
                <w:szCs w:val="22"/>
                <w:lang w:eastAsia="en-GB"/>
              </w:rPr>
              <w:t>Length of rail network</w:t>
            </w:r>
          </w:p>
        </w:tc>
        <w:tc>
          <w:tcPr>
            <w:tcW w:w="1484" w:type="dxa"/>
            <w:shd w:val="clear" w:color="auto" w:fill="C6D9F1"/>
            <w:vAlign w:val="center"/>
          </w:tcPr>
          <w:p w:rsidR="00CE705B" w:rsidRPr="00066342" w:rsidRDefault="00CE705B" w:rsidP="00393122">
            <w:pPr>
              <w:rPr>
                <w:b/>
                <w:sz w:val="22"/>
                <w:szCs w:val="22"/>
                <w:lang w:eastAsia="en-GB"/>
              </w:rPr>
            </w:pPr>
            <w:r w:rsidRPr="00066342">
              <w:rPr>
                <w:b/>
                <w:sz w:val="22"/>
                <w:szCs w:val="22"/>
                <w:lang w:eastAsia="en-GB"/>
              </w:rPr>
              <w:t>10,818 km</w:t>
            </w:r>
          </w:p>
        </w:tc>
        <w:tc>
          <w:tcPr>
            <w:tcW w:w="3478" w:type="dxa"/>
            <w:shd w:val="clear" w:color="auto" w:fill="C6D9F1"/>
            <w:vAlign w:val="center"/>
          </w:tcPr>
          <w:p w:rsidR="00CE705B" w:rsidRPr="00066342" w:rsidRDefault="00CE705B" w:rsidP="00393122">
            <w:pPr>
              <w:rPr>
                <w:b/>
                <w:sz w:val="22"/>
                <w:szCs w:val="22"/>
                <w:lang w:eastAsia="en-GB"/>
              </w:rPr>
            </w:pPr>
            <w:r w:rsidRPr="00066342">
              <w:rPr>
                <w:b/>
                <w:sz w:val="22"/>
                <w:szCs w:val="22"/>
                <w:lang w:eastAsia="en-GB"/>
              </w:rPr>
              <w:t>Number of level crossings (number of which are automatic)</w:t>
            </w:r>
          </w:p>
        </w:tc>
        <w:tc>
          <w:tcPr>
            <w:tcW w:w="1984" w:type="dxa"/>
            <w:shd w:val="clear" w:color="auto" w:fill="C6D9F1"/>
            <w:vAlign w:val="center"/>
          </w:tcPr>
          <w:p w:rsidR="00CE705B" w:rsidRPr="00066342" w:rsidRDefault="00CE705B" w:rsidP="00393122">
            <w:pPr>
              <w:rPr>
                <w:b/>
                <w:sz w:val="22"/>
                <w:szCs w:val="22"/>
                <w:lang w:eastAsia="en-GB"/>
              </w:rPr>
            </w:pPr>
            <w:r w:rsidRPr="00066342">
              <w:rPr>
                <w:b/>
                <w:sz w:val="22"/>
                <w:szCs w:val="22"/>
                <w:lang w:eastAsia="en-GB"/>
              </w:rPr>
              <w:t>5,119 (1,082)</w:t>
            </w:r>
          </w:p>
        </w:tc>
      </w:tr>
      <w:tr w:rsidR="00CE705B" w:rsidRPr="00393122" w:rsidTr="000562AC">
        <w:tc>
          <w:tcPr>
            <w:tcW w:w="2693" w:type="dxa"/>
          </w:tcPr>
          <w:p w:rsidR="00CE705B" w:rsidRPr="00393122" w:rsidRDefault="00CE705B" w:rsidP="00393122">
            <w:pPr>
              <w:rPr>
                <w:sz w:val="22"/>
                <w:szCs w:val="22"/>
              </w:rPr>
            </w:pPr>
            <w:r w:rsidRPr="00393122">
              <w:rPr>
                <w:sz w:val="22"/>
                <w:szCs w:val="22"/>
              </w:rPr>
              <w:t>Double track</w:t>
            </w:r>
          </w:p>
        </w:tc>
        <w:tc>
          <w:tcPr>
            <w:tcW w:w="1484" w:type="dxa"/>
            <w:vAlign w:val="center"/>
          </w:tcPr>
          <w:p w:rsidR="00CE705B" w:rsidRPr="00393122" w:rsidRDefault="00CE705B" w:rsidP="00393122">
            <w:pPr>
              <w:rPr>
                <w:sz w:val="22"/>
                <w:szCs w:val="22"/>
              </w:rPr>
            </w:pPr>
            <w:r w:rsidRPr="00393122">
              <w:rPr>
                <w:sz w:val="22"/>
                <w:szCs w:val="22"/>
              </w:rPr>
              <w:t>2,909    (27%)</w:t>
            </w:r>
          </w:p>
        </w:tc>
        <w:tc>
          <w:tcPr>
            <w:tcW w:w="3478" w:type="dxa"/>
          </w:tcPr>
          <w:p w:rsidR="00CE705B" w:rsidRPr="00393122" w:rsidRDefault="00CE705B" w:rsidP="00393122">
            <w:pPr>
              <w:rPr>
                <w:sz w:val="22"/>
                <w:szCs w:val="22"/>
              </w:rPr>
            </w:pPr>
            <w:r w:rsidRPr="00393122">
              <w:rPr>
                <w:sz w:val="22"/>
                <w:szCs w:val="22"/>
              </w:rPr>
              <w:t>Number of points/switches</w:t>
            </w:r>
          </w:p>
        </w:tc>
        <w:tc>
          <w:tcPr>
            <w:tcW w:w="1984" w:type="dxa"/>
            <w:vAlign w:val="center"/>
          </w:tcPr>
          <w:p w:rsidR="00CE705B" w:rsidRPr="00393122" w:rsidRDefault="00CE705B" w:rsidP="00393122">
            <w:pPr>
              <w:rPr>
                <w:sz w:val="22"/>
                <w:szCs w:val="22"/>
              </w:rPr>
            </w:pPr>
            <w:r w:rsidRPr="00393122">
              <w:rPr>
                <w:sz w:val="22"/>
                <w:szCs w:val="22"/>
              </w:rPr>
              <w:t>20,868</w:t>
            </w:r>
          </w:p>
        </w:tc>
      </w:tr>
      <w:tr w:rsidR="00CE705B" w:rsidRPr="00393122" w:rsidTr="000562AC">
        <w:tc>
          <w:tcPr>
            <w:tcW w:w="2693" w:type="dxa"/>
          </w:tcPr>
          <w:p w:rsidR="00CE705B" w:rsidRPr="00393122" w:rsidRDefault="00CE705B" w:rsidP="00393122">
            <w:pPr>
              <w:rPr>
                <w:sz w:val="22"/>
                <w:szCs w:val="22"/>
              </w:rPr>
            </w:pPr>
            <w:r w:rsidRPr="00393122">
              <w:rPr>
                <w:sz w:val="22"/>
                <w:szCs w:val="22"/>
              </w:rPr>
              <w:t>Single track</w:t>
            </w:r>
          </w:p>
        </w:tc>
        <w:tc>
          <w:tcPr>
            <w:tcW w:w="1484" w:type="dxa"/>
            <w:vAlign w:val="center"/>
          </w:tcPr>
          <w:p w:rsidR="00CE705B" w:rsidRPr="00393122" w:rsidRDefault="00CE705B" w:rsidP="00393122">
            <w:pPr>
              <w:rPr>
                <w:sz w:val="22"/>
                <w:szCs w:val="22"/>
              </w:rPr>
            </w:pPr>
            <w:r w:rsidRPr="00393122">
              <w:rPr>
                <w:sz w:val="22"/>
                <w:szCs w:val="22"/>
              </w:rPr>
              <w:t>7,771    (72%)</w:t>
            </w:r>
          </w:p>
        </w:tc>
        <w:tc>
          <w:tcPr>
            <w:tcW w:w="3478" w:type="dxa"/>
            <w:vMerge w:val="restart"/>
          </w:tcPr>
          <w:p w:rsidR="00CE705B" w:rsidRPr="00393122" w:rsidRDefault="00CE705B" w:rsidP="00393122">
            <w:pPr>
              <w:rPr>
                <w:sz w:val="22"/>
                <w:szCs w:val="22"/>
              </w:rPr>
            </w:pPr>
            <w:r w:rsidRPr="00393122">
              <w:rPr>
                <w:sz w:val="22"/>
                <w:szCs w:val="22"/>
              </w:rPr>
              <w:t>Train control (signalling) infrastructure:</w:t>
            </w:r>
          </w:p>
          <w:p w:rsidR="00CE705B" w:rsidRPr="00393122" w:rsidRDefault="00CE705B" w:rsidP="00393122">
            <w:pPr>
              <w:rPr>
                <w:sz w:val="22"/>
                <w:szCs w:val="22"/>
              </w:rPr>
            </w:pPr>
            <w:r w:rsidRPr="00393122">
              <w:rPr>
                <w:sz w:val="22"/>
                <w:szCs w:val="22"/>
              </w:rPr>
              <w:t>Electronic interlocking systems</w:t>
            </w:r>
          </w:p>
          <w:p w:rsidR="00CE705B" w:rsidRPr="00393122" w:rsidRDefault="00CE705B" w:rsidP="00393122">
            <w:pPr>
              <w:rPr>
                <w:sz w:val="22"/>
                <w:szCs w:val="22"/>
              </w:rPr>
            </w:pPr>
            <w:r w:rsidRPr="00393122">
              <w:rPr>
                <w:sz w:val="22"/>
                <w:szCs w:val="22"/>
              </w:rPr>
              <w:t>Relay interlocking systems</w:t>
            </w:r>
          </w:p>
          <w:p w:rsidR="00CE705B" w:rsidRPr="00393122" w:rsidRDefault="00CE705B" w:rsidP="00393122">
            <w:pPr>
              <w:rPr>
                <w:sz w:val="22"/>
                <w:szCs w:val="22"/>
              </w:rPr>
            </w:pPr>
            <w:r w:rsidRPr="00393122">
              <w:rPr>
                <w:sz w:val="22"/>
                <w:szCs w:val="22"/>
              </w:rPr>
              <w:t>Installations without interlocking</w:t>
            </w:r>
          </w:p>
          <w:p w:rsidR="00CE705B" w:rsidRPr="00393122" w:rsidRDefault="00CE705B" w:rsidP="00393122">
            <w:pPr>
              <w:rPr>
                <w:sz w:val="22"/>
                <w:szCs w:val="22"/>
              </w:rPr>
            </w:pPr>
            <w:r w:rsidRPr="00393122">
              <w:rPr>
                <w:sz w:val="22"/>
                <w:szCs w:val="22"/>
              </w:rPr>
              <w:t>Automatic line block:</w:t>
            </w:r>
          </w:p>
          <w:p w:rsidR="00CE705B" w:rsidRPr="00393122" w:rsidRDefault="00CE705B" w:rsidP="00393122">
            <w:pPr>
              <w:rPr>
                <w:sz w:val="22"/>
                <w:szCs w:val="22"/>
              </w:rPr>
            </w:pPr>
            <w:r w:rsidRPr="00393122">
              <w:rPr>
                <w:sz w:val="22"/>
                <w:szCs w:val="22"/>
              </w:rPr>
              <w:t>Number of installations</w:t>
            </w:r>
          </w:p>
        </w:tc>
        <w:tc>
          <w:tcPr>
            <w:tcW w:w="1984" w:type="dxa"/>
            <w:vMerge w:val="restart"/>
            <w:vAlign w:val="center"/>
          </w:tcPr>
          <w:p w:rsidR="00CE705B" w:rsidRPr="00393122" w:rsidRDefault="00CE705B" w:rsidP="00393122">
            <w:pPr>
              <w:rPr>
                <w:sz w:val="22"/>
                <w:szCs w:val="22"/>
              </w:rPr>
            </w:pPr>
            <w:r w:rsidRPr="00393122">
              <w:rPr>
                <w:sz w:val="22"/>
                <w:szCs w:val="22"/>
              </w:rPr>
              <w:t>28</w:t>
            </w:r>
          </w:p>
          <w:p w:rsidR="00CE705B" w:rsidRPr="00393122" w:rsidRDefault="00CE705B" w:rsidP="00393122">
            <w:pPr>
              <w:rPr>
                <w:sz w:val="22"/>
                <w:szCs w:val="22"/>
              </w:rPr>
            </w:pPr>
            <w:r w:rsidRPr="00393122">
              <w:rPr>
                <w:sz w:val="22"/>
                <w:szCs w:val="22"/>
              </w:rPr>
              <w:t>618</w:t>
            </w:r>
          </w:p>
          <w:p w:rsidR="00CE705B" w:rsidRPr="00393122" w:rsidRDefault="00CE705B" w:rsidP="00393122">
            <w:pPr>
              <w:rPr>
                <w:sz w:val="22"/>
                <w:szCs w:val="22"/>
              </w:rPr>
            </w:pPr>
            <w:r w:rsidRPr="00393122">
              <w:rPr>
                <w:sz w:val="22"/>
                <w:szCs w:val="22"/>
              </w:rPr>
              <w:t>354</w:t>
            </w:r>
          </w:p>
          <w:p w:rsidR="00CE705B" w:rsidRPr="00393122" w:rsidRDefault="00CE705B" w:rsidP="00393122">
            <w:pPr>
              <w:rPr>
                <w:sz w:val="22"/>
                <w:szCs w:val="22"/>
              </w:rPr>
            </w:pPr>
          </w:p>
          <w:p w:rsidR="00CE705B" w:rsidRPr="00393122" w:rsidRDefault="00CE705B" w:rsidP="00393122">
            <w:pPr>
              <w:rPr>
                <w:sz w:val="22"/>
                <w:szCs w:val="22"/>
              </w:rPr>
            </w:pPr>
            <w:r w:rsidRPr="00393122">
              <w:rPr>
                <w:sz w:val="22"/>
                <w:szCs w:val="22"/>
              </w:rPr>
              <w:t>577</w:t>
            </w:r>
          </w:p>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Electrified (overhead 25 Kv)</w:t>
            </w:r>
          </w:p>
        </w:tc>
        <w:tc>
          <w:tcPr>
            <w:tcW w:w="1484" w:type="dxa"/>
            <w:vAlign w:val="center"/>
          </w:tcPr>
          <w:p w:rsidR="00CE705B" w:rsidRPr="00393122" w:rsidRDefault="00CE705B" w:rsidP="00393122">
            <w:pPr>
              <w:rPr>
                <w:sz w:val="22"/>
                <w:szCs w:val="22"/>
              </w:rPr>
            </w:pPr>
            <w:r w:rsidRPr="00393122">
              <w:rPr>
                <w:sz w:val="22"/>
                <w:szCs w:val="22"/>
              </w:rPr>
              <w:t>4,002   (37%)</w:t>
            </w:r>
          </w:p>
        </w:tc>
        <w:tc>
          <w:tcPr>
            <w:tcW w:w="3478" w:type="dxa"/>
            <w:vMerge/>
          </w:tcPr>
          <w:p w:rsidR="00CE705B" w:rsidRPr="00393122" w:rsidRDefault="00CE705B" w:rsidP="00393122">
            <w:pPr>
              <w:rPr>
                <w:sz w:val="22"/>
                <w:szCs w:val="22"/>
              </w:rPr>
            </w:pPr>
          </w:p>
        </w:tc>
        <w:tc>
          <w:tcPr>
            <w:tcW w:w="1984" w:type="dxa"/>
            <w:vMerge/>
          </w:tcPr>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Non-electrified</w:t>
            </w:r>
          </w:p>
        </w:tc>
        <w:tc>
          <w:tcPr>
            <w:tcW w:w="1484" w:type="dxa"/>
            <w:vAlign w:val="center"/>
          </w:tcPr>
          <w:p w:rsidR="00CE705B" w:rsidRPr="00393122" w:rsidRDefault="00CE705B" w:rsidP="00393122">
            <w:pPr>
              <w:rPr>
                <w:sz w:val="22"/>
                <w:szCs w:val="22"/>
              </w:rPr>
            </w:pPr>
            <w:r w:rsidRPr="00393122">
              <w:rPr>
                <w:sz w:val="22"/>
                <w:szCs w:val="22"/>
              </w:rPr>
              <w:t>6,816   (63%)</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Number of stations</w:t>
            </w:r>
          </w:p>
        </w:tc>
        <w:tc>
          <w:tcPr>
            <w:tcW w:w="1484" w:type="dxa"/>
            <w:vAlign w:val="center"/>
          </w:tcPr>
          <w:p w:rsidR="00CE705B" w:rsidRPr="00393122" w:rsidRDefault="00CE705B" w:rsidP="00393122">
            <w:pPr>
              <w:rPr>
                <w:sz w:val="22"/>
                <w:szCs w:val="22"/>
              </w:rPr>
            </w:pPr>
            <w:r w:rsidRPr="00393122">
              <w:rPr>
                <w:sz w:val="22"/>
                <w:szCs w:val="22"/>
              </w:rPr>
              <w:t>965</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Number of tunnels</w:t>
            </w:r>
          </w:p>
        </w:tc>
        <w:tc>
          <w:tcPr>
            <w:tcW w:w="1484" w:type="dxa"/>
            <w:vAlign w:val="center"/>
          </w:tcPr>
          <w:p w:rsidR="00CE705B" w:rsidRPr="00393122" w:rsidRDefault="00CE705B" w:rsidP="00393122">
            <w:pPr>
              <w:rPr>
                <w:sz w:val="22"/>
                <w:szCs w:val="22"/>
              </w:rPr>
            </w:pPr>
            <w:r w:rsidRPr="00393122">
              <w:rPr>
                <w:sz w:val="22"/>
                <w:szCs w:val="22"/>
              </w:rPr>
              <w:t>177</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Length of tunnels</w:t>
            </w:r>
          </w:p>
        </w:tc>
        <w:tc>
          <w:tcPr>
            <w:tcW w:w="1484" w:type="dxa"/>
            <w:vAlign w:val="center"/>
          </w:tcPr>
          <w:p w:rsidR="00CE705B" w:rsidRPr="00393122" w:rsidRDefault="00CE705B" w:rsidP="00393122">
            <w:pPr>
              <w:rPr>
                <w:sz w:val="22"/>
                <w:szCs w:val="22"/>
              </w:rPr>
            </w:pPr>
            <w:r w:rsidRPr="00393122">
              <w:rPr>
                <w:sz w:val="22"/>
                <w:szCs w:val="22"/>
              </w:rPr>
              <w:t xml:space="preserve">6,809 </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r w:rsidR="00CE705B" w:rsidRPr="00393122" w:rsidTr="000562AC">
        <w:tc>
          <w:tcPr>
            <w:tcW w:w="2693" w:type="dxa"/>
          </w:tcPr>
          <w:p w:rsidR="00CE705B" w:rsidRPr="00393122" w:rsidRDefault="00CE705B" w:rsidP="00393122">
            <w:pPr>
              <w:rPr>
                <w:sz w:val="22"/>
                <w:szCs w:val="22"/>
              </w:rPr>
            </w:pPr>
            <w:r w:rsidRPr="00393122">
              <w:rPr>
                <w:sz w:val="22"/>
                <w:szCs w:val="22"/>
              </w:rPr>
              <w:t>Number of bridges</w:t>
            </w:r>
          </w:p>
        </w:tc>
        <w:tc>
          <w:tcPr>
            <w:tcW w:w="1484" w:type="dxa"/>
            <w:vAlign w:val="center"/>
          </w:tcPr>
          <w:p w:rsidR="00CE705B" w:rsidRPr="00393122" w:rsidRDefault="00CE705B" w:rsidP="00393122">
            <w:pPr>
              <w:rPr>
                <w:sz w:val="22"/>
                <w:szCs w:val="22"/>
              </w:rPr>
            </w:pPr>
            <w:r w:rsidRPr="00393122">
              <w:rPr>
                <w:sz w:val="22"/>
                <w:szCs w:val="22"/>
              </w:rPr>
              <w:t>4,216</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r w:rsidR="00CE705B" w:rsidRPr="00393122" w:rsidTr="000562AC">
        <w:tc>
          <w:tcPr>
            <w:tcW w:w="2693" w:type="dxa"/>
            <w:vAlign w:val="center"/>
          </w:tcPr>
          <w:p w:rsidR="00CE705B" w:rsidRPr="00393122" w:rsidRDefault="00CE705B" w:rsidP="00393122">
            <w:pPr>
              <w:rPr>
                <w:sz w:val="22"/>
                <w:szCs w:val="22"/>
              </w:rPr>
            </w:pPr>
            <w:r w:rsidRPr="00393122">
              <w:rPr>
                <w:sz w:val="22"/>
                <w:szCs w:val="22"/>
              </w:rPr>
              <w:t>Number of culverts</w:t>
            </w:r>
          </w:p>
        </w:tc>
        <w:tc>
          <w:tcPr>
            <w:tcW w:w="1484" w:type="dxa"/>
            <w:vAlign w:val="center"/>
          </w:tcPr>
          <w:p w:rsidR="00CE705B" w:rsidRPr="00393122" w:rsidRDefault="00CE705B" w:rsidP="00393122">
            <w:pPr>
              <w:rPr>
                <w:sz w:val="22"/>
                <w:szCs w:val="22"/>
              </w:rPr>
            </w:pPr>
            <w:r w:rsidRPr="00393122">
              <w:rPr>
                <w:sz w:val="22"/>
                <w:szCs w:val="22"/>
              </w:rPr>
              <w:t>13,961</w:t>
            </w:r>
          </w:p>
        </w:tc>
        <w:tc>
          <w:tcPr>
            <w:tcW w:w="3478" w:type="dxa"/>
            <w:vMerge/>
          </w:tcPr>
          <w:p w:rsidR="00CE705B" w:rsidRPr="00393122" w:rsidRDefault="00CE705B" w:rsidP="00393122">
            <w:pPr>
              <w:rPr>
                <w:sz w:val="22"/>
                <w:szCs w:val="22"/>
              </w:rPr>
            </w:pPr>
          </w:p>
        </w:tc>
        <w:tc>
          <w:tcPr>
            <w:tcW w:w="1984" w:type="dxa"/>
            <w:vMerge/>
            <w:vAlign w:val="center"/>
          </w:tcPr>
          <w:p w:rsidR="00CE705B" w:rsidRPr="00393122" w:rsidRDefault="00CE705B" w:rsidP="00393122">
            <w:pPr>
              <w:rPr>
                <w:sz w:val="22"/>
                <w:szCs w:val="22"/>
              </w:rPr>
            </w:pPr>
          </w:p>
        </w:tc>
      </w:tr>
    </w:tbl>
    <w:p w:rsidR="00CE705B" w:rsidRPr="00CB6B62" w:rsidRDefault="00CE705B" w:rsidP="00CB6B62">
      <w:pPr>
        <w:pStyle w:val="Body"/>
        <w:spacing w:before="120" w:after="120"/>
        <w:ind w:left="851"/>
        <w:rPr>
          <w:sz w:val="18"/>
          <w:szCs w:val="18"/>
        </w:rPr>
      </w:pPr>
      <w:r w:rsidRPr="00CB6B62">
        <w:rPr>
          <w:sz w:val="18"/>
          <w:szCs w:val="18"/>
        </w:rPr>
        <w:t>Source: CFR SA: CFR Network Statement</w:t>
      </w:r>
    </w:p>
    <w:p w:rsidR="00CE705B" w:rsidRPr="005841F9" w:rsidRDefault="00CE705B" w:rsidP="00A4081F">
      <w:pPr>
        <w:pStyle w:val="NumberedParas"/>
      </w:pPr>
      <w:r w:rsidRPr="005841F9">
        <w:t>A significant proportion (72%) of the rail network is single track – the EU27 average is 59%.</w:t>
      </w:r>
      <w:r>
        <w:t xml:space="preserve"> </w:t>
      </w:r>
      <w:r w:rsidRPr="005841F9">
        <w:t>The 37% of the network that is electrified compares to the EU27 average of 52%.</w:t>
      </w:r>
    </w:p>
    <w:p w:rsidR="00CE705B" w:rsidRPr="005841F9" w:rsidRDefault="00CE705B" w:rsidP="00A4081F">
      <w:pPr>
        <w:pStyle w:val="NumberedParas"/>
      </w:pPr>
      <w:r w:rsidRPr="005841F9">
        <w:t xml:space="preserve">In terms of the density of the network, </w:t>
      </w:r>
      <w:r w:rsidR="00CB6B62">
        <w:t>Table 3.6</w:t>
      </w:r>
      <w:r w:rsidRPr="00CB6B62">
        <w:t xml:space="preserve"> compares</w:t>
      </w:r>
      <w:r w:rsidRPr="005841F9">
        <w:t xml:space="preserve"> Romania to some other European and neighbouring countries.</w:t>
      </w:r>
    </w:p>
    <w:p w:rsidR="00CE705B" w:rsidRPr="00CB6B62" w:rsidRDefault="00CB6B62" w:rsidP="00CB6B62">
      <w:pPr>
        <w:pStyle w:val="Caption"/>
        <w:keepNext/>
        <w:ind w:left="851"/>
        <w:rPr>
          <w:b/>
          <w:sz w:val="22"/>
          <w:szCs w:val="22"/>
        </w:rPr>
      </w:pPr>
      <w:r w:rsidRPr="00CB6B62">
        <w:rPr>
          <w:b/>
          <w:sz w:val="22"/>
          <w:szCs w:val="22"/>
        </w:rPr>
        <w:t>Table 3.6</w:t>
      </w:r>
      <w:r w:rsidR="00CE705B" w:rsidRPr="00CB6B62">
        <w:rPr>
          <w:b/>
          <w:sz w:val="22"/>
          <w:szCs w:val="22"/>
        </w:rPr>
        <w:t xml:space="preserve"> Rail Network Density</w:t>
      </w:r>
    </w:p>
    <w:p w:rsidR="00CE705B" w:rsidRPr="005841F9" w:rsidRDefault="00CE705B" w:rsidP="00CE705B">
      <w:pPr>
        <w:pStyle w:val="Body"/>
        <w:ind w:left="680"/>
      </w:pPr>
      <w:r>
        <w:rPr>
          <w:noProof/>
          <w:lang w:val="ro-RO" w:eastAsia="ro-RO"/>
        </w:rPr>
        <w:drawing>
          <wp:inline distT="0" distB="0" distL="0" distR="0" wp14:anchorId="2D6FECFC" wp14:editId="39E33951">
            <wp:extent cx="3543300" cy="1704975"/>
            <wp:effectExtent l="19050" t="0" r="0" b="0"/>
            <wp:docPr id="2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543300" cy="1704975"/>
                    </a:xfrm>
                    <a:prstGeom prst="rect">
                      <a:avLst/>
                    </a:prstGeom>
                    <a:noFill/>
                    <a:ln w="9525">
                      <a:noFill/>
                      <a:miter lim="800000"/>
                      <a:headEnd/>
                      <a:tailEnd/>
                    </a:ln>
                  </pic:spPr>
                </pic:pic>
              </a:graphicData>
            </a:graphic>
          </wp:inline>
        </w:drawing>
      </w:r>
    </w:p>
    <w:p w:rsidR="00CE705B" w:rsidRPr="005841F9" w:rsidRDefault="00CE705B" w:rsidP="00A4081F">
      <w:pPr>
        <w:pStyle w:val="NumberedParas"/>
      </w:pPr>
      <w:r w:rsidRPr="005841F9">
        <w:t>Romania is above the average in terms of density per population (but not as high as in neighbouring countries), but lower than average in terms of spatial density.</w:t>
      </w:r>
    </w:p>
    <w:p w:rsidR="00CE705B" w:rsidRPr="00C8675F" w:rsidRDefault="00CE705B" w:rsidP="00A4081F">
      <w:pPr>
        <w:pStyle w:val="NumberedParas"/>
      </w:pPr>
      <w:r w:rsidRPr="00D03733">
        <w:rPr>
          <w:b/>
        </w:rPr>
        <w:t xml:space="preserve">Rail Passenger </w:t>
      </w:r>
      <w:r w:rsidRPr="00CB6B62">
        <w:rPr>
          <w:b/>
        </w:rPr>
        <w:t>Demand</w:t>
      </w:r>
      <w:r w:rsidRPr="00CB6B62">
        <w:t>: Figure 3.4 provides</w:t>
      </w:r>
      <w:r w:rsidRPr="00604286">
        <w:t xml:space="preserve"> a comparison between Romanian rail passenger kilometres with those of other EU countries. </w:t>
      </w:r>
    </w:p>
    <w:p w:rsidR="00CE705B" w:rsidRDefault="00CE705B" w:rsidP="00CE705B">
      <w:pPr>
        <w:ind w:left="851"/>
        <w:rPr>
          <w:b/>
          <w:sz w:val="22"/>
          <w:szCs w:val="22"/>
        </w:rPr>
      </w:pPr>
      <w:r>
        <w:rPr>
          <w:b/>
          <w:noProof/>
          <w:sz w:val="22"/>
          <w:szCs w:val="22"/>
          <w:lang w:val="ro-RO" w:eastAsia="ro-RO"/>
        </w:rPr>
        <w:drawing>
          <wp:inline distT="0" distB="0" distL="0" distR="0" wp14:anchorId="5D1AB3FD" wp14:editId="6477C966">
            <wp:extent cx="5805170" cy="3806190"/>
            <wp:effectExtent l="19050" t="0" r="5080" b="0"/>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805170" cy="3806190"/>
                    </a:xfrm>
                    <a:prstGeom prst="rect">
                      <a:avLst/>
                    </a:prstGeom>
                    <a:noFill/>
                    <a:ln w="9525">
                      <a:noFill/>
                      <a:miter lim="800000"/>
                      <a:headEnd/>
                      <a:tailEnd/>
                    </a:ln>
                  </pic:spPr>
                </pic:pic>
              </a:graphicData>
            </a:graphic>
          </wp:inline>
        </w:drawing>
      </w:r>
    </w:p>
    <w:p w:rsidR="00CE705B" w:rsidRDefault="00CE705B" w:rsidP="00CE705B">
      <w:pPr>
        <w:ind w:left="851"/>
      </w:pPr>
      <w:r w:rsidRPr="00604286">
        <w:rPr>
          <w:i/>
        </w:rPr>
        <w:t xml:space="preserve">Source: </w:t>
      </w:r>
      <w:hyperlink r:id="rId76" w:history="1">
        <w:r>
          <w:rPr>
            <w:rStyle w:val="Hyperlink"/>
            <w:i/>
          </w:rPr>
          <w:t>http://ec.europa.eu/transport/facts-fundings/statistics/pocketbook-2013_en.htm</w:t>
        </w:r>
      </w:hyperlink>
    </w:p>
    <w:p w:rsidR="00CE705B" w:rsidRDefault="00CE705B" w:rsidP="00CE705B">
      <w:pPr>
        <w:ind w:left="851"/>
      </w:pPr>
    </w:p>
    <w:p w:rsidR="00CB6B62" w:rsidRDefault="00CB6B62" w:rsidP="00CB6B62">
      <w:pPr>
        <w:ind w:left="851"/>
        <w:rPr>
          <w:b/>
          <w:sz w:val="22"/>
          <w:szCs w:val="22"/>
        </w:rPr>
      </w:pPr>
      <w:r w:rsidRPr="00CB6B62">
        <w:rPr>
          <w:b/>
          <w:sz w:val="22"/>
          <w:szCs w:val="22"/>
        </w:rPr>
        <w:t>Figure 3.4 Comparison</w:t>
      </w:r>
      <w:r>
        <w:rPr>
          <w:b/>
          <w:sz w:val="22"/>
          <w:szCs w:val="22"/>
        </w:rPr>
        <w:t xml:space="preserve"> of Rail Passenger Kilometres – Romania versus other EU Countries</w:t>
      </w:r>
    </w:p>
    <w:p w:rsidR="00CB6B62" w:rsidRDefault="00CB6B62" w:rsidP="00CE705B">
      <w:pPr>
        <w:ind w:left="851"/>
      </w:pPr>
    </w:p>
    <w:p w:rsidR="00CE705B" w:rsidRPr="000F542D" w:rsidRDefault="00CE705B" w:rsidP="00A4081F">
      <w:pPr>
        <w:pStyle w:val="NumberedParas"/>
      </w:pPr>
      <w:r w:rsidRPr="000F542D">
        <w:t xml:space="preserve">Compared with those countries with a similar level of rail network provision per head of population, the rate of railway use in Romania is low. Rail demand in Romania, as measured by kms travelled per person is two to three times lower than in these countries, and this failure to capture the potential rail market results in reduced revenue. The EU27 average is 650km per passenger per year, as shown in Figure 3.4, while the equivalent figure for Romania is 66% lower. </w:t>
      </w:r>
    </w:p>
    <w:p w:rsidR="00CE705B" w:rsidRPr="00AA47C6" w:rsidRDefault="00CE705B" w:rsidP="00A4081F">
      <w:pPr>
        <w:pStyle w:val="NumberedParas"/>
      </w:pPr>
      <w:r w:rsidRPr="00CB6B62">
        <w:t>Figure 3.5 illustrates</w:t>
      </w:r>
      <w:r w:rsidRPr="00AA47C6">
        <w:t xml:space="preserve"> the number of journeys declined between 2004 and 2012 from about 100m per annum to 58m. The 28% decline in patronage experienced in Romania between 2004 and 2009 is the largest decrease across all the EU Member states. </w:t>
      </w:r>
    </w:p>
    <w:p w:rsidR="00CE705B" w:rsidRDefault="00CE705B" w:rsidP="00CE705B">
      <w:pPr>
        <w:ind w:left="851"/>
        <w:rPr>
          <w:b/>
          <w:sz w:val="22"/>
          <w:szCs w:val="22"/>
        </w:rPr>
      </w:pPr>
      <w:r>
        <w:rPr>
          <w:noProof/>
          <w:lang w:val="ro-RO" w:eastAsia="ro-RO"/>
        </w:rPr>
        <w:drawing>
          <wp:inline distT="0" distB="0" distL="0" distR="0" wp14:anchorId="62763BBF" wp14:editId="6CDF0B97">
            <wp:extent cx="5664482" cy="3225800"/>
            <wp:effectExtent l="1905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666557" cy="3226982"/>
                    </a:xfrm>
                    <a:prstGeom prst="rect">
                      <a:avLst/>
                    </a:prstGeom>
                    <a:noFill/>
                    <a:ln w="9525">
                      <a:noFill/>
                      <a:miter lim="800000"/>
                      <a:headEnd/>
                      <a:tailEnd/>
                    </a:ln>
                  </pic:spPr>
                </pic:pic>
              </a:graphicData>
            </a:graphic>
          </wp:inline>
        </w:drawing>
      </w:r>
    </w:p>
    <w:p w:rsidR="00CE705B" w:rsidRPr="00C8675F" w:rsidRDefault="00CE705B" w:rsidP="00CE705B"/>
    <w:p w:rsidR="00CE705B" w:rsidRDefault="00CE705B" w:rsidP="00CE705B">
      <w:pPr>
        <w:ind w:left="851"/>
        <w:rPr>
          <w:i/>
        </w:rPr>
      </w:pPr>
      <w:r w:rsidRPr="00604286">
        <w:rPr>
          <w:i/>
        </w:rPr>
        <w:t>Source: AECOM analysis of CFR Calatori data</w:t>
      </w:r>
    </w:p>
    <w:p w:rsidR="00CB6B62" w:rsidRDefault="00CB6B62" w:rsidP="00CB6B62">
      <w:pPr>
        <w:spacing w:before="120" w:after="120"/>
        <w:ind w:left="851"/>
        <w:rPr>
          <w:b/>
          <w:sz w:val="22"/>
          <w:szCs w:val="22"/>
        </w:rPr>
      </w:pPr>
      <w:r w:rsidRPr="00604286">
        <w:rPr>
          <w:b/>
          <w:sz w:val="22"/>
          <w:szCs w:val="22"/>
        </w:rPr>
        <w:t>Figure 3.5 Number of Rail Passenger Journeys per annum in Romania (2004-2012)</w:t>
      </w:r>
    </w:p>
    <w:p w:rsidR="00CE705B" w:rsidRPr="00AA47C6" w:rsidRDefault="00CE705B" w:rsidP="00A4081F">
      <w:pPr>
        <w:pStyle w:val="NumberedParas"/>
      </w:pPr>
      <w:r w:rsidRPr="00AA47C6">
        <w:t>The relationship between passenger kilometres per person has also been benchmarked for Romania against other EU countries. The ratio for Romania (239 passenger kilometres / person) is lower than other EU countries except Estonia (172), Greece (118), Turkey (74) and Lithuania (34). The results for Romania are lower than Bulgaria (270 passenger kilometres / person) or Hungary (731). These statistics indicate rail is capturing a good percentage of the total trips, albeit recognising the actual trip rate per person is significantly lower. The comparison of passenger kilometres per person for Romania against other EU countries indicates there is significant scope to grow the market if service improvements were delivered.</w:t>
      </w:r>
      <w:r w:rsidRPr="00844056">
        <w:rPr>
          <w:sz w:val="20"/>
          <w:szCs w:val="20"/>
        </w:rPr>
        <w:t xml:space="preserve"> </w:t>
      </w:r>
    </w:p>
    <w:p w:rsidR="00CE705B" w:rsidRPr="00B1320C" w:rsidRDefault="00CE705B" w:rsidP="00A4081F">
      <w:pPr>
        <w:pStyle w:val="NumberedParas"/>
      </w:pPr>
      <w:r w:rsidRPr="00B1320C">
        <w:rPr>
          <w:b/>
        </w:rPr>
        <w:t>Freight Usage:</w:t>
      </w:r>
      <w:r>
        <w:t xml:space="preserve"> </w:t>
      </w:r>
      <w:r w:rsidRPr="001E6461">
        <w:t>With about 28% of goods moved by rail, Romania is ranked 6</w:t>
      </w:r>
      <w:r w:rsidRPr="00B1320C">
        <w:rPr>
          <w:vertAlign w:val="superscript"/>
        </w:rPr>
        <w:t>th</w:t>
      </w:r>
      <w:r w:rsidRPr="001E6461">
        <w:t xml:space="preserve"> compared with other countries. This proportion was about 10% higher compared with the </w:t>
      </w:r>
      <w:r>
        <w:t>EU27 average of 18.4%.</w:t>
      </w:r>
    </w:p>
    <w:p w:rsidR="00CE705B" w:rsidRPr="00CB6B62" w:rsidRDefault="00CB6B62" w:rsidP="00A4081F">
      <w:pPr>
        <w:pStyle w:val="NumberedParas"/>
        <w:numPr>
          <w:ilvl w:val="0"/>
          <w:numId w:val="0"/>
        </w:numPr>
        <w:ind w:left="851"/>
      </w:pPr>
      <w:r w:rsidRPr="00CB6B62">
        <w:t>Table 3.7</w:t>
      </w:r>
      <w:r w:rsidR="00CE705B" w:rsidRPr="00CB6B62">
        <w:t xml:space="preserve"> Proportion of Goods Transported by Rail</w:t>
      </w:r>
    </w:p>
    <w:tbl>
      <w:tblPr>
        <w:tblW w:w="422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1439"/>
        <w:gridCol w:w="946"/>
      </w:tblGrid>
      <w:tr w:rsidR="00CE705B" w:rsidTr="000F542D">
        <w:trPr>
          <w:trHeight w:val="304"/>
        </w:trPr>
        <w:tc>
          <w:tcPr>
            <w:tcW w:w="200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CE705B" w:rsidRPr="00B1320C" w:rsidRDefault="00CE705B" w:rsidP="00BF3E32">
            <w:pPr>
              <w:jc w:val="center"/>
              <w:rPr>
                <w:rFonts w:cs="Arial"/>
                <w:b/>
                <w:color w:val="000000"/>
                <w:sz w:val="22"/>
                <w:szCs w:val="22"/>
                <w:lang w:eastAsia="en-GB"/>
              </w:rPr>
            </w:pPr>
            <w:r w:rsidRPr="00B1320C">
              <w:rPr>
                <w:b/>
                <w:color w:val="000000"/>
                <w:sz w:val="22"/>
                <w:szCs w:val="22"/>
                <w:lang w:eastAsia="en-GB"/>
              </w:rPr>
              <w:t>Country</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CE705B" w:rsidRPr="00B1320C" w:rsidRDefault="00CE705B" w:rsidP="00BF3E32">
            <w:pPr>
              <w:jc w:val="center"/>
              <w:rPr>
                <w:rFonts w:cs="Arial"/>
                <w:b/>
                <w:color w:val="000000"/>
                <w:sz w:val="22"/>
                <w:szCs w:val="22"/>
                <w:lang w:eastAsia="en-GB"/>
              </w:rPr>
            </w:pPr>
            <w:r w:rsidRPr="00B1320C">
              <w:rPr>
                <w:b/>
                <w:color w:val="000000"/>
                <w:sz w:val="22"/>
                <w:szCs w:val="22"/>
                <w:lang w:eastAsia="en-GB"/>
              </w:rPr>
              <w:t>% of goods transported by rail (tonne km)</w:t>
            </w:r>
          </w:p>
        </w:tc>
        <w:tc>
          <w:tcPr>
            <w:tcW w:w="94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CE705B" w:rsidRPr="00B1320C" w:rsidRDefault="00CE705B" w:rsidP="00BF3E32">
            <w:pPr>
              <w:jc w:val="center"/>
              <w:rPr>
                <w:rFonts w:cs="Arial"/>
                <w:b/>
                <w:color w:val="000000"/>
                <w:sz w:val="22"/>
                <w:szCs w:val="22"/>
                <w:lang w:eastAsia="en-GB"/>
              </w:rPr>
            </w:pPr>
            <w:r w:rsidRPr="00B1320C">
              <w:rPr>
                <w:b/>
                <w:color w:val="000000"/>
                <w:sz w:val="22"/>
                <w:szCs w:val="22"/>
                <w:lang w:eastAsia="en-GB"/>
              </w:rPr>
              <w:t>Rank</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Latvia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63.8</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1</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Estonia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51.0</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2</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Lithuania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41.2</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3</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Austria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39.9</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4</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Sweden</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38.2</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5</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Romania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28.0</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6</w:t>
            </w:r>
          </w:p>
        </w:tc>
      </w:tr>
      <w:tr w:rsidR="00CE705B" w:rsidTr="00CB6B62">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rFonts w:cs="Arial"/>
                <w:color w:val="000000"/>
                <w:sz w:val="22"/>
                <w:szCs w:val="22"/>
                <w:lang w:eastAsia="en-GB"/>
              </w:rPr>
            </w:pPr>
            <w:r w:rsidRPr="00B1320C">
              <w:rPr>
                <w:color w:val="000000"/>
                <w:sz w:val="22"/>
                <w:szCs w:val="22"/>
                <w:lang w:eastAsia="en-GB"/>
              </w:rPr>
              <w:t>EU27 Average</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jc w:val="center"/>
              <w:rPr>
                <w:rFonts w:cs="Arial"/>
                <w:color w:val="000000"/>
                <w:sz w:val="22"/>
                <w:szCs w:val="22"/>
                <w:lang w:eastAsia="en-GB"/>
              </w:rPr>
            </w:pPr>
            <w:r w:rsidRPr="00B1320C">
              <w:rPr>
                <w:color w:val="000000"/>
                <w:sz w:val="22"/>
                <w:szCs w:val="22"/>
                <w:lang w:eastAsia="en-GB"/>
              </w:rPr>
              <w:t>18.4</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CE705B" w:rsidRPr="00B1320C" w:rsidRDefault="00CE705B" w:rsidP="00BF3E32">
            <w:pPr>
              <w:rPr>
                <w:sz w:val="22"/>
                <w:szCs w:val="22"/>
              </w:rPr>
            </w:pPr>
          </w:p>
        </w:tc>
      </w:tr>
    </w:tbl>
    <w:p w:rsidR="00CE705B" w:rsidRPr="00B1320C" w:rsidRDefault="00CE705B" w:rsidP="00CE705B">
      <w:pPr>
        <w:pStyle w:val="ListParagraph"/>
        <w:ind w:left="680"/>
        <w:rPr>
          <w:i/>
        </w:rPr>
      </w:pPr>
      <w:r w:rsidRPr="00B1320C">
        <w:rPr>
          <w:i/>
        </w:rPr>
        <w:t>Proportion of goods transported by rail in the Transport model year 2011 by tonne km (Source Eurostat)</w:t>
      </w:r>
    </w:p>
    <w:p w:rsidR="00CE705B" w:rsidRPr="00C8675F" w:rsidRDefault="00CE705B" w:rsidP="00A4081F">
      <w:pPr>
        <w:pStyle w:val="NumberedParas"/>
        <w:numPr>
          <w:ilvl w:val="0"/>
          <w:numId w:val="0"/>
        </w:numPr>
        <w:ind w:left="680"/>
      </w:pPr>
    </w:p>
    <w:p w:rsidR="00CE705B" w:rsidRDefault="00CE705B" w:rsidP="00A4081F">
      <w:pPr>
        <w:pStyle w:val="NumberedParas"/>
      </w:pPr>
      <w:r w:rsidRPr="00604286">
        <w:t>Similar to the passenger market, the rail freight market has also contracted, with many traditional heavy industries such as coal mining and metal smelting, which provided the core rail freight demand, having declined. Coal fired power stations for electricity generation are gradually being replaced by renewable energy sources such as wind farms where Romania is the 5th largest producer in the EU. Tonnage moved by rail has declined steadily since 2004 (from 72m tonnes in 2008 to 56m tonnes in 2012). This is against a background of growth in road freight - in 2012, road freight grew by 4% a</w:t>
      </w:r>
      <w:r>
        <w:t xml:space="preserve">nd rail freight declined by 4% and </w:t>
      </w:r>
      <w:r w:rsidRPr="0055373B">
        <w:t>2012 s</w:t>
      </w:r>
      <w:r>
        <w:t>a</w:t>
      </w:r>
      <w:r w:rsidRPr="0055373B">
        <w:t>w a significant downward trend in market share in tonne kms from 28% to 21% in just one year.</w:t>
      </w:r>
    </w:p>
    <w:p w:rsidR="00CE705B" w:rsidRPr="00CB6B62" w:rsidRDefault="00CE705B" w:rsidP="00A4081F">
      <w:pPr>
        <w:pStyle w:val="NumberedParas"/>
        <w:rPr>
          <w:b/>
        </w:rPr>
      </w:pPr>
      <w:r>
        <w:rPr>
          <w:b/>
        </w:rPr>
        <w:t xml:space="preserve">Passenger Ticket Prices: </w:t>
      </w:r>
      <w:r w:rsidRPr="00AA47C6">
        <w:t xml:space="preserve">A benchmarking exercise indicates that Romanian rail fares are relatively high compared with other countries when they are normalised to take account of comparative spending power of other European economies. This is particularly relevant for advance purchase tickets. The high fares restrict the opportunities to attract new passengers and reduces the net economic benefit of the railway system, as shown in </w:t>
      </w:r>
      <w:r w:rsidRPr="00CB6B62">
        <w:t>Figure 3.6.</w:t>
      </w:r>
    </w:p>
    <w:p w:rsidR="00CE705B" w:rsidRPr="00AA47C6" w:rsidRDefault="00CE705B" w:rsidP="00CB6B62">
      <w:pPr>
        <w:pStyle w:val="ListParagraph"/>
        <w:spacing w:after="60"/>
        <w:ind w:left="680" w:firstLine="171"/>
        <w:rPr>
          <w:b/>
        </w:rPr>
      </w:pPr>
      <w:r>
        <w:rPr>
          <w:noProof/>
          <w:lang w:val="ro-RO" w:eastAsia="ro-RO"/>
        </w:rPr>
        <w:drawing>
          <wp:inline distT="0" distB="0" distL="0" distR="0" wp14:anchorId="43CC8DB3" wp14:editId="1964F0F5">
            <wp:extent cx="5648325" cy="3581400"/>
            <wp:effectExtent l="19050" t="0" r="9525"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648325" cy="3581400"/>
                    </a:xfrm>
                    <a:prstGeom prst="rect">
                      <a:avLst/>
                    </a:prstGeom>
                    <a:noFill/>
                    <a:ln w="9525">
                      <a:noFill/>
                      <a:miter lim="800000"/>
                      <a:headEnd/>
                      <a:tailEnd/>
                    </a:ln>
                  </pic:spPr>
                </pic:pic>
              </a:graphicData>
            </a:graphic>
          </wp:inline>
        </w:drawing>
      </w:r>
    </w:p>
    <w:p w:rsidR="00CE705B" w:rsidRPr="00CB6B62" w:rsidRDefault="00CE705B" w:rsidP="00CB6B62">
      <w:pPr>
        <w:pStyle w:val="ListParagraph"/>
        <w:spacing w:after="60"/>
        <w:ind w:left="851"/>
        <w:rPr>
          <w:i/>
          <w:sz w:val="18"/>
          <w:szCs w:val="18"/>
        </w:rPr>
      </w:pPr>
      <w:r w:rsidRPr="00CB6B62">
        <w:rPr>
          <w:i/>
          <w:sz w:val="18"/>
          <w:szCs w:val="18"/>
        </w:rPr>
        <w:t>Source: AECOM analysis of a selection of fares for a 100km journey. Fares are adjusted to take account of differences in GDP</w:t>
      </w:r>
    </w:p>
    <w:p w:rsidR="00CB6B62" w:rsidRPr="00AA47C6" w:rsidRDefault="00CB6B62" w:rsidP="00CB6B62">
      <w:pPr>
        <w:pStyle w:val="ListParagraph"/>
        <w:spacing w:before="120" w:after="120"/>
        <w:ind w:left="851"/>
        <w:rPr>
          <w:b/>
        </w:rPr>
      </w:pPr>
      <w:r w:rsidRPr="00CB6B62">
        <w:rPr>
          <w:b/>
        </w:rPr>
        <w:t>Figure 3.6: Comparison of Romanian Fares with Selected EU Examples</w:t>
      </w:r>
      <w:r w:rsidRPr="00AA47C6">
        <w:rPr>
          <w:b/>
        </w:rPr>
        <w:t xml:space="preserve"> </w:t>
      </w:r>
    </w:p>
    <w:p w:rsidR="00CE705B" w:rsidRDefault="00CE705B" w:rsidP="00A4081F">
      <w:pPr>
        <w:pStyle w:val="NumberedParas"/>
      </w:pPr>
      <w:r w:rsidRPr="002C2F4D">
        <w:rPr>
          <w:b/>
        </w:rPr>
        <w:t>Track Access Charges:</w:t>
      </w:r>
      <w:r>
        <w:rPr>
          <w:b/>
        </w:rPr>
        <w:t xml:space="preserve"> </w:t>
      </w:r>
      <w:r w:rsidRPr="00A60FDE">
        <w:t>In line with EU legislation</w:t>
      </w:r>
      <w:r w:rsidR="00CB6B62">
        <w:t>,</w:t>
      </w:r>
      <w:r w:rsidRPr="00A60FDE">
        <w:t xml:space="preserve"> the MTI administers a non-discriminatory track access charge for passenger and freight operations. The basis for the charge, whether passenger or freight, is a combination of </w:t>
      </w:r>
      <w:r w:rsidRPr="00CB6B62">
        <w:t>train tonnage, line categorisation (essentially line speed) and whether the line is electrified or not. Figure 3.7 below</w:t>
      </w:r>
      <w:r>
        <w:t xml:space="preserve"> demonstrates that Romania has some of the highest track access charges in the EU.</w:t>
      </w:r>
    </w:p>
    <w:p w:rsidR="00CE705B" w:rsidRDefault="00CE705B" w:rsidP="00A4081F">
      <w:pPr>
        <w:pStyle w:val="NumberedParas"/>
        <w:numPr>
          <w:ilvl w:val="0"/>
          <w:numId w:val="0"/>
        </w:numPr>
        <w:ind w:left="680"/>
      </w:pPr>
    </w:p>
    <w:p w:rsidR="00066342" w:rsidRDefault="00066342">
      <w:pPr>
        <w:rPr>
          <w:sz w:val="22"/>
          <w:szCs w:val="22"/>
        </w:rPr>
      </w:pPr>
      <w:r>
        <w:br w:type="page"/>
      </w:r>
    </w:p>
    <w:p w:rsidR="00CE705B" w:rsidRDefault="00CE705B" w:rsidP="00A4081F">
      <w:pPr>
        <w:pStyle w:val="NumberedParas"/>
        <w:numPr>
          <w:ilvl w:val="0"/>
          <w:numId w:val="0"/>
        </w:numPr>
        <w:ind w:left="680"/>
      </w:pPr>
      <w:r>
        <w:object w:dxaOrig="11534" w:dyaOrig="8506">
          <v:shape id="_x0000_i1027" type="#_x0000_t75" style="width:318pt;height:211.5pt" o:ole="">
            <v:imagedata r:id="rId79" o:title="" croptop="5268f"/>
          </v:shape>
          <o:OLEObject Type="Embed" ProgID="PBrush" ShapeID="_x0000_i1027" DrawAspect="Content" ObjectID="_1491205601" r:id="rId80"/>
        </w:object>
      </w:r>
    </w:p>
    <w:p w:rsidR="009C64CC" w:rsidRPr="009C64CC" w:rsidRDefault="009C64CC" w:rsidP="00A4081F">
      <w:pPr>
        <w:pStyle w:val="NumberedParas"/>
        <w:numPr>
          <w:ilvl w:val="0"/>
          <w:numId w:val="0"/>
        </w:numPr>
        <w:ind w:left="851"/>
      </w:pPr>
      <w:r w:rsidRPr="009C64CC">
        <w:t>Figure 3.7 Access Charges for Typical Frieght Train</w:t>
      </w:r>
    </w:p>
    <w:p w:rsidR="00CE705B" w:rsidRPr="00D92024" w:rsidRDefault="00CE705B" w:rsidP="00A4081F">
      <w:pPr>
        <w:pStyle w:val="NumberedParas"/>
      </w:pPr>
      <w:r w:rsidRPr="00E435D2">
        <w:rPr>
          <w:b/>
        </w:rPr>
        <w:t>Passenger Rail Journey Speeds:</w:t>
      </w:r>
      <w:r>
        <w:t xml:space="preserve"> </w:t>
      </w:r>
      <w:r w:rsidRPr="00D92024">
        <w:t xml:space="preserve">Selected rail journey </w:t>
      </w:r>
      <w:r>
        <w:t xml:space="preserve">speeds </w:t>
      </w:r>
      <w:r w:rsidRPr="00D92024">
        <w:t>in Romania have been compared with a sample of European services</w:t>
      </w:r>
      <w:r>
        <w:t xml:space="preserve"> as shown </w:t>
      </w:r>
      <w:r w:rsidRPr="009C64CC">
        <w:t>in Figure 3.8.</w:t>
      </w:r>
      <w:r>
        <w:t xml:space="preserve"> For example, the average speeds in Romania are about 65-70km/h, yet a </w:t>
      </w:r>
      <w:r w:rsidRPr="00D92024">
        <w:t>compar</w:t>
      </w:r>
      <w:r>
        <w:t xml:space="preserve">ison </w:t>
      </w:r>
      <w:r w:rsidRPr="00D92024">
        <w:t xml:space="preserve">with the UK and Germany </w:t>
      </w:r>
      <w:r>
        <w:t xml:space="preserve">indicates </w:t>
      </w:r>
      <w:r w:rsidRPr="00D92024">
        <w:t xml:space="preserve">rail journey </w:t>
      </w:r>
      <w:r>
        <w:t xml:space="preserve">speeds </w:t>
      </w:r>
      <w:r w:rsidRPr="00D92024">
        <w:t>in Romania are a</w:t>
      </w:r>
      <w:r>
        <w:t xml:space="preserve">bout </w:t>
      </w:r>
      <w:r w:rsidRPr="00D92024">
        <w:t xml:space="preserve">twice as </w:t>
      </w:r>
      <w:r>
        <w:t xml:space="preserve">slow as the examples. Furthermore, timings in Romania are 40% slower compared with </w:t>
      </w:r>
      <w:r w:rsidRPr="00D92024">
        <w:t>Hungary and Poland</w:t>
      </w:r>
      <w:r>
        <w:t xml:space="preserve">. </w:t>
      </w:r>
      <w:r w:rsidRPr="00D92024">
        <w:t xml:space="preserve">The topography in Romania is a </w:t>
      </w:r>
      <w:r>
        <w:t xml:space="preserve">partial </w:t>
      </w:r>
      <w:r w:rsidRPr="00D92024">
        <w:t>factor for some journeys</w:t>
      </w:r>
      <w:r>
        <w:t xml:space="preserve">, for example, the hilly terrain between </w:t>
      </w:r>
      <w:r w:rsidRPr="00D92024">
        <w:t xml:space="preserve">Bucharest </w:t>
      </w:r>
      <w:r>
        <w:t xml:space="preserve">and </w:t>
      </w:r>
      <w:r w:rsidRPr="00D92024">
        <w:t>Cluj</w:t>
      </w:r>
      <w:r>
        <w:t xml:space="preserve">, but there are other contributory factors including the numerous intermediate stops, lengthy dwell times and various technical </w:t>
      </w:r>
      <w:r w:rsidR="00066342">
        <w:t>factors</w:t>
      </w:r>
      <w:r w:rsidRPr="00D92024">
        <w:t xml:space="preserve"> </w:t>
      </w:r>
    </w:p>
    <w:p w:rsidR="00CE705B" w:rsidRDefault="00CE705B" w:rsidP="009C64CC">
      <w:pPr>
        <w:pStyle w:val="ListParagraph"/>
        <w:spacing w:after="60"/>
        <w:ind w:left="680" w:firstLine="171"/>
        <w:rPr>
          <w:b/>
        </w:rPr>
      </w:pPr>
      <w:r>
        <w:rPr>
          <w:noProof/>
          <w:lang w:val="ro-RO" w:eastAsia="ro-RO"/>
        </w:rPr>
        <w:drawing>
          <wp:inline distT="0" distB="0" distL="0" distR="0" wp14:anchorId="507CB42E" wp14:editId="5B1925FF">
            <wp:extent cx="5353050" cy="3505200"/>
            <wp:effectExtent l="19050" t="0" r="0" b="0"/>
            <wp:docPr id="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353050" cy="3505200"/>
                    </a:xfrm>
                    <a:prstGeom prst="rect">
                      <a:avLst/>
                    </a:prstGeom>
                    <a:noFill/>
                    <a:ln w="9525">
                      <a:noFill/>
                      <a:miter lim="800000"/>
                      <a:headEnd/>
                      <a:tailEnd/>
                    </a:ln>
                  </pic:spPr>
                </pic:pic>
              </a:graphicData>
            </a:graphic>
          </wp:inline>
        </w:drawing>
      </w:r>
    </w:p>
    <w:p w:rsidR="00CE705B" w:rsidRPr="009C64CC" w:rsidRDefault="00CE705B" w:rsidP="009C64CC">
      <w:pPr>
        <w:pStyle w:val="ListParagraph"/>
        <w:spacing w:after="60"/>
        <w:ind w:left="851"/>
        <w:rPr>
          <w:i/>
          <w:sz w:val="18"/>
          <w:szCs w:val="18"/>
        </w:rPr>
      </w:pPr>
      <w:r w:rsidRPr="009C64CC">
        <w:rPr>
          <w:i/>
          <w:sz w:val="18"/>
          <w:szCs w:val="18"/>
        </w:rPr>
        <w:t>Source: AECOM analysis of CFR Calatori timetables and DB website</w:t>
      </w:r>
    </w:p>
    <w:p w:rsidR="009C64CC" w:rsidRPr="00E435D2" w:rsidRDefault="009C64CC" w:rsidP="009C64CC">
      <w:pPr>
        <w:pStyle w:val="ListParagraph"/>
        <w:spacing w:after="60"/>
        <w:ind w:left="851"/>
        <w:rPr>
          <w:b/>
        </w:rPr>
      </w:pPr>
      <w:r w:rsidRPr="00E435D2">
        <w:rPr>
          <w:b/>
        </w:rPr>
        <w:t xml:space="preserve">Figure </w:t>
      </w:r>
      <w:r>
        <w:rPr>
          <w:b/>
        </w:rPr>
        <w:t>3.8</w:t>
      </w:r>
      <w:r w:rsidRPr="00E435D2">
        <w:rPr>
          <w:b/>
        </w:rPr>
        <w:t xml:space="preserve"> Comparison of Rail Journey Times – Romanian versus European Examples (km/h)</w:t>
      </w:r>
    </w:p>
    <w:p w:rsidR="00CE705B" w:rsidRDefault="00CE705B" w:rsidP="00A4081F">
      <w:pPr>
        <w:pStyle w:val="NumberedParas"/>
        <w:numPr>
          <w:ilvl w:val="0"/>
          <w:numId w:val="0"/>
        </w:numPr>
        <w:ind w:left="680"/>
      </w:pPr>
    </w:p>
    <w:p w:rsidR="00CE705B" w:rsidRPr="009C64CC" w:rsidRDefault="00066342" w:rsidP="00A4081F">
      <w:pPr>
        <w:pStyle w:val="NumberedParas"/>
      </w:pPr>
      <w:r>
        <w:rPr>
          <w:b/>
        </w:rPr>
        <w:t xml:space="preserve">Rail </w:t>
      </w:r>
      <w:r w:rsidR="00CE705B" w:rsidRPr="00E435D2">
        <w:rPr>
          <w:b/>
        </w:rPr>
        <w:t>Safety:</w:t>
      </w:r>
      <w:r w:rsidR="00CE705B">
        <w:rPr>
          <w:b/>
        </w:rPr>
        <w:t xml:space="preserve"> </w:t>
      </w:r>
      <w:r w:rsidR="00CE705B">
        <w:t>The</w:t>
      </w:r>
      <w:r w:rsidR="00CE705B" w:rsidRPr="00E435D2">
        <w:t xml:space="preserve"> the number of fatalities involving passengers or railway employees is relatively low when expressed in terms of numbers per billion passenger kilometres, </w:t>
      </w:r>
      <w:r w:rsidR="009C64CC">
        <w:t xml:space="preserve">but </w:t>
      </w:r>
      <w:r w:rsidR="00CE705B" w:rsidRPr="00E435D2">
        <w:t xml:space="preserve">there are still a relatively high number of deaths due to suicides and other incidents at level crossings.  There were 79 rail-related fatalities (all deaths occurring on railway property) per billion train kilometres between 2007 and 2011.  This is almost four times higher than the EU average, and the 4th highest rate overall, as demonstrated </w:t>
      </w:r>
      <w:r w:rsidR="00CE705B" w:rsidRPr="009C64CC">
        <w:t>in Figure 3.9.</w:t>
      </w:r>
    </w:p>
    <w:p w:rsidR="00CE705B" w:rsidRDefault="00CE705B" w:rsidP="009C64CC">
      <w:pPr>
        <w:spacing w:after="60"/>
        <w:ind w:firstLine="851"/>
        <w:rPr>
          <w:b/>
        </w:rPr>
      </w:pPr>
      <w:r>
        <w:rPr>
          <w:b/>
          <w:noProof/>
          <w:lang w:val="ro-RO" w:eastAsia="ro-RO"/>
        </w:rPr>
        <w:drawing>
          <wp:inline distT="0" distB="0" distL="0" distR="0" wp14:anchorId="6ED386F1" wp14:editId="43ECCD8D">
            <wp:extent cx="5476875" cy="3209925"/>
            <wp:effectExtent l="19050" t="0" r="9525" b="0"/>
            <wp:docPr id="31" name="Picture 2" descr="safet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ty diagram"/>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476875" cy="3209925"/>
                    </a:xfrm>
                    <a:prstGeom prst="rect">
                      <a:avLst/>
                    </a:prstGeom>
                    <a:noFill/>
                    <a:ln w="9525">
                      <a:noFill/>
                      <a:miter lim="800000"/>
                      <a:headEnd/>
                      <a:tailEnd/>
                    </a:ln>
                  </pic:spPr>
                </pic:pic>
              </a:graphicData>
            </a:graphic>
          </wp:inline>
        </w:drawing>
      </w:r>
    </w:p>
    <w:p w:rsidR="00CE705B" w:rsidRPr="009C64CC" w:rsidRDefault="00CE705B" w:rsidP="00A4081F">
      <w:pPr>
        <w:pStyle w:val="NumberedParas"/>
        <w:numPr>
          <w:ilvl w:val="0"/>
          <w:numId w:val="0"/>
        </w:numPr>
        <w:ind w:left="851"/>
      </w:pPr>
      <w:r w:rsidRPr="009C64CC">
        <w:t>Source: European Union information, printed in the Guardian 13 May 2013</w:t>
      </w:r>
    </w:p>
    <w:p w:rsidR="009C64CC" w:rsidRPr="006C199E" w:rsidRDefault="009C64CC" w:rsidP="009C64CC">
      <w:pPr>
        <w:spacing w:after="60"/>
        <w:ind w:left="851"/>
        <w:rPr>
          <w:b/>
          <w:sz w:val="22"/>
          <w:szCs w:val="22"/>
        </w:rPr>
      </w:pPr>
      <w:r w:rsidRPr="006C199E">
        <w:rPr>
          <w:rFonts w:cs="Arial"/>
          <w:b/>
          <w:sz w:val="22"/>
          <w:szCs w:val="22"/>
        </w:rPr>
        <w:t>Figure 3.9: Comparative Number of Fatalities (per billion train kilometres)</w:t>
      </w:r>
    </w:p>
    <w:p w:rsidR="009C64CC" w:rsidRPr="003F7FF9" w:rsidRDefault="009C64CC" w:rsidP="00A4081F">
      <w:pPr>
        <w:pStyle w:val="NumberedParas"/>
        <w:numPr>
          <w:ilvl w:val="0"/>
          <w:numId w:val="0"/>
        </w:numPr>
        <w:ind w:left="1106"/>
      </w:pPr>
    </w:p>
    <w:p w:rsidR="00CE705B" w:rsidRDefault="00CE705B">
      <w:pPr>
        <w:rPr>
          <w:sz w:val="22"/>
          <w:szCs w:val="22"/>
        </w:rPr>
      </w:pPr>
      <w:r>
        <w:br w:type="page"/>
      </w:r>
    </w:p>
    <w:p w:rsidR="00CE705B" w:rsidRPr="008E03B0" w:rsidRDefault="00CE705B" w:rsidP="00045287">
      <w:pPr>
        <w:pStyle w:val="Hdg2"/>
      </w:pPr>
      <w:bookmarkStart w:id="57" w:name="_Toc396234278"/>
      <w:bookmarkStart w:id="58" w:name="_Toc413056039"/>
      <w:r>
        <w:t>Ports and Waterways Trends</w:t>
      </w:r>
      <w:bookmarkEnd w:id="57"/>
      <w:r>
        <w:t xml:space="preserve"> in European Context</w:t>
      </w:r>
      <w:bookmarkEnd w:id="58"/>
    </w:p>
    <w:p w:rsidR="00CE705B" w:rsidRPr="007955D1" w:rsidRDefault="00FD462C" w:rsidP="00A4081F">
      <w:pPr>
        <w:pStyle w:val="NumberedParas"/>
        <w:rPr>
          <w:rFonts w:cs="Arial"/>
        </w:rPr>
      </w:pPr>
      <w:r>
        <w:t>The</w:t>
      </w:r>
      <w:r w:rsidR="00CE705B">
        <w:t xml:space="preserve"> proportion of total inland freight in Romania moved by water is the second highest in the EU. This is due to Romania’s position relative to the Danube. However Romania compares unfavourably to Holland, which has a similar position relative to t</w:t>
      </w:r>
      <w:r>
        <w:t>he Rhine and the key difference</w:t>
      </w:r>
      <w:r w:rsidR="00CE705B">
        <w:t xml:space="preserve"> between the countries </w:t>
      </w:r>
      <w:r>
        <w:t>is</w:t>
      </w:r>
      <w:r w:rsidR="00CE705B">
        <w:t xml:space="preserve"> the lack of modern facilities in Romania. The vast majority of the goods transported by water in Romania are bulk goods. The </w:t>
      </w:r>
      <w:r>
        <w:t>Danube carries</w:t>
      </w:r>
      <w:r w:rsidR="00CE705B" w:rsidRPr="007955D1">
        <w:rPr>
          <w:rFonts w:cs="Arial"/>
        </w:rPr>
        <w:t xml:space="preserve"> 3 types of traffic, domestic, transit, and import/export.</w:t>
      </w:r>
    </w:p>
    <w:p w:rsidR="00CE705B" w:rsidRPr="009C64CC" w:rsidRDefault="00D85891" w:rsidP="00FD462C">
      <w:pPr>
        <w:ind w:left="851"/>
        <w:contextualSpacing/>
        <w:rPr>
          <w:b/>
          <w:sz w:val="22"/>
          <w:szCs w:val="22"/>
        </w:rPr>
      </w:pPr>
      <w:r>
        <w:rPr>
          <w:b/>
          <w:sz w:val="22"/>
          <w:szCs w:val="22"/>
          <w:lang w:eastAsia="en-GB"/>
        </w:rPr>
        <w:t>Table 3.8</w:t>
      </w:r>
      <w:r w:rsidR="009C64CC">
        <w:rPr>
          <w:b/>
          <w:sz w:val="22"/>
          <w:szCs w:val="22"/>
          <w:lang w:eastAsia="en-GB"/>
        </w:rPr>
        <w:t xml:space="preserve"> Percentage</w:t>
      </w:r>
      <w:r w:rsidR="00CE705B" w:rsidRPr="009C64CC">
        <w:rPr>
          <w:b/>
          <w:sz w:val="22"/>
          <w:szCs w:val="22"/>
        </w:rPr>
        <w:t xml:space="preserve"> in tota</w:t>
      </w:r>
      <w:r w:rsidR="009C64CC">
        <w:rPr>
          <w:b/>
          <w:sz w:val="22"/>
          <w:szCs w:val="22"/>
        </w:rPr>
        <w:t>l inland freight tonne-km 2011</w:t>
      </w:r>
    </w:p>
    <w:p w:rsidR="00CE705B" w:rsidRPr="007955D1" w:rsidRDefault="00CE705B" w:rsidP="00CE705B">
      <w:pPr>
        <w:contextualSpacing/>
      </w:pPr>
    </w:p>
    <w:tbl>
      <w:tblPr>
        <w:tblW w:w="501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8"/>
        <w:gridCol w:w="1626"/>
        <w:gridCol w:w="1626"/>
      </w:tblGrid>
      <w:tr w:rsidR="00CE705B" w:rsidRPr="001F2568" w:rsidTr="000F542D">
        <w:trPr>
          <w:trHeight w:val="305"/>
        </w:trPr>
        <w:tc>
          <w:tcPr>
            <w:tcW w:w="1758" w:type="dxa"/>
            <w:shd w:val="clear" w:color="auto" w:fill="B8CCE4" w:themeFill="accent1" w:themeFillTint="66"/>
            <w:noWrap/>
            <w:vAlign w:val="bottom"/>
            <w:hideMark/>
          </w:tcPr>
          <w:p w:rsidR="00CE705B" w:rsidRPr="009C64CC" w:rsidRDefault="00CE705B" w:rsidP="00BF3E32">
            <w:pPr>
              <w:jc w:val="center"/>
              <w:rPr>
                <w:rFonts w:cs="Arial"/>
                <w:b/>
                <w:color w:val="000000"/>
                <w:sz w:val="22"/>
                <w:szCs w:val="22"/>
                <w:lang w:eastAsia="en-GB"/>
              </w:rPr>
            </w:pPr>
            <w:r w:rsidRPr="009C64CC">
              <w:rPr>
                <w:rFonts w:cs="Arial"/>
                <w:b/>
                <w:color w:val="000000"/>
                <w:sz w:val="22"/>
                <w:szCs w:val="22"/>
                <w:lang w:eastAsia="en-GB"/>
              </w:rPr>
              <w:t>Country</w:t>
            </w:r>
          </w:p>
        </w:tc>
        <w:tc>
          <w:tcPr>
            <w:tcW w:w="1626" w:type="dxa"/>
            <w:shd w:val="clear" w:color="auto" w:fill="B8CCE4" w:themeFill="accent1" w:themeFillTint="66"/>
            <w:noWrap/>
            <w:vAlign w:val="bottom"/>
            <w:hideMark/>
          </w:tcPr>
          <w:p w:rsidR="00CE705B" w:rsidRPr="009C64CC" w:rsidRDefault="00CE705B" w:rsidP="00BF3E32">
            <w:pPr>
              <w:jc w:val="center"/>
              <w:rPr>
                <w:rFonts w:cs="Arial"/>
                <w:b/>
                <w:color w:val="000000"/>
                <w:sz w:val="22"/>
                <w:szCs w:val="22"/>
                <w:lang w:eastAsia="en-GB"/>
              </w:rPr>
            </w:pPr>
            <w:r w:rsidRPr="009C64CC">
              <w:rPr>
                <w:rFonts w:cs="Arial"/>
                <w:b/>
                <w:color w:val="000000"/>
                <w:sz w:val="22"/>
                <w:szCs w:val="22"/>
                <w:lang w:eastAsia="en-GB"/>
              </w:rPr>
              <w:t>%</w:t>
            </w:r>
          </w:p>
        </w:tc>
        <w:tc>
          <w:tcPr>
            <w:tcW w:w="1626" w:type="dxa"/>
            <w:shd w:val="clear" w:color="auto" w:fill="B8CCE4" w:themeFill="accent1" w:themeFillTint="66"/>
            <w:noWrap/>
            <w:vAlign w:val="bottom"/>
            <w:hideMark/>
          </w:tcPr>
          <w:p w:rsidR="00CE705B" w:rsidRPr="009C64CC" w:rsidRDefault="00CE705B" w:rsidP="00BF3E32">
            <w:pPr>
              <w:jc w:val="center"/>
              <w:rPr>
                <w:rFonts w:cs="Arial"/>
                <w:b/>
                <w:color w:val="000000"/>
                <w:sz w:val="22"/>
                <w:szCs w:val="22"/>
                <w:lang w:eastAsia="en-GB"/>
              </w:rPr>
            </w:pPr>
            <w:r w:rsidRPr="009C64CC">
              <w:rPr>
                <w:rFonts w:cs="Arial"/>
                <w:b/>
                <w:color w:val="000000"/>
                <w:sz w:val="22"/>
                <w:szCs w:val="22"/>
                <w:lang w:eastAsia="en-GB"/>
              </w:rPr>
              <w:t>Rank</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Holland</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36.7</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1</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Romania</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21.7</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2</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Belgium</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18.5</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3</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Bulgaria</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15</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4</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Germany</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11.2</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5</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Croatia</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5.7</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6</w:t>
            </w:r>
          </w:p>
        </w:tc>
      </w:tr>
      <w:tr w:rsidR="00CE705B" w:rsidRPr="001F2568" w:rsidTr="009C64CC">
        <w:trPr>
          <w:trHeight w:val="305"/>
        </w:trPr>
        <w:tc>
          <w:tcPr>
            <w:tcW w:w="1758"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EU27</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r w:rsidRPr="009C64CC">
              <w:rPr>
                <w:rFonts w:cs="Arial"/>
                <w:color w:val="000000"/>
                <w:sz w:val="22"/>
                <w:szCs w:val="22"/>
                <w:lang w:eastAsia="en-GB"/>
              </w:rPr>
              <w:t>6.2</w:t>
            </w:r>
          </w:p>
        </w:tc>
        <w:tc>
          <w:tcPr>
            <w:tcW w:w="1626" w:type="dxa"/>
            <w:shd w:val="clear" w:color="auto" w:fill="auto"/>
            <w:noWrap/>
            <w:vAlign w:val="bottom"/>
            <w:hideMark/>
          </w:tcPr>
          <w:p w:rsidR="00CE705B" w:rsidRPr="009C64CC" w:rsidRDefault="00CE705B" w:rsidP="00BF3E32">
            <w:pPr>
              <w:jc w:val="center"/>
              <w:rPr>
                <w:rFonts w:cs="Arial"/>
                <w:color w:val="000000"/>
                <w:sz w:val="22"/>
                <w:szCs w:val="22"/>
                <w:lang w:eastAsia="en-GB"/>
              </w:rPr>
            </w:pPr>
          </w:p>
        </w:tc>
      </w:tr>
    </w:tbl>
    <w:p w:rsidR="00CE705B" w:rsidRPr="009C64CC" w:rsidRDefault="009C64CC" w:rsidP="009C64CC">
      <w:pPr>
        <w:ind w:left="851"/>
        <w:rPr>
          <w:i/>
        </w:rPr>
      </w:pPr>
      <w:r w:rsidRPr="009C64CC">
        <w:rPr>
          <w:i/>
        </w:rPr>
        <w:t>Source: Eurostat</w:t>
      </w:r>
    </w:p>
    <w:p w:rsidR="00CE705B" w:rsidRPr="001D0BEB" w:rsidRDefault="00CE705B" w:rsidP="00A4081F">
      <w:pPr>
        <w:pStyle w:val="NumberedParas"/>
        <w:rPr>
          <w:b/>
        </w:rPr>
      </w:pPr>
      <w:r w:rsidRPr="007955D1">
        <w:rPr>
          <w:b/>
        </w:rPr>
        <w:t xml:space="preserve">Compliance with International Standards for Waterway Draught: </w:t>
      </w:r>
      <w:r w:rsidRPr="003F64A2">
        <w:t>The UN defines the Danube as an international waterway and the draught required for such status is 2.5m, although 2.8m is preferable. Several sections of the Danube regularly fall be</w:t>
      </w:r>
      <w:r>
        <w:t>low 2.5m draught and navigation</w:t>
      </w:r>
      <w:r w:rsidRPr="003F64A2">
        <w:t xml:space="preserve"> was very difficult on the lower river for more than 38 days in September and October 2011 because of insufficient </w:t>
      </w:r>
      <w:r>
        <w:t>water levels.</w:t>
      </w:r>
    </w:p>
    <w:p w:rsidR="00CE705B" w:rsidRDefault="00CE705B" w:rsidP="00A4081F">
      <w:pPr>
        <w:pStyle w:val="NumberedParas"/>
        <w:rPr>
          <w:lang w:eastAsia="en-GB"/>
        </w:rPr>
      </w:pPr>
      <w:r w:rsidRPr="00CA0193">
        <w:rPr>
          <w:lang w:eastAsia="en-GB"/>
        </w:rPr>
        <w:t xml:space="preserve">A convoy comprises either one motor cargo vessel (a ship with its own cargo hold) or a pusher and one or more barges rigidly coupled to the freighter or pusher. </w:t>
      </w:r>
    </w:p>
    <w:p w:rsidR="00CE705B" w:rsidRPr="00D85891" w:rsidRDefault="00CE705B" w:rsidP="00D85891">
      <w:pPr>
        <w:pStyle w:val="ListParagraph"/>
        <w:ind w:left="851"/>
        <w:rPr>
          <w:b/>
          <w:sz w:val="22"/>
          <w:szCs w:val="22"/>
          <w:lang w:eastAsia="en-GB"/>
        </w:rPr>
      </w:pPr>
      <w:r w:rsidRPr="00D85891">
        <w:rPr>
          <w:b/>
          <w:sz w:val="22"/>
          <w:szCs w:val="22"/>
          <w:lang w:eastAsia="en-GB"/>
        </w:rPr>
        <w:t xml:space="preserve">Table </w:t>
      </w:r>
      <w:r w:rsidR="00D85891">
        <w:rPr>
          <w:b/>
          <w:sz w:val="22"/>
          <w:szCs w:val="22"/>
          <w:lang w:eastAsia="en-GB"/>
        </w:rPr>
        <w:t>3.9</w:t>
      </w:r>
      <w:r w:rsidRPr="00D85891">
        <w:rPr>
          <w:b/>
          <w:sz w:val="22"/>
          <w:szCs w:val="22"/>
          <w:lang w:eastAsia="en-GB"/>
        </w:rPr>
        <w:t xml:space="preserve"> Barge operation comparison between the Danube and Rhine</w:t>
      </w:r>
    </w:p>
    <w:p w:rsidR="00CE705B" w:rsidRPr="00CA0193" w:rsidRDefault="00CE705B" w:rsidP="00CE705B">
      <w:pPr>
        <w:rPr>
          <w:lang w:eastAsia="en-GB"/>
        </w:rPr>
      </w:pPr>
    </w:p>
    <w:tbl>
      <w:tblPr>
        <w:tblW w:w="0" w:type="auto"/>
        <w:tblCellSpacing w:w="1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71"/>
        <w:gridCol w:w="851"/>
        <w:gridCol w:w="875"/>
        <w:gridCol w:w="4625"/>
      </w:tblGrid>
      <w:tr w:rsidR="00CE705B" w:rsidRPr="00D85891" w:rsidTr="00D85891">
        <w:trPr>
          <w:tblCellSpacing w:w="15" w:type="dxa"/>
        </w:trPr>
        <w:tc>
          <w:tcPr>
            <w:tcW w:w="0" w:type="auto"/>
            <w:gridSpan w:val="4"/>
            <w:shd w:val="clear" w:color="auto" w:fill="63C1DF"/>
            <w:hideMark/>
          </w:tcPr>
          <w:p w:rsidR="00CE705B" w:rsidRPr="00D85891" w:rsidRDefault="00CE705B" w:rsidP="00BF3E32">
            <w:pPr>
              <w:spacing w:before="45" w:after="150"/>
              <w:rPr>
                <w:sz w:val="22"/>
                <w:szCs w:val="22"/>
                <w:lang w:eastAsia="en-GB"/>
              </w:rPr>
            </w:pPr>
            <w:r w:rsidRPr="00D85891">
              <w:rPr>
                <w:b/>
                <w:bCs/>
                <w:sz w:val="22"/>
                <w:szCs w:val="22"/>
                <w:lang w:eastAsia="en-GB"/>
              </w:rPr>
              <w:t>Pushed Convoy with four barges</w:t>
            </w:r>
          </w:p>
        </w:tc>
      </w:tr>
      <w:tr w:rsidR="00CE705B" w:rsidRPr="00D85891" w:rsidTr="00D85891">
        <w:trPr>
          <w:tblCellSpacing w:w="15" w:type="dxa"/>
        </w:trPr>
        <w:tc>
          <w:tcPr>
            <w:tcW w:w="0" w:type="auto"/>
            <w:hideMark/>
          </w:tcPr>
          <w:p w:rsidR="00CE705B" w:rsidRPr="00D85891" w:rsidRDefault="00CE705B" w:rsidP="00BF3E32">
            <w:pPr>
              <w:rPr>
                <w:sz w:val="22"/>
                <w:szCs w:val="22"/>
                <w:lang w:eastAsia="en-GB"/>
              </w:rPr>
            </w:pPr>
          </w:p>
        </w:tc>
        <w:tc>
          <w:tcPr>
            <w:tcW w:w="0" w:type="auto"/>
            <w:hideMark/>
          </w:tcPr>
          <w:p w:rsidR="00CE705B" w:rsidRPr="00D85891" w:rsidRDefault="00CE705B" w:rsidP="00BF3E32">
            <w:pPr>
              <w:spacing w:before="45" w:after="150"/>
              <w:rPr>
                <w:sz w:val="22"/>
                <w:szCs w:val="22"/>
                <w:lang w:eastAsia="en-GB"/>
              </w:rPr>
            </w:pPr>
            <w:r w:rsidRPr="00D85891">
              <w:rPr>
                <w:i/>
                <w:iCs/>
                <w:sz w:val="22"/>
                <w:szCs w:val="22"/>
                <w:lang w:eastAsia="en-GB"/>
              </w:rPr>
              <w:t>Danube</w:t>
            </w:r>
          </w:p>
        </w:tc>
        <w:tc>
          <w:tcPr>
            <w:tcW w:w="0" w:type="auto"/>
            <w:hideMark/>
          </w:tcPr>
          <w:p w:rsidR="00CE705B" w:rsidRPr="00D85891" w:rsidRDefault="00CE705B" w:rsidP="00BF3E32">
            <w:pPr>
              <w:spacing w:before="45" w:after="150"/>
              <w:rPr>
                <w:sz w:val="22"/>
                <w:szCs w:val="22"/>
                <w:lang w:eastAsia="en-GB"/>
              </w:rPr>
            </w:pPr>
            <w:r w:rsidRPr="00D85891">
              <w:rPr>
                <w:i/>
                <w:iCs/>
                <w:sz w:val="22"/>
                <w:szCs w:val="22"/>
                <w:lang w:eastAsia="en-GB"/>
              </w:rPr>
              <w:t>Rhine</w:t>
            </w:r>
          </w:p>
        </w:tc>
        <w:tc>
          <w:tcPr>
            <w:tcW w:w="0" w:type="auto"/>
            <w:vMerge w:val="restart"/>
            <w:hideMark/>
          </w:tcPr>
          <w:p w:rsidR="00CE705B" w:rsidRPr="00D85891" w:rsidRDefault="00CE705B" w:rsidP="00BF3E32">
            <w:pPr>
              <w:spacing w:before="45" w:after="150"/>
              <w:rPr>
                <w:sz w:val="22"/>
                <w:szCs w:val="22"/>
                <w:lang w:eastAsia="en-GB"/>
              </w:rPr>
            </w:pPr>
            <w:r w:rsidRPr="00D85891">
              <w:rPr>
                <w:noProof/>
                <w:sz w:val="22"/>
                <w:szCs w:val="22"/>
                <w:lang w:val="ro-RO" w:eastAsia="ro-RO"/>
              </w:rPr>
              <w:drawing>
                <wp:inline distT="0" distB="0" distL="0" distR="0" wp14:anchorId="6E9679C1" wp14:editId="1DC9D1A8">
                  <wp:extent cx="2857500" cy="942975"/>
                  <wp:effectExtent l="19050" t="0" r="0" b="0"/>
                  <wp:docPr id="30" name="Picture 1" descr="http://www.donauschifffahrt.info/uploads/RTEmagicC_schubverband_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nauschifffahrt.info/uploads/RTEmagicC_schubverband_2.JPG.jpg"/>
                          <pic:cNvPicPr>
                            <a:picLocks noChangeAspect="1" noChangeArrowheads="1"/>
                          </pic:cNvPicPr>
                        </pic:nvPicPr>
                        <pic:blipFill>
                          <a:blip r:embed="rId83" cstate="print"/>
                          <a:srcRect/>
                          <a:stretch>
                            <a:fillRect/>
                          </a:stretch>
                        </pic:blipFill>
                        <pic:spPr bwMode="auto">
                          <a:xfrm>
                            <a:off x="0" y="0"/>
                            <a:ext cx="2857500" cy="942975"/>
                          </a:xfrm>
                          <a:prstGeom prst="rect">
                            <a:avLst/>
                          </a:prstGeom>
                          <a:noFill/>
                          <a:ln w="9525">
                            <a:noFill/>
                            <a:miter lim="800000"/>
                            <a:headEnd/>
                            <a:tailEnd/>
                          </a:ln>
                        </pic:spPr>
                      </pic:pic>
                    </a:graphicData>
                  </a:graphic>
                </wp:inline>
              </w:drawing>
            </w:r>
          </w:p>
        </w:tc>
      </w:tr>
      <w:tr w:rsidR="00CE705B" w:rsidRPr="00D85891" w:rsidTr="00D85891">
        <w:trPr>
          <w:tblCellSpacing w:w="15" w:type="dxa"/>
        </w:trPr>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Length</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193 m</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193 m</w:t>
            </w:r>
          </w:p>
        </w:tc>
        <w:tc>
          <w:tcPr>
            <w:tcW w:w="0" w:type="auto"/>
            <w:vMerge/>
            <w:vAlign w:val="center"/>
            <w:hideMark/>
          </w:tcPr>
          <w:p w:rsidR="00CE705B" w:rsidRPr="00D85891" w:rsidRDefault="00CE705B" w:rsidP="00BF3E32">
            <w:pPr>
              <w:rPr>
                <w:sz w:val="22"/>
                <w:szCs w:val="22"/>
                <w:lang w:eastAsia="en-GB"/>
              </w:rPr>
            </w:pPr>
          </w:p>
        </w:tc>
      </w:tr>
      <w:tr w:rsidR="00CE705B" w:rsidRPr="00D85891" w:rsidTr="00D85891">
        <w:trPr>
          <w:tblCellSpacing w:w="15" w:type="dxa"/>
        </w:trPr>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Width</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22 m</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22.80 m</w:t>
            </w:r>
          </w:p>
        </w:tc>
        <w:tc>
          <w:tcPr>
            <w:tcW w:w="0" w:type="auto"/>
            <w:vMerge/>
            <w:vAlign w:val="center"/>
            <w:hideMark/>
          </w:tcPr>
          <w:p w:rsidR="00CE705B" w:rsidRPr="00D85891" w:rsidRDefault="00CE705B" w:rsidP="00BF3E32">
            <w:pPr>
              <w:rPr>
                <w:sz w:val="22"/>
                <w:szCs w:val="22"/>
                <w:lang w:eastAsia="en-GB"/>
              </w:rPr>
            </w:pPr>
          </w:p>
        </w:tc>
      </w:tr>
      <w:tr w:rsidR="00CE705B" w:rsidRPr="00D85891" w:rsidTr="00D85891">
        <w:trPr>
          <w:tblCellSpacing w:w="15" w:type="dxa"/>
        </w:trPr>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Draught</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2.70 m</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3.70 m</w:t>
            </w:r>
          </w:p>
        </w:tc>
        <w:tc>
          <w:tcPr>
            <w:tcW w:w="0" w:type="auto"/>
            <w:vMerge/>
            <w:vAlign w:val="center"/>
            <w:hideMark/>
          </w:tcPr>
          <w:p w:rsidR="00CE705B" w:rsidRPr="00D85891" w:rsidRDefault="00CE705B" w:rsidP="00BF3E32">
            <w:pPr>
              <w:rPr>
                <w:sz w:val="22"/>
                <w:szCs w:val="22"/>
                <w:lang w:eastAsia="en-GB"/>
              </w:rPr>
            </w:pPr>
          </w:p>
        </w:tc>
      </w:tr>
      <w:tr w:rsidR="00CE705B" w:rsidRPr="00D85891" w:rsidTr="00D85891">
        <w:trPr>
          <w:tblCellSpacing w:w="15" w:type="dxa"/>
        </w:trPr>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Total deadweight</w:t>
            </w:r>
          </w:p>
          <w:p w:rsidR="00CE705B" w:rsidRPr="00D85891" w:rsidRDefault="00CE705B" w:rsidP="00BF3E32">
            <w:pPr>
              <w:spacing w:before="45" w:after="150"/>
              <w:rPr>
                <w:sz w:val="22"/>
                <w:szCs w:val="22"/>
                <w:lang w:eastAsia="en-GB"/>
              </w:rPr>
            </w:pPr>
            <w:r w:rsidRPr="00D85891">
              <w:rPr>
                <w:sz w:val="22"/>
                <w:szCs w:val="22"/>
                <w:lang w:eastAsia="en-GB"/>
              </w:rPr>
              <w:t>(all told)</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 xml:space="preserve">7,000t </w:t>
            </w:r>
          </w:p>
        </w:tc>
        <w:tc>
          <w:tcPr>
            <w:tcW w:w="0" w:type="auto"/>
            <w:hideMark/>
          </w:tcPr>
          <w:p w:rsidR="00CE705B" w:rsidRPr="00D85891" w:rsidRDefault="00CE705B" w:rsidP="00BF3E32">
            <w:pPr>
              <w:spacing w:before="45" w:after="150"/>
              <w:rPr>
                <w:sz w:val="22"/>
                <w:szCs w:val="22"/>
                <w:lang w:eastAsia="en-GB"/>
              </w:rPr>
            </w:pPr>
            <w:r w:rsidRPr="00D85891">
              <w:rPr>
                <w:sz w:val="22"/>
                <w:szCs w:val="22"/>
                <w:lang w:eastAsia="en-GB"/>
              </w:rPr>
              <w:t xml:space="preserve">11,000t </w:t>
            </w:r>
          </w:p>
        </w:tc>
        <w:tc>
          <w:tcPr>
            <w:tcW w:w="0" w:type="auto"/>
            <w:vMerge/>
            <w:vAlign w:val="center"/>
            <w:hideMark/>
          </w:tcPr>
          <w:p w:rsidR="00CE705B" w:rsidRPr="00D85891" w:rsidRDefault="00CE705B" w:rsidP="00BF3E32">
            <w:pPr>
              <w:rPr>
                <w:sz w:val="22"/>
                <w:szCs w:val="22"/>
                <w:lang w:eastAsia="en-GB"/>
              </w:rPr>
            </w:pPr>
          </w:p>
        </w:tc>
      </w:tr>
    </w:tbl>
    <w:p w:rsidR="00CE705B" w:rsidRPr="003F64A2" w:rsidRDefault="00CE705B" w:rsidP="00D85891">
      <w:pPr>
        <w:ind w:left="851"/>
        <w:rPr>
          <w:i/>
          <w:lang w:eastAsia="en-GB"/>
        </w:rPr>
      </w:pPr>
      <w:r>
        <w:rPr>
          <w:i/>
          <w:lang w:eastAsia="en-GB"/>
        </w:rPr>
        <w:t>Source VNF: Voies navigable de France</w:t>
      </w:r>
    </w:p>
    <w:p w:rsidR="00CE705B" w:rsidRPr="003F64A2" w:rsidRDefault="00CE705B" w:rsidP="00CE705B">
      <w:pPr>
        <w:rPr>
          <w:lang w:eastAsia="en-GB"/>
        </w:rPr>
      </w:pPr>
    </w:p>
    <w:p w:rsidR="00CE705B" w:rsidRDefault="00CE705B" w:rsidP="00A4081F">
      <w:pPr>
        <w:pStyle w:val="NumberedParas"/>
        <w:rPr>
          <w:b/>
        </w:rPr>
      </w:pPr>
      <w:r w:rsidRPr="003F64A2">
        <w:rPr>
          <w:lang w:eastAsia="en-GB"/>
        </w:rPr>
        <w:t>The table above provides a basic comparison between the Danube and the Rhine that shows whilst a Danube convoy can be the equivalent of 280 HGVs, a Rhine convoy can be the equivalent of 440 HGVs. The reason a Rhine convoy can handle 57% more than a Danube convoy is because of the additional 0.80m in width and the extra 1m in draught. This allows the barges to hold more deadweight. The increased dimensions are incremental (extra 4% width and 37% draught), but add up to a significant increase in capacity (57%), the sum being greater than the parts.</w:t>
      </w:r>
    </w:p>
    <w:p w:rsidR="00CE705B" w:rsidRPr="003F64A2" w:rsidRDefault="00CE705B" w:rsidP="00A4081F">
      <w:pPr>
        <w:pStyle w:val="NumberedParas"/>
      </w:pPr>
      <w:r w:rsidRPr="003F64A2">
        <w:t>The operational speed upstream on the Romanian Danube is 10-12kph for a convoy and the operational speed downstream is 16-18kph. These figures are similar on the Danube-Black Sea canal. From Braila out to sea there is no speed limit. However on the Sulina navigation the speed is limited by regulation based on type and size of vessel and this typically is 15-20kph.</w:t>
      </w:r>
    </w:p>
    <w:p w:rsidR="00CE705B" w:rsidRDefault="00CE705B" w:rsidP="00A4081F">
      <w:pPr>
        <w:pStyle w:val="NumberedParas"/>
      </w:pPr>
      <w:r w:rsidRPr="003F64A2">
        <w:t xml:space="preserve">Romania currently spends €17m on maintaining the Danube. This compares to €1m that Bulgaria spends and €80m that Austria spends. </w:t>
      </w:r>
      <w:r w:rsidR="00D85891">
        <w:t xml:space="preserve">Taking into account the length </w:t>
      </w:r>
      <w:r w:rsidRPr="003F64A2">
        <w:t xml:space="preserve">of </w:t>
      </w:r>
      <w:r w:rsidR="00D85891">
        <w:t xml:space="preserve">the </w:t>
      </w:r>
      <w:r w:rsidRPr="003F64A2">
        <w:t>Danube thes</w:t>
      </w:r>
      <w:r w:rsidR="00D85891">
        <w:t>e countries must maintain gives the following maintenance budgets.</w:t>
      </w:r>
    </w:p>
    <w:p w:rsidR="00CE705B" w:rsidRPr="00D85891" w:rsidRDefault="00CE705B" w:rsidP="00A4081F">
      <w:pPr>
        <w:pStyle w:val="NumberedParas"/>
        <w:numPr>
          <w:ilvl w:val="0"/>
          <w:numId w:val="0"/>
        </w:numPr>
        <w:ind w:left="851"/>
      </w:pPr>
      <w:r w:rsidRPr="00D85891">
        <w:t>Table 3.</w:t>
      </w:r>
      <w:r w:rsidR="00D85891" w:rsidRPr="00D85891">
        <w:t>10</w:t>
      </w:r>
      <w:r w:rsidRPr="00D85891">
        <w:t xml:space="preserve"> – Maintenance budgets on the River Danube for selected countries</w:t>
      </w:r>
    </w:p>
    <w:tbl>
      <w:tblPr>
        <w:tblStyle w:val="TableGrid"/>
        <w:tblW w:w="0" w:type="auto"/>
        <w:tblInd w:w="851" w:type="dxa"/>
        <w:tblLook w:val="04A0" w:firstRow="1" w:lastRow="0" w:firstColumn="1" w:lastColumn="0" w:noHBand="0" w:noVBand="1"/>
      </w:tblPr>
      <w:tblGrid>
        <w:gridCol w:w="2392"/>
        <w:gridCol w:w="2392"/>
        <w:gridCol w:w="2393"/>
        <w:gridCol w:w="2393"/>
      </w:tblGrid>
      <w:tr w:rsidR="00CE705B" w:rsidRPr="003F64A2" w:rsidTr="00D85891">
        <w:tc>
          <w:tcPr>
            <w:tcW w:w="2392" w:type="dxa"/>
            <w:shd w:val="clear" w:color="auto" w:fill="B8CCE4" w:themeFill="accent1" w:themeFillTint="66"/>
          </w:tcPr>
          <w:p w:rsidR="00CE705B" w:rsidRPr="001A0FB5" w:rsidRDefault="00CE705B" w:rsidP="00D85891">
            <w:pPr>
              <w:spacing w:line="276" w:lineRule="auto"/>
              <w:rPr>
                <w:b/>
                <w:sz w:val="22"/>
                <w:szCs w:val="22"/>
              </w:rPr>
            </w:pPr>
            <w:r w:rsidRPr="001A0FB5">
              <w:rPr>
                <w:b/>
                <w:sz w:val="22"/>
                <w:szCs w:val="22"/>
              </w:rPr>
              <w:t>Country</w:t>
            </w:r>
          </w:p>
        </w:tc>
        <w:tc>
          <w:tcPr>
            <w:tcW w:w="2392" w:type="dxa"/>
            <w:shd w:val="clear" w:color="auto" w:fill="B8CCE4" w:themeFill="accent1" w:themeFillTint="66"/>
          </w:tcPr>
          <w:p w:rsidR="00CE705B" w:rsidRPr="001A0FB5" w:rsidRDefault="00CE705B" w:rsidP="00D85891">
            <w:pPr>
              <w:spacing w:line="276" w:lineRule="auto"/>
              <w:jc w:val="center"/>
              <w:rPr>
                <w:b/>
                <w:sz w:val="22"/>
                <w:szCs w:val="22"/>
              </w:rPr>
            </w:pPr>
            <w:r w:rsidRPr="001A0FB5">
              <w:rPr>
                <w:b/>
                <w:sz w:val="22"/>
                <w:szCs w:val="22"/>
              </w:rPr>
              <w:t>Danube Maintenance Budget</w:t>
            </w:r>
          </w:p>
        </w:tc>
        <w:tc>
          <w:tcPr>
            <w:tcW w:w="2393" w:type="dxa"/>
            <w:shd w:val="clear" w:color="auto" w:fill="B8CCE4" w:themeFill="accent1" w:themeFillTint="66"/>
          </w:tcPr>
          <w:p w:rsidR="00CE705B" w:rsidRPr="001A0FB5" w:rsidRDefault="00CE705B" w:rsidP="00D85891">
            <w:pPr>
              <w:spacing w:line="276" w:lineRule="auto"/>
              <w:jc w:val="center"/>
              <w:rPr>
                <w:b/>
                <w:sz w:val="22"/>
                <w:szCs w:val="22"/>
              </w:rPr>
            </w:pPr>
            <w:r w:rsidRPr="001A0FB5">
              <w:rPr>
                <w:b/>
                <w:sz w:val="22"/>
                <w:szCs w:val="22"/>
              </w:rPr>
              <w:t>Length of Danube Responsible for</w:t>
            </w:r>
          </w:p>
        </w:tc>
        <w:tc>
          <w:tcPr>
            <w:tcW w:w="2393" w:type="dxa"/>
            <w:shd w:val="clear" w:color="auto" w:fill="B8CCE4" w:themeFill="accent1" w:themeFillTint="66"/>
          </w:tcPr>
          <w:p w:rsidR="00CE705B" w:rsidRPr="001A0FB5" w:rsidRDefault="00CE705B" w:rsidP="00D85891">
            <w:pPr>
              <w:spacing w:line="276" w:lineRule="auto"/>
              <w:jc w:val="center"/>
              <w:rPr>
                <w:b/>
                <w:sz w:val="22"/>
                <w:szCs w:val="22"/>
              </w:rPr>
            </w:pPr>
            <w:r w:rsidRPr="001A0FB5">
              <w:rPr>
                <w:b/>
                <w:sz w:val="22"/>
                <w:szCs w:val="22"/>
              </w:rPr>
              <w:t>Budget per km</w:t>
            </w:r>
          </w:p>
        </w:tc>
      </w:tr>
      <w:tr w:rsidR="00CE705B" w:rsidRPr="003F64A2" w:rsidTr="00D85891">
        <w:tc>
          <w:tcPr>
            <w:tcW w:w="2392" w:type="dxa"/>
          </w:tcPr>
          <w:p w:rsidR="00CE705B" w:rsidRPr="001A0FB5" w:rsidRDefault="00CE705B" w:rsidP="00D85891">
            <w:pPr>
              <w:spacing w:line="276" w:lineRule="auto"/>
              <w:rPr>
                <w:sz w:val="22"/>
                <w:szCs w:val="22"/>
              </w:rPr>
            </w:pPr>
            <w:r w:rsidRPr="001A0FB5">
              <w:rPr>
                <w:sz w:val="22"/>
                <w:szCs w:val="22"/>
              </w:rPr>
              <w:t>Romania</w:t>
            </w:r>
          </w:p>
        </w:tc>
        <w:tc>
          <w:tcPr>
            <w:tcW w:w="2392" w:type="dxa"/>
          </w:tcPr>
          <w:p w:rsidR="00CE705B" w:rsidRPr="001A0FB5" w:rsidRDefault="00CE705B" w:rsidP="00D85891">
            <w:pPr>
              <w:spacing w:line="276" w:lineRule="auto"/>
              <w:jc w:val="center"/>
              <w:rPr>
                <w:sz w:val="22"/>
                <w:szCs w:val="22"/>
              </w:rPr>
            </w:pPr>
            <w:r w:rsidRPr="001A0FB5">
              <w:rPr>
                <w:sz w:val="22"/>
                <w:szCs w:val="22"/>
              </w:rPr>
              <w:t>€17m</w:t>
            </w:r>
          </w:p>
        </w:tc>
        <w:tc>
          <w:tcPr>
            <w:tcW w:w="2393" w:type="dxa"/>
          </w:tcPr>
          <w:p w:rsidR="00CE705B" w:rsidRPr="001A0FB5" w:rsidRDefault="00CE705B" w:rsidP="00D85891">
            <w:pPr>
              <w:spacing w:line="276" w:lineRule="auto"/>
              <w:jc w:val="center"/>
              <w:rPr>
                <w:sz w:val="22"/>
                <w:szCs w:val="22"/>
              </w:rPr>
            </w:pPr>
            <w:r w:rsidRPr="001A0FB5">
              <w:rPr>
                <w:sz w:val="22"/>
                <w:szCs w:val="22"/>
              </w:rPr>
              <w:t>1,500km</w:t>
            </w:r>
          </w:p>
        </w:tc>
        <w:tc>
          <w:tcPr>
            <w:tcW w:w="2393" w:type="dxa"/>
          </w:tcPr>
          <w:p w:rsidR="00CE705B" w:rsidRPr="001A0FB5" w:rsidRDefault="00CE705B" w:rsidP="00D85891">
            <w:pPr>
              <w:spacing w:line="276" w:lineRule="auto"/>
              <w:jc w:val="center"/>
              <w:rPr>
                <w:sz w:val="22"/>
                <w:szCs w:val="22"/>
              </w:rPr>
            </w:pPr>
            <w:r w:rsidRPr="001A0FB5">
              <w:rPr>
                <w:sz w:val="22"/>
                <w:szCs w:val="22"/>
              </w:rPr>
              <w:t>€11,333/km</w:t>
            </w:r>
          </w:p>
        </w:tc>
      </w:tr>
      <w:tr w:rsidR="00CE705B" w:rsidRPr="003F64A2" w:rsidTr="00D85891">
        <w:tc>
          <w:tcPr>
            <w:tcW w:w="2392" w:type="dxa"/>
          </w:tcPr>
          <w:p w:rsidR="00CE705B" w:rsidRPr="001A0FB5" w:rsidRDefault="00CE705B" w:rsidP="00D85891">
            <w:pPr>
              <w:spacing w:line="276" w:lineRule="auto"/>
              <w:rPr>
                <w:sz w:val="22"/>
                <w:szCs w:val="22"/>
              </w:rPr>
            </w:pPr>
            <w:r w:rsidRPr="001A0FB5">
              <w:rPr>
                <w:sz w:val="22"/>
                <w:szCs w:val="22"/>
              </w:rPr>
              <w:t>Austria</w:t>
            </w:r>
          </w:p>
        </w:tc>
        <w:tc>
          <w:tcPr>
            <w:tcW w:w="2392" w:type="dxa"/>
          </w:tcPr>
          <w:p w:rsidR="00CE705B" w:rsidRPr="001A0FB5" w:rsidRDefault="00CE705B" w:rsidP="00D85891">
            <w:pPr>
              <w:spacing w:line="276" w:lineRule="auto"/>
              <w:jc w:val="center"/>
              <w:rPr>
                <w:sz w:val="22"/>
                <w:szCs w:val="22"/>
              </w:rPr>
            </w:pPr>
            <w:r w:rsidRPr="001A0FB5">
              <w:rPr>
                <w:sz w:val="22"/>
                <w:szCs w:val="22"/>
              </w:rPr>
              <w:t>€80m</w:t>
            </w:r>
          </w:p>
        </w:tc>
        <w:tc>
          <w:tcPr>
            <w:tcW w:w="2393" w:type="dxa"/>
          </w:tcPr>
          <w:p w:rsidR="00CE705B" w:rsidRPr="001A0FB5" w:rsidRDefault="00CE705B" w:rsidP="00D85891">
            <w:pPr>
              <w:spacing w:line="276" w:lineRule="auto"/>
              <w:jc w:val="center"/>
              <w:rPr>
                <w:sz w:val="22"/>
                <w:szCs w:val="22"/>
              </w:rPr>
            </w:pPr>
            <w:r w:rsidRPr="001A0FB5">
              <w:rPr>
                <w:sz w:val="22"/>
                <w:szCs w:val="22"/>
              </w:rPr>
              <w:t>320km</w:t>
            </w:r>
          </w:p>
        </w:tc>
        <w:tc>
          <w:tcPr>
            <w:tcW w:w="2393" w:type="dxa"/>
          </w:tcPr>
          <w:p w:rsidR="00CE705B" w:rsidRPr="001A0FB5" w:rsidRDefault="00CE705B" w:rsidP="00D85891">
            <w:pPr>
              <w:spacing w:line="276" w:lineRule="auto"/>
              <w:jc w:val="center"/>
              <w:rPr>
                <w:sz w:val="22"/>
                <w:szCs w:val="22"/>
              </w:rPr>
            </w:pPr>
            <w:r w:rsidRPr="001A0FB5">
              <w:rPr>
                <w:sz w:val="22"/>
                <w:szCs w:val="22"/>
              </w:rPr>
              <w:t>€250,000/km</w:t>
            </w:r>
          </w:p>
        </w:tc>
      </w:tr>
      <w:tr w:rsidR="00CE705B" w:rsidRPr="003F64A2" w:rsidTr="00D85891">
        <w:tc>
          <w:tcPr>
            <w:tcW w:w="2392" w:type="dxa"/>
          </w:tcPr>
          <w:p w:rsidR="00CE705B" w:rsidRPr="001A0FB5" w:rsidRDefault="00CE705B" w:rsidP="00D85891">
            <w:pPr>
              <w:spacing w:line="276" w:lineRule="auto"/>
              <w:rPr>
                <w:sz w:val="22"/>
                <w:szCs w:val="22"/>
              </w:rPr>
            </w:pPr>
            <w:r w:rsidRPr="001A0FB5">
              <w:rPr>
                <w:sz w:val="22"/>
                <w:szCs w:val="22"/>
              </w:rPr>
              <w:t>Bulgaria</w:t>
            </w:r>
          </w:p>
        </w:tc>
        <w:tc>
          <w:tcPr>
            <w:tcW w:w="2392" w:type="dxa"/>
          </w:tcPr>
          <w:p w:rsidR="00CE705B" w:rsidRPr="001A0FB5" w:rsidRDefault="00CE705B" w:rsidP="00D85891">
            <w:pPr>
              <w:spacing w:line="276" w:lineRule="auto"/>
              <w:jc w:val="center"/>
              <w:rPr>
                <w:sz w:val="22"/>
                <w:szCs w:val="22"/>
              </w:rPr>
            </w:pPr>
            <w:r w:rsidRPr="001A0FB5">
              <w:rPr>
                <w:sz w:val="22"/>
                <w:szCs w:val="22"/>
              </w:rPr>
              <w:t>€1m</w:t>
            </w:r>
          </w:p>
        </w:tc>
        <w:tc>
          <w:tcPr>
            <w:tcW w:w="2393" w:type="dxa"/>
          </w:tcPr>
          <w:p w:rsidR="00CE705B" w:rsidRPr="001A0FB5" w:rsidRDefault="00CE705B" w:rsidP="00D85891">
            <w:pPr>
              <w:spacing w:line="276" w:lineRule="auto"/>
              <w:jc w:val="center"/>
              <w:rPr>
                <w:sz w:val="22"/>
                <w:szCs w:val="22"/>
              </w:rPr>
            </w:pPr>
            <w:r w:rsidRPr="001A0FB5">
              <w:rPr>
                <w:sz w:val="22"/>
                <w:szCs w:val="22"/>
              </w:rPr>
              <w:t>470km</w:t>
            </w:r>
          </w:p>
        </w:tc>
        <w:tc>
          <w:tcPr>
            <w:tcW w:w="2393" w:type="dxa"/>
          </w:tcPr>
          <w:p w:rsidR="00CE705B" w:rsidRPr="001A0FB5" w:rsidRDefault="00CE705B" w:rsidP="00D85891">
            <w:pPr>
              <w:spacing w:line="276" w:lineRule="auto"/>
              <w:jc w:val="center"/>
              <w:rPr>
                <w:sz w:val="22"/>
                <w:szCs w:val="22"/>
              </w:rPr>
            </w:pPr>
            <w:r w:rsidRPr="001A0FB5">
              <w:rPr>
                <w:sz w:val="22"/>
                <w:szCs w:val="22"/>
              </w:rPr>
              <w:t>€2,128/km</w:t>
            </w:r>
          </w:p>
        </w:tc>
      </w:tr>
    </w:tbl>
    <w:p w:rsidR="00CE705B" w:rsidRPr="00D85891" w:rsidRDefault="00CE705B" w:rsidP="00D85891">
      <w:pPr>
        <w:pStyle w:val="ListParagraph"/>
        <w:ind w:left="851"/>
        <w:rPr>
          <w:i/>
          <w:sz w:val="18"/>
          <w:szCs w:val="18"/>
        </w:rPr>
      </w:pPr>
      <w:r w:rsidRPr="00D85891">
        <w:rPr>
          <w:i/>
          <w:sz w:val="18"/>
          <w:szCs w:val="18"/>
        </w:rPr>
        <w:t>Source: AFDJ Giurgiu</w:t>
      </w:r>
    </w:p>
    <w:p w:rsidR="00CE705B" w:rsidRPr="001A0FB5" w:rsidRDefault="00CE705B" w:rsidP="00CE705B">
      <w:pPr>
        <w:rPr>
          <w:i/>
        </w:rPr>
      </w:pPr>
    </w:p>
    <w:p w:rsidR="00CE705B" w:rsidRPr="001A0FB5" w:rsidRDefault="00CE705B" w:rsidP="00A4081F">
      <w:pPr>
        <w:pStyle w:val="NumberedParas"/>
      </w:pPr>
      <w:r w:rsidRPr="003F64A2">
        <w:t xml:space="preserve">Austria spends significantly more than Romania or Bulgaria, this is despite it having by far the shorter stretch to maintain. Bulgaria’s Danube maintenance budget is minimal, especially when considered alongside Romania’s Danube maintenance budget. What is unclear from the figures is why the countries have allocated the budget that they have, particularly with regards to the maintenance issues that they must contend with. </w:t>
      </w:r>
    </w:p>
    <w:p w:rsidR="00CE705B" w:rsidRPr="00F74AB0" w:rsidRDefault="00CE705B" w:rsidP="00A4081F">
      <w:pPr>
        <w:pStyle w:val="NumberedParas"/>
        <w:rPr>
          <w:b/>
        </w:rPr>
      </w:pPr>
      <w:r w:rsidRPr="00516875">
        <w:t xml:space="preserve">Romania’s major sea port is at Constanta, located on Romania’s Black Sea coast. </w:t>
      </w:r>
      <w:r w:rsidRPr="00147652">
        <w:t>Constanta is now home to the largest container port in the Black Sea and is strategically situated to feed freight into the heartland of Central and Eastern Europe.</w:t>
      </w:r>
    </w:p>
    <w:p w:rsidR="00D85891" w:rsidRDefault="00CE705B" w:rsidP="00A4081F">
      <w:pPr>
        <w:pStyle w:val="NumberedParas"/>
      </w:pPr>
      <w:r w:rsidRPr="003F64A2">
        <w:t>It is a major regional container port. Constanta is not amongst the top 20 container ports (by volume) in Europe as it handled 684,000 TEU (Twenty foot equivalent units) in 2012, but it was back in 2007 when the port handled 1.41 million TEU.</w:t>
      </w:r>
      <w:r w:rsidR="00D85891">
        <w:t xml:space="preserve"> </w:t>
      </w:r>
      <w:r w:rsidR="00D85891" w:rsidRPr="003F64A2">
        <w:t>Constanta is used as a hub by the shipping lines with a number of containers being transited.</w:t>
      </w:r>
    </w:p>
    <w:p w:rsidR="00CE705B" w:rsidRPr="003F64A2" w:rsidRDefault="00CE705B" w:rsidP="00A4081F">
      <w:pPr>
        <w:pStyle w:val="NumberedParas"/>
      </w:pPr>
      <w:r w:rsidRPr="003F64A2">
        <w:t>The modal share of containers leaving Constanta (excluding transiting) has been estimated as currently:</w:t>
      </w:r>
    </w:p>
    <w:p w:rsidR="00CE705B" w:rsidRPr="001A0FB5" w:rsidRDefault="00CE705B" w:rsidP="00273D5E">
      <w:pPr>
        <w:pStyle w:val="BulletLevel1"/>
      </w:pPr>
      <w:r w:rsidRPr="001A0FB5">
        <w:t>Road – 56%</w:t>
      </w:r>
    </w:p>
    <w:p w:rsidR="00CE705B" w:rsidRPr="001A0FB5" w:rsidRDefault="00CE705B" w:rsidP="00273D5E">
      <w:pPr>
        <w:pStyle w:val="BulletLevel1"/>
      </w:pPr>
      <w:r w:rsidRPr="001A0FB5">
        <w:t>Rail – 41%</w:t>
      </w:r>
    </w:p>
    <w:p w:rsidR="00CE705B" w:rsidRPr="001A0FB5" w:rsidRDefault="00CE705B" w:rsidP="00273D5E">
      <w:pPr>
        <w:pStyle w:val="BulletLevel1"/>
      </w:pPr>
      <w:r w:rsidRPr="001A0FB5">
        <w:t>Barge – 3%</w:t>
      </w:r>
    </w:p>
    <w:p w:rsidR="00CE705B" w:rsidRDefault="00CE705B" w:rsidP="00A4081F">
      <w:pPr>
        <w:pStyle w:val="NumberedParas"/>
      </w:pPr>
      <w:r>
        <w:t>It is possible to compare Constanta’s modal split of containers with other major European container ports:</w:t>
      </w:r>
    </w:p>
    <w:p w:rsidR="00CE705B" w:rsidRPr="00D85891" w:rsidRDefault="00CE705B" w:rsidP="00D85891">
      <w:pPr>
        <w:keepNext/>
        <w:spacing w:before="120" w:after="120"/>
        <w:ind w:left="851"/>
        <w:rPr>
          <w:b/>
          <w:sz w:val="22"/>
          <w:szCs w:val="22"/>
        </w:rPr>
      </w:pPr>
      <w:r w:rsidRPr="00D85891">
        <w:rPr>
          <w:b/>
          <w:sz w:val="22"/>
          <w:szCs w:val="22"/>
        </w:rPr>
        <w:t>Table 3.</w:t>
      </w:r>
      <w:r w:rsidR="00D85891" w:rsidRPr="00D85891">
        <w:rPr>
          <w:b/>
          <w:sz w:val="22"/>
          <w:szCs w:val="22"/>
        </w:rPr>
        <w:t>11</w:t>
      </w:r>
      <w:r w:rsidRPr="00D85891">
        <w:rPr>
          <w:b/>
          <w:sz w:val="22"/>
          <w:szCs w:val="22"/>
        </w:rPr>
        <w:t xml:space="preserve"> Modal Split of Containers for some Major European Ports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CE705B" w:rsidTr="00D85891">
        <w:tc>
          <w:tcPr>
            <w:tcW w:w="2392" w:type="dxa"/>
            <w:shd w:val="clear" w:color="auto" w:fill="B8CCE4" w:themeFill="accent1" w:themeFillTint="66"/>
          </w:tcPr>
          <w:p w:rsidR="00CE705B" w:rsidRPr="001A0FB5" w:rsidRDefault="00CE705B" w:rsidP="00D85891">
            <w:pPr>
              <w:keepNext/>
              <w:spacing w:line="276" w:lineRule="auto"/>
              <w:rPr>
                <w:b/>
                <w:sz w:val="22"/>
                <w:szCs w:val="22"/>
              </w:rPr>
            </w:pPr>
            <w:r w:rsidRPr="001A0FB5">
              <w:rPr>
                <w:b/>
                <w:sz w:val="22"/>
                <w:szCs w:val="22"/>
              </w:rPr>
              <w:t>Modal Split</w:t>
            </w:r>
          </w:p>
        </w:tc>
        <w:tc>
          <w:tcPr>
            <w:tcW w:w="2392" w:type="dxa"/>
            <w:shd w:val="clear" w:color="auto" w:fill="B8CCE4" w:themeFill="accent1" w:themeFillTint="66"/>
          </w:tcPr>
          <w:p w:rsidR="00CE705B" w:rsidRPr="001A0FB5" w:rsidRDefault="00CE705B" w:rsidP="00D85891">
            <w:pPr>
              <w:keepNext/>
              <w:spacing w:line="276" w:lineRule="auto"/>
              <w:jc w:val="center"/>
              <w:rPr>
                <w:b/>
                <w:sz w:val="22"/>
                <w:szCs w:val="22"/>
              </w:rPr>
            </w:pPr>
            <w:r w:rsidRPr="001A0FB5">
              <w:rPr>
                <w:b/>
                <w:sz w:val="22"/>
                <w:szCs w:val="22"/>
              </w:rPr>
              <w:t>Road</w:t>
            </w:r>
          </w:p>
        </w:tc>
        <w:tc>
          <w:tcPr>
            <w:tcW w:w="2393" w:type="dxa"/>
            <w:shd w:val="clear" w:color="auto" w:fill="B8CCE4" w:themeFill="accent1" w:themeFillTint="66"/>
          </w:tcPr>
          <w:p w:rsidR="00CE705B" w:rsidRPr="001A0FB5" w:rsidRDefault="00CE705B" w:rsidP="00D85891">
            <w:pPr>
              <w:keepNext/>
              <w:spacing w:line="276" w:lineRule="auto"/>
              <w:jc w:val="center"/>
              <w:rPr>
                <w:b/>
                <w:sz w:val="22"/>
                <w:szCs w:val="22"/>
              </w:rPr>
            </w:pPr>
            <w:r w:rsidRPr="001A0FB5">
              <w:rPr>
                <w:b/>
                <w:sz w:val="22"/>
                <w:szCs w:val="22"/>
              </w:rPr>
              <w:t>Rail</w:t>
            </w:r>
          </w:p>
        </w:tc>
        <w:tc>
          <w:tcPr>
            <w:tcW w:w="2393" w:type="dxa"/>
            <w:shd w:val="clear" w:color="auto" w:fill="B8CCE4" w:themeFill="accent1" w:themeFillTint="66"/>
          </w:tcPr>
          <w:p w:rsidR="00CE705B" w:rsidRPr="001A0FB5" w:rsidRDefault="00CE705B" w:rsidP="00D85891">
            <w:pPr>
              <w:keepNext/>
              <w:spacing w:line="276" w:lineRule="auto"/>
              <w:jc w:val="center"/>
              <w:rPr>
                <w:b/>
                <w:sz w:val="22"/>
                <w:szCs w:val="22"/>
              </w:rPr>
            </w:pPr>
            <w:r w:rsidRPr="001A0FB5">
              <w:rPr>
                <w:b/>
                <w:sz w:val="22"/>
                <w:szCs w:val="22"/>
              </w:rPr>
              <w:t>Barge</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Constanta</w:t>
            </w:r>
          </w:p>
        </w:tc>
        <w:tc>
          <w:tcPr>
            <w:tcW w:w="2392" w:type="dxa"/>
          </w:tcPr>
          <w:p w:rsidR="00CE705B" w:rsidRPr="001A0FB5" w:rsidRDefault="00CE705B" w:rsidP="00D85891">
            <w:pPr>
              <w:keepNext/>
              <w:spacing w:line="276" w:lineRule="auto"/>
              <w:jc w:val="center"/>
              <w:rPr>
                <w:sz w:val="22"/>
                <w:szCs w:val="22"/>
              </w:rPr>
            </w:pPr>
            <w:r w:rsidRPr="001A0FB5">
              <w:rPr>
                <w:sz w:val="22"/>
                <w:szCs w:val="22"/>
              </w:rPr>
              <w:t>56%</w:t>
            </w:r>
          </w:p>
        </w:tc>
        <w:tc>
          <w:tcPr>
            <w:tcW w:w="2393" w:type="dxa"/>
          </w:tcPr>
          <w:p w:rsidR="00CE705B" w:rsidRPr="001A0FB5" w:rsidRDefault="00CE705B" w:rsidP="00D85891">
            <w:pPr>
              <w:keepNext/>
              <w:spacing w:line="276" w:lineRule="auto"/>
              <w:jc w:val="center"/>
              <w:rPr>
                <w:sz w:val="22"/>
                <w:szCs w:val="22"/>
              </w:rPr>
            </w:pPr>
            <w:r w:rsidRPr="001A0FB5">
              <w:rPr>
                <w:sz w:val="22"/>
                <w:szCs w:val="22"/>
              </w:rPr>
              <w:t>41%</w:t>
            </w:r>
          </w:p>
        </w:tc>
        <w:tc>
          <w:tcPr>
            <w:tcW w:w="2393" w:type="dxa"/>
          </w:tcPr>
          <w:p w:rsidR="00CE705B" w:rsidRPr="001A0FB5" w:rsidRDefault="00CE705B" w:rsidP="00D85891">
            <w:pPr>
              <w:keepNext/>
              <w:spacing w:line="276" w:lineRule="auto"/>
              <w:jc w:val="center"/>
              <w:rPr>
                <w:sz w:val="22"/>
                <w:szCs w:val="22"/>
              </w:rPr>
            </w:pPr>
            <w:r w:rsidRPr="001A0FB5">
              <w:rPr>
                <w:sz w:val="22"/>
                <w:szCs w:val="22"/>
              </w:rPr>
              <w:t>3%</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Antwerp</w:t>
            </w:r>
          </w:p>
        </w:tc>
        <w:tc>
          <w:tcPr>
            <w:tcW w:w="2392" w:type="dxa"/>
          </w:tcPr>
          <w:p w:rsidR="00CE705B" w:rsidRPr="001A0FB5" w:rsidRDefault="00CE705B" w:rsidP="00D85891">
            <w:pPr>
              <w:keepNext/>
              <w:spacing w:line="276" w:lineRule="auto"/>
              <w:jc w:val="center"/>
              <w:rPr>
                <w:sz w:val="22"/>
                <w:szCs w:val="22"/>
              </w:rPr>
            </w:pPr>
            <w:r w:rsidRPr="001A0FB5">
              <w:rPr>
                <w:sz w:val="22"/>
                <w:szCs w:val="22"/>
              </w:rPr>
              <w:t>56%</w:t>
            </w:r>
          </w:p>
        </w:tc>
        <w:tc>
          <w:tcPr>
            <w:tcW w:w="4786" w:type="dxa"/>
            <w:gridSpan w:val="2"/>
          </w:tcPr>
          <w:p w:rsidR="00CE705B" w:rsidRPr="001A0FB5" w:rsidRDefault="00CE705B" w:rsidP="00D85891">
            <w:pPr>
              <w:keepNext/>
              <w:spacing w:line="276" w:lineRule="auto"/>
              <w:jc w:val="center"/>
              <w:rPr>
                <w:sz w:val="22"/>
                <w:szCs w:val="22"/>
              </w:rPr>
            </w:pPr>
            <w:r w:rsidRPr="001A0FB5">
              <w:rPr>
                <w:sz w:val="22"/>
                <w:szCs w:val="22"/>
              </w:rPr>
              <w:t>44% (combined)</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Amsterdam</w:t>
            </w:r>
          </w:p>
        </w:tc>
        <w:tc>
          <w:tcPr>
            <w:tcW w:w="2392" w:type="dxa"/>
          </w:tcPr>
          <w:p w:rsidR="00CE705B" w:rsidRPr="001A0FB5" w:rsidRDefault="00CE705B" w:rsidP="00D85891">
            <w:pPr>
              <w:keepNext/>
              <w:spacing w:line="276" w:lineRule="auto"/>
              <w:jc w:val="center"/>
              <w:rPr>
                <w:sz w:val="22"/>
                <w:szCs w:val="22"/>
              </w:rPr>
            </w:pPr>
            <w:r w:rsidRPr="001A0FB5">
              <w:rPr>
                <w:sz w:val="22"/>
                <w:szCs w:val="22"/>
              </w:rPr>
              <w:t>55%</w:t>
            </w:r>
          </w:p>
        </w:tc>
        <w:tc>
          <w:tcPr>
            <w:tcW w:w="4786" w:type="dxa"/>
            <w:gridSpan w:val="2"/>
          </w:tcPr>
          <w:p w:rsidR="00CE705B" w:rsidRPr="001A0FB5" w:rsidRDefault="00CE705B" w:rsidP="00D85891">
            <w:pPr>
              <w:keepNext/>
              <w:spacing w:line="276" w:lineRule="auto"/>
              <w:jc w:val="center"/>
              <w:rPr>
                <w:sz w:val="22"/>
                <w:szCs w:val="22"/>
              </w:rPr>
            </w:pPr>
            <w:r w:rsidRPr="001A0FB5">
              <w:rPr>
                <w:sz w:val="22"/>
                <w:szCs w:val="22"/>
              </w:rPr>
              <w:t>45% (combined)</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Rotterdam</w:t>
            </w:r>
          </w:p>
        </w:tc>
        <w:tc>
          <w:tcPr>
            <w:tcW w:w="2392" w:type="dxa"/>
          </w:tcPr>
          <w:p w:rsidR="00CE705B" w:rsidRPr="001A0FB5" w:rsidRDefault="00CE705B" w:rsidP="00D85891">
            <w:pPr>
              <w:keepNext/>
              <w:spacing w:line="276" w:lineRule="auto"/>
              <w:jc w:val="center"/>
              <w:rPr>
                <w:sz w:val="22"/>
                <w:szCs w:val="22"/>
              </w:rPr>
            </w:pPr>
            <w:r w:rsidRPr="001A0FB5">
              <w:rPr>
                <w:sz w:val="22"/>
                <w:szCs w:val="22"/>
              </w:rPr>
              <w:t>54%</w:t>
            </w:r>
          </w:p>
        </w:tc>
        <w:tc>
          <w:tcPr>
            <w:tcW w:w="2393" w:type="dxa"/>
          </w:tcPr>
          <w:p w:rsidR="00CE705B" w:rsidRPr="001A0FB5" w:rsidRDefault="00CE705B" w:rsidP="00D85891">
            <w:pPr>
              <w:keepNext/>
              <w:spacing w:line="276" w:lineRule="auto"/>
              <w:jc w:val="center"/>
              <w:rPr>
                <w:sz w:val="22"/>
                <w:szCs w:val="22"/>
              </w:rPr>
            </w:pPr>
            <w:r w:rsidRPr="001A0FB5">
              <w:rPr>
                <w:sz w:val="22"/>
                <w:szCs w:val="22"/>
              </w:rPr>
              <w:t>11%</w:t>
            </w:r>
          </w:p>
        </w:tc>
        <w:tc>
          <w:tcPr>
            <w:tcW w:w="2393" w:type="dxa"/>
          </w:tcPr>
          <w:p w:rsidR="00CE705B" w:rsidRPr="001A0FB5" w:rsidRDefault="00CE705B" w:rsidP="00D85891">
            <w:pPr>
              <w:keepNext/>
              <w:spacing w:line="276" w:lineRule="auto"/>
              <w:jc w:val="center"/>
              <w:rPr>
                <w:sz w:val="22"/>
                <w:szCs w:val="22"/>
              </w:rPr>
            </w:pPr>
            <w:r w:rsidRPr="001A0FB5">
              <w:rPr>
                <w:sz w:val="22"/>
                <w:szCs w:val="22"/>
              </w:rPr>
              <w:t>35%</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Hamburg</w:t>
            </w:r>
          </w:p>
        </w:tc>
        <w:tc>
          <w:tcPr>
            <w:tcW w:w="2392" w:type="dxa"/>
          </w:tcPr>
          <w:p w:rsidR="00CE705B" w:rsidRPr="001A0FB5" w:rsidRDefault="00CE705B" w:rsidP="00D85891">
            <w:pPr>
              <w:keepNext/>
              <w:spacing w:line="276" w:lineRule="auto"/>
              <w:jc w:val="center"/>
              <w:rPr>
                <w:sz w:val="22"/>
                <w:szCs w:val="22"/>
              </w:rPr>
            </w:pPr>
            <w:r w:rsidRPr="001A0FB5">
              <w:rPr>
                <w:sz w:val="22"/>
                <w:szCs w:val="22"/>
              </w:rPr>
              <w:t>62%</w:t>
            </w:r>
          </w:p>
        </w:tc>
        <w:tc>
          <w:tcPr>
            <w:tcW w:w="2393" w:type="dxa"/>
          </w:tcPr>
          <w:p w:rsidR="00CE705B" w:rsidRPr="001A0FB5" w:rsidRDefault="00CE705B" w:rsidP="00D85891">
            <w:pPr>
              <w:keepNext/>
              <w:spacing w:line="276" w:lineRule="auto"/>
              <w:jc w:val="center"/>
              <w:rPr>
                <w:sz w:val="22"/>
                <w:szCs w:val="22"/>
              </w:rPr>
            </w:pPr>
            <w:r w:rsidRPr="001A0FB5">
              <w:rPr>
                <w:sz w:val="22"/>
                <w:szCs w:val="22"/>
              </w:rPr>
              <w:t>36%</w:t>
            </w:r>
          </w:p>
        </w:tc>
        <w:tc>
          <w:tcPr>
            <w:tcW w:w="2393" w:type="dxa"/>
          </w:tcPr>
          <w:p w:rsidR="00CE705B" w:rsidRPr="001A0FB5" w:rsidRDefault="00CE705B" w:rsidP="00D85891">
            <w:pPr>
              <w:keepNext/>
              <w:spacing w:line="276" w:lineRule="auto"/>
              <w:jc w:val="center"/>
              <w:rPr>
                <w:sz w:val="22"/>
                <w:szCs w:val="22"/>
              </w:rPr>
            </w:pPr>
            <w:r w:rsidRPr="001A0FB5">
              <w:rPr>
                <w:sz w:val="22"/>
                <w:szCs w:val="22"/>
              </w:rPr>
              <w:t>2%</w:t>
            </w:r>
          </w:p>
        </w:tc>
      </w:tr>
      <w:tr w:rsidR="00CE705B" w:rsidTr="00D85891">
        <w:tc>
          <w:tcPr>
            <w:tcW w:w="2392" w:type="dxa"/>
          </w:tcPr>
          <w:p w:rsidR="00CE705B" w:rsidRPr="001A0FB5" w:rsidRDefault="00CE705B" w:rsidP="00D85891">
            <w:pPr>
              <w:keepNext/>
              <w:spacing w:line="276" w:lineRule="auto"/>
              <w:rPr>
                <w:sz w:val="22"/>
                <w:szCs w:val="22"/>
              </w:rPr>
            </w:pPr>
            <w:r w:rsidRPr="001A0FB5">
              <w:rPr>
                <w:sz w:val="22"/>
                <w:szCs w:val="22"/>
              </w:rPr>
              <w:t>Bremen</w:t>
            </w:r>
          </w:p>
        </w:tc>
        <w:tc>
          <w:tcPr>
            <w:tcW w:w="2392" w:type="dxa"/>
          </w:tcPr>
          <w:p w:rsidR="00CE705B" w:rsidRPr="001A0FB5" w:rsidRDefault="00CE705B" w:rsidP="00D85891">
            <w:pPr>
              <w:keepNext/>
              <w:spacing w:line="276" w:lineRule="auto"/>
              <w:jc w:val="center"/>
              <w:rPr>
                <w:sz w:val="22"/>
                <w:szCs w:val="22"/>
              </w:rPr>
            </w:pPr>
            <w:r w:rsidRPr="001A0FB5">
              <w:rPr>
                <w:sz w:val="22"/>
                <w:szCs w:val="22"/>
              </w:rPr>
              <w:t>50%</w:t>
            </w:r>
          </w:p>
        </w:tc>
        <w:tc>
          <w:tcPr>
            <w:tcW w:w="2393" w:type="dxa"/>
          </w:tcPr>
          <w:p w:rsidR="00CE705B" w:rsidRPr="001A0FB5" w:rsidRDefault="00CE705B" w:rsidP="00D85891">
            <w:pPr>
              <w:keepNext/>
              <w:spacing w:line="276" w:lineRule="auto"/>
              <w:jc w:val="center"/>
              <w:rPr>
                <w:sz w:val="22"/>
                <w:szCs w:val="22"/>
              </w:rPr>
            </w:pPr>
            <w:r w:rsidRPr="001A0FB5">
              <w:rPr>
                <w:sz w:val="22"/>
                <w:szCs w:val="22"/>
              </w:rPr>
              <w:t>46%</w:t>
            </w:r>
          </w:p>
        </w:tc>
        <w:tc>
          <w:tcPr>
            <w:tcW w:w="2393" w:type="dxa"/>
          </w:tcPr>
          <w:p w:rsidR="00CE705B" w:rsidRPr="001A0FB5" w:rsidRDefault="00CE705B" w:rsidP="00D85891">
            <w:pPr>
              <w:keepNext/>
              <w:spacing w:line="276" w:lineRule="auto"/>
              <w:jc w:val="center"/>
              <w:rPr>
                <w:sz w:val="22"/>
                <w:szCs w:val="22"/>
              </w:rPr>
            </w:pPr>
            <w:r w:rsidRPr="001A0FB5">
              <w:rPr>
                <w:sz w:val="22"/>
                <w:szCs w:val="22"/>
              </w:rPr>
              <w:t>4%</w:t>
            </w:r>
          </w:p>
        </w:tc>
      </w:tr>
      <w:tr w:rsidR="00CE705B" w:rsidTr="00D85891">
        <w:tc>
          <w:tcPr>
            <w:tcW w:w="2392" w:type="dxa"/>
          </w:tcPr>
          <w:p w:rsidR="00CE705B" w:rsidRPr="001A0FB5" w:rsidRDefault="00CE705B" w:rsidP="00D85891">
            <w:pPr>
              <w:spacing w:line="276" w:lineRule="auto"/>
              <w:rPr>
                <w:sz w:val="22"/>
                <w:szCs w:val="22"/>
              </w:rPr>
            </w:pPr>
            <w:r w:rsidRPr="001A0FB5">
              <w:rPr>
                <w:sz w:val="22"/>
                <w:szCs w:val="22"/>
              </w:rPr>
              <w:t>Felixstowe</w:t>
            </w:r>
          </w:p>
        </w:tc>
        <w:tc>
          <w:tcPr>
            <w:tcW w:w="2392" w:type="dxa"/>
          </w:tcPr>
          <w:p w:rsidR="00CE705B" w:rsidRPr="001A0FB5" w:rsidRDefault="00CE705B" w:rsidP="00D85891">
            <w:pPr>
              <w:spacing w:line="276" w:lineRule="auto"/>
              <w:jc w:val="center"/>
              <w:rPr>
                <w:sz w:val="22"/>
                <w:szCs w:val="22"/>
              </w:rPr>
            </w:pPr>
            <w:r w:rsidRPr="001A0FB5">
              <w:rPr>
                <w:sz w:val="22"/>
                <w:szCs w:val="22"/>
              </w:rPr>
              <w:t>69%</w:t>
            </w:r>
          </w:p>
        </w:tc>
        <w:tc>
          <w:tcPr>
            <w:tcW w:w="2393" w:type="dxa"/>
          </w:tcPr>
          <w:p w:rsidR="00CE705B" w:rsidRPr="001A0FB5" w:rsidRDefault="00CE705B" w:rsidP="00D85891">
            <w:pPr>
              <w:spacing w:line="276" w:lineRule="auto"/>
              <w:jc w:val="center"/>
              <w:rPr>
                <w:sz w:val="22"/>
                <w:szCs w:val="22"/>
              </w:rPr>
            </w:pPr>
            <w:r w:rsidRPr="001A0FB5">
              <w:rPr>
                <w:sz w:val="22"/>
                <w:szCs w:val="22"/>
              </w:rPr>
              <w:t>28%</w:t>
            </w:r>
          </w:p>
        </w:tc>
        <w:tc>
          <w:tcPr>
            <w:tcW w:w="2393" w:type="dxa"/>
          </w:tcPr>
          <w:p w:rsidR="00CE705B" w:rsidRPr="001A0FB5" w:rsidRDefault="00CE705B" w:rsidP="00D85891">
            <w:pPr>
              <w:spacing w:line="276" w:lineRule="auto"/>
              <w:jc w:val="center"/>
              <w:rPr>
                <w:sz w:val="22"/>
                <w:szCs w:val="22"/>
              </w:rPr>
            </w:pPr>
            <w:r w:rsidRPr="001A0FB5">
              <w:rPr>
                <w:sz w:val="22"/>
                <w:szCs w:val="22"/>
              </w:rPr>
              <w:t>3% (coastal)</w:t>
            </w:r>
          </w:p>
        </w:tc>
      </w:tr>
    </w:tbl>
    <w:p w:rsidR="00CE705B" w:rsidRDefault="00CE705B" w:rsidP="00A4081F">
      <w:pPr>
        <w:pStyle w:val="NumberedParas"/>
      </w:pPr>
      <w:r>
        <w:t>Many of these ports have their own future plans about modal split in an attempt to move containers from road to more sustainable modes of transport. In some cases this is for environmental reasons, in others it is because it allows the port to make better use of limited space and have a greater hinterland (some of these ports cannot develop much more at their current site) to react to increased demand.</w:t>
      </w:r>
    </w:p>
    <w:p w:rsidR="00CE705B" w:rsidRPr="00D85891" w:rsidRDefault="00D85891" w:rsidP="00D85891">
      <w:pPr>
        <w:keepNext/>
        <w:spacing w:before="120" w:after="120"/>
        <w:ind w:left="851"/>
        <w:rPr>
          <w:b/>
          <w:sz w:val="22"/>
          <w:szCs w:val="22"/>
        </w:rPr>
      </w:pPr>
      <w:r>
        <w:rPr>
          <w:b/>
          <w:sz w:val="22"/>
          <w:szCs w:val="22"/>
        </w:rPr>
        <w:t xml:space="preserve">Table 3.13 </w:t>
      </w:r>
      <w:r w:rsidR="00CE705B" w:rsidRPr="00D85891">
        <w:rPr>
          <w:b/>
          <w:sz w:val="22"/>
          <w:szCs w:val="22"/>
        </w:rPr>
        <w:t>Planned Future Modal Split of Containers for some Major European Ports by 2020</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CE705B" w:rsidRPr="001A0FB5" w:rsidTr="00D85891">
        <w:tc>
          <w:tcPr>
            <w:tcW w:w="2392" w:type="dxa"/>
            <w:shd w:val="clear" w:color="auto" w:fill="B8CCE4" w:themeFill="accent1" w:themeFillTint="66"/>
          </w:tcPr>
          <w:p w:rsidR="00CE705B" w:rsidRPr="001A0FB5" w:rsidRDefault="00CE705B" w:rsidP="00BF3E32">
            <w:pPr>
              <w:rPr>
                <w:b/>
                <w:sz w:val="22"/>
                <w:szCs w:val="22"/>
              </w:rPr>
            </w:pPr>
            <w:r w:rsidRPr="001A0FB5">
              <w:rPr>
                <w:b/>
                <w:sz w:val="22"/>
                <w:szCs w:val="22"/>
              </w:rPr>
              <w:t>Planned Future Modal Split</w:t>
            </w:r>
          </w:p>
        </w:tc>
        <w:tc>
          <w:tcPr>
            <w:tcW w:w="2392" w:type="dxa"/>
            <w:shd w:val="clear" w:color="auto" w:fill="B8CCE4" w:themeFill="accent1" w:themeFillTint="66"/>
          </w:tcPr>
          <w:p w:rsidR="00CE705B" w:rsidRPr="001A0FB5" w:rsidRDefault="00CE705B" w:rsidP="00BF3E32">
            <w:pPr>
              <w:jc w:val="center"/>
              <w:rPr>
                <w:b/>
                <w:sz w:val="22"/>
                <w:szCs w:val="22"/>
              </w:rPr>
            </w:pPr>
            <w:r w:rsidRPr="001A0FB5">
              <w:rPr>
                <w:b/>
                <w:sz w:val="22"/>
                <w:szCs w:val="22"/>
              </w:rPr>
              <w:t>Road</w:t>
            </w:r>
          </w:p>
        </w:tc>
        <w:tc>
          <w:tcPr>
            <w:tcW w:w="2393" w:type="dxa"/>
            <w:shd w:val="clear" w:color="auto" w:fill="B8CCE4" w:themeFill="accent1" w:themeFillTint="66"/>
          </w:tcPr>
          <w:p w:rsidR="00CE705B" w:rsidRPr="001A0FB5" w:rsidRDefault="00CE705B" w:rsidP="00BF3E32">
            <w:pPr>
              <w:jc w:val="center"/>
              <w:rPr>
                <w:b/>
                <w:sz w:val="22"/>
                <w:szCs w:val="22"/>
              </w:rPr>
            </w:pPr>
            <w:r w:rsidRPr="001A0FB5">
              <w:rPr>
                <w:b/>
                <w:sz w:val="22"/>
                <w:szCs w:val="22"/>
              </w:rPr>
              <w:t>Rail</w:t>
            </w:r>
          </w:p>
        </w:tc>
        <w:tc>
          <w:tcPr>
            <w:tcW w:w="2393" w:type="dxa"/>
            <w:shd w:val="clear" w:color="auto" w:fill="B8CCE4" w:themeFill="accent1" w:themeFillTint="66"/>
          </w:tcPr>
          <w:p w:rsidR="00CE705B" w:rsidRPr="001A0FB5" w:rsidRDefault="00CE705B" w:rsidP="00BF3E32">
            <w:pPr>
              <w:jc w:val="center"/>
              <w:rPr>
                <w:b/>
                <w:sz w:val="22"/>
                <w:szCs w:val="22"/>
              </w:rPr>
            </w:pPr>
            <w:r w:rsidRPr="001A0FB5">
              <w:rPr>
                <w:b/>
                <w:sz w:val="22"/>
                <w:szCs w:val="22"/>
              </w:rPr>
              <w:t>Barge</w:t>
            </w:r>
          </w:p>
        </w:tc>
      </w:tr>
      <w:tr w:rsidR="00CE705B" w:rsidRPr="001A0FB5" w:rsidTr="00D85891">
        <w:tc>
          <w:tcPr>
            <w:tcW w:w="2392" w:type="dxa"/>
          </w:tcPr>
          <w:p w:rsidR="00CE705B" w:rsidRPr="001A0FB5" w:rsidRDefault="00CE705B" w:rsidP="00BF3E32">
            <w:pPr>
              <w:rPr>
                <w:sz w:val="22"/>
                <w:szCs w:val="22"/>
              </w:rPr>
            </w:pPr>
            <w:r w:rsidRPr="001A0FB5">
              <w:rPr>
                <w:sz w:val="22"/>
                <w:szCs w:val="22"/>
              </w:rPr>
              <w:t>Antwerp</w:t>
            </w:r>
          </w:p>
        </w:tc>
        <w:tc>
          <w:tcPr>
            <w:tcW w:w="2392" w:type="dxa"/>
          </w:tcPr>
          <w:p w:rsidR="00CE705B" w:rsidRPr="001A0FB5" w:rsidRDefault="00CE705B" w:rsidP="00BF3E32">
            <w:pPr>
              <w:jc w:val="center"/>
              <w:rPr>
                <w:sz w:val="22"/>
                <w:szCs w:val="22"/>
              </w:rPr>
            </w:pPr>
            <w:r w:rsidRPr="001A0FB5">
              <w:rPr>
                <w:sz w:val="22"/>
                <w:szCs w:val="22"/>
              </w:rPr>
              <w:t>42%</w:t>
            </w:r>
          </w:p>
        </w:tc>
        <w:tc>
          <w:tcPr>
            <w:tcW w:w="2393" w:type="dxa"/>
          </w:tcPr>
          <w:p w:rsidR="00CE705B" w:rsidRPr="001A0FB5" w:rsidRDefault="00CE705B" w:rsidP="00BF3E32">
            <w:pPr>
              <w:jc w:val="center"/>
              <w:rPr>
                <w:sz w:val="22"/>
                <w:szCs w:val="22"/>
              </w:rPr>
            </w:pPr>
            <w:r w:rsidRPr="001A0FB5">
              <w:rPr>
                <w:sz w:val="22"/>
                <w:szCs w:val="22"/>
              </w:rPr>
              <w:t>15%</w:t>
            </w:r>
          </w:p>
        </w:tc>
        <w:tc>
          <w:tcPr>
            <w:tcW w:w="2393" w:type="dxa"/>
          </w:tcPr>
          <w:p w:rsidR="00CE705B" w:rsidRPr="001A0FB5" w:rsidRDefault="00CE705B" w:rsidP="00BF3E32">
            <w:pPr>
              <w:jc w:val="center"/>
              <w:rPr>
                <w:sz w:val="22"/>
                <w:szCs w:val="22"/>
              </w:rPr>
            </w:pPr>
            <w:r w:rsidRPr="001A0FB5">
              <w:rPr>
                <w:sz w:val="22"/>
                <w:szCs w:val="22"/>
              </w:rPr>
              <w:t>43%</w:t>
            </w:r>
          </w:p>
        </w:tc>
      </w:tr>
      <w:tr w:rsidR="00CE705B" w:rsidRPr="001A0FB5" w:rsidTr="00D85891">
        <w:tc>
          <w:tcPr>
            <w:tcW w:w="2392" w:type="dxa"/>
          </w:tcPr>
          <w:p w:rsidR="00CE705B" w:rsidRPr="001A0FB5" w:rsidRDefault="00CE705B" w:rsidP="00BF3E32">
            <w:pPr>
              <w:rPr>
                <w:sz w:val="22"/>
                <w:szCs w:val="22"/>
              </w:rPr>
            </w:pPr>
            <w:r w:rsidRPr="001A0FB5">
              <w:rPr>
                <w:sz w:val="22"/>
                <w:szCs w:val="22"/>
              </w:rPr>
              <w:t>Amsterdam</w:t>
            </w:r>
          </w:p>
        </w:tc>
        <w:tc>
          <w:tcPr>
            <w:tcW w:w="2392" w:type="dxa"/>
          </w:tcPr>
          <w:p w:rsidR="00CE705B" w:rsidRPr="001A0FB5" w:rsidRDefault="00CE705B" w:rsidP="00BF3E32">
            <w:pPr>
              <w:jc w:val="center"/>
              <w:rPr>
                <w:sz w:val="22"/>
                <w:szCs w:val="22"/>
              </w:rPr>
            </w:pPr>
            <w:r w:rsidRPr="001A0FB5">
              <w:rPr>
                <w:sz w:val="22"/>
                <w:szCs w:val="22"/>
              </w:rPr>
              <w:t>40%</w:t>
            </w:r>
          </w:p>
        </w:tc>
        <w:tc>
          <w:tcPr>
            <w:tcW w:w="4786" w:type="dxa"/>
            <w:gridSpan w:val="2"/>
          </w:tcPr>
          <w:p w:rsidR="00CE705B" w:rsidRPr="001A0FB5" w:rsidRDefault="00CE705B" w:rsidP="00BF3E32">
            <w:pPr>
              <w:jc w:val="center"/>
              <w:rPr>
                <w:sz w:val="22"/>
                <w:szCs w:val="22"/>
              </w:rPr>
            </w:pPr>
            <w:r w:rsidRPr="001A0FB5">
              <w:rPr>
                <w:sz w:val="22"/>
                <w:szCs w:val="22"/>
              </w:rPr>
              <w:t>60% (combined)</w:t>
            </w:r>
          </w:p>
        </w:tc>
      </w:tr>
      <w:tr w:rsidR="00CE705B" w:rsidRPr="001A0FB5" w:rsidTr="00D85891">
        <w:tc>
          <w:tcPr>
            <w:tcW w:w="2392" w:type="dxa"/>
          </w:tcPr>
          <w:p w:rsidR="00CE705B" w:rsidRPr="001A0FB5" w:rsidRDefault="00CE705B" w:rsidP="00BF3E32">
            <w:pPr>
              <w:rPr>
                <w:sz w:val="22"/>
                <w:szCs w:val="22"/>
              </w:rPr>
            </w:pPr>
            <w:r w:rsidRPr="001A0FB5">
              <w:rPr>
                <w:sz w:val="22"/>
                <w:szCs w:val="22"/>
              </w:rPr>
              <w:t>Rotterdam</w:t>
            </w:r>
          </w:p>
        </w:tc>
        <w:tc>
          <w:tcPr>
            <w:tcW w:w="2392" w:type="dxa"/>
          </w:tcPr>
          <w:p w:rsidR="00CE705B" w:rsidRPr="001A0FB5" w:rsidRDefault="00CE705B" w:rsidP="00BF3E32">
            <w:pPr>
              <w:jc w:val="center"/>
              <w:rPr>
                <w:sz w:val="22"/>
                <w:szCs w:val="22"/>
              </w:rPr>
            </w:pPr>
            <w:r w:rsidRPr="001A0FB5">
              <w:rPr>
                <w:sz w:val="22"/>
                <w:szCs w:val="22"/>
              </w:rPr>
              <w:t>40%</w:t>
            </w:r>
          </w:p>
        </w:tc>
        <w:tc>
          <w:tcPr>
            <w:tcW w:w="2393" w:type="dxa"/>
          </w:tcPr>
          <w:p w:rsidR="00CE705B" w:rsidRPr="001A0FB5" w:rsidRDefault="00CE705B" w:rsidP="00BF3E32">
            <w:pPr>
              <w:jc w:val="center"/>
              <w:rPr>
                <w:sz w:val="22"/>
                <w:szCs w:val="22"/>
              </w:rPr>
            </w:pPr>
            <w:r w:rsidRPr="001A0FB5">
              <w:rPr>
                <w:sz w:val="22"/>
                <w:szCs w:val="22"/>
              </w:rPr>
              <w:t>15%</w:t>
            </w:r>
          </w:p>
        </w:tc>
        <w:tc>
          <w:tcPr>
            <w:tcW w:w="2393" w:type="dxa"/>
          </w:tcPr>
          <w:p w:rsidR="00CE705B" w:rsidRPr="001A0FB5" w:rsidRDefault="00CE705B" w:rsidP="00BF3E32">
            <w:pPr>
              <w:jc w:val="center"/>
              <w:rPr>
                <w:sz w:val="22"/>
                <w:szCs w:val="22"/>
              </w:rPr>
            </w:pPr>
            <w:r w:rsidRPr="001A0FB5">
              <w:rPr>
                <w:sz w:val="22"/>
                <w:szCs w:val="22"/>
              </w:rPr>
              <w:t>45%</w:t>
            </w:r>
          </w:p>
        </w:tc>
      </w:tr>
      <w:tr w:rsidR="00CE705B" w:rsidRPr="001A0FB5" w:rsidTr="00D85891">
        <w:tc>
          <w:tcPr>
            <w:tcW w:w="2392" w:type="dxa"/>
          </w:tcPr>
          <w:p w:rsidR="00CE705B" w:rsidRPr="001A0FB5" w:rsidRDefault="00CE705B" w:rsidP="00BF3E32">
            <w:pPr>
              <w:rPr>
                <w:sz w:val="22"/>
                <w:szCs w:val="22"/>
              </w:rPr>
            </w:pPr>
            <w:r w:rsidRPr="001A0FB5">
              <w:rPr>
                <w:sz w:val="22"/>
                <w:szCs w:val="22"/>
              </w:rPr>
              <w:t>Hamburg</w:t>
            </w:r>
          </w:p>
        </w:tc>
        <w:tc>
          <w:tcPr>
            <w:tcW w:w="2392" w:type="dxa"/>
          </w:tcPr>
          <w:p w:rsidR="00CE705B" w:rsidRPr="001A0FB5" w:rsidRDefault="00CE705B" w:rsidP="00BF3E32">
            <w:pPr>
              <w:jc w:val="center"/>
              <w:rPr>
                <w:sz w:val="22"/>
                <w:szCs w:val="22"/>
              </w:rPr>
            </w:pPr>
            <w:r w:rsidRPr="001A0FB5">
              <w:rPr>
                <w:sz w:val="22"/>
                <w:szCs w:val="22"/>
              </w:rPr>
              <w:t>45%</w:t>
            </w:r>
          </w:p>
        </w:tc>
        <w:tc>
          <w:tcPr>
            <w:tcW w:w="2393" w:type="dxa"/>
          </w:tcPr>
          <w:p w:rsidR="00CE705B" w:rsidRPr="001A0FB5" w:rsidRDefault="00CE705B" w:rsidP="00BF3E32">
            <w:pPr>
              <w:jc w:val="center"/>
              <w:rPr>
                <w:sz w:val="22"/>
                <w:szCs w:val="22"/>
              </w:rPr>
            </w:pPr>
            <w:r w:rsidRPr="001A0FB5">
              <w:rPr>
                <w:sz w:val="22"/>
                <w:szCs w:val="22"/>
              </w:rPr>
              <w:t>53%</w:t>
            </w:r>
          </w:p>
        </w:tc>
        <w:tc>
          <w:tcPr>
            <w:tcW w:w="2393" w:type="dxa"/>
          </w:tcPr>
          <w:p w:rsidR="00CE705B" w:rsidRPr="001A0FB5" w:rsidRDefault="00CE705B" w:rsidP="00BF3E32">
            <w:pPr>
              <w:jc w:val="center"/>
              <w:rPr>
                <w:sz w:val="22"/>
                <w:szCs w:val="22"/>
              </w:rPr>
            </w:pPr>
            <w:r w:rsidRPr="001A0FB5">
              <w:rPr>
                <w:sz w:val="22"/>
                <w:szCs w:val="22"/>
              </w:rPr>
              <w:t>1%</w:t>
            </w:r>
          </w:p>
        </w:tc>
      </w:tr>
    </w:tbl>
    <w:p w:rsidR="00CE705B" w:rsidRDefault="009B1EF8" w:rsidP="00A4081F">
      <w:pPr>
        <w:pStyle w:val="NumberedParas"/>
      </w:pPr>
      <w:r>
        <w:t>S</w:t>
      </w:r>
      <w:r w:rsidR="00CE705B">
        <w:t xml:space="preserve">ome of these ports intend to increase the modal split of containers leaving the port by rail and barge. Constanta is well placed to do the same and could learn from the practices and operations at some of these ports. It is considered that Constanta could expand the use of both modes of transport and particular barge traffic when looking at planned percentages at Antwerp and Rotterdam. </w:t>
      </w:r>
    </w:p>
    <w:p w:rsidR="00FF05E8" w:rsidRDefault="00FF05E8">
      <w:pPr>
        <w:rPr>
          <w:sz w:val="22"/>
          <w:szCs w:val="22"/>
        </w:rPr>
      </w:pPr>
      <w:r>
        <w:br w:type="page"/>
      </w:r>
    </w:p>
    <w:p w:rsidR="00FF05E8" w:rsidRPr="008E03B0" w:rsidRDefault="00FF05E8" w:rsidP="00045287">
      <w:pPr>
        <w:pStyle w:val="Hdg2"/>
      </w:pPr>
      <w:bookmarkStart w:id="59" w:name="_Toc396234279"/>
      <w:bookmarkStart w:id="60" w:name="_Toc413056040"/>
      <w:r>
        <w:t>Aviation Trends</w:t>
      </w:r>
      <w:bookmarkEnd w:id="59"/>
      <w:r>
        <w:t xml:space="preserve"> in European Context</w:t>
      </w:r>
      <w:bookmarkEnd w:id="60"/>
    </w:p>
    <w:p w:rsidR="00FF05E8" w:rsidRDefault="00FF05E8" w:rsidP="00A4081F">
      <w:pPr>
        <w:pStyle w:val="NumberedParas"/>
      </w:pPr>
      <w:r>
        <w:t xml:space="preserve">In 2011, a total of 10.8 million passengers travelled through all Romanian airports.  Of this total, over 50% of passengers travelled through Bucharest’s Henri Coanda International Airport – showing the strong capital-centric nature of the country’s air transport system.  </w:t>
      </w:r>
    </w:p>
    <w:p w:rsidR="00FF05E8" w:rsidRDefault="00FF05E8" w:rsidP="00A4081F">
      <w:pPr>
        <w:pStyle w:val="NumberedParas"/>
      </w:pPr>
      <w:r>
        <w:t>A total of 21 airfields are listed in Romania’s Aeronautical Information Publication (AIP), and seven of the country’s airports are not currently served by scheduled flights.  The development of the Romania air transport infrastructure aims to provide regional centres with a means of fast transport to Bucharest, the capital, along with other regional centres.  Air transport is also relied upon to provide international connectivity.  As the country’s highway network remains in development, and even the fastest section of the rail network (currently between Bucharest and Constanta) are subject to speed restrictions, air travel is a preferred choice for domestic transport where fast journey times are a critical factor.</w:t>
      </w:r>
    </w:p>
    <w:p w:rsidR="00FF05E8" w:rsidRDefault="00FF05E8" w:rsidP="00A4081F">
      <w:pPr>
        <w:pStyle w:val="NumberedParas"/>
      </w:pPr>
      <w:r>
        <w:t>The construction of the new Brasov-Ghimbav International Airport has also commenced. The new runway, destined to receive medium-haul aircraft, will be 2,820 metres long and 45 metres wide.  The opening of the airport is likely to increase the investment potential of the area, mainly in the tourism industry, as well as new development opportunities for small and medium-sized companies. The airport is scheduled to open at the end of 2014/beginning of 2015.</w:t>
      </w:r>
    </w:p>
    <w:p w:rsidR="00FF05E8" w:rsidRDefault="00FF05E8" w:rsidP="00A4081F">
      <w:pPr>
        <w:pStyle w:val="NumberedParas"/>
      </w:pPr>
      <w:r>
        <w:t xml:space="preserve">For the purposes of benchmarking, the air transport market of Romania has been compared to the market in the Czech Republic which joined the EU only three years </w:t>
      </w:r>
      <w:r w:rsidRPr="009B1EF8">
        <w:t xml:space="preserve">earlier. </w:t>
      </w:r>
      <w:r w:rsidR="009B1EF8">
        <w:t>Table 3.14</w:t>
      </w:r>
      <w:r w:rsidRPr="009B1EF8">
        <w:t xml:space="preserve"> below</w:t>
      </w:r>
      <w:r>
        <w:t xml:space="preserve"> compares the two countries in terms of a small number of key socio-economic and political indicators.</w:t>
      </w:r>
    </w:p>
    <w:p w:rsidR="00FF05E8" w:rsidRPr="00B70CDA" w:rsidRDefault="009B1EF8" w:rsidP="009B1EF8">
      <w:pPr>
        <w:spacing w:before="120" w:after="120"/>
        <w:ind w:left="851"/>
        <w:rPr>
          <w:b/>
        </w:rPr>
      </w:pPr>
      <w:r w:rsidRPr="009B1EF8">
        <w:rPr>
          <w:b/>
          <w:sz w:val="22"/>
          <w:szCs w:val="22"/>
        </w:rPr>
        <w:t xml:space="preserve">Table 3.14 </w:t>
      </w:r>
      <w:r w:rsidR="00FF05E8" w:rsidRPr="009B1EF8">
        <w:rPr>
          <w:b/>
          <w:sz w:val="22"/>
          <w:szCs w:val="22"/>
        </w:rPr>
        <w:t>Socio-economic and political comparison between Romania and the Czech Republic</w:t>
      </w:r>
    </w:p>
    <w:tbl>
      <w:tblPr>
        <w:tblW w:w="9457"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2"/>
        <w:gridCol w:w="3152"/>
        <w:gridCol w:w="3153"/>
      </w:tblGrid>
      <w:tr w:rsidR="00FF05E8" w:rsidTr="009B1EF8">
        <w:tc>
          <w:tcPr>
            <w:tcW w:w="3152" w:type="dxa"/>
            <w:tcBorders>
              <w:top w:val="single" w:sz="12" w:space="0" w:color="4F81BD"/>
              <w:left w:val="single" w:sz="12" w:space="0" w:color="4F81BD"/>
              <w:bottom w:val="single" w:sz="12" w:space="0" w:color="4F81BD"/>
              <w:right w:val="single" w:sz="6"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2011 statistic</w:t>
            </w:r>
          </w:p>
        </w:tc>
        <w:tc>
          <w:tcPr>
            <w:tcW w:w="3152" w:type="dxa"/>
            <w:tcBorders>
              <w:top w:val="single" w:sz="12" w:space="0" w:color="4F81BD"/>
              <w:left w:val="single" w:sz="6" w:space="0" w:color="4F81BD"/>
              <w:bottom w:val="single" w:sz="12" w:space="0" w:color="4F81BD"/>
              <w:right w:val="single" w:sz="6"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Romania</w:t>
            </w:r>
          </w:p>
        </w:tc>
        <w:tc>
          <w:tcPr>
            <w:tcW w:w="3153" w:type="dxa"/>
            <w:tcBorders>
              <w:top w:val="single" w:sz="12" w:space="0" w:color="4F81BD"/>
              <w:left w:val="single" w:sz="6" w:space="0" w:color="4F81BD"/>
              <w:bottom w:val="single" w:sz="12" w:space="0" w:color="4F81BD"/>
              <w:right w:val="single" w:sz="12"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Czech Republic</w:t>
            </w:r>
          </w:p>
        </w:tc>
      </w:tr>
      <w:tr w:rsidR="00FF05E8" w:rsidTr="009B1EF8">
        <w:tc>
          <w:tcPr>
            <w:tcW w:w="3152" w:type="dxa"/>
            <w:tcBorders>
              <w:top w:val="single" w:sz="12"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GDP per capita</w:t>
            </w:r>
          </w:p>
        </w:tc>
        <w:tc>
          <w:tcPr>
            <w:tcW w:w="3152" w:type="dxa"/>
            <w:tcBorders>
              <w:top w:val="single" w:sz="12"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€6,100</w:t>
            </w:r>
          </w:p>
        </w:tc>
        <w:tc>
          <w:tcPr>
            <w:tcW w:w="3153" w:type="dxa"/>
            <w:tcBorders>
              <w:top w:val="single" w:sz="12"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rPr>
            </w:pPr>
            <w:r w:rsidRPr="0026470E">
              <w:rPr>
                <w:sz w:val="22"/>
                <w:szCs w:val="22"/>
              </w:rPr>
              <w:t>€14,800</w:t>
            </w:r>
          </w:p>
        </w:tc>
      </w:tr>
      <w:tr w:rsidR="00FF05E8" w:rsidTr="009B1EF8">
        <w:tc>
          <w:tcPr>
            <w:tcW w:w="3152" w:type="dxa"/>
            <w:tcBorders>
              <w:top w:val="single" w:sz="6"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Area</w:t>
            </w:r>
          </w:p>
        </w:tc>
        <w:tc>
          <w:tcPr>
            <w:tcW w:w="3152" w:type="dxa"/>
            <w:tcBorders>
              <w:top w:val="single" w:sz="6"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vertAlign w:val="superscript"/>
              </w:rPr>
            </w:pPr>
            <w:r w:rsidRPr="0026470E">
              <w:rPr>
                <w:sz w:val="22"/>
                <w:szCs w:val="22"/>
              </w:rPr>
              <w:t>238,391km</w:t>
            </w:r>
            <w:r w:rsidRPr="0026470E">
              <w:rPr>
                <w:sz w:val="22"/>
                <w:szCs w:val="22"/>
                <w:vertAlign w:val="superscript"/>
              </w:rPr>
              <w:t>2</w:t>
            </w:r>
          </w:p>
        </w:tc>
        <w:tc>
          <w:tcPr>
            <w:tcW w:w="3153" w:type="dxa"/>
            <w:tcBorders>
              <w:top w:val="single" w:sz="6"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vertAlign w:val="superscript"/>
              </w:rPr>
            </w:pPr>
            <w:r w:rsidRPr="0026470E">
              <w:rPr>
                <w:sz w:val="22"/>
                <w:szCs w:val="22"/>
              </w:rPr>
              <w:t>78,866km</w:t>
            </w:r>
            <w:r w:rsidRPr="0026470E">
              <w:rPr>
                <w:sz w:val="22"/>
                <w:szCs w:val="22"/>
                <w:vertAlign w:val="superscript"/>
              </w:rPr>
              <w:t>2</w:t>
            </w:r>
          </w:p>
        </w:tc>
      </w:tr>
      <w:tr w:rsidR="00FF05E8" w:rsidTr="009B1EF8">
        <w:tc>
          <w:tcPr>
            <w:tcW w:w="3152" w:type="dxa"/>
            <w:tcBorders>
              <w:top w:val="single" w:sz="6"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Population</w:t>
            </w:r>
          </w:p>
        </w:tc>
        <w:tc>
          <w:tcPr>
            <w:tcW w:w="3152" w:type="dxa"/>
            <w:tcBorders>
              <w:top w:val="single" w:sz="6"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21,413,815</w:t>
            </w:r>
          </w:p>
        </w:tc>
        <w:tc>
          <w:tcPr>
            <w:tcW w:w="3153" w:type="dxa"/>
            <w:tcBorders>
              <w:top w:val="single" w:sz="6"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rPr>
            </w:pPr>
            <w:r w:rsidRPr="0026470E">
              <w:rPr>
                <w:sz w:val="22"/>
                <w:szCs w:val="22"/>
              </w:rPr>
              <w:t>10,486,731</w:t>
            </w:r>
          </w:p>
        </w:tc>
      </w:tr>
      <w:tr w:rsidR="00FF05E8" w:rsidTr="009B1EF8">
        <w:tc>
          <w:tcPr>
            <w:tcW w:w="3152" w:type="dxa"/>
            <w:tcBorders>
              <w:top w:val="single" w:sz="6"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Population density</w:t>
            </w:r>
          </w:p>
        </w:tc>
        <w:tc>
          <w:tcPr>
            <w:tcW w:w="3152" w:type="dxa"/>
            <w:tcBorders>
              <w:top w:val="single" w:sz="6"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vertAlign w:val="superscript"/>
              </w:rPr>
            </w:pPr>
            <w:r w:rsidRPr="0026470E">
              <w:rPr>
                <w:sz w:val="22"/>
                <w:szCs w:val="22"/>
              </w:rPr>
              <w:t>93/km</w:t>
            </w:r>
            <w:r w:rsidRPr="0026470E">
              <w:rPr>
                <w:sz w:val="22"/>
                <w:szCs w:val="22"/>
                <w:vertAlign w:val="superscript"/>
              </w:rPr>
              <w:t>2</w:t>
            </w:r>
          </w:p>
        </w:tc>
        <w:tc>
          <w:tcPr>
            <w:tcW w:w="3153" w:type="dxa"/>
            <w:tcBorders>
              <w:top w:val="single" w:sz="6"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vertAlign w:val="superscript"/>
              </w:rPr>
            </w:pPr>
            <w:r w:rsidRPr="0026470E">
              <w:rPr>
                <w:sz w:val="22"/>
                <w:szCs w:val="22"/>
              </w:rPr>
              <w:t>135.5/km</w:t>
            </w:r>
            <w:r w:rsidRPr="0026470E">
              <w:rPr>
                <w:sz w:val="22"/>
                <w:szCs w:val="22"/>
                <w:vertAlign w:val="superscript"/>
              </w:rPr>
              <w:t>2</w:t>
            </w:r>
          </w:p>
        </w:tc>
      </w:tr>
      <w:tr w:rsidR="00FF05E8" w:rsidTr="009B1EF8">
        <w:tc>
          <w:tcPr>
            <w:tcW w:w="3152" w:type="dxa"/>
            <w:tcBorders>
              <w:top w:val="single" w:sz="6"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Post-Communist revolution</w:t>
            </w:r>
          </w:p>
        </w:tc>
        <w:tc>
          <w:tcPr>
            <w:tcW w:w="3152" w:type="dxa"/>
            <w:tcBorders>
              <w:top w:val="single" w:sz="6"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1989</w:t>
            </w:r>
          </w:p>
        </w:tc>
        <w:tc>
          <w:tcPr>
            <w:tcW w:w="3153" w:type="dxa"/>
            <w:tcBorders>
              <w:top w:val="single" w:sz="6"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rPr>
            </w:pPr>
            <w:r w:rsidRPr="0026470E">
              <w:rPr>
                <w:sz w:val="22"/>
                <w:szCs w:val="22"/>
              </w:rPr>
              <w:t>1989</w:t>
            </w:r>
          </w:p>
        </w:tc>
      </w:tr>
      <w:tr w:rsidR="00FF05E8" w:rsidTr="009B1EF8">
        <w:tc>
          <w:tcPr>
            <w:tcW w:w="3152" w:type="dxa"/>
            <w:tcBorders>
              <w:top w:val="single" w:sz="6" w:space="0" w:color="4F81BD"/>
              <w:left w:val="single" w:sz="12"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EU accession</w:t>
            </w:r>
          </w:p>
        </w:tc>
        <w:tc>
          <w:tcPr>
            <w:tcW w:w="3152" w:type="dxa"/>
            <w:tcBorders>
              <w:top w:val="single" w:sz="6" w:space="0" w:color="4F81BD"/>
              <w:left w:val="single" w:sz="6" w:space="0" w:color="4F81BD"/>
              <w:bottom w:val="single" w:sz="6"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2007</w:t>
            </w:r>
          </w:p>
        </w:tc>
        <w:tc>
          <w:tcPr>
            <w:tcW w:w="3153" w:type="dxa"/>
            <w:tcBorders>
              <w:top w:val="single" w:sz="6" w:space="0" w:color="4F81BD"/>
              <w:left w:val="single" w:sz="6" w:space="0" w:color="4F81BD"/>
              <w:bottom w:val="single" w:sz="6" w:space="0" w:color="4F81BD"/>
              <w:right w:val="single" w:sz="12" w:space="0" w:color="4F81BD"/>
            </w:tcBorders>
          </w:tcPr>
          <w:p w:rsidR="00FF05E8" w:rsidRPr="0026470E" w:rsidRDefault="00FF05E8" w:rsidP="009B1EF8">
            <w:pPr>
              <w:spacing w:line="276" w:lineRule="auto"/>
              <w:rPr>
                <w:sz w:val="22"/>
                <w:szCs w:val="22"/>
              </w:rPr>
            </w:pPr>
            <w:r w:rsidRPr="0026470E">
              <w:rPr>
                <w:sz w:val="22"/>
                <w:szCs w:val="22"/>
              </w:rPr>
              <w:t>2004</w:t>
            </w:r>
          </w:p>
        </w:tc>
      </w:tr>
      <w:tr w:rsidR="00FF05E8" w:rsidTr="009B1EF8">
        <w:tc>
          <w:tcPr>
            <w:tcW w:w="3152" w:type="dxa"/>
            <w:tcBorders>
              <w:top w:val="single" w:sz="6" w:space="0" w:color="4F81BD"/>
              <w:left w:val="single" w:sz="12" w:space="0" w:color="4F81BD"/>
              <w:bottom w:val="single" w:sz="12"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Key industry sectors</w:t>
            </w:r>
          </w:p>
        </w:tc>
        <w:tc>
          <w:tcPr>
            <w:tcW w:w="3152" w:type="dxa"/>
            <w:tcBorders>
              <w:top w:val="single" w:sz="6" w:space="0" w:color="4F81BD"/>
              <w:left w:val="single" w:sz="6" w:space="0" w:color="4F81BD"/>
              <w:bottom w:val="single" w:sz="12" w:space="0" w:color="4F81BD"/>
              <w:right w:val="single" w:sz="6" w:space="0" w:color="4F81BD"/>
            </w:tcBorders>
          </w:tcPr>
          <w:p w:rsidR="00FF05E8" w:rsidRPr="0026470E" w:rsidRDefault="00FF05E8" w:rsidP="009B1EF8">
            <w:pPr>
              <w:spacing w:line="276" w:lineRule="auto"/>
              <w:rPr>
                <w:sz w:val="22"/>
                <w:szCs w:val="22"/>
              </w:rPr>
            </w:pPr>
            <w:r w:rsidRPr="0026470E">
              <w:rPr>
                <w:sz w:val="22"/>
                <w:szCs w:val="22"/>
              </w:rPr>
              <w:t xml:space="preserve">Construction, automotive, machinery, chemicals </w:t>
            </w:r>
          </w:p>
        </w:tc>
        <w:tc>
          <w:tcPr>
            <w:tcW w:w="3153" w:type="dxa"/>
            <w:tcBorders>
              <w:top w:val="single" w:sz="6" w:space="0" w:color="4F81BD"/>
              <w:left w:val="single" w:sz="6" w:space="0" w:color="4F81BD"/>
              <w:bottom w:val="single" w:sz="12" w:space="0" w:color="4F81BD"/>
              <w:right w:val="single" w:sz="12" w:space="0" w:color="4F81BD"/>
            </w:tcBorders>
          </w:tcPr>
          <w:p w:rsidR="00FF05E8" w:rsidRPr="0026470E" w:rsidRDefault="00FF05E8" w:rsidP="009B1EF8">
            <w:pPr>
              <w:spacing w:line="276" w:lineRule="auto"/>
              <w:rPr>
                <w:sz w:val="22"/>
                <w:szCs w:val="22"/>
              </w:rPr>
            </w:pPr>
            <w:r w:rsidRPr="0026470E">
              <w:rPr>
                <w:sz w:val="22"/>
                <w:szCs w:val="22"/>
              </w:rPr>
              <w:t>Machinery, chemicals, foods, telecommunications</w:t>
            </w:r>
          </w:p>
        </w:tc>
      </w:tr>
    </w:tbl>
    <w:p w:rsidR="00FF05E8" w:rsidRDefault="00FF05E8" w:rsidP="00FF05E8"/>
    <w:p w:rsidR="00FF05E8" w:rsidRPr="009B1EF8" w:rsidRDefault="00FF05E8" w:rsidP="009B1EF8">
      <w:pPr>
        <w:ind w:left="851"/>
        <w:rPr>
          <w:i/>
        </w:rPr>
      </w:pPr>
      <w:r w:rsidRPr="009B1EF8">
        <w:rPr>
          <w:i/>
        </w:rPr>
        <w:t>Source:Eurostat</w:t>
      </w:r>
    </w:p>
    <w:p w:rsidR="00FF05E8" w:rsidRDefault="00FF05E8" w:rsidP="00A4081F">
      <w:pPr>
        <w:pStyle w:val="NumberedParas"/>
      </w:pPr>
      <w:r>
        <w:t>While Romania is a larger and more populous country than the Czech Republic, the latter state is significantly wealthier, despite having entered the EU only three years earlier. As a smaller country, it would be expected that the domestic air market in the Czech Republic was smaller, and Table 3.* shows this to be correct. Nevertheless, in 2011 the Czech Republic saw 19% more air passengers in total than Romania, although the domestic market was significantly smaller as expected. The larger international market could be explained by the country’s higher wealth, giving Czechs a higher propensity and ability to travel abroad, and a higher level of international business activity is likely to encourage business from abroad.</w:t>
      </w:r>
    </w:p>
    <w:p w:rsidR="00FF05E8" w:rsidRDefault="00FF05E8" w:rsidP="00FF05E8"/>
    <w:p w:rsidR="00FF05E8" w:rsidRDefault="00FF05E8" w:rsidP="00A4081F">
      <w:pPr>
        <w:pStyle w:val="NumberedParas"/>
      </w:pPr>
      <w:r>
        <w:t>The Czech air freight market in 2011 was more than 2.6 times larger than that in Romania; perhaps reflecting a larger manufacturing base in the country</w:t>
      </w:r>
      <w:r w:rsidRPr="005C73C9">
        <w:t xml:space="preserve"> </w:t>
      </w:r>
      <w:r>
        <w:t>or different industry sectors may trigger greater levels of air freight activity, such as foods or telecommunications.</w:t>
      </w:r>
    </w:p>
    <w:p w:rsidR="00FF05E8" w:rsidRDefault="00FF05E8" w:rsidP="00A4081F">
      <w:pPr>
        <w:pStyle w:val="NumberedParas"/>
      </w:pPr>
      <w:r>
        <w:t>In terms of the penetration of low-cost carriers, the Romanian market ranks more favourably than the Czech Republic. This factor may in part be explained by the lower wealth of Romania; those travelling from Romania may be attracted to the lower fares of low-cost carriers, rather than ‘full-service’ airlines. The impact of low-cost carriers can be felt mainly on international routes; the domestic market in Romania sees little penetration by low-cost carriers.</w:t>
      </w:r>
    </w:p>
    <w:p w:rsidR="00FF05E8" w:rsidRPr="0026470E" w:rsidRDefault="009B1EF8" w:rsidP="009B1EF8">
      <w:pPr>
        <w:spacing w:before="120" w:after="120"/>
        <w:ind w:left="851"/>
        <w:rPr>
          <w:b/>
          <w:sz w:val="22"/>
          <w:szCs w:val="22"/>
        </w:rPr>
      </w:pPr>
      <w:r>
        <w:rPr>
          <w:b/>
          <w:sz w:val="22"/>
          <w:szCs w:val="22"/>
        </w:rPr>
        <w:t>Table 3.15</w:t>
      </w:r>
      <w:r w:rsidR="00FF05E8" w:rsidRPr="009B1EF8">
        <w:rPr>
          <w:b/>
          <w:sz w:val="22"/>
          <w:szCs w:val="22"/>
        </w:rPr>
        <w:t xml:space="preserve"> Comparison</w:t>
      </w:r>
      <w:r w:rsidR="00FF05E8" w:rsidRPr="0026470E">
        <w:rPr>
          <w:b/>
          <w:sz w:val="22"/>
          <w:szCs w:val="22"/>
        </w:rPr>
        <w:t xml:space="preserve"> of air transport markets in Romania and the Czech Republic</w:t>
      </w:r>
    </w:p>
    <w:tbl>
      <w:tblPr>
        <w:tblW w:w="9457" w:type="dxa"/>
        <w:tblInd w:w="851" w:type="dxa"/>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ook w:val="04A0" w:firstRow="1" w:lastRow="0" w:firstColumn="1" w:lastColumn="0" w:noHBand="0" w:noVBand="1"/>
      </w:tblPr>
      <w:tblGrid>
        <w:gridCol w:w="3152"/>
        <w:gridCol w:w="3152"/>
        <w:gridCol w:w="3153"/>
      </w:tblGrid>
      <w:tr w:rsidR="00FF05E8" w:rsidTr="009B1EF8">
        <w:tc>
          <w:tcPr>
            <w:tcW w:w="3152" w:type="dxa"/>
            <w:tcBorders>
              <w:top w:val="single" w:sz="12" w:space="0" w:color="4F81BD"/>
              <w:bottom w:val="single" w:sz="12"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2011 statistic</w:t>
            </w:r>
          </w:p>
        </w:tc>
        <w:tc>
          <w:tcPr>
            <w:tcW w:w="3152" w:type="dxa"/>
            <w:tcBorders>
              <w:top w:val="single" w:sz="12" w:space="0" w:color="4F81BD"/>
              <w:bottom w:val="single" w:sz="12"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Romania</w:t>
            </w:r>
          </w:p>
        </w:tc>
        <w:tc>
          <w:tcPr>
            <w:tcW w:w="3153" w:type="dxa"/>
            <w:tcBorders>
              <w:top w:val="single" w:sz="12" w:space="0" w:color="4F81BD"/>
              <w:bottom w:val="single" w:sz="12" w:space="0" w:color="4F81BD"/>
            </w:tcBorders>
            <w:shd w:val="clear" w:color="auto" w:fill="C6D9F1"/>
          </w:tcPr>
          <w:p w:rsidR="00FF05E8" w:rsidRPr="0026470E" w:rsidRDefault="00FF05E8" w:rsidP="009B1EF8">
            <w:pPr>
              <w:spacing w:line="276" w:lineRule="auto"/>
              <w:rPr>
                <w:b/>
                <w:sz w:val="22"/>
                <w:szCs w:val="22"/>
              </w:rPr>
            </w:pPr>
            <w:r w:rsidRPr="0026470E">
              <w:rPr>
                <w:b/>
                <w:sz w:val="22"/>
                <w:szCs w:val="22"/>
              </w:rPr>
              <w:t>Czech Republic</w:t>
            </w:r>
          </w:p>
        </w:tc>
      </w:tr>
      <w:tr w:rsidR="00FF05E8" w:rsidTr="009B1EF8">
        <w:tc>
          <w:tcPr>
            <w:tcW w:w="3152" w:type="dxa"/>
            <w:tcBorders>
              <w:top w:val="single" w:sz="12" w:space="0" w:color="4F81BD"/>
            </w:tcBorders>
          </w:tcPr>
          <w:p w:rsidR="00FF05E8" w:rsidRPr="0026470E" w:rsidRDefault="00FF05E8" w:rsidP="009B1EF8">
            <w:pPr>
              <w:spacing w:line="276" w:lineRule="auto"/>
              <w:rPr>
                <w:sz w:val="22"/>
                <w:szCs w:val="22"/>
              </w:rPr>
            </w:pPr>
            <w:r w:rsidRPr="0026470E">
              <w:rPr>
                <w:sz w:val="22"/>
                <w:szCs w:val="22"/>
              </w:rPr>
              <w:t>Total air pax</w:t>
            </w:r>
          </w:p>
        </w:tc>
        <w:tc>
          <w:tcPr>
            <w:tcW w:w="3152" w:type="dxa"/>
            <w:tcBorders>
              <w:top w:val="single" w:sz="12" w:space="0" w:color="4F81BD"/>
            </w:tcBorders>
          </w:tcPr>
          <w:p w:rsidR="00FF05E8" w:rsidRPr="0026470E" w:rsidRDefault="00FF05E8" w:rsidP="009B1EF8">
            <w:pPr>
              <w:spacing w:line="276" w:lineRule="auto"/>
              <w:rPr>
                <w:sz w:val="22"/>
                <w:szCs w:val="22"/>
              </w:rPr>
            </w:pPr>
            <w:r w:rsidRPr="0026470E">
              <w:rPr>
                <w:sz w:val="22"/>
                <w:szCs w:val="22"/>
              </w:rPr>
              <w:t>10,810,570</w:t>
            </w:r>
          </w:p>
        </w:tc>
        <w:tc>
          <w:tcPr>
            <w:tcW w:w="3153" w:type="dxa"/>
            <w:tcBorders>
              <w:top w:val="single" w:sz="12" w:space="0" w:color="4F81BD"/>
            </w:tcBorders>
          </w:tcPr>
          <w:p w:rsidR="00FF05E8" w:rsidRPr="0026470E" w:rsidRDefault="00FF05E8" w:rsidP="009B1EF8">
            <w:pPr>
              <w:spacing w:line="276" w:lineRule="auto"/>
              <w:rPr>
                <w:sz w:val="22"/>
                <w:szCs w:val="22"/>
              </w:rPr>
            </w:pPr>
            <w:r w:rsidRPr="0026470E">
              <w:rPr>
                <w:sz w:val="22"/>
                <w:szCs w:val="22"/>
              </w:rPr>
              <w:t>12,824,895</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Domestic air pax</w:t>
            </w:r>
          </w:p>
        </w:tc>
        <w:tc>
          <w:tcPr>
            <w:tcW w:w="3152" w:type="dxa"/>
          </w:tcPr>
          <w:p w:rsidR="00FF05E8" w:rsidRPr="0026470E" w:rsidRDefault="00FF05E8" w:rsidP="009B1EF8">
            <w:pPr>
              <w:spacing w:line="276" w:lineRule="auto"/>
              <w:rPr>
                <w:sz w:val="22"/>
                <w:szCs w:val="22"/>
              </w:rPr>
            </w:pPr>
            <w:r w:rsidRPr="0026470E">
              <w:rPr>
                <w:sz w:val="22"/>
                <w:szCs w:val="22"/>
              </w:rPr>
              <w:t>1,129,310</w:t>
            </w:r>
          </w:p>
        </w:tc>
        <w:tc>
          <w:tcPr>
            <w:tcW w:w="3153" w:type="dxa"/>
          </w:tcPr>
          <w:p w:rsidR="00FF05E8" w:rsidRPr="0026470E" w:rsidRDefault="00FF05E8" w:rsidP="009B1EF8">
            <w:pPr>
              <w:spacing w:line="276" w:lineRule="auto"/>
              <w:rPr>
                <w:sz w:val="22"/>
                <w:szCs w:val="22"/>
              </w:rPr>
            </w:pPr>
            <w:r w:rsidRPr="0026470E">
              <w:rPr>
                <w:sz w:val="22"/>
                <w:szCs w:val="22"/>
              </w:rPr>
              <w:t>229,762</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International pax</w:t>
            </w:r>
          </w:p>
        </w:tc>
        <w:tc>
          <w:tcPr>
            <w:tcW w:w="3152" w:type="dxa"/>
          </w:tcPr>
          <w:p w:rsidR="00FF05E8" w:rsidRPr="0026470E" w:rsidRDefault="00FF05E8" w:rsidP="009B1EF8">
            <w:pPr>
              <w:spacing w:line="276" w:lineRule="auto"/>
              <w:rPr>
                <w:sz w:val="22"/>
                <w:szCs w:val="22"/>
              </w:rPr>
            </w:pPr>
            <w:r w:rsidRPr="0026470E">
              <w:rPr>
                <w:sz w:val="22"/>
                <w:szCs w:val="22"/>
              </w:rPr>
              <w:t xml:space="preserve">9,681,260 </w:t>
            </w:r>
          </w:p>
        </w:tc>
        <w:tc>
          <w:tcPr>
            <w:tcW w:w="3153" w:type="dxa"/>
          </w:tcPr>
          <w:p w:rsidR="00FF05E8" w:rsidRPr="0026470E" w:rsidRDefault="00FF05E8" w:rsidP="009B1EF8">
            <w:pPr>
              <w:spacing w:line="276" w:lineRule="auto"/>
              <w:rPr>
                <w:sz w:val="22"/>
                <w:szCs w:val="22"/>
              </w:rPr>
            </w:pPr>
            <w:r w:rsidRPr="0026470E">
              <w:rPr>
                <w:sz w:val="22"/>
                <w:szCs w:val="22"/>
              </w:rPr>
              <w:t>12,595,133</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Air freight</w:t>
            </w:r>
          </w:p>
        </w:tc>
        <w:tc>
          <w:tcPr>
            <w:tcW w:w="3152" w:type="dxa"/>
          </w:tcPr>
          <w:p w:rsidR="00FF05E8" w:rsidRPr="0026470E" w:rsidRDefault="00FF05E8" w:rsidP="009B1EF8">
            <w:pPr>
              <w:spacing w:line="276" w:lineRule="auto"/>
              <w:rPr>
                <w:sz w:val="22"/>
                <w:szCs w:val="22"/>
              </w:rPr>
            </w:pPr>
            <w:r w:rsidRPr="0026470E">
              <w:rPr>
                <w:sz w:val="22"/>
                <w:szCs w:val="22"/>
              </w:rPr>
              <w:t>26,156t</w:t>
            </w:r>
          </w:p>
        </w:tc>
        <w:tc>
          <w:tcPr>
            <w:tcW w:w="3153" w:type="dxa"/>
          </w:tcPr>
          <w:p w:rsidR="00FF05E8" w:rsidRPr="0026470E" w:rsidRDefault="00FF05E8" w:rsidP="009B1EF8">
            <w:pPr>
              <w:spacing w:line="276" w:lineRule="auto"/>
              <w:rPr>
                <w:sz w:val="22"/>
                <w:szCs w:val="22"/>
              </w:rPr>
            </w:pPr>
            <w:r w:rsidRPr="0026470E">
              <w:rPr>
                <w:sz w:val="22"/>
                <w:szCs w:val="22"/>
              </w:rPr>
              <w:t>69,106t</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LCC penetration</w:t>
            </w:r>
          </w:p>
        </w:tc>
        <w:tc>
          <w:tcPr>
            <w:tcW w:w="3152" w:type="dxa"/>
          </w:tcPr>
          <w:p w:rsidR="00FF05E8" w:rsidRPr="0026470E" w:rsidRDefault="00FF05E8" w:rsidP="009B1EF8">
            <w:pPr>
              <w:spacing w:line="276" w:lineRule="auto"/>
              <w:rPr>
                <w:sz w:val="22"/>
                <w:szCs w:val="22"/>
              </w:rPr>
            </w:pPr>
            <w:r w:rsidRPr="0026470E">
              <w:rPr>
                <w:sz w:val="22"/>
                <w:szCs w:val="22"/>
              </w:rPr>
              <w:t>37%</w:t>
            </w:r>
          </w:p>
        </w:tc>
        <w:tc>
          <w:tcPr>
            <w:tcW w:w="3153" w:type="dxa"/>
          </w:tcPr>
          <w:p w:rsidR="00FF05E8" w:rsidRPr="0026470E" w:rsidRDefault="00FF05E8" w:rsidP="009B1EF8">
            <w:pPr>
              <w:spacing w:line="276" w:lineRule="auto"/>
              <w:rPr>
                <w:sz w:val="22"/>
                <w:szCs w:val="22"/>
              </w:rPr>
            </w:pPr>
            <w:r w:rsidRPr="0026470E">
              <w:rPr>
                <w:sz w:val="22"/>
                <w:szCs w:val="22"/>
              </w:rPr>
              <w:t>29%</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Total flights</w:t>
            </w:r>
          </w:p>
        </w:tc>
        <w:tc>
          <w:tcPr>
            <w:tcW w:w="3152" w:type="dxa"/>
          </w:tcPr>
          <w:p w:rsidR="00FF05E8" w:rsidRPr="0026470E" w:rsidRDefault="00FF05E8" w:rsidP="009B1EF8">
            <w:pPr>
              <w:spacing w:line="276" w:lineRule="auto"/>
              <w:rPr>
                <w:sz w:val="22"/>
                <w:szCs w:val="22"/>
              </w:rPr>
            </w:pPr>
            <w:r w:rsidRPr="0026470E">
              <w:rPr>
                <w:sz w:val="22"/>
                <w:szCs w:val="22"/>
              </w:rPr>
              <w:t>95,836</w:t>
            </w:r>
          </w:p>
        </w:tc>
        <w:tc>
          <w:tcPr>
            <w:tcW w:w="3153" w:type="dxa"/>
          </w:tcPr>
          <w:p w:rsidR="00FF05E8" w:rsidRPr="0026470E" w:rsidRDefault="00FF05E8" w:rsidP="009B1EF8">
            <w:pPr>
              <w:spacing w:line="276" w:lineRule="auto"/>
              <w:rPr>
                <w:sz w:val="22"/>
                <w:szCs w:val="22"/>
              </w:rPr>
            </w:pPr>
            <w:r w:rsidRPr="0026470E">
              <w:rPr>
                <w:sz w:val="22"/>
                <w:szCs w:val="22"/>
              </w:rPr>
              <w:t>152,215</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Total domestic flights</w:t>
            </w:r>
          </w:p>
        </w:tc>
        <w:tc>
          <w:tcPr>
            <w:tcW w:w="3152" w:type="dxa"/>
          </w:tcPr>
          <w:p w:rsidR="00FF05E8" w:rsidRPr="0026470E" w:rsidRDefault="00FF05E8" w:rsidP="009B1EF8">
            <w:pPr>
              <w:spacing w:line="276" w:lineRule="auto"/>
              <w:rPr>
                <w:sz w:val="22"/>
                <w:szCs w:val="22"/>
              </w:rPr>
            </w:pPr>
            <w:r w:rsidRPr="0026470E">
              <w:rPr>
                <w:sz w:val="22"/>
                <w:szCs w:val="22"/>
              </w:rPr>
              <w:t>24,492</w:t>
            </w:r>
          </w:p>
        </w:tc>
        <w:tc>
          <w:tcPr>
            <w:tcW w:w="3153" w:type="dxa"/>
          </w:tcPr>
          <w:p w:rsidR="00FF05E8" w:rsidRPr="0026470E" w:rsidRDefault="00FF05E8" w:rsidP="009B1EF8">
            <w:pPr>
              <w:spacing w:line="276" w:lineRule="auto"/>
              <w:rPr>
                <w:sz w:val="22"/>
                <w:szCs w:val="22"/>
              </w:rPr>
            </w:pPr>
            <w:r w:rsidRPr="0026470E">
              <w:rPr>
                <w:sz w:val="22"/>
                <w:szCs w:val="22"/>
              </w:rPr>
              <w:t>7,075</w:t>
            </w:r>
          </w:p>
        </w:tc>
      </w:tr>
      <w:tr w:rsidR="00FF05E8" w:rsidTr="009B1EF8">
        <w:tc>
          <w:tcPr>
            <w:tcW w:w="3152" w:type="dxa"/>
          </w:tcPr>
          <w:p w:rsidR="00FF05E8" w:rsidRPr="0026470E" w:rsidRDefault="00FF05E8" w:rsidP="009B1EF8">
            <w:pPr>
              <w:spacing w:line="276" w:lineRule="auto"/>
              <w:rPr>
                <w:sz w:val="22"/>
                <w:szCs w:val="22"/>
              </w:rPr>
            </w:pPr>
            <w:r w:rsidRPr="0026470E">
              <w:rPr>
                <w:sz w:val="22"/>
                <w:szCs w:val="22"/>
              </w:rPr>
              <w:t>Total international flights</w:t>
            </w:r>
          </w:p>
        </w:tc>
        <w:tc>
          <w:tcPr>
            <w:tcW w:w="3152" w:type="dxa"/>
          </w:tcPr>
          <w:p w:rsidR="00FF05E8" w:rsidRPr="0026470E" w:rsidRDefault="00FF05E8" w:rsidP="009B1EF8">
            <w:pPr>
              <w:spacing w:line="276" w:lineRule="auto"/>
              <w:rPr>
                <w:sz w:val="22"/>
                <w:szCs w:val="22"/>
              </w:rPr>
            </w:pPr>
            <w:r w:rsidRPr="0026470E">
              <w:rPr>
                <w:sz w:val="22"/>
                <w:szCs w:val="22"/>
              </w:rPr>
              <w:t>71,344</w:t>
            </w:r>
          </w:p>
        </w:tc>
        <w:tc>
          <w:tcPr>
            <w:tcW w:w="3153" w:type="dxa"/>
          </w:tcPr>
          <w:p w:rsidR="00FF05E8" w:rsidRPr="0026470E" w:rsidRDefault="00FF05E8" w:rsidP="009B1EF8">
            <w:pPr>
              <w:spacing w:line="276" w:lineRule="auto"/>
              <w:rPr>
                <w:sz w:val="22"/>
                <w:szCs w:val="22"/>
              </w:rPr>
            </w:pPr>
            <w:r w:rsidRPr="0026470E">
              <w:rPr>
                <w:sz w:val="22"/>
                <w:szCs w:val="22"/>
              </w:rPr>
              <w:t>145,140</w:t>
            </w:r>
          </w:p>
        </w:tc>
      </w:tr>
    </w:tbl>
    <w:p w:rsidR="00FF05E8" w:rsidRDefault="00FF05E8" w:rsidP="00FF05E8"/>
    <w:p w:rsidR="00FF05E8" w:rsidRPr="009B1EF8" w:rsidRDefault="00FF05E8" w:rsidP="009B1EF8">
      <w:pPr>
        <w:ind w:left="851"/>
        <w:rPr>
          <w:i/>
        </w:rPr>
      </w:pPr>
      <w:r w:rsidRPr="009B1EF8">
        <w:rPr>
          <w:i/>
        </w:rPr>
        <w:t>Source :Eurostat</w:t>
      </w:r>
    </w:p>
    <w:p w:rsidR="00FF05E8" w:rsidRPr="008E03B0" w:rsidRDefault="00FF05E8" w:rsidP="00EF7388">
      <w:bookmarkStart w:id="61" w:name="_Toc396234280"/>
      <w:r>
        <w:t>Intermodal Transport Trends</w:t>
      </w:r>
      <w:bookmarkEnd w:id="61"/>
    </w:p>
    <w:p w:rsidR="00FF05E8" w:rsidRPr="000D2EAF" w:rsidRDefault="00FF05E8" w:rsidP="00A4081F">
      <w:pPr>
        <w:pStyle w:val="NumberedParas"/>
        <w:rPr>
          <w:lang w:eastAsia="en-GB"/>
        </w:rPr>
      </w:pPr>
      <w:r w:rsidRPr="000D2EAF">
        <w:rPr>
          <w:lang w:eastAsia="en-GB"/>
        </w:rPr>
        <w:t xml:space="preserve">The table below demonstrates that Romania transports far fewer containers by rail than many other European countries (although in excess of neighbours Bulgaria). The table shows that containerisation is particularly advanced in Italy, Turkey, Austria and Germany but Bulgaria and Romania are lagging behind. The volume and percentage in countries like Austria are high due to the Alpine effect where on certain routes it is compulsory to use rail services and there is a considerable volume of transit traffic. Nevertheless Romania could </w:t>
      </w:r>
      <w:r>
        <w:rPr>
          <w:lang w:eastAsia="en-GB"/>
        </w:rPr>
        <w:t xml:space="preserve">potentially </w:t>
      </w:r>
      <w:r w:rsidRPr="000D2EAF">
        <w:rPr>
          <w:lang w:eastAsia="en-GB"/>
        </w:rPr>
        <w:t>also attract significant volumes of transit traffic.</w:t>
      </w:r>
    </w:p>
    <w:p w:rsidR="00FF05E8" w:rsidRPr="009B1EF8" w:rsidRDefault="009B1EF8" w:rsidP="009B1EF8">
      <w:pPr>
        <w:pStyle w:val="Body"/>
        <w:ind w:left="851"/>
        <w:rPr>
          <w:b/>
          <w:i w:val="0"/>
          <w:lang w:eastAsia="en-GB"/>
        </w:rPr>
      </w:pPr>
      <w:r w:rsidRPr="009B1EF8">
        <w:rPr>
          <w:b/>
          <w:i w:val="0"/>
          <w:lang w:eastAsia="en-GB"/>
        </w:rPr>
        <w:t>Table 3.16</w:t>
      </w:r>
      <w:r w:rsidR="00FF05E8" w:rsidRPr="009B1EF8">
        <w:rPr>
          <w:b/>
          <w:i w:val="0"/>
          <w:lang w:eastAsia="en-GB"/>
        </w:rPr>
        <w:t xml:space="preserve"> Annual railway transport of goods (containers and swap bodies) in intermodal transport units (in 000s tonnes) and the % of total rail freight containers represent</w:t>
      </w:r>
    </w:p>
    <w:tbl>
      <w:tblPr>
        <w:tblW w:w="0" w:type="auto"/>
        <w:tblInd w:w="851" w:type="dxa"/>
        <w:tblLook w:val="04A0" w:firstRow="1" w:lastRow="0" w:firstColumn="1" w:lastColumn="0" w:noHBand="0" w:noVBand="1"/>
      </w:tblPr>
      <w:tblGrid>
        <w:gridCol w:w="1782"/>
        <w:gridCol w:w="2103"/>
        <w:gridCol w:w="2103"/>
        <w:gridCol w:w="1834"/>
        <w:gridCol w:w="1834"/>
      </w:tblGrid>
      <w:tr w:rsidR="00FF05E8" w:rsidRPr="001B297A" w:rsidTr="009B1EF8">
        <w:trPr>
          <w:trHeight w:val="885"/>
        </w:trPr>
        <w:tc>
          <w:tcPr>
            <w:tcW w:w="0" w:type="auto"/>
            <w:vMerge w:val="restart"/>
            <w:tcBorders>
              <w:top w:val="single" w:sz="4" w:space="0" w:color="auto"/>
              <w:left w:val="single" w:sz="4" w:space="0" w:color="auto"/>
              <w:bottom w:val="single" w:sz="4" w:space="0" w:color="auto"/>
              <w:right w:val="single" w:sz="4" w:space="0" w:color="auto"/>
            </w:tcBorders>
            <w:shd w:val="clear" w:color="auto" w:fill="B6DDE8"/>
            <w:noWrap/>
            <w:vAlign w:val="center"/>
            <w:hideMark/>
          </w:tcPr>
          <w:p w:rsidR="00FF05E8" w:rsidRPr="001B297A" w:rsidRDefault="00FF05E8" w:rsidP="001B297A">
            <w:pPr>
              <w:jc w:val="center"/>
              <w:rPr>
                <w:b/>
                <w:sz w:val="22"/>
                <w:szCs w:val="22"/>
                <w:lang w:eastAsia="en-GB"/>
              </w:rPr>
            </w:pPr>
            <w:r w:rsidRPr="001B297A">
              <w:rPr>
                <w:b/>
                <w:sz w:val="22"/>
                <w:szCs w:val="22"/>
                <w:lang w:eastAsia="en-GB"/>
              </w:rPr>
              <w:t>Country</w:t>
            </w:r>
          </w:p>
        </w:tc>
        <w:tc>
          <w:tcPr>
            <w:tcW w:w="0" w:type="auto"/>
            <w:gridSpan w:val="2"/>
            <w:tcBorders>
              <w:top w:val="single" w:sz="4" w:space="0" w:color="auto"/>
              <w:left w:val="nil"/>
              <w:bottom w:val="single" w:sz="4" w:space="0" w:color="auto"/>
              <w:right w:val="single" w:sz="4" w:space="0" w:color="000000"/>
            </w:tcBorders>
            <w:shd w:val="clear" w:color="auto" w:fill="B6DDE8"/>
            <w:vAlign w:val="center"/>
            <w:hideMark/>
          </w:tcPr>
          <w:p w:rsidR="00FF05E8" w:rsidRPr="001B297A" w:rsidRDefault="00FF05E8" w:rsidP="001B297A">
            <w:pPr>
              <w:jc w:val="center"/>
              <w:rPr>
                <w:b/>
                <w:sz w:val="22"/>
                <w:szCs w:val="22"/>
                <w:lang w:eastAsia="en-GB"/>
              </w:rPr>
            </w:pPr>
            <w:r w:rsidRPr="001B297A">
              <w:rPr>
                <w:b/>
                <w:sz w:val="22"/>
                <w:szCs w:val="22"/>
                <w:lang w:eastAsia="en-GB"/>
              </w:rPr>
              <w:t>Total volume of containers and swap bodies ('000 tonnes)</w:t>
            </w:r>
          </w:p>
        </w:tc>
        <w:tc>
          <w:tcPr>
            <w:tcW w:w="0" w:type="auto"/>
            <w:gridSpan w:val="2"/>
            <w:tcBorders>
              <w:top w:val="single" w:sz="4" w:space="0" w:color="auto"/>
              <w:left w:val="nil"/>
              <w:bottom w:val="single" w:sz="4" w:space="0" w:color="auto"/>
              <w:right w:val="single" w:sz="4" w:space="0" w:color="auto"/>
            </w:tcBorders>
            <w:shd w:val="clear" w:color="auto" w:fill="B6DDE8"/>
            <w:vAlign w:val="center"/>
            <w:hideMark/>
          </w:tcPr>
          <w:p w:rsidR="00FF05E8" w:rsidRPr="001B297A" w:rsidRDefault="00FF05E8" w:rsidP="001B297A">
            <w:pPr>
              <w:jc w:val="center"/>
              <w:rPr>
                <w:b/>
                <w:sz w:val="22"/>
                <w:szCs w:val="22"/>
                <w:lang w:eastAsia="en-GB"/>
              </w:rPr>
            </w:pPr>
            <w:r w:rsidRPr="001B297A">
              <w:rPr>
                <w:b/>
                <w:sz w:val="22"/>
                <w:szCs w:val="22"/>
                <w:lang w:eastAsia="en-GB"/>
              </w:rPr>
              <w:t>% in containers of total goods transported by rail</w:t>
            </w:r>
          </w:p>
        </w:tc>
      </w:tr>
      <w:tr w:rsidR="00FF05E8" w:rsidRPr="001B297A" w:rsidTr="009B1EF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F05E8" w:rsidRPr="001B297A" w:rsidRDefault="00FF05E8" w:rsidP="001B297A">
            <w:pPr>
              <w:jc w:val="center"/>
              <w:rPr>
                <w:b/>
                <w:sz w:val="22"/>
                <w:szCs w:val="22"/>
                <w:lang w:eastAsia="en-GB"/>
              </w:rPr>
            </w:pPr>
          </w:p>
        </w:tc>
        <w:tc>
          <w:tcPr>
            <w:tcW w:w="0" w:type="auto"/>
            <w:tcBorders>
              <w:top w:val="nil"/>
              <w:left w:val="nil"/>
              <w:bottom w:val="single" w:sz="4" w:space="0" w:color="auto"/>
              <w:right w:val="single" w:sz="4" w:space="0" w:color="auto"/>
            </w:tcBorders>
            <w:shd w:val="clear" w:color="auto" w:fill="B6DDE8"/>
            <w:noWrap/>
            <w:vAlign w:val="center"/>
            <w:hideMark/>
          </w:tcPr>
          <w:p w:rsidR="00FF05E8" w:rsidRPr="001B297A" w:rsidRDefault="00FF05E8" w:rsidP="001B297A">
            <w:pPr>
              <w:jc w:val="center"/>
              <w:rPr>
                <w:b/>
                <w:sz w:val="22"/>
                <w:szCs w:val="22"/>
                <w:lang w:eastAsia="en-GB"/>
              </w:rPr>
            </w:pPr>
            <w:r w:rsidRPr="001B297A">
              <w:rPr>
                <w:b/>
                <w:sz w:val="22"/>
                <w:szCs w:val="22"/>
                <w:lang w:eastAsia="en-GB"/>
              </w:rPr>
              <w:t>2011</w:t>
            </w:r>
          </w:p>
        </w:tc>
        <w:tc>
          <w:tcPr>
            <w:tcW w:w="0" w:type="auto"/>
            <w:tcBorders>
              <w:top w:val="nil"/>
              <w:left w:val="nil"/>
              <w:bottom w:val="single" w:sz="4" w:space="0" w:color="auto"/>
              <w:right w:val="single" w:sz="4" w:space="0" w:color="auto"/>
            </w:tcBorders>
            <w:shd w:val="clear" w:color="auto" w:fill="B6DDE8"/>
            <w:noWrap/>
            <w:vAlign w:val="center"/>
            <w:hideMark/>
          </w:tcPr>
          <w:p w:rsidR="00FF05E8" w:rsidRPr="001B297A" w:rsidRDefault="00FF05E8" w:rsidP="001B297A">
            <w:pPr>
              <w:jc w:val="center"/>
              <w:rPr>
                <w:b/>
                <w:sz w:val="22"/>
                <w:szCs w:val="22"/>
                <w:lang w:eastAsia="en-GB"/>
              </w:rPr>
            </w:pPr>
            <w:r w:rsidRPr="001B297A">
              <w:rPr>
                <w:b/>
                <w:sz w:val="22"/>
                <w:szCs w:val="22"/>
                <w:lang w:eastAsia="en-GB"/>
              </w:rPr>
              <w:t>2012</w:t>
            </w:r>
          </w:p>
        </w:tc>
        <w:tc>
          <w:tcPr>
            <w:tcW w:w="0" w:type="auto"/>
            <w:tcBorders>
              <w:top w:val="nil"/>
              <w:left w:val="nil"/>
              <w:bottom w:val="single" w:sz="4" w:space="0" w:color="auto"/>
              <w:right w:val="single" w:sz="4" w:space="0" w:color="auto"/>
            </w:tcBorders>
            <w:shd w:val="clear" w:color="auto" w:fill="B6DDE8"/>
            <w:noWrap/>
            <w:vAlign w:val="center"/>
            <w:hideMark/>
          </w:tcPr>
          <w:p w:rsidR="00FF05E8" w:rsidRPr="001B297A" w:rsidRDefault="00FF05E8" w:rsidP="001B297A">
            <w:pPr>
              <w:jc w:val="center"/>
              <w:rPr>
                <w:b/>
                <w:sz w:val="22"/>
                <w:szCs w:val="22"/>
                <w:lang w:eastAsia="en-GB"/>
              </w:rPr>
            </w:pPr>
            <w:r w:rsidRPr="001B297A">
              <w:rPr>
                <w:b/>
                <w:sz w:val="22"/>
                <w:szCs w:val="22"/>
                <w:lang w:eastAsia="en-GB"/>
              </w:rPr>
              <w:t>2011</w:t>
            </w:r>
          </w:p>
        </w:tc>
        <w:tc>
          <w:tcPr>
            <w:tcW w:w="0" w:type="auto"/>
            <w:tcBorders>
              <w:top w:val="nil"/>
              <w:left w:val="nil"/>
              <w:bottom w:val="single" w:sz="4" w:space="0" w:color="auto"/>
              <w:right w:val="single" w:sz="4" w:space="0" w:color="auto"/>
            </w:tcBorders>
            <w:shd w:val="clear" w:color="auto" w:fill="B6DDE8"/>
            <w:noWrap/>
            <w:vAlign w:val="center"/>
            <w:hideMark/>
          </w:tcPr>
          <w:p w:rsidR="00FF05E8" w:rsidRPr="001B297A" w:rsidRDefault="00FF05E8" w:rsidP="001B297A">
            <w:pPr>
              <w:jc w:val="center"/>
              <w:rPr>
                <w:b/>
                <w:sz w:val="22"/>
                <w:szCs w:val="22"/>
                <w:lang w:eastAsia="en-GB"/>
              </w:rPr>
            </w:pPr>
            <w:r w:rsidRPr="001B297A">
              <w:rPr>
                <w:b/>
                <w:sz w:val="22"/>
                <w:szCs w:val="22"/>
                <w:lang w:eastAsia="en-GB"/>
              </w:rPr>
              <w:t>2012</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Austria</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16,312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15,806</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18.2%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19.0%</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Bulgaria</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789</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664</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5.8%</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5.6%</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Czech Republic</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7,321</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7,852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8.4%</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9.5%</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Germany</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64,301</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66,230</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17.2%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18.1%</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Italy</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34,275</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33,985</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43.4%</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45.1%</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Romania</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2,611</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2,372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4.6%</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4.7%</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Turkey</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7,601</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8,264</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30.7%</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33.2%</w:t>
            </w:r>
          </w:p>
        </w:tc>
      </w:tr>
      <w:tr w:rsidR="00FF05E8" w:rsidRPr="001B297A" w:rsidTr="009B1EF8">
        <w:trPr>
          <w:trHeight w:val="285"/>
        </w:trPr>
        <w:tc>
          <w:tcPr>
            <w:tcW w:w="0" w:type="auto"/>
            <w:tcBorders>
              <w:top w:val="nil"/>
              <w:left w:val="single" w:sz="4" w:space="0" w:color="auto"/>
              <w:bottom w:val="single" w:sz="4" w:space="0" w:color="auto"/>
              <w:right w:val="single" w:sz="4" w:space="0" w:color="auto"/>
            </w:tcBorders>
            <w:noWrap/>
            <w:vAlign w:val="center"/>
            <w:hideMark/>
          </w:tcPr>
          <w:p w:rsidR="00FF05E8" w:rsidRPr="001B297A" w:rsidRDefault="00FF05E8" w:rsidP="001B297A">
            <w:pPr>
              <w:rPr>
                <w:sz w:val="22"/>
                <w:szCs w:val="22"/>
                <w:lang w:eastAsia="en-GB"/>
              </w:rPr>
            </w:pPr>
            <w:r w:rsidRPr="001B297A">
              <w:rPr>
                <w:sz w:val="22"/>
                <w:szCs w:val="22"/>
                <w:lang w:eastAsia="en-GB"/>
              </w:rPr>
              <w:t>United Kingdom</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11,098</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11,742</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11.1%</w:t>
            </w:r>
          </w:p>
        </w:tc>
        <w:tc>
          <w:tcPr>
            <w:tcW w:w="0" w:type="auto"/>
            <w:tcBorders>
              <w:top w:val="nil"/>
              <w:left w:val="nil"/>
              <w:bottom w:val="single" w:sz="4" w:space="0" w:color="auto"/>
              <w:right w:val="single" w:sz="4" w:space="0" w:color="auto"/>
            </w:tcBorders>
            <w:noWrap/>
            <w:vAlign w:val="center"/>
            <w:hideMark/>
          </w:tcPr>
          <w:p w:rsidR="00FF05E8" w:rsidRPr="001B297A" w:rsidRDefault="00FF05E8" w:rsidP="001B297A">
            <w:pPr>
              <w:jc w:val="center"/>
              <w:rPr>
                <w:sz w:val="22"/>
                <w:szCs w:val="22"/>
                <w:lang w:eastAsia="en-GB"/>
              </w:rPr>
            </w:pPr>
            <w:r w:rsidRPr="001B297A">
              <w:rPr>
                <w:sz w:val="22"/>
                <w:szCs w:val="22"/>
                <w:lang w:eastAsia="en-GB"/>
              </w:rPr>
              <w:t>10.2%</w:t>
            </w:r>
          </w:p>
        </w:tc>
      </w:tr>
    </w:tbl>
    <w:p w:rsidR="00FF05E8" w:rsidRPr="009B1EF8" w:rsidRDefault="00FF05E8" w:rsidP="009B1EF8">
      <w:pPr>
        <w:pStyle w:val="Body"/>
        <w:spacing w:before="0" w:after="0"/>
        <w:ind w:left="851"/>
        <w:rPr>
          <w:sz w:val="18"/>
          <w:szCs w:val="18"/>
          <w:lang w:eastAsia="en-GB"/>
        </w:rPr>
      </w:pPr>
      <w:r w:rsidRPr="009B1EF8">
        <w:rPr>
          <w:sz w:val="18"/>
          <w:szCs w:val="18"/>
          <w:lang w:eastAsia="en-GB"/>
        </w:rPr>
        <w:t xml:space="preserve"> (Source Eurostat)</w:t>
      </w:r>
    </w:p>
    <w:p w:rsidR="00FF05E8" w:rsidRDefault="00FF05E8" w:rsidP="00FF05E8"/>
    <w:p w:rsidR="00FF05E8" w:rsidRDefault="00FF05E8">
      <w:pPr>
        <w:rPr>
          <w:sz w:val="22"/>
          <w:szCs w:val="22"/>
        </w:rPr>
      </w:pPr>
      <w:r>
        <w:br w:type="page"/>
      </w:r>
    </w:p>
    <w:p w:rsidR="00FF05E8" w:rsidRPr="008E03B0" w:rsidRDefault="00FF05E8" w:rsidP="00045287">
      <w:pPr>
        <w:pStyle w:val="Hdg2"/>
      </w:pPr>
      <w:bookmarkStart w:id="62" w:name="_Toc396234282"/>
      <w:bookmarkStart w:id="63" w:name="_Toc413056041"/>
      <w:r>
        <w:t>Transport and Economic Development</w:t>
      </w:r>
      <w:bookmarkEnd w:id="62"/>
      <w:bookmarkEnd w:id="63"/>
    </w:p>
    <w:p w:rsidR="00FF05E8" w:rsidRDefault="00FF05E8" w:rsidP="00A4081F">
      <w:pPr>
        <w:pStyle w:val="NumberedParas"/>
        <w:rPr>
          <w:shd w:val="clear" w:color="auto" w:fill="FFFFFF"/>
        </w:rPr>
      </w:pPr>
      <w:r w:rsidRPr="00593AC4">
        <w:rPr>
          <w:shd w:val="clear" w:color="auto" w:fill="FFFFFF"/>
        </w:rPr>
        <w:t>Efficient transport is a critical component of economic development, globally and nationally. Transport availability affects global development patterns and can be a boost or a barrier to economic growth within individual nations.</w:t>
      </w:r>
      <w:r w:rsidRPr="00630948">
        <w:t> </w:t>
      </w:r>
      <w:r w:rsidRPr="00593AC4">
        <w:rPr>
          <w:shd w:val="clear" w:color="auto" w:fill="FFFFFF"/>
        </w:rPr>
        <w:t>Transportation investments link factors of production together in a web of relationships between producers and consumers to create a more efficient division of production, leverage geographical comparative advantage, and provide the means to expand economies of scale and scope. Transport’s contribution to economic dev</w:t>
      </w:r>
      <w:r>
        <w:rPr>
          <w:shd w:val="clear" w:color="auto" w:fill="FFFFFF"/>
        </w:rPr>
        <w:t>elopment operates through the following mechanisms:</w:t>
      </w:r>
    </w:p>
    <w:p w:rsidR="00FF05E8" w:rsidRPr="00D62AEF" w:rsidRDefault="00FF05E8" w:rsidP="00273D5E">
      <w:pPr>
        <w:pStyle w:val="BulletLevel1"/>
        <w:rPr>
          <w:lang w:eastAsia="en-GB"/>
        </w:rPr>
      </w:pPr>
      <w:r w:rsidRPr="00D62AEF">
        <w:rPr>
          <w:lang w:eastAsia="en-GB"/>
        </w:rPr>
        <w:t>Increasing business efficiency, through time savings and improved reliability for</w:t>
      </w:r>
      <w:r>
        <w:rPr>
          <w:lang w:eastAsia="en-GB"/>
        </w:rPr>
        <w:t xml:space="preserve"> </w:t>
      </w:r>
      <w:r w:rsidRPr="00D62AEF">
        <w:rPr>
          <w:lang w:eastAsia="en-GB"/>
        </w:rPr>
        <w:t xml:space="preserve">business travellers, freight and logistics operations. </w:t>
      </w:r>
    </w:p>
    <w:p w:rsidR="00FF05E8" w:rsidRPr="00D62AEF" w:rsidRDefault="00FF05E8" w:rsidP="00273D5E">
      <w:pPr>
        <w:pStyle w:val="BulletLevel1"/>
        <w:rPr>
          <w:lang w:eastAsia="en-GB"/>
        </w:rPr>
      </w:pPr>
      <w:r w:rsidRPr="00D62AEF">
        <w:rPr>
          <w:lang w:eastAsia="en-GB"/>
        </w:rPr>
        <w:t>Increasing business investment and innovation by supporting economies of</w:t>
      </w:r>
      <w:r>
        <w:rPr>
          <w:lang w:eastAsia="en-GB"/>
        </w:rPr>
        <w:t xml:space="preserve"> </w:t>
      </w:r>
      <w:r w:rsidRPr="00D62AEF">
        <w:rPr>
          <w:lang w:eastAsia="en-GB"/>
        </w:rPr>
        <w:t xml:space="preserve">scale or new ways of working. </w:t>
      </w:r>
    </w:p>
    <w:p w:rsidR="00FF05E8" w:rsidRPr="00D62AEF" w:rsidRDefault="00FF05E8" w:rsidP="00273D5E">
      <w:pPr>
        <w:pStyle w:val="BulletLevel1"/>
        <w:rPr>
          <w:lang w:eastAsia="en-GB"/>
        </w:rPr>
      </w:pPr>
      <w:r w:rsidRPr="00D62AEF">
        <w:rPr>
          <w:lang w:eastAsia="en-GB"/>
        </w:rPr>
        <w:t>Supporting clusters and agglomerations of economic activity. Transport improvements can expand labour market catchments, improve job matching, and</w:t>
      </w:r>
      <w:r>
        <w:rPr>
          <w:lang w:eastAsia="en-GB"/>
        </w:rPr>
        <w:t xml:space="preserve"> </w:t>
      </w:r>
      <w:r w:rsidRPr="00D62AEF">
        <w:rPr>
          <w:lang w:eastAsia="en-GB"/>
        </w:rPr>
        <w:t>facilitate business to business interactions. Such productivity effects extend across commuter and business travel catchment areas.</w:t>
      </w:r>
    </w:p>
    <w:p w:rsidR="00FF05E8" w:rsidRPr="00D62AEF" w:rsidRDefault="00FF05E8" w:rsidP="00273D5E">
      <w:pPr>
        <w:pStyle w:val="BulletLevel1"/>
        <w:rPr>
          <w:lang w:eastAsia="en-GB"/>
        </w:rPr>
      </w:pPr>
      <w:r w:rsidRPr="00D62AEF">
        <w:rPr>
          <w:lang w:eastAsia="en-GB"/>
        </w:rPr>
        <w:t>Improving the efficient functioning of labour markets, increasing labour market flexibility and the accessibility of jobs. Transport can facilitate geographic and employment mobility in response to shifting economic activity e.g. in response to the forces of globalisation, new technological opportunities, and rising part-time</w:t>
      </w:r>
      <w:r>
        <w:rPr>
          <w:lang w:eastAsia="en-GB"/>
        </w:rPr>
        <w:t xml:space="preserve"> </w:t>
      </w:r>
      <w:r w:rsidRPr="00D62AEF">
        <w:rPr>
          <w:lang w:eastAsia="en-GB"/>
        </w:rPr>
        <w:t xml:space="preserve">and female participation in the labour market. </w:t>
      </w:r>
    </w:p>
    <w:p w:rsidR="00FF05E8" w:rsidRPr="00D62AEF" w:rsidRDefault="00FF05E8" w:rsidP="00273D5E">
      <w:pPr>
        <w:pStyle w:val="BulletLevel1"/>
        <w:rPr>
          <w:lang w:eastAsia="en-GB"/>
        </w:rPr>
      </w:pPr>
      <w:r w:rsidRPr="00D62AEF">
        <w:rPr>
          <w:lang w:eastAsia="en-GB"/>
        </w:rPr>
        <w:t>Increasing competition by opening up access to new markets. Transport improvements can allow businesses to trade over a wider area, increasing</w:t>
      </w:r>
      <w:r>
        <w:rPr>
          <w:lang w:eastAsia="en-GB"/>
        </w:rPr>
        <w:t xml:space="preserve"> </w:t>
      </w:r>
      <w:r w:rsidRPr="00D62AEF">
        <w:rPr>
          <w:lang w:eastAsia="en-GB"/>
        </w:rPr>
        <w:t xml:space="preserve">competitive pressure and providing consumers with more choice. </w:t>
      </w:r>
      <w:r>
        <w:rPr>
          <w:lang w:eastAsia="en-GB"/>
        </w:rPr>
        <w:t xml:space="preserve"> R</w:t>
      </w:r>
      <w:r w:rsidRPr="00D62AEF">
        <w:rPr>
          <w:lang w:eastAsia="en-GB"/>
        </w:rPr>
        <w:t>omania will benefit from both improvements in internal connectivity and international connectivity.</w:t>
      </w:r>
    </w:p>
    <w:p w:rsidR="00FF05E8" w:rsidRPr="00D62AEF" w:rsidRDefault="00FF05E8" w:rsidP="00273D5E">
      <w:pPr>
        <w:pStyle w:val="BulletLevel1"/>
        <w:rPr>
          <w:lang w:eastAsia="en-GB"/>
        </w:rPr>
      </w:pPr>
      <w:r w:rsidRPr="00D62AEF">
        <w:rPr>
          <w:lang w:eastAsia="en-GB"/>
        </w:rPr>
        <w:t>Increasing domestic and international trade by reducing the costs of trading.</w:t>
      </w:r>
      <w:r>
        <w:rPr>
          <w:lang w:eastAsia="en-GB"/>
        </w:rPr>
        <w:t xml:space="preserve">  </w:t>
      </w:r>
      <w:r w:rsidRPr="00D62AEF">
        <w:rPr>
          <w:lang w:eastAsia="en-GB"/>
        </w:rPr>
        <w:t>Domestic trade links are particularly important to the economic success of some urban areas.</w:t>
      </w:r>
    </w:p>
    <w:p w:rsidR="00FF05E8" w:rsidRPr="00D62AEF" w:rsidRDefault="00FF05E8" w:rsidP="00273D5E">
      <w:pPr>
        <w:pStyle w:val="BulletLevel1"/>
      </w:pPr>
      <w:r w:rsidRPr="00D62AEF">
        <w:rPr>
          <w:lang w:eastAsia="en-GB"/>
        </w:rPr>
        <w:t>Attracting globally mobile activity to Romania by providing an attractive business environment and good quality of life. Such effects are of increasing importance but extremely difficult to quantify. However, the strategic focus of</w:t>
      </w:r>
      <w:r>
        <w:rPr>
          <w:lang w:eastAsia="en-GB"/>
        </w:rPr>
        <w:t xml:space="preserve"> </w:t>
      </w:r>
      <w:r w:rsidRPr="00D62AEF">
        <w:rPr>
          <w:lang w:eastAsia="en-GB"/>
        </w:rPr>
        <w:t>transport policy can be guided by the survey evidence which suggests that both domestic and international transport links can be important to attracting,</w:t>
      </w:r>
      <w:r>
        <w:rPr>
          <w:lang w:eastAsia="en-GB"/>
        </w:rPr>
        <w:t xml:space="preserve"> </w:t>
      </w:r>
      <w:r w:rsidRPr="00D62AEF">
        <w:rPr>
          <w:lang w:eastAsia="en-GB"/>
        </w:rPr>
        <w:t>retaining and expanding such activity, and that there is much commonality</w:t>
      </w:r>
    </w:p>
    <w:p w:rsidR="00FF05E8" w:rsidRDefault="00FF05E8" w:rsidP="00A4081F">
      <w:pPr>
        <w:pStyle w:val="NumberedParas"/>
      </w:pPr>
      <w:r>
        <w:t>The fundamental requirement from the Master Plan is that the identified investment plan, however funded and by whatever agency, must make a positive contribution to Romania’s economic development. The economic benefits from the overall strategy must be greater than the invest</w:t>
      </w:r>
      <w:r w:rsidR="00066342">
        <w:t>ment required to produce them.</w:t>
      </w:r>
    </w:p>
    <w:p w:rsidR="00FF05E8" w:rsidRPr="00343A43" w:rsidRDefault="00FF05E8" w:rsidP="00FF05E8">
      <w:pPr>
        <w:rPr>
          <w:color w:val="000000"/>
        </w:rPr>
      </w:pPr>
    </w:p>
    <w:p w:rsidR="0018508A" w:rsidRPr="00C8675F" w:rsidRDefault="0018508A" w:rsidP="0018508A">
      <w:pPr>
        <w:sectPr w:rsidR="0018508A" w:rsidRPr="00C8675F" w:rsidSect="00933C17">
          <w:headerReference w:type="default" r:id="rId84"/>
          <w:pgSz w:w="11907" w:h="16840" w:code="9"/>
          <w:pgMar w:top="1418" w:right="709" w:bottom="1418" w:left="907" w:header="357" w:footer="567" w:gutter="0"/>
          <w:cols w:space="187"/>
          <w:docGrid w:linePitch="360"/>
        </w:sectPr>
      </w:pPr>
    </w:p>
    <w:p w:rsidR="0018508A" w:rsidRPr="00C8675F" w:rsidRDefault="0018508A" w:rsidP="0018508A">
      <w:pPr>
        <w:rPr>
          <w:b/>
        </w:rPr>
        <w:sectPr w:rsidR="0018508A" w:rsidRPr="00C8675F">
          <w:headerReference w:type="default" r:id="rId85"/>
          <w:footerReference w:type="default" r:id="rId86"/>
          <w:pgSz w:w="11907" w:h="16840" w:code="9"/>
          <w:pgMar w:top="-3640" w:right="709" w:bottom="1729" w:left="6146" w:header="357" w:footer="567" w:gutter="0"/>
          <w:cols w:space="720"/>
          <w:docGrid w:linePitch="360"/>
        </w:sectPr>
      </w:pPr>
    </w:p>
    <w:p w:rsidR="0018508A" w:rsidRPr="00C8675F" w:rsidRDefault="00DD636E" w:rsidP="0018508A">
      <w:pPr>
        <w:pStyle w:val="SecDivider0"/>
        <w:rPr>
          <w:lang w:val="en-GB"/>
        </w:rPr>
      </w:pPr>
      <w:r>
        <w:rPr>
          <w:lang w:val="en-GB"/>
        </w:rPr>
        <w:t>Road Transport</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18508A" w:rsidRDefault="00DD636E" w:rsidP="001C6C79">
      <w:pPr>
        <w:pStyle w:val="Hdg1"/>
        <w:framePr w:wrap="notBeside"/>
      </w:pPr>
      <w:bookmarkStart w:id="64" w:name="_Toc413056042"/>
      <w:r>
        <w:t>Road Transport</w:t>
      </w:r>
      <w:bookmarkEnd w:id="64"/>
    </w:p>
    <w:p w:rsidR="003E7ADF" w:rsidRDefault="003E7ADF" w:rsidP="003E7ADF"/>
    <w:p w:rsidR="00100F8F" w:rsidRDefault="00100F8F" w:rsidP="00045287">
      <w:pPr>
        <w:pStyle w:val="Hdg2"/>
      </w:pPr>
      <w:bookmarkStart w:id="65" w:name="_Toc413056043"/>
      <w:bookmarkStart w:id="66" w:name="_Toc397065252"/>
      <w:r>
        <w:t>Structure of this Chapter</w:t>
      </w:r>
      <w:bookmarkEnd w:id="65"/>
    </w:p>
    <w:bookmarkEnd w:id="66"/>
    <w:p w:rsidR="0085264B" w:rsidRDefault="0085264B" w:rsidP="0085264B">
      <w:pPr>
        <w:pStyle w:val="NumberedParas"/>
        <w:tabs>
          <w:tab w:val="clear" w:pos="2291"/>
          <w:tab w:val="left" w:pos="851"/>
          <w:tab w:val="left" w:pos="2268"/>
          <w:tab w:val="num" w:pos="2433"/>
        </w:tabs>
        <w:ind w:left="851" w:hanging="851"/>
      </w:pPr>
      <w:r>
        <w:t>This chapter sets out the way in which the recommended improvements to the road transport sector were identified. The structure of this chapter is as follows:</w:t>
      </w:r>
    </w:p>
    <w:p w:rsidR="0085264B" w:rsidRDefault="0085264B" w:rsidP="00273D5E">
      <w:pPr>
        <w:pStyle w:val="BulletLevel1"/>
      </w:pPr>
      <w:r>
        <w:t>Current Situation;</w:t>
      </w:r>
    </w:p>
    <w:p w:rsidR="0085264B" w:rsidRDefault="0085264B" w:rsidP="00273D5E">
      <w:pPr>
        <w:pStyle w:val="BulletLevel1"/>
      </w:pPr>
      <w:r>
        <w:t>Strategic Objectives;</w:t>
      </w:r>
    </w:p>
    <w:p w:rsidR="0085264B" w:rsidRDefault="0085264B" w:rsidP="00273D5E">
      <w:pPr>
        <w:pStyle w:val="BulletLevel1"/>
      </w:pPr>
      <w:r>
        <w:t>Operational Objectives;</w:t>
      </w:r>
    </w:p>
    <w:p w:rsidR="0085264B" w:rsidRDefault="0085264B" w:rsidP="00273D5E">
      <w:pPr>
        <w:pStyle w:val="BulletLevel1"/>
      </w:pPr>
      <w:r>
        <w:t>Cost Benefit Analysis (CBA);</w:t>
      </w:r>
    </w:p>
    <w:p w:rsidR="0085264B" w:rsidRDefault="0085264B" w:rsidP="00273D5E">
      <w:pPr>
        <w:pStyle w:val="BulletLevel1"/>
      </w:pPr>
      <w:r>
        <w:t>Multi Criteria Analysis (MCA);</w:t>
      </w:r>
    </w:p>
    <w:p w:rsidR="0085264B" w:rsidRDefault="0085264B" w:rsidP="00273D5E">
      <w:pPr>
        <w:pStyle w:val="BulletLevel1"/>
      </w:pPr>
      <w:r>
        <w:t>Maintenance Needs;</w:t>
      </w:r>
    </w:p>
    <w:p w:rsidR="0085264B" w:rsidRDefault="0085264B" w:rsidP="00273D5E">
      <w:pPr>
        <w:pStyle w:val="BulletLevel1"/>
      </w:pPr>
      <w:r>
        <w:t>Institutional Reform; and</w:t>
      </w:r>
    </w:p>
    <w:p w:rsidR="0085264B" w:rsidRDefault="0085264B" w:rsidP="00273D5E">
      <w:pPr>
        <w:pStyle w:val="BulletLevel1"/>
      </w:pPr>
      <w:r>
        <w:t>Summary of Interventions.</w:t>
      </w:r>
    </w:p>
    <w:p w:rsidR="0085264B" w:rsidRDefault="0085264B" w:rsidP="0085264B">
      <w:pPr>
        <w:pStyle w:val="NumberedParas"/>
        <w:tabs>
          <w:tab w:val="clear" w:pos="2291"/>
          <w:tab w:val="left" w:pos="851"/>
          <w:tab w:val="left" w:pos="2268"/>
          <w:tab w:val="num" w:pos="2433"/>
        </w:tabs>
        <w:ind w:left="851" w:hanging="851"/>
      </w:pPr>
      <w:r>
        <w:t>Extensive use is made of the National Transport Model in providing analysis and outputs to support the conclusions reached, particularly with regard to objectives and the cost benefit and multi criteria analyses. The overall approach was to identify potential individual projects, based on specific identified issues, and then test these individually to see how they performed in terms of CBA and MCA.</w:t>
      </w:r>
    </w:p>
    <w:p w:rsidR="0085264B" w:rsidRDefault="0085264B" w:rsidP="0085264B">
      <w:pPr>
        <w:pStyle w:val="NumberedParas"/>
        <w:tabs>
          <w:tab w:val="clear" w:pos="2291"/>
          <w:tab w:val="left" w:pos="851"/>
          <w:tab w:val="left" w:pos="2268"/>
          <w:tab w:val="num" w:pos="2433"/>
        </w:tabs>
        <w:ind w:left="851" w:hanging="851"/>
      </w:pPr>
      <w:r>
        <w:t>Projects were then grouped into scenarios, which often involved some refinement of individual projects, in order to provide a cohesive and logical network at each stage.</w:t>
      </w:r>
    </w:p>
    <w:p w:rsidR="0085264B" w:rsidRPr="008E03B0" w:rsidRDefault="0085264B" w:rsidP="0085264B">
      <w:pPr>
        <w:pStyle w:val="Hdg2"/>
        <w:tabs>
          <w:tab w:val="clear" w:pos="2138"/>
          <w:tab w:val="num" w:pos="1430"/>
        </w:tabs>
        <w:ind w:left="851" w:hanging="851"/>
      </w:pPr>
      <w:bookmarkStart w:id="67" w:name="_Toc410648982"/>
      <w:bookmarkStart w:id="68" w:name="_Toc413056044"/>
      <w:r>
        <w:t>Current Situation</w:t>
      </w:r>
      <w:bookmarkEnd w:id="67"/>
      <w:bookmarkEnd w:id="68"/>
    </w:p>
    <w:p w:rsidR="0085264B" w:rsidRDefault="0085264B" w:rsidP="0085264B">
      <w:pPr>
        <w:pStyle w:val="Hdg3"/>
      </w:pPr>
      <w:r>
        <w:t>Context - Mode Share for Road Text</w:t>
      </w:r>
      <w:r w:rsidRPr="008E03B0">
        <w:t>.</w:t>
      </w:r>
    </w:p>
    <w:p w:rsidR="0085264B" w:rsidRDefault="0085264B" w:rsidP="0085264B">
      <w:pPr>
        <w:pStyle w:val="NumberedParas"/>
        <w:tabs>
          <w:tab w:val="clear" w:pos="2291"/>
          <w:tab w:val="left" w:pos="851"/>
          <w:tab w:val="left" w:pos="2268"/>
          <w:tab w:val="num" w:pos="2433"/>
        </w:tabs>
        <w:ind w:left="851" w:hanging="851"/>
        <w:rPr>
          <w:lang w:val="ro-RO"/>
        </w:rPr>
      </w:pPr>
      <w:r w:rsidRPr="00AF7A8D">
        <w:t>According to the National Institute of Statistics, road accounts for almost 75% of all passenger kilometres, and just under 50% of all goods kilometres, travelled in Romania (INSSE 2010 data). This makes it the most significant mode in both cases as clearly illustrate</w:t>
      </w:r>
      <w:r>
        <w:t>d in Figure 4.1. The goods trip kilometres are based on tonne kilometres by mode.</w:t>
      </w:r>
    </w:p>
    <w:p w:rsidR="0085264B" w:rsidRPr="005026B8" w:rsidRDefault="0085264B" w:rsidP="0085264B">
      <w:pPr>
        <w:pStyle w:val="Caption"/>
        <w:keepNext/>
        <w:spacing w:after="120"/>
        <w:ind w:left="851"/>
        <w:rPr>
          <w:b/>
          <w:bCs w:val="0"/>
          <w:sz w:val="20"/>
          <w:szCs w:val="20"/>
        </w:rPr>
      </w:pPr>
      <w:r>
        <w:rPr>
          <w:b/>
          <w:bCs w:val="0"/>
          <w:sz w:val="22"/>
          <w:szCs w:val="22"/>
        </w:rPr>
        <w:t xml:space="preserve">Figure 4.1 </w:t>
      </w:r>
      <w:r w:rsidRPr="005026B8">
        <w:rPr>
          <w:b/>
          <w:bCs w:val="0"/>
          <w:sz w:val="22"/>
          <w:szCs w:val="22"/>
        </w:rPr>
        <w:t>Proportion of Trip Kilometres by Mode (2010</w:t>
      </w:r>
      <w:r w:rsidRPr="005026B8">
        <w:rPr>
          <w:b/>
          <w:bCs w:val="0"/>
          <w:sz w:val="20"/>
          <w:szCs w:val="20"/>
        </w:rPr>
        <w:t>)</w:t>
      </w:r>
    </w:p>
    <w:p w:rsidR="0085264B" w:rsidRDefault="0085264B" w:rsidP="0085264B">
      <w:pPr>
        <w:pStyle w:val="Body"/>
      </w:pPr>
      <w:r>
        <w:tab/>
      </w:r>
      <w:r>
        <w:rPr>
          <w:noProof/>
          <w:lang w:val="ro-RO" w:eastAsia="ro-RO"/>
        </w:rPr>
        <w:drawing>
          <wp:inline distT="0" distB="0" distL="0" distR="0" wp14:anchorId="627CED46" wp14:editId="6DA78F10">
            <wp:extent cx="2762787" cy="1659894"/>
            <wp:effectExtent l="19050" t="0" r="18513" b="0"/>
            <wp:docPr id="4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Pr>
          <w:noProof/>
          <w:lang w:val="ro-RO" w:eastAsia="ro-RO"/>
        </w:rPr>
        <w:drawing>
          <wp:inline distT="0" distB="0" distL="0" distR="0" wp14:anchorId="50284396" wp14:editId="33B5A530">
            <wp:extent cx="2769226" cy="1662747"/>
            <wp:effectExtent l="19050" t="0" r="12074" b="0"/>
            <wp:docPr id="42"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t xml:space="preserve">  </w:t>
      </w:r>
    </w:p>
    <w:p w:rsidR="0085264B" w:rsidRPr="009E3DDD" w:rsidRDefault="0085264B" w:rsidP="0085264B">
      <w:pPr>
        <w:pStyle w:val="TNBody"/>
        <w:ind w:left="851"/>
        <w:rPr>
          <w:i/>
        </w:rPr>
      </w:pPr>
      <w:r w:rsidRPr="009E3DDD">
        <w:rPr>
          <w:i/>
        </w:rPr>
        <w:t>Source: National Institute of Statistics (INSSE, 2010 Data)</w:t>
      </w:r>
    </w:p>
    <w:p w:rsidR="0085264B" w:rsidRDefault="0085264B" w:rsidP="0085264B">
      <w:pPr>
        <w:pStyle w:val="NumberedParas"/>
        <w:tabs>
          <w:tab w:val="clear" w:pos="2291"/>
          <w:tab w:val="left" w:pos="851"/>
          <w:tab w:val="left" w:pos="2268"/>
          <w:tab w:val="num" w:pos="2433"/>
        </w:tabs>
        <w:ind w:left="851" w:hanging="851"/>
      </w:pPr>
      <w:r w:rsidRPr="00FA03B9">
        <w:t>The highway network in Romania is classified into five categories:</w:t>
      </w:r>
    </w:p>
    <w:p w:rsidR="0085264B" w:rsidRPr="009E3DDD" w:rsidRDefault="0085264B" w:rsidP="00273D5E">
      <w:pPr>
        <w:pStyle w:val="BulletLevel1"/>
      </w:pPr>
      <w:r w:rsidRPr="009E3DDD">
        <w:t>Motorways (Autostrăzi) - A;</w:t>
      </w:r>
    </w:p>
    <w:p w:rsidR="0085264B" w:rsidRPr="009E3DDD" w:rsidRDefault="0085264B" w:rsidP="00273D5E">
      <w:pPr>
        <w:pStyle w:val="BulletLevel1"/>
      </w:pPr>
      <w:r w:rsidRPr="009E3DDD">
        <w:t>National and European Roads (Dumuri Naționale si Europene) – DN/E;</w:t>
      </w:r>
    </w:p>
    <w:p w:rsidR="0085264B" w:rsidRPr="009E3DDD" w:rsidRDefault="0085264B" w:rsidP="00273D5E">
      <w:pPr>
        <w:pStyle w:val="BulletLevel1"/>
      </w:pPr>
      <w:r w:rsidRPr="003826C4">
        <w:t>N</w:t>
      </w:r>
      <w:r w:rsidRPr="009E3DDD">
        <w:t>ational Roads (Dumuri Naționale) – DN;</w:t>
      </w:r>
    </w:p>
    <w:p w:rsidR="0085264B" w:rsidRPr="009E3DDD" w:rsidRDefault="0085264B" w:rsidP="00273D5E">
      <w:pPr>
        <w:pStyle w:val="BulletLevel1"/>
      </w:pPr>
      <w:r w:rsidRPr="009E3DDD">
        <w:t xml:space="preserve">County Roads (Dumuri Județene) – DJ; and </w:t>
      </w:r>
    </w:p>
    <w:p w:rsidR="0085264B" w:rsidRPr="009E3DDD" w:rsidRDefault="0085264B" w:rsidP="00273D5E">
      <w:pPr>
        <w:pStyle w:val="BulletLevel1"/>
      </w:pPr>
      <w:r w:rsidRPr="009E3DDD">
        <w:t>Communal Roads (Dumuri Comunale) – DC.</w:t>
      </w:r>
    </w:p>
    <w:p w:rsidR="0085264B" w:rsidRDefault="0085264B" w:rsidP="0085264B">
      <w:pPr>
        <w:pStyle w:val="NumberedParas"/>
        <w:tabs>
          <w:tab w:val="clear" w:pos="2291"/>
          <w:tab w:val="left" w:pos="851"/>
          <w:tab w:val="left" w:pos="2268"/>
          <w:tab w:val="num" w:pos="2433"/>
        </w:tabs>
        <w:ind w:left="851" w:hanging="851"/>
      </w:pPr>
      <w:r w:rsidRPr="00FA03B9">
        <w:t xml:space="preserve">The motorway and national road network accounts for just 20% of the entire </w:t>
      </w:r>
      <w:r>
        <w:t>network as summarised in Table 4.1</w:t>
      </w:r>
      <w:r w:rsidRPr="00FA03B9">
        <w:t>.</w:t>
      </w:r>
    </w:p>
    <w:p w:rsidR="0085264B" w:rsidRPr="005026B8" w:rsidRDefault="0085264B" w:rsidP="0085264B">
      <w:pPr>
        <w:pStyle w:val="TNBody"/>
        <w:tabs>
          <w:tab w:val="clear" w:pos="567"/>
        </w:tabs>
        <w:ind w:left="851"/>
        <w:rPr>
          <w:b/>
          <w:sz w:val="22"/>
          <w:szCs w:val="22"/>
        </w:rPr>
      </w:pPr>
      <w:r>
        <w:rPr>
          <w:b/>
          <w:sz w:val="22"/>
          <w:szCs w:val="22"/>
        </w:rPr>
        <w:t xml:space="preserve">Table 4.1 </w:t>
      </w:r>
      <w:r w:rsidRPr="005026B8">
        <w:rPr>
          <w:b/>
          <w:sz w:val="22"/>
          <w:szCs w:val="22"/>
        </w:rPr>
        <w:t>Length of Road Network by Category</w:t>
      </w:r>
    </w:p>
    <w:tbl>
      <w:tblPr>
        <w:tblW w:w="581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843"/>
      </w:tblGrid>
      <w:tr w:rsidR="0085264B" w:rsidRPr="002866E0" w:rsidTr="00D41B57">
        <w:tc>
          <w:tcPr>
            <w:tcW w:w="2410" w:type="dxa"/>
            <w:shd w:val="clear" w:color="auto" w:fill="B8CCE4" w:themeFill="accent1" w:themeFillTint="66"/>
            <w:vAlign w:val="center"/>
          </w:tcPr>
          <w:p w:rsidR="0085264B" w:rsidRPr="002866E0" w:rsidRDefault="0085264B" w:rsidP="00D41B57">
            <w:pPr>
              <w:spacing w:before="60" w:after="60" w:line="276" w:lineRule="auto"/>
              <w:rPr>
                <w:sz w:val="22"/>
                <w:szCs w:val="22"/>
              </w:rPr>
            </w:pPr>
            <w:r w:rsidRPr="002866E0">
              <w:rPr>
                <w:sz w:val="22"/>
                <w:szCs w:val="22"/>
              </w:rPr>
              <w:t>Road Type</w:t>
            </w:r>
          </w:p>
        </w:tc>
        <w:tc>
          <w:tcPr>
            <w:tcW w:w="1559" w:type="dxa"/>
            <w:shd w:val="clear" w:color="auto" w:fill="B8CCE4" w:themeFill="accent1" w:themeFillTint="66"/>
            <w:vAlign w:val="center"/>
          </w:tcPr>
          <w:p w:rsidR="0085264B" w:rsidRPr="002866E0" w:rsidRDefault="0085264B" w:rsidP="00D41B57">
            <w:pPr>
              <w:spacing w:before="60" w:after="60" w:line="276" w:lineRule="auto"/>
              <w:jc w:val="center"/>
              <w:rPr>
                <w:sz w:val="22"/>
                <w:szCs w:val="22"/>
              </w:rPr>
            </w:pPr>
            <w:r w:rsidRPr="002866E0">
              <w:rPr>
                <w:sz w:val="22"/>
                <w:szCs w:val="22"/>
              </w:rPr>
              <w:t>Kilometres</w:t>
            </w:r>
          </w:p>
        </w:tc>
        <w:tc>
          <w:tcPr>
            <w:tcW w:w="1843" w:type="dxa"/>
            <w:shd w:val="clear" w:color="auto" w:fill="B8CCE4" w:themeFill="accent1" w:themeFillTint="66"/>
            <w:vAlign w:val="center"/>
          </w:tcPr>
          <w:p w:rsidR="0085264B" w:rsidRPr="002866E0" w:rsidRDefault="0085264B" w:rsidP="00D41B57">
            <w:pPr>
              <w:spacing w:before="60" w:after="60" w:line="276" w:lineRule="auto"/>
              <w:jc w:val="center"/>
              <w:rPr>
                <w:sz w:val="22"/>
                <w:szCs w:val="22"/>
              </w:rPr>
            </w:pPr>
            <w:r w:rsidRPr="002866E0">
              <w:rPr>
                <w:sz w:val="22"/>
                <w:szCs w:val="22"/>
              </w:rPr>
              <w:t>Proportion</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Motorway</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362.6</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0.5%</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National European</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5,697.7</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7.1%</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Other National</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9,930.9</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12.4%</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County</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36,009.8</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45.1%</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Commune</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27,780.8</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34.8%</w:t>
            </w:r>
          </w:p>
        </w:tc>
      </w:tr>
      <w:tr w:rsidR="0085264B" w:rsidRPr="00C8675F" w:rsidTr="00D41B57">
        <w:tc>
          <w:tcPr>
            <w:tcW w:w="2410" w:type="dxa"/>
            <w:vAlign w:val="center"/>
          </w:tcPr>
          <w:p w:rsidR="0085264B" w:rsidRPr="00C8675F" w:rsidRDefault="0085264B" w:rsidP="00D41B57">
            <w:pPr>
              <w:spacing w:before="60" w:after="60" w:line="276" w:lineRule="auto"/>
              <w:rPr>
                <w:bCs/>
                <w:sz w:val="22"/>
                <w:szCs w:val="22"/>
              </w:rPr>
            </w:pPr>
            <w:r w:rsidRPr="00604286">
              <w:rPr>
                <w:bCs/>
                <w:sz w:val="22"/>
                <w:szCs w:val="22"/>
              </w:rPr>
              <w:t>Total</w:t>
            </w:r>
          </w:p>
        </w:tc>
        <w:tc>
          <w:tcPr>
            <w:tcW w:w="1559"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79,781.7</w:t>
            </w:r>
          </w:p>
        </w:tc>
        <w:tc>
          <w:tcPr>
            <w:tcW w:w="1843" w:type="dxa"/>
            <w:vAlign w:val="center"/>
          </w:tcPr>
          <w:p w:rsidR="0085264B" w:rsidRPr="00C8675F" w:rsidRDefault="0085264B" w:rsidP="00D41B57">
            <w:pPr>
              <w:spacing w:before="60" w:after="60" w:line="276" w:lineRule="auto"/>
              <w:jc w:val="center"/>
              <w:rPr>
                <w:bCs/>
                <w:sz w:val="22"/>
                <w:szCs w:val="22"/>
              </w:rPr>
            </w:pPr>
            <w:r w:rsidRPr="00604286">
              <w:rPr>
                <w:bCs/>
                <w:sz w:val="22"/>
                <w:szCs w:val="22"/>
              </w:rPr>
              <w:t>-</w:t>
            </w:r>
          </w:p>
        </w:tc>
      </w:tr>
    </w:tbl>
    <w:p w:rsidR="0085264B" w:rsidRPr="00FA03B9" w:rsidRDefault="0085264B" w:rsidP="0085264B">
      <w:pPr>
        <w:ind w:left="680"/>
        <w:rPr>
          <w:i/>
          <w:sz w:val="22"/>
          <w:szCs w:val="22"/>
        </w:rPr>
      </w:pPr>
      <w:r w:rsidRPr="00FA03B9">
        <w:rPr>
          <w:i/>
          <w:sz w:val="22"/>
          <w:szCs w:val="22"/>
        </w:rPr>
        <w:t>Source: AECOM analysis of individual DRDP data</w:t>
      </w:r>
    </w:p>
    <w:p w:rsidR="0085264B" w:rsidRPr="00AF7A8D" w:rsidRDefault="0085264B" w:rsidP="0085264B">
      <w:pPr>
        <w:pStyle w:val="TNBody"/>
        <w:tabs>
          <w:tab w:val="clear" w:pos="567"/>
        </w:tabs>
        <w:ind w:left="680"/>
        <w:rPr>
          <w:sz w:val="22"/>
          <w:szCs w:val="22"/>
        </w:rPr>
      </w:pPr>
    </w:p>
    <w:p w:rsidR="0085264B" w:rsidRDefault="0085264B" w:rsidP="0085264B">
      <w:pPr>
        <w:pStyle w:val="Hdg3"/>
      </w:pPr>
      <w:r>
        <w:t>Safety</w:t>
      </w:r>
    </w:p>
    <w:p w:rsidR="0085264B" w:rsidRDefault="0085264B" w:rsidP="0085264B">
      <w:pPr>
        <w:pStyle w:val="NumberedParas"/>
        <w:tabs>
          <w:tab w:val="clear" w:pos="2291"/>
          <w:tab w:val="left" w:pos="851"/>
          <w:tab w:val="left" w:pos="2268"/>
          <w:tab w:val="num" w:pos="2433"/>
        </w:tabs>
        <w:ind w:left="851" w:hanging="851"/>
      </w:pPr>
      <w:r w:rsidRPr="00C55332">
        <w:t xml:space="preserve">Romania has a significant road accident problem as </w:t>
      </w:r>
      <w:r>
        <w:t xml:space="preserve">clearly </w:t>
      </w:r>
      <w:r w:rsidRPr="00C55332">
        <w:t xml:space="preserve">evidenced by comparisons with </w:t>
      </w:r>
      <w:r>
        <w:t>o</w:t>
      </w:r>
      <w:r w:rsidRPr="00C55332">
        <w:t>the</w:t>
      </w:r>
      <w:r>
        <w:t>r</w:t>
      </w:r>
      <w:r w:rsidRPr="00C55332">
        <w:t xml:space="preserve"> </w:t>
      </w:r>
      <w:r>
        <w:t xml:space="preserve">countries in the </w:t>
      </w:r>
      <w:r w:rsidRPr="00C55332">
        <w:t>E</w:t>
      </w:r>
      <w:r>
        <w:t xml:space="preserve">uropean </w:t>
      </w:r>
      <w:r w:rsidRPr="00C55332">
        <w:t>U</w:t>
      </w:r>
      <w:r>
        <w:t>nion (EU)</w:t>
      </w:r>
      <w:r w:rsidRPr="00C55332">
        <w:t>. The E</w:t>
      </w:r>
      <w:r>
        <w:t xml:space="preserve">uropean </w:t>
      </w:r>
      <w:r w:rsidRPr="00C55332">
        <w:t>C</w:t>
      </w:r>
      <w:r>
        <w:t>ommission</w:t>
      </w:r>
      <w:r w:rsidRPr="00C55332">
        <w:t xml:space="preserve"> use three separate indicators </w:t>
      </w:r>
      <w:r>
        <w:t xml:space="preserve">to measure road safety </w:t>
      </w:r>
      <w:r w:rsidRPr="00C55332">
        <w:t>as follows:</w:t>
      </w:r>
    </w:p>
    <w:p w:rsidR="0085264B" w:rsidRPr="00183490" w:rsidRDefault="0085264B" w:rsidP="00273D5E">
      <w:pPr>
        <w:pStyle w:val="BulletLevel1"/>
      </w:pPr>
      <w:r w:rsidRPr="00183490">
        <w:t>Fatalities per million inhabitants;</w:t>
      </w:r>
    </w:p>
    <w:p w:rsidR="0085264B" w:rsidRPr="00183490" w:rsidRDefault="0085264B" w:rsidP="00273D5E">
      <w:pPr>
        <w:pStyle w:val="BulletLevel1"/>
      </w:pPr>
      <w:r w:rsidRPr="00183490">
        <w:t>Fatalities per 10 billion p</w:t>
      </w:r>
      <w:r>
        <w:t xml:space="preserve">assenger </w:t>
      </w:r>
      <w:r w:rsidRPr="00183490">
        <w:t>k</w:t>
      </w:r>
      <w:r>
        <w:t>ilo</w:t>
      </w:r>
      <w:r w:rsidRPr="00183490">
        <w:t>m</w:t>
      </w:r>
      <w:r>
        <w:t>etres</w:t>
      </w:r>
      <w:r w:rsidRPr="00183490">
        <w:t>; and</w:t>
      </w:r>
    </w:p>
    <w:p w:rsidR="0085264B" w:rsidRPr="00183490" w:rsidRDefault="0085264B" w:rsidP="00273D5E">
      <w:pPr>
        <w:pStyle w:val="BulletLevel1"/>
      </w:pPr>
      <w:r w:rsidRPr="00183490">
        <w:t>Fatalities per million passenger cars.</w:t>
      </w:r>
    </w:p>
    <w:p w:rsidR="0085264B" w:rsidRDefault="0085264B" w:rsidP="0085264B">
      <w:pPr>
        <w:pStyle w:val="NumberedParas"/>
        <w:tabs>
          <w:tab w:val="clear" w:pos="2291"/>
          <w:tab w:val="left" w:pos="851"/>
          <w:tab w:val="left" w:pos="2268"/>
          <w:tab w:val="num" w:pos="2433"/>
        </w:tabs>
        <w:ind w:left="851" w:hanging="851"/>
      </w:pPr>
      <w:r w:rsidRPr="00C55332">
        <w:t>In this order, Romania’s score and ranking is as follows:</w:t>
      </w:r>
    </w:p>
    <w:p w:rsidR="0085264B" w:rsidRPr="00F95FAD" w:rsidRDefault="0085264B" w:rsidP="00273D5E">
      <w:pPr>
        <w:pStyle w:val="BulletLevel1"/>
      </w:pPr>
      <w:r w:rsidRPr="00F95FAD">
        <w:t xml:space="preserve">24th out of 28 – 94 versus an EU average of 60; </w:t>
      </w:r>
    </w:p>
    <w:p w:rsidR="0085264B" w:rsidRPr="00F95FAD" w:rsidRDefault="0085264B" w:rsidP="00273D5E">
      <w:pPr>
        <w:pStyle w:val="BulletLevel1"/>
      </w:pPr>
      <w:r w:rsidRPr="00F95FAD">
        <w:t>28th out of 28 – 259 versus an EU average of 61; and</w:t>
      </w:r>
    </w:p>
    <w:p w:rsidR="0085264B" w:rsidRPr="00F95FAD" w:rsidRDefault="0085264B" w:rsidP="00273D5E">
      <w:pPr>
        <w:pStyle w:val="BulletLevel1"/>
      </w:pPr>
      <w:r w:rsidRPr="00F95FAD">
        <w:t>28th out of 28 – 466 versus an EU average of 126.</w:t>
      </w:r>
    </w:p>
    <w:p w:rsidR="0085264B" w:rsidRDefault="0085264B" w:rsidP="0085264B">
      <w:pPr>
        <w:pStyle w:val="NumberedParas"/>
        <w:tabs>
          <w:tab w:val="clear" w:pos="2291"/>
          <w:tab w:val="left" w:pos="851"/>
          <w:tab w:val="left" w:pos="2268"/>
          <w:tab w:val="num" w:pos="2433"/>
        </w:tabs>
        <w:ind w:left="851" w:hanging="851"/>
      </w:pPr>
      <w:r>
        <w:t>From thi</w:t>
      </w:r>
      <w:r w:rsidRPr="00C55332">
        <w:t>s data, it is fair to conclude that Romania has the worst road fatality accident rate in Europe.</w:t>
      </w:r>
      <w:r>
        <w:t xml:space="preserve"> During the period 2007 to 2012, there were a total of 8,401 fatalities on the National Network alone. This equates to an average of 1,400 fatalities per annum purely on the National Network which, as highlighted later, only carries some 20% of all network kilometres.</w:t>
      </w:r>
    </w:p>
    <w:p w:rsidR="0085264B" w:rsidRDefault="0085264B" w:rsidP="0085264B">
      <w:pPr>
        <w:pStyle w:val="NumberedParas"/>
        <w:tabs>
          <w:tab w:val="clear" w:pos="2291"/>
          <w:tab w:val="left" w:pos="851"/>
          <w:tab w:val="left" w:pos="2268"/>
          <w:tab w:val="num" w:pos="2433"/>
        </w:tabs>
        <w:ind w:left="851" w:hanging="851"/>
      </w:pPr>
      <w:r w:rsidRPr="00C55332">
        <w:t>The following table provides a breakdown of all accidents within the database in terms of the road classification on which they occur. This is to highlight the scale of contribution of accidents on the national network to the overall total</w:t>
      </w:r>
      <w:r>
        <w:t>.</w:t>
      </w:r>
    </w:p>
    <w:p w:rsidR="0085264B" w:rsidRDefault="0085264B" w:rsidP="0085264B">
      <w:pPr>
        <w:keepNext/>
        <w:tabs>
          <w:tab w:val="left" w:pos="1361"/>
          <w:tab w:val="left" w:pos="2041"/>
        </w:tabs>
        <w:spacing w:before="120" w:after="120" w:line="276" w:lineRule="auto"/>
        <w:ind w:left="851"/>
        <w:rPr>
          <w:b/>
          <w:sz w:val="22"/>
          <w:szCs w:val="22"/>
        </w:rPr>
      </w:pPr>
      <w:r>
        <w:rPr>
          <w:b/>
          <w:sz w:val="22"/>
          <w:szCs w:val="22"/>
        </w:rPr>
        <w:t xml:space="preserve">Table 4.2 </w:t>
      </w:r>
      <w:r w:rsidRPr="005026B8">
        <w:rPr>
          <w:b/>
          <w:sz w:val="22"/>
          <w:szCs w:val="22"/>
        </w:rPr>
        <w:t>Road Accident Numbers by Type of Road</w:t>
      </w:r>
      <w:r w:rsidRPr="005026B8">
        <w:rPr>
          <w:b/>
          <w:sz w:val="22"/>
          <w:szCs w:val="22"/>
        </w:rPr>
        <w:tab/>
      </w:r>
    </w:p>
    <w:tbl>
      <w:tblPr>
        <w:tblW w:w="9776"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063"/>
        <w:gridCol w:w="1063"/>
        <w:gridCol w:w="1063"/>
        <w:gridCol w:w="1063"/>
        <w:gridCol w:w="1063"/>
        <w:gridCol w:w="1063"/>
        <w:gridCol w:w="1063"/>
        <w:gridCol w:w="1064"/>
      </w:tblGrid>
      <w:tr w:rsidR="0085264B" w:rsidRPr="00A05919" w:rsidTr="00D41B57">
        <w:trPr>
          <w:trHeight w:val="274"/>
        </w:trPr>
        <w:tc>
          <w:tcPr>
            <w:tcW w:w="1271" w:type="dxa"/>
            <w:shd w:val="clear" w:color="auto" w:fill="B8CCE4" w:themeFill="accent1" w:themeFillTint="66"/>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bookmarkStart w:id="69" w:name="OLE_LINK1"/>
            <w:r w:rsidRPr="007B0836">
              <w:rPr>
                <w:color w:val="000000"/>
                <w:sz w:val="22"/>
                <w:szCs w:val="22"/>
                <w:lang w:eastAsia="en-GB"/>
              </w:rPr>
              <w:t>Type</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2007</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2008</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2009</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2010</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2011</w:t>
            </w:r>
          </w:p>
        </w:tc>
        <w:tc>
          <w:tcPr>
            <w:tcW w:w="1063" w:type="dxa"/>
            <w:shd w:val="clear" w:color="auto" w:fill="B8CCE4" w:themeFill="accent1" w:themeFillTint="66"/>
            <w:vAlign w:val="center"/>
          </w:tcPr>
          <w:p w:rsidR="0085264B" w:rsidRPr="007B0836" w:rsidRDefault="0085264B" w:rsidP="00D41B57">
            <w:pPr>
              <w:spacing w:before="60" w:after="60"/>
              <w:jc w:val="center"/>
              <w:rPr>
                <w:color w:val="000000"/>
                <w:sz w:val="22"/>
                <w:szCs w:val="22"/>
              </w:rPr>
            </w:pPr>
            <w:r w:rsidRPr="007B0836">
              <w:rPr>
                <w:color w:val="000000"/>
                <w:sz w:val="22"/>
                <w:szCs w:val="22"/>
              </w:rPr>
              <w:t>2012</w:t>
            </w:r>
          </w:p>
        </w:tc>
        <w:tc>
          <w:tcPr>
            <w:tcW w:w="2127" w:type="dxa"/>
            <w:gridSpan w:val="2"/>
            <w:shd w:val="clear" w:color="auto" w:fill="B8CCE4" w:themeFill="accent1" w:themeFillTint="66"/>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sidRPr="007B0836">
              <w:rPr>
                <w:color w:val="000000"/>
                <w:sz w:val="22"/>
                <w:szCs w:val="22"/>
                <w:lang w:eastAsia="en-GB"/>
              </w:rPr>
              <w:t>2007-12 Average</w:t>
            </w:r>
          </w:p>
        </w:tc>
      </w:tr>
      <w:tr w:rsidR="0085264B" w:rsidRPr="00A05919" w:rsidTr="00D41B57">
        <w:trPr>
          <w:trHeight w:val="274"/>
        </w:trPr>
        <w:tc>
          <w:tcPr>
            <w:tcW w:w="1271" w:type="dxa"/>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sidRPr="007B0836">
              <w:rPr>
                <w:color w:val="000000"/>
                <w:sz w:val="22"/>
                <w:szCs w:val="22"/>
                <w:lang w:eastAsia="en-GB"/>
              </w:rPr>
              <w:t>Motorway</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120</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139</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101</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115</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107</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131</w:t>
            </w:r>
          </w:p>
        </w:tc>
        <w:tc>
          <w:tcPr>
            <w:tcW w:w="1063" w:type="dxa"/>
            <w:vAlign w:val="center"/>
          </w:tcPr>
          <w:p w:rsidR="0085264B" w:rsidRPr="007B0836" w:rsidRDefault="0085264B" w:rsidP="00D41B57">
            <w:pPr>
              <w:spacing w:before="60" w:after="60"/>
              <w:jc w:val="center"/>
              <w:rPr>
                <w:bCs/>
                <w:color w:val="000000"/>
                <w:sz w:val="22"/>
                <w:szCs w:val="22"/>
              </w:rPr>
            </w:pPr>
            <w:r w:rsidRPr="007B0836">
              <w:rPr>
                <w:bCs/>
                <w:color w:val="000000"/>
                <w:sz w:val="22"/>
                <w:szCs w:val="22"/>
              </w:rPr>
              <w:t>119</w:t>
            </w:r>
          </w:p>
        </w:tc>
        <w:tc>
          <w:tcPr>
            <w:tcW w:w="1064" w:type="dxa"/>
            <w:vAlign w:val="center"/>
          </w:tcPr>
          <w:p w:rsidR="0085264B" w:rsidRPr="007B0836" w:rsidRDefault="0085264B" w:rsidP="00D41B57">
            <w:pPr>
              <w:spacing w:before="60" w:after="60"/>
              <w:jc w:val="center"/>
              <w:rPr>
                <w:bCs/>
                <w:color w:val="000000"/>
                <w:sz w:val="22"/>
                <w:szCs w:val="22"/>
              </w:rPr>
            </w:pPr>
            <w:r w:rsidRPr="007B0836">
              <w:rPr>
                <w:bCs/>
                <w:color w:val="000000"/>
                <w:sz w:val="22"/>
                <w:szCs w:val="22"/>
              </w:rPr>
              <w:t>0.44%</w:t>
            </w:r>
          </w:p>
        </w:tc>
      </w:tr>
      <w:tr w:rsidR="0085264B" w:rsidRPr="00A05919" w:rsidTr="00D41B57">
        <w:trPr>
          <w:trHeight w:val="274"/>
        </w:trPr>
        <w:tc>
          <w:tcPr>
            <w:tcW w:w="1271" w:type="dxa"/>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sidRPr="007B0836">
              <w:rPr>
                <w:color w:val="000000"/>
                <w:sz w:val="22"/>
                <w:szCs w:val="22"/>
                <w:lang w:eastAsia="en-GB"/>
              </w:rPr>
              <w:t>National</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7,092</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8,628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8,195</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7,483</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7,119</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7,192</w:t>
            </w:r>
          </w:p>
        </w:tc>
        <w:tc>
          <w:tcPr>
            <w:tcW w:w="1063" w:type="dxa"/>
            <w:vAlign w:val="center"/>
          </w:tcPr>
          <w:p w:rsidR="0085264B" w:rsidRPr="007B0836" w:rsidRDefault="0085264B" w:rsidP="00D41B57">
            <w:pPr>
              <w:spacing w:before="60" w:after="60"/>
              <w:jc w:val="center"/>
              <w:rPr>
                <w:bCs/>
                <w:color w:val="000000"/>
                <w:sz w:val="22"/>
                <w:szCs w:val="22"/>
              </w:rPr>
            </w:pPr>
            <w:r w:rsidRPr="007B0836">
              <w:rPr>
                <w:bCs/>
                <w:color w:val="000000"/>
                <w:sz w:val="22"/>
                <w:szCs w:val="22"/>
              </w:rPr>
              <w:t>7,618</w:t>
            </w:r>
          </w:p>
        </w:tc>
        <w:tc>
          <w:tcPr>
            <w:tcW w:w="1064" w:type="dxa"/>
            <w:vAlign w:val="center"/>
          </w:tcPr>
          <w:p w:rsidR="0085264B" w:rsidRPr="007B0836" w:rsidRDefault="0085264B" w:rsidP="00D41B57">
            <w:pPr>
              <w:spacing w:before="60" w:after="60"/>
              <w:jc w:val="center"/>
              <w:rPr>
                <w:bCs/>
                <w:color w:val="000000"/>
                <w:sz w:val="22"/>
                <w:szCs w:val="22"/>
              </w:rPr>
            </w:pPr>
            <w:r w:rsidRPr="007B0836">
              <w:rPr>
                <w:bCs/>
                <w:color w:val="000000"/>
                <w:sz w:val="22"/>
                <w:szCs w:val="22"/>
              </w:rPr>
              <w:t>28.09%</w:t>
            </w:r>
          </w:p>
        </w:tc>
      </w:tr>
      <w:tr w:rsidR="0085264B" w:rsidRPr="00A05919" w:rsidTr="00D41B57">
        <w:trPr>
          <w:trHeight w:val="274"/>
        </w:trPr>
        <w:tc>
          <w:tcPr>
            <w:tcW w:w="1271"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County</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3,262</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4,318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4,295</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3,841</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3,924</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3,929</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3,928</w:t>
            </w:r>
          </w:p>
        </w:tc>
        <w:tc>
          <w:tcPr>
            <w:tcW w:w="1064"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14.48%</w:t>
            </w:r>
          </w:p>
        </w:tc>
      </w:tr>
      <w:tr w:rsidR="0085264B" w:rsidRPr="00A05919" w:rsidTr="00D41B57">
        <w:trPr>
          <w:trHeight w:val="274"/>
        </w:trPr>
        <w:tc>
          <w:tcPr>
            <w:tcW w:w="1271"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Other</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14,188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16,776</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16,021</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14,557</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15,498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15,676</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15,453</w:t>
            </w:r>
          </w:p>
        </w:tc>
        <w:tc>
          <w:tcPr>
            <w:tcW w:w="1064"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56.98%</w:t>
            </w:r>
          </w:p>
        </w:tc>
      </w:tr>
      <w:tr w:rsidR="0085264B" w:rsidRPr="00A05919" w:rsidTr="00D41B57">
        <w:trPr>
          <w:trHeight w:val="274"/>
        </w:trPr>
        <w:tc>
          <w:tcPr>
            <w:tcW w:w="1271"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Total</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24,662</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29,861</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28,612</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25,996</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26,648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26,928</w:t>
            </w:r>
          </w:p>
        </w:tc>
        <w:tc>
          <w:tcPr>
            <w:tcW w:w="1063"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27,118</w:t>
            </w:r>
          </w:p>
        </w:tc>
        <w:tc>
          <w:tcPr>
            <w:tcW w:w="1064" w:type="dxa"/>
            <w:vAlign w:val="center"/>
          </w:tcPr>
          <w:p w:rsidR="0085264B" w:rsidRPr="007B0836" w:rsidRDefault="0085264B" w:rsidP="00D41B57">
            <w:pPr>
              <w:spacing w:before="60" w:after="60"/>
              <w:jc w:val="center"/>
              <w:rPr>
                <w:color w:val="000000"/>
                <w:sz w:val="22"/>
                <w:szCs w:val="22"/>
              </w:rPr>
            </w:pPr>
            <w:r w:rsidRPr="007B0836">
              <w:rPr>
                <w:color w:val="000000"/>
                <w:sz w:val="22"/>
                <w:szCs w:val="22"/>
              </w:rPr>
              <w:t>-</w:t>
            </w:r>
          </w:p>
        </w:tc>
      </w:tr>
    </w:tbl>
    <w:bookmarkEnd w:id="69"/>
    <w:p w:rsidR="0085264B" w:rsidRPr="0055212A" w:rsidRDefault="0085264B" w:rsidP="0085264B">
      <w:pPr>
        <w:spacing w:before="120" w:after="120" w:line="276" w:lineRule="auto"/>
        <w:ind w:left="851"/>
        <w:rPr>
          <w:i/>
          <w:sz w:val="22"/>
          <w:szCs w:val="22"/>
        </w:rPr>
      </w:pPr>
      <w:r>
        <w:rPr>
          <w:i/>
          <w:sz w:val="22"/>
          <w:szCs w:val="22"/>
        </w:rPr>
        <w:t>Source: AECOM analysis of police records</w:t>
      </w:r>
    </w:p>
    <w:p w:rsidR="0085264B" w:rsidRDefault="0085264B" w:rsidP="0085264B">
      <w:pPr>
        <w:pStyle w:val="NumberedParas"/>
        <w:tabs>
          <w:tab w:val="clear" w:pos="2291"/>
          <w:tab w:val="left" w:pos="851"/>
          <w:tab w:val="left" w:pos="2268"/>
          <w:tab w:val="num" w:pos="2433"/>
        </w:tabs>
        <w:ind w:left="851" w:hanging="851"/>
      </w:pPr>
      <w:r w:rsidRPr="00960F3C">
        <w:t xml:space="preserve">The contribution of around 30% of all accidents needs to be seen in the context of the motorway and national road accounting for just under 20% of all </w:t>
      </w:r>
      <w:r>
        <w:t xml:space="preserve">road </w:t>
      </w:r>
      <w:r w:rsidRPr="00960F3C">
        <w:t>network kilometres.</w:t>
      </w:r>
      <w:r>
        <w:t xml:space="preserve"> The economic impact of these accidents on the national network </w:t>
      </w:r>
      <w:r w:rsidRPr="00AF6F27">
        <w:t>is €1.2billion per annum.</w:t>
      </w:r>
    </w:p>
    <w:p w:rsidR="0085264B" w:rsidRDefault="0085264B" w:rsidP="0085264B">
      <w:pPr>
        <w:pStyle w:val="NumberedParas"/>
        <w:tabs>
          <w:tab w:val="clear" w:pos="2291"/>
          <w:tab w:val="left" w:pos="851"/>
          <w:tab w:val="left" w:pos="2268"/>
          <w:tab w:val="num" w:pos="2433"/>
        </w:tabs>
        <w:ind w:left="851" w:hanging="851"/>
      </w:pPr>
      <w:r w:rsidRPr="00B25287">
        <w:t>Single carriageway roads are recognised as the most dangerous with recent Euro RAP studies indicating that, across Europe, the average risk of single carriageway road is four times that of a motorway. This is also reflected in the Romanian statistics which show a significantly greater risk on single carriageway roads: over six times worse than motorways for all national roads and over three times if only rural national roads are considered.</w:t>
      </w:r>
      <w:r>
        <w:t xml:space="preserve"> Currently a</w:t>
      </w:r>
      <w:r w:rsidRPr="009649F9">
        <w:t>lmost 90% of the national network</w:t>
      </w:r>
      <w:r>
        <w:t xml:space="preserve"> is single carriageway standard and this undoubtedly contributes to the poor accident record and the consequent significant economic cost.</w:t>
      </w:r>
    </w:p>
    <w:p w:rsidR="0085264B" w:rsidRDefault="0085264B" w:rsidP="0085264B">
      <w:pPr>
        <w:pStyle w:val="Hdg3"/>
      </w:pPr>
      <w:r>
        <w:t>Level of Service</w:t>
      </w:r>
    </w:p>
    <w:p w:rsidR="0085264B" w:rsidRDefault="0085264B" w:rsidP="0085264B">
      <w:pPr>
        <w:pStyle w:val="NumberedParas"/>
        <w:tabs>
          <w:tab w:val="clear" w:pos="2291"/>
          <w:tab w:val="left" w:pos="851"/>
          <w:tab w:val="left" w:pos="2268"/>
          <w:tab w:val="num" w:pos="2433"/>
        </w:tabs>
        <w:ind w:left="851" w:hanging="851"/>
      </w:pPr>
      <w:r>
        <w:t xml:space="preserve">It is common practice to consider level of service in terms of volume to capacity ratios but this is not appropriate in the Romanian context. </w:t>
      </w:r>
      <w:r w:rsidRPr="000137E3">
        <w:t>Whilst flow levels for the majority of the national network are not high</w:t>
      </w:r>
      <w:r>
        <w:t>,</w:t>
      </w:r>
      <w:r w:rsidRPr="000137E3">
        <w:t xml:space="preserve"> as a proportion of the theoretical capacity, the effect of the </w:t>
      </w:r>
      <w:r>
        <w:t xml:space="preserve">high </w:t>
      </w:r>
      <w:r w:rsidRPr="000137E3">
        <w:t>proportion of single carriageways is evident. Even at low flow levels, single carriageways offer limited safe overtaking opportunities particularly when the proportion of goods vehicles is high which is the case on a national network.</w:t>
      </w:r>
    </w:p>
    <w:p w:rsidR="0085264B" w:rsidRDefault="0085264B" w:rsidP="0085264B">
      <w:pPr>
        <w:pStyle w:val="NumberedParas"/>
        <w:tabs>
          <w:tab w:val="clear" w:pos="2291"/>
          <w:tab w:val="left" w:pos="851"/>
          <w:tab w:val="left" w:pos="2268"/>
          <w:tab w:val="num" w:pos="2433"/>
        </w:tabs>
        <w:ind w:left="851" w:hanging="851"/>
      </w:pPr>
      <w:r w:rsidRPr="000137E3">
        <w:t>Setting aside the small proportion of the national network that is of motorway standard (less than 3%), the average speed for the inter-urban element of the national network is around 66 kph. This is not considered to be adequate for a national network where, international comparisons suggest, speeds of between 90 and 10</w:t>
      </w:r>
      <w:r>
        <w:t>0 kph would be more reasonable. The requirements of TEN-T, which are for high quality motorway or expressway standard routes, suggest speeds of at least 100kph should be achieved or exceeded.</w:t>
      </w:r>
    </w:p>
    <w:p w:rsidR="0085264B" w:rsidRDefault="0085264B" w:rsidP="0085264B">
      <w:pPr>
        <w:keepNext/>
        <w:spacing w:before="120" w:after="120" w:line="276" w:lineRule="auto"/>
        <w:ind w:left="851"/>
        <w:rPr>
          <w:b/>
          <w:sz w:val="22"/>
          <w:szCs w:val="22"/>
        </w:rPr>
      </w:pPr>
      <w:r>
        <w:rPr>
          <w:b/>
          <w:sz w:val="22"/>
          <w:szCs w:val="22"/>
        </w:rPr>
        <w:t xml:space="preserve">Figure 4.2 </w:t>
      </w:r>
      <w:r w:rsidRPr="005026B8">
        <w:rPr>
          <w:b/>
          <w:sz w:val="22"/>
          <w:szCs w:val="22"/>
        </w:rPr>
        <w:t>National Network – Actual versus Target Speeds</w:t>
      </w:r>
    </w:p>
    <w:p w:rsidR="0085264B" w:rsidRDefault="0085264B" w:rsidP="0085264B">
      <w:pPr>
        <w:spacing w:before="120" w:after="120" w:line="276" w:lineRule="auto"/>
        <w:ind w:left="680" w:firstLine="171"/>
        <w:rPr>
          <w:sz w:val="22"/>
          <w:szCs w:val="22"/>
        </w:rPr>
      </w:pPr>
      <w:r>
        <w:rPr>
          <w:noProof/>
          <w:sz w:val="22"/>
          <w:szCs w:val="22"/>
          <w:lang w:val="ro-RO" w:eastAsia="ro-RO"/>
        </w:rPr>
        <w:drawing>
          <wp:inline distT="0" distB="0" distL="0" distR="0" wp14:anchorId="5347C06C" wp14:editId="02ADC4F5">
            <wp:extent cx="6102000" cy="5214082"/>
            <wp:effectExtent l="19050" t="19050" r="13335" b="24765"/>
            <wp:docPr id="43" name="Picture 0" descr="TargetSpeeds_Base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Speeds_Base_2011.png"/>
                    <pic:cNvPicPr/>
                  </pic:nvPicPr>
                  <pic:blipFill>
                    <a:blip r:embed="rId89" cstate="email">
                      <a:extLst>
                        <a:ext uri="{28A0092B-C50C-407E-A947-70E740481C1C}">
                          <a14:useLocalDpi xmlns:a14="http://schemas.microsoft.com/office/drawing/2010/main"/>
                        </a:ext>
                      </a:extLst>
                    </a:blip>
                    <a:stretch>
                      <a:fillRect/>
                    </a:stretch>
                  </pic:blipFill>
                  <pic:spPr>
                    <a:xfrm>
                      <a:off x="0" y="0"/>
                      <a:ext cx="6102000" cy="5214082"/>
                    </a:xfrm>
                    <a:prstGeom prst="rect">
                      <a:avLst/>
                    </a:prstGeom>
                    <a:ln>
                      <a:solidFill>
                        <a:schemeClr val="accent1"/>
                      </a:solidFill>
                    </a:ln>
                  </pic:spPr>
                </pic:pic>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7B0836">
        <w:t xml:space="preserve">Only those roads highlighted green are close to achieving what is considered a reasonable speed for a national network. </w:t>
      </w:r>
      <w:r w:rsidRPr="00867A97">
        <w:t>T</w:t>
      </w:r>
      <w:r>
        <w:t>able 4.3</w:t>
      </w:r>
      <w:r w:rsidRPr="007B0836">
        <w:t xml:space="preserve"> shows the length of road within each speed band. Over half of the national network has a speed less than 70% below the target.</w:t>
      </w:r>
    </w:p>
    <w:p w:rsidR="0085264B" w:rsidRPr="005026B8" w:rsidRDefault="0085264B" w:rsidP="0085264B">
      <w:pPr>
        <w:keepNext/>
        <w:spacing w:before="120" w:after="120" w:line="276" w:lineRule="auto"/>
        <w:ind w:left="851"/>
        <w:rPr>
          <w:b/>
          <w:sz w:val="22"/>
          <w:szCs w:val="22"/>
        </w:rPr>
      </w:pPr>
      <w:r>
        <w:rPr>
          <w:b/>
          <w:sz w:val="22"/>
          <w:szCs w:val="22"/>
        </w:rPr>
        <w:t xml:space="preserve">Table 4.3 </w:t>
      </w:r>
      <w:r w:rsidRPr="005026B8">
        <w:rPr>
          <w:b/>
          <w:sz w:val="22"/>
          <w:szCs w:val="22"/>
        </w:rPr>
        <w:t>Assigned Speed vs. Target Speed of Road in Each Band</w:t>
      </w:r>
    </w:p>
    <w:tbl>
      <w:tblPr>
        <w:tblW w:w="328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8"/>
        <w:gridCol w:w="1701"/>
      </w:tblGrid>
      <w:tr w:rsidR="0085264B" w:rsidRPr="00A05919" w:rsidTr="00D41B57">
        <w:trPr>
          <w:trHeight w:val="274"/>
        </w:trPr>
        <w:tc>
          <w:tcPr>
            <w:tcW w:w="1588" w:type="dxa"/>
            <w:shd w:val="clear" w:color="auto" w:fill="DBE5F1" w:themeFill="accent1" w:themeFillTint="33"/>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Pr>
                <w:color w:val="000000"/>
                <w:sz w:val="22"/>
                <w:szCs w:val="22"/>
                <w:lang w:eastAsia="en-GB"/>
              </w:rPr>
              <w:t>Ratio Interval</w:t>
            </w:r>
          </w:p>
        </w:tc>
        <w:tc>
          <w:tcPr>
            <w:tcW w:w="1701" w:type="dxa"/>
            <w:shd w:val="clear" w:color="auto" w:fill="DBE5F1" w:themeFill="accent1" w:themeFillTint="33"/>
            <w:vAlign w:val="center"/>
          </w:tcPr>
          <w:p w:rsidR="0085264B" w:rsidRPr="007B0836" w:rsidRDefault="0085264B" w:rsidP="00D41B57">
            <w:pPr>
              <w:spacing w:before="60" w:after="60"/>
              <w:jc w:val="center"/>
              <w:rPr>
                <w:color w:val="000000"/>
                <w:sz w:val="22"/>
                <w:szCs w:val="22"/>
              </w:rPr>
            </w:pPr>
            <w:r>
              <w:rPr>
                <w:color w:val="000000"/>
                <w:sz w:val="22"/>
                <w:szCs w:val="22"/>
              </w:rPr>
              <w:t>Percentage</w:t>
            </w:r>
          </w:p>
        </w:tc>
      </w:tr>
      <w:tr w:rsidR="0085264B" w:rsidRPr="00A05919" w:rsidTr="00D41B57">
        <w:trPr>
          <w:trHeight w:val="274"/>
        </w:trPr>
        <w:tc>
          <w:tcPr>
            <w:tcW w:w="1588" w:type="dxa"/>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Pr>
                <w:color w:val="000000"/>
                <w:sz w:val="22"/>
                <w:szCs w:val="22"/>
                <w:lang w:eastAsia="en-GB"/>
              </w:rPr>
              <w:t>&gt; 0.9</w:t>
            </w:r>
          </w:p>
        </w:tc>
        <w:tc>
          <w:tcPr>
            <w:tcW w:w="1701" w:type="dxa"/>
            <w:vAlign w:val="center"/>
          </w:tcPr>
          <w:p w:rsidR="0085264B" w:rsidRPr="007B0836" w:rsidRDefault="0085264B" w:rsidP="00D41B57">
            <w:pPr>
              <w:spacing w:before="60" w:after="60"/>
              <w:jc w:val="center"/>
              <w:rPr>
                <w:color w:val="000000"/>
                <w:sz w:val="22"/>
                <w:szCs w:val="22"/>
              </w:rPr>
            </w:pPr>
            <w:r>
              <w:rPr>
                <w:color w:val="000000"/>
                <w:sz w:val="22"/>
                <w:szCs w:val="22"/>
              </w:rPr>
              <w:t>9.6%</w:t>
            </w:r>
          </w:p>
        </w:tc>
      </w:tr>
      <w:tr w:rsidR="0085264B" w:rsidRPr="00A05919" w:rsidTr="00D41B57">
        <w:trPr>
          <w:trHeight w:val="274"/>
        </w:trPr>
        <w:tc>
          <w:tcPr>
            <w:tcW w:w="1588" w:type="dxa"/>
            <w:vAlign w:val="center"/>
          </w:tcPr>
          <w:p w:rsidR="0085264B" w:rsidRPr="007B0836" w:rsidRDefault="0085264B" w:rsidP="00D41B57">
            <w:pPr>
              <w:keepNext/>
              <w:keepLines/>
              <w:autoSpaceDE w:val="0"/>
              <w:autoSpaceDN w:val="0"/>
              <w:adjustRightInd w:val="0"/>
              <w:spacing w:before="60" w:after="60"/>
              <w:jc w:val="center"/>
              <w:rPr>
                <w:color w:val="000000"/>
                <w:sz w:val="22"/>
                <w:szCs w:val="22"/>
                <w:lang w:eastAsia="en-GB"/>
              </w:rPr>
            </w:pPr>
            <w:r>
              <w:rPr>
                <w:color w:val="000000"/>
                <w:sz w:val="22"/>
                <w:szCs w:val="22"/>
                <w:lang w:eastAsia="en-GB"/>
              </w:rPr>
              <w:t>0.8 to 0.9</w:t>
            </w:r>
          </w:p>
        </w:tc>
        <w:tc>
          <w:tcPr>
            <w:tcW w:w="1701" w:type="dxa"/>
            <w:vAlign w:val="center"/>
          </w:tcPr>
          <w:p w:rsidR="0085264B" w:rsidRPr="007B0836" w:rsidRDefault="0085264B" w:rsidP="00D41B57">
            <w:pPr>
              <w:spacing w:before="60" w:after="60"/>
              <w:jc w:val="center"/>
              <w:rPr>
                <w:color w:val="000000"/>
                <w:sz w:val="22"/>
                <w:szCs w:val="22"/>
              </w:rPr>
            </w:pPr>
            <w:r>
              <w:rPr>
                <w:color w:val="000000"/>
                <w:sz w:val="22"/>
                <w:szCs w:val="22"/>
              </w:rPr>
              <w:t>17.1%</w:t>
            </w:r>
          </w:p>
        </w:tc>
      </w:tr>
      <w:tr w:rsidR="0085264B" w:rsidRPr="00A05919" w:rsidTr="00D41B57">
        <w:trPr>
          <w:trHeight w:val="274"/>
        </w:trPr>
        <w:tc>
          <w:tcPr>
            <w:tcW w:w="1588" w:type="dxa"/>
            <w:vAlign w:val="center"/>
          </w:tcPr>
          <w:p w:rsidR="0085264B" w:rsidRPr="007B0836" w:rsidRDefault="0085264B" w:rsidP="00D41B57">
            <w:pPr>
              <w:spacing w:before="60" w:after="60"/>
              <w:jc w:val="center"/>
              <w:rPr>
                <w:color w:val="000000"/>
                <w:sz w:val="22"/>
                <w:szCs w:val="22"/>
              </w:rPr>
            </w:pPr>
            <w:r>
              <w:rPr>
                <w:color w:val="000000"/>
                <w:sz w:val="22"/>
                <w:szCs w:val="22"/>
              </w:rPr>
              <w:t>0.7 to 0.8</w:t>
            </w:r>
          </w:p>
        </w:tc>
        <w:tc>
          <w:tcPr>
            <w:tcW w:w="1701" w:type="dxa"/>
            <w:vAlign w:val="center"/>
          </w:tcPr>
          <w:p w:rsidR="0085264B" w:rsidRPr="007B0836" w:rsidRDefault="0085264B" w:rsidP="00D41B57">
            <w:pPr>
              <w:spacing w:before="60" w:after="60"/>
              <w:jc w:val="center"/>
              <w:rPr>
                <w:color w:val="000000"/>
                <w:sz w:val="22"/>
                <w:szCs w:val="22"/>
              </w:rPr>
            </w:pPr>
            <w:r>
              <w:rPr>
                <w:color w:val="000000"/>
                <w:sz w:val="22"/>
                <w:szCs w:val="22"/>
              </w:rPr>
              <w:t>22.4%</w:t>
            </w:r>
          </w:p>
        </w:tc>
      </w:tr>
      <w:tr w:rsidR="0085264B" w:rsidRPr="00A05919" w:rsidTr="00D41B57">
        <w:trPr>
          <w:trHeight w:val="274"/>
        </w:trPr>
        <w:tc>
          <w:tcPr>
            <w:tcW w:w="1588" w:type="dxa"/>
            <w:vAlign w:val="center"/>
          </w:tcPr>
          <w:p w:rsidR="0085264B" w:rsidRPr="007B0836" w:rsidRDefault="0085264B" w:rsidP="00D41B57">
            <w:pPr>
              <w:spacing w:before="60" w:after="60"/>
              <w:jc w:val="center"/>
              <w:rPr>
                <w:color w:val="000000"/>
                <w:sz w:val="22"/>
                <w:szCs w:val="22"/>
              </w:rPr>
            </w:pPr>
            <w:r>
              <w:rPr>
                <w:color w:val="000000"/>
                <w:sz w:val="22"/>
                <w:szCs w:val="22"/>
              </w:rPr>
              <w:t>&lt; 0.7</w:t>
            </w:r>
          </w:p>
        </w:tc>
        <w:tc>
          <w:tcPr>
            <w:tcW w:w="1701" w:type="dxa"/>
            <w:vAlign w:val="center"/>
          </w:tcPr>
          <w:p w:rsidR="0085264B" w:rsidRPr="007B0836" w:rsidRDefault="0085264B" w:rsidP="00D41B57">
            <w:pPr>
              <w:spacing w:before="60" w:after="60"/>
              <w:jc w:val="center"/>
              <w:rPr>
                <w:color w:val="000000"/>
                <w:sz w:val="22"/>
                <w:szCs w:val="22"/>
              </w:rPr>
            </w:pPr>
            <w:r>
              <w:rPr>
                <w:color w:val="000000"/>
                <w:sz w:val="22"/>
                <w:szCs w:val="22"/>
              </w:rPr>
              <w:t>50.9%</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4F03B9">
        <w:t>Slow road journey speeds represent inefficient use of both work and non work time and have a significant adverse economic impact, reducing the opportunities for travel for individuals and businesses. In order to compete at an EU level the national network needs to improve journey times both in absolute terms and with regard to reliability</w:t>
      </w:r>
      <w:r>
        <w:t>.</w:t>
      </w:r>
    </w:p>
    <w:p w:rsidR="0085264B" w:rsidRPr="004F03B9" w:rsidRDefault="0085264B" w:rsidP="0085264B">
      <w:pPr>
        <w:pStyle w:val="NumberedParas"/>
        <w:tabs>
          <w:tab w:val="clear" w:pos="2291"/>
          <w:tab w:val="left" w:pos="851"/>
          <w:tab w:val="left" w:pos="2268"/>
          <w:tab w:val="num" w:pos="2433"/>
        </w:tabs>
        <w:ind w:left="851" w:hanging="851"/>
      </w:pPr>
      <w:r>
        <w:t xml:space="preserve">The National Model has also been used to quantify, in both scale and locality, the amount of lost time on the network. </w:t>
      </w:r>
      <w:r w:rsidRPr="004F03B9">
        <w:t xml:space="preserve">The analysis took the following form: </w:t>
      </w:r>
    </w:p>
    <w:p w:rsidR="0085264B" w:rsidRPr="004F03B9" w:rsidRDefault="0085264B" w:rsidP="0085264B">
      <w:pPr>
        <w:spacing w:before="120" w:after="120" w:line="276" w:lineRule="auto"/>
        <w:ind w:left="680"/>
        <w:rPr>
          <w:sz w:val="22"/>
          <w:szCs w:val="22"/>
        </w:rPr>
      </w:pPr>
      <m:oMathPara>
        <m:oMath>
          <m:r>
            <w:rPr>
              <w:rFonts w:ascii="Cambria Math" w:hAnsi="Cambria Math"/>
              <w:sz w:val="24"/>
              <w:szCs w:val="24"/>
            </w:rPr>
            <m:t>Lost T</m:t>
          </m:r>
          <m:r>
            <w:rPr>
              <w:rFonts w:ascii="Cambria Math" w:hAnsi="Cambria Math"/>
              <w:sz w:val="24"/>
              <w:szCs w:val="24"/>
            </w:rPr>
            <m:t xml:space="preserve">ime= </m:t>
          </m:r>
          <m:nary>
            <m:naryPr>
              <m:chr m:val="∑"/>
              <m:limLoc m:val="undOvr"/>
              <m:ctrlPr>
                <w:rPr>
                  <w:rFonts w:ascii="Cambria Math" w:hAnsi="Cambria Math"/>
                  <w:i/>
                  <w:sz w:val="24"/>
                  <w:szCs w:val="24"/>
                </w:rPr>
              </m:ctrlPr>
            </m:naryPr>
            <m:sub>
              <m:r>
                <w:rPr>
                  <w:rFonts w:ascii="Cambria Math" w:hAnsi="Cambria Math"/>
                  <w:sz w:val="24"/>
                  <w:szCs w:val="24"/>
                </w:rPr>
                <m:t>i=0</m:t>
              </m:r>
            </m:sub>
            <m:sup>
              <m:r>
                <w:rPr>
                  <w:rFonts w:ascii="Cambria Math" w:hAnsi="Cambria Math"/>
                  <w:sz w:val="24"/>
                  <w:szCs w:val="24"/>
                </w:rPr>
                <m:t>n</m:t>
              </m:r>
            </m:sup>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Flow</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Target Time-Actual Time</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VoT</m:t>
                      </m:r>
                    </m:e>
                    <m:sub>
                      <m:r>
                        <w:rPr>
                          <w:rFonts w:ascii="Cambria Math" w:hAnsi="Cambria Math"/>
                          <w:sz w:val="24"/>
                          <w:szCs w:val="24"/>
                        </w:rPr>
                        <m:t>i</m:t>
                      </m:r>
                    </m:sub>
                  </m:sSub>
                </m:num>
                <m:den>
                  <m:r>
                    <w:rPr>
                      <w:rFonts w:ascii="Cambria Math" w:hAnsi="Cambria Math"/>
                      <w:sz w:val="24"/>
                      <w:szCs w:val="24"/>
                    </w:rPr>
                    <m:t>Length</m:t>
                  </m:r>
                </m:den>
              </m:f>
            </m:e>
          </m:nary>
        </m:oMath>
      </m:oMathPara>
    </w:p>
    <w:p w:rsidR="0085264B" w:rsidRPr="004F03B9" w:rsidRDefault="0085264B" w:rsidP="0085264B">
      <w:pPr>
        <w:spacing w:before="120" w:after="120" w:line="276" w:lineRule="auto"/>
        <w:ind w:left="680" w:firstLine="171"/>
        <w:rPr>
          <w:sz w:val="22"/>
          <w:szCs w:val="22"/>
        </w:rPr>
      </w:pPr>
      <w:r w:rsidRPr="004F03B9">
        <w:rPr>
          <w:sz w:val="22"/>
          <w:szCs w:val="22"/>
        </w:rPr>
        <w:t>Where each model link was evaluated and:</w:t>
      </w:r>
    </w:p>
    <w:p w:rsidR="0085264B" w:rsidRPr="004F03B9" w:rsidRDefault="0085264B" w:rsidP="0085264B">
      <w:pPr>
        <w:spacing w:before="120" w:after="120" w:line="276" w:lineRule="auto"/>
        <w:ind w:left="1022" w:firstLine="171"/>
        <w:rPr>
          <w:sz w:val="22"/>
          <w:szCs w:val="22"/>
        </w:rPr>
      </w:pPr>
      <w:r>
        <w:rPr>
          <w:sz w:val="22"/>
          <w:szCs w:val="22"/>
        </w:rPr>
        <w:t xml:space="preserve">Flow </w:t>
      </w:r>
      <w:r>
        <w:rPr>
          <w:sz w:val="22"/>
          <w:szCs w:val="22"/>
        </w:rPr>
        <w:tab/>
        <w:t>=</w:t>
      </w:r>
      <w:r>
        <w:rPr>
          <w:sz w:val="22"/>
          <w:szCs w:val="22"/>
        </w:rPr>
        <w:tab/>
      </w:r>
      <w:r w:rsidRPr="004F03B9">
        <w:rPr>
          <w:sz w:val="22"/>
          <w:szCs w:val="22"/>
        </w:rPr>
        <w:t>AADT;</w:t>
      </w:r>
    </w:p>
    <w:p w:rsidR="0085264B" w:rsidRPr="004F03B9" w:rsidRDefault="0085264B" w:rsidP="0085264B">
      <w:pPr>
        <w:spacing w:before="120" w:after="120" w:line="276" w:lineRule="auto"/>
        <w:ind w:left="1022" w:firstLine="171"/>
        <w:rPr>
          <w:sz w:val="22"/>
          <w:szCs w:val="22"/>
        </w:rPr>
      </w:pPr>
      <w:r>
        <w:rPr>
          <w:sz w:val="22"/>
          <w:szCs w:val="22"/>
        </w:rPr>
        <w:t xml:space="preserve">i </w:t>
      </w:r>
      <w:r>
        <w:rPr>
          <w:sz w:val="22"/>
          <w:szCs w:val="22"/>
        </w:rPr>
        <w:tab/>
      </w:r>
      <w:r>
        <w:rPr>
          <w:sz w:val="22"/>
          <w:szCs w:val="22"/>
        </w:rPr>
        <w:tab/>
        <w:t>=</w:t>
      </w:r>
      <w:r>
        <w:rPr>
          <w:sz w:val="22"/>
          <w:szCs w:val="22"/>
        </w:rPr>
        <w:tab/>
      </w:r>
      <w:r w:rsidRPr="004F03B9">
        <w:rPr>
          <w:sz w:val="22"/>
          <w:szCs w:val="22"/>
        </w:rPr>
        <w:t>vehicle purpose (e.g. commuting, business etc.); and</w:t>
      </w:r>
    </w:p>
    <w:p w:rsidR="0085264B" w:rsidRDefault="0085264B" w:rsidP="0085264B">
      <w:pPr>
        <w:spacing w:before="120" w:after="120" w:line="276" w:lineRule="auto"/>
        <w:ind w:left="1022" w:firstLine="171"/>
        <w:rPr>
          <w:sz w:val="22"/>
          <w:szCs w:val="22"/>
        </w:rPr>
      </w:pPr>
      <w:r>
        <w:rPr>
          <w:sz w:val="22"/>
          <w:szCs w:val="22"/>
        </w:rPr>
        <w:t>VoT</w:t>
      </w:r>
      <w:r>
        <w:rPr>
          <w:sz w:val="22"/>
          <w:szCs w:val="22"/>
        </w:rPr>
        <w:tab/>
      </w:r>
      <w:r>
        <w:rPr>
          <w:sz w:val="22"/>
          <w:szCs w:val="22"/>
        </w:rPr>
        <w:tab/>
        <w:t>=</w:t>
      </w:r>
      <w:r>
        <w:rPr>
          <w:sz w:val="22"/>
          <w:szCs w:val="22"/>
        </w:rPr>
        <w:tab/>
      </w:r>
      <w:r w:rsidRPr="004F03B9">
        <w:rPr>
          <w:sz w:val="22"/>
          <w:szCs w:val="22"/>
        </w:rPr>
        <w:t>Value of Time.</w:t>
      </w:r>
    </w:p>
    <w:p w:rsidR="0085264B" w:rsidRDefault="0085264B" w:rsidP="0085264B">
      <w:pPr>
        <w:spacing w:before="120" w:after="120" w:line="276" w:lineRule="auto"/>
        <w:ind w:left="680" w:firstLine="171"/>
        <w:rPr>
          <w:sz w:val="22"/>
          <w:szCs w:val="22"/>
        </w:rPr>
      </w:pPr>
      <w:r>
        <w:rPr>
          <w:sz w:val="22"/>
          <w:szCs w:val="22"/>
        </w:rPr>
        <w:t xml:space="preserve">The results of that analysis for the base year are shown in </w:t>
      </w:r>
      <w:r w:rsidRPr="00867A97">
        <w:rPr>
          <w:sz w:val="22"/>
          <w:szCs w:val="22"/>
        </w:rPr>
        <w:t xml:space="preserve">Figure </w:t>
      </w:r>
      <w:r>
        <w:rPr>
          <w:sz w:val="22"/>
          <w:szCs w:val="22"/>
        </w:rPr>
        <w:t>4.3.</w:t>
      </w:r>
    </w:p>
    <w:p w:rsidR="0085264B" w:rsidRDefault="0085264B" w:rsidP="0085264B">
      <w:pPr>
        <w:pStyle w:val="NumberedParas"/>
        <w:tabs>
          <w:tab w:val="clear" w:pos="2291"/>
          <w:tab w:val="left" w:pos="851"/>
          <w:tab w:val="left" w:pos="2268"/>
          <w:tab w:val="num" w:pos="2433"/>
        </w:tabs>
        <w:ind w:left="851" w:hanging="851"/>
      </w:pPr>
      <w:r>
        <w:t xml:space="preserve">In monetary terms, this equates to a total of </w:t>
      </w:r>
      <w:r w:rsidRPr="00CC3616">
        <w:t>€1,420</w:t>
      </w:r>
      <w:r>
        <w:t xml:space="preserve"> million per annum.</w:t>
      </w:r>
    </w:p>
    <w:p w:rsidR="0085264B" w:rsidRPr="005026B8" w:rsidRDefault="0085264B" w:rsidP="0085264B">
      <w:pPr>
        <w:keepNext/>
        <w:spacing w:before="120" w:after="120" w:line="276" w:lineRule="auto"/>
        <w:ind w:left="851"/>
        <w:rPr>
          <w:b/>
          <w:sz w:val="22"/>
          <w:szCs w:val="22"/>
        </w:rPr>
      </w:pPr>
      <w:r w:rsidRPr="005026B8">
        <w:rPr>
          <w:b/>
          <w:sz w:val="22"/>
          <w:szCs w:val="22"/>
        </w:rPr>
        <w:t xml:space="preserve">Figure </w:t>
      </w:r>
      <w:r>
        <w:rPr>
          <w:b/>
          <w:sz w:val="22"/>
          <w:szCs w:val="22"/>
        </w:rPr>
        <w:t xml:space="preserve">4.3 </w:t>
      </w:r>
      <w:r w:rsidRPr="005026B8">
        <w:rPr>
          <w:b/>
          <w:sz w:val="22"/>
          <w:szCs w:val="22"/>
        </w:rPr>
        <w:t>Analysis of Lost Time – Base Year</w:t>
      </w:r>
    </w:p>
    <w:p w:rsidR="0085264B" w:rsidRDefault="0085264B" w:rsidP="0085264B">
      <w:pPr>
        <w:spacing w:before="120" w:after="120" w:line="276" w:lineRule="auto"/>
        <w:ind w:left="680" w:firstLine="171"/>
        <w:rPr>
          <w:sz w:val="22"/>
          <w:szCs w:val="22"/>
        </w:rPr>
      </w:pPr>
      <w:r>
        <w:rPr>
          <w:noProof/>
          <w:sz w:val="22"/>
          <w:szCs w:val="22"/>
          <w:lang w:val="ro-RO" w:eastAsia="ro-RO"/>
        </w:rPr>
        <w:drawing>
          <wp:inline distT="0" distB="0" distL="0" distR="0" wp14:anchorId="20695DAC" wp14:editId="053B4909">
            <wp:extent cx="6102000" cy="5070175"/>
            <wp:effectExtent l="19050" t="19050" r="13050" b="16175"/>
            <wp:docPr id="44" name="Picture 1" descr="Cost_Due_To_Lost_Time_wLabels_Filt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t_Due_To_Lost_Time_wLabels_Filtered.png"/>
                    <pic:cNvPicPr/>
                  </pic:nvPicPr>
                  <pic:blipFill>
                    <a:blip r:embed="rId90" cstate="email">
                      <a:extLst>
                        <a:ext uri="{28A0092B-C50C-407E-A947-70E740481C1C}">
                          <a14:useLocalDpi xmlns:a14="http://schemas.microsoft.com/office/drawing/2010/main"/>
                        </a:ext>
                      </a:extLst>
                    </a:blip>
                    <a:stretch>
                      <a:fillRect/>
                    </a:stretch>
                  </pic:blipFill>
                  <pic:spPr>
                    <a:xfrm>
                      <a:off x="0" y="0"/>
                      <a:ext cx="6102000" cy="5070175"/>
                    </a:xfrm>
                    <a:prstGeom prst="rect">
                      <a:avLst/>
                    </a:prstGeom>
                    <a:ln>
                      <a:solidFill>
                        <a:schemeClr val="accent1"/>
                      </a:solidFill>
                    </a:ln>
                  </pic:spPr>
                </pic:pic>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t>There are a number of significant corridors highlighted by this analysis including, but not limited to:</w:t>
      </w:r>
    </w:p>
    <w:p w:rsidR="0085264B" w:rsidRDefault="0085264B" w:rsidP="00273D5E">
      <w:pPr>
        <w:pStyle w:val="BulletLevel1"/>
      </w:pPr>
      <w:r>
        <w:t>Bucharest – Ploiesti – Brasov;</w:t>
      </w:r>
    </w:p>
    <w:p w:rsidR="0085264B" w:rsidRDefault="0085264B" w:rsidP="00273D5E">
      <w:pPr>
        <w:pStyle w:val="BulletLevel1"/>
      </w:pPr>
      <w:r>
        <w:t>Bucharest – Targoviste – Gaesti;</w:t>
      </w:r>
    </w:p>
    <w:p w:rsidR="0085264B" w:rsidRDefault="0085264B" w:rsidP="00273D5E">
      <w:pPr>
        <w:pStyle w:val="BulletLevel1"/>
      </w:pPr>
      <w:r>
        <w:t>Bucharest – Giurgui &amp; Alexandria;</w:t>
      </w:r>
    </w:p>
    <w:p w:rsidR="0085264B" w:rsidRDefault="0085264B" w:rsidP="00273D5E">
      <w:pPr>
        <w:pStyle w:val="BulletLevel1"/>
      </w:pPr>
      <w:r>
        <w:t>Pitesti – Sibiu;</w:t>
      </w:r>
    </w:p>
    <w:p w:rsidR="0085264B" w:rsidRDefault="0085264B" w:rsidP="00273D5E">
      <w:pPr>
        <w:pStyle w:val="BulletLevel1"/>
      </w:pPr>
      <w:r>
        <w:t>Pitesti – Craiova;</w:t>
      </w:r>
    </w:p>
    <w:p w:rsidR="0085264B" w:rsidRDefault="0085264B" w:rsidP="00273D5E">
      <w:pPr>
        <w:pStyle w:val="BulletLevel1"/>
      </w:pPr>
      <w:r>
        <w:t>‘Corridor IX’ i.e. Bucharest – Buzau – Bacau – Botosani;</w:t>
      </w:r>
    </w:p>
    <w:p w:rsidR="0085264B" w:rsidRDefault="0085264B" w:rsidP="00273D5E">
      <w:pPr>
        <w:pStyle w:val="BulletLevel1"/>
      </w:pPr>
      <w:r>
        <w:t>Routes northeast of Braila / Galati; and</w:t>
      </w:r>
    </w:p>
    <w:p w:rsidR="0085264B" w:rsidRDefault="0085264B" w:rsidP="00273D5E">
      <w:pPr>
        <w:pStyle w:val="BulletLevel1"/>
      </w:pPr>
      <w:r>
        <w:t>Oradea – Cluj – Targu Mures – Iasi.</w:t>
      </w:r>
    </w:p>
    <w:p w:rsidR="0085264B" w:rsidRDefault="0085264B" w:rsidP="0085264B">
      <w:pPr>
        <w:pStyle w:val="NumberedParas"/>
        <w:tabs>
          <w:tab w:val="clear" w:pos="2291"/>
          <w:tab w:val="left" w:pos="851"/>
          <w:tab w:val="left" w:pos="2268"/>
          <w:tab w:val="num" w:pos="2433"/>
        </w:tabs>
        <w:ind w:left="851" w:hanging="851"/>
      </w:pPr>
      <w:r>
        <w:t>The delay is widespread with poor speeds commonplace and consequent poor connectivity / accessibility for many parts of the country.</w:t>
      </w:r>
    </w:p>
    <w:p w:rsidR="0085264B" w:rsidRDefault="0085264B" w:rsidP="0085264B">
      <w:pPr>
        <w:pStyle w:val="Hdg3"/>
      </w:pPr>
      <w:r>
        <w:t>Road Network Condition</w:t>
      </w:r>
    </w:p>
    <w:p w:rsidR="0085264B" w:rsidRDefault="0085264B" w:rsidP="0085264B">
      <w:pPr>
        <w:pStyle w:val="NumberedParas"/>
        <w:tabs>
          <w:tab w:val="clear" w:pos="2291"/>
          <w:tab w:val="left" w:pos="851"/>
          <w:tab w:val="left" w:pos="2268"/>
          <w:tab w:val="num" w:pos="2433"/>
        </w:tabs>
        <w:ind w:left="851" w:hanging="851"/>
      </w:pPr>
      <w:r w:rsidRPr="00DB4948">
        <w:t xml:space="preserve">CESTRIN have provided data to AECOM on the state of the national network as at 1st January 2012. The data provided includes information on the type of surfacing, an assessment of the quality of that surfacing (based on IRR surface roughness values) and also the type of topography through which the road section runs. </w:t>
      </w:r>
    </w:p>
    <w:p w:rsidR="0085264B" w:rsidRDefault="0085264B" w:rsidP="0085264B">
      <w:pPr>
        <w:pStyle w:val="NumberedParas"/>
        <w:tabs>
          <w:tab w:val="clear" w:pos="2291"/>
          <w:tab w:val="left" w:pos="851"/>
          <w:tab w:val="left" w:pos="2268"/>
          <w:tab w:val="num" w:pos="2433"/>
        </w:tabs>
        <w:ind w:left="851" w:hanging="851"/>
      </w:pPr>
      <w:r>
        <w:t>Table 4.4</w:t>
      </w:r>
      <w:r w:rsidRPr="00DB4948">
        <w:t xml:space="preserve"> considers the proportion of the network that is considered good, average or poor broken down by surface type and topography.</w:t>
      </w:r>
    </w:p>
    <w:p w:rsidR="0085264B" w:rsidRPr="005026B8" w:rsidRDefault="0085264B" w:rsidP="0085264B">
      <w:pPr>
        <w:keepNext/>
        <w:spacing w:before="120" w:after="120" w:line="276" w:lineRule="auto"/>
        <w:ind w:left="851"/>
        <w:rPr>
          <w:b/>
          <w:sz w:val="22"/>
          <w:szCs w:val="22"/>
        </w:rPr>
      </w:pPr>
      <w:r>
        <w:rPr>
          <w:b/>
          <w:sz w:val="22"/>
          <w:szCs w:val="22"/>
        </w:rPr>
        <w:t xml:space="preserve">Table 4.4 </w:t>
      </w:r>
      <w:r w:rsidRPr="005026B8">
        <w:rPr>
          <w:b/>
          <w:sz w:val="22"/>
          <w:szCs w:val="22"/>
        </w:rPr>
        <w:t>National Road Network – Surface Condition</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8"/>
        <w:gridCol w:w="1066"/>
        <w:gridCol w:w="8"/>
        <w:gridCol w:w="1091"/>
        <w:gridCol w:w="962"/>
        <w:gridCol w:w="962"/>
        <w:gridCol w:w="1099"/>
        <w:gridCol w:w="962"/>
        <w:gridCol w:w="963"/>
        <w:gridCol w:w="1081"/>
        <w:gridCol w:w="969"/>
      </w:tblGrid>
      <w:tr w:rsidR="0085264B" w:rsidRPr="00DB4948" w:rsidTr="00D41B57">
        <w:trPr>
          <w:cantSplit/>
          <w:trHeight w:val="1524"/>
        </w:trPr>
        <w:tc>
          <w:tcPr>
            <w:tcW w:w="1514" w:type="dxa"/>
            <w:gridSpan w:val="2"/>
            <w:shd w:val="clear" w:color="auto" w:fill="B8CCE4" w:themeFill="accent1" w:themeFillTint="66"/>
            <w:vAlign w:val="center"/>
          </w:tcPr>
          <w:p w:rsidR="0085264B" w:rsidRPr="00DB4948" w:rsidRDefault="0085264B" w:rsidP="00D41B57">
            <w:pPr>
              <w:keepNext/>
              <w:autoSpaceDE w:val="0"/>
              <w:autoSpaceDN w:val="0"/>
              <w:adjustRightInd w:val="0"/>
              <w:spacing w:before="60" w:after="60"/>
              <w:jc w:val="center"/>
              <w:rPr>
                <w:color w:val="000000"/>
                <w:sz w:val="22"/>
                <w:szCs w:val="22"/>
                <w:lang w:eastAsia="en-GB"/>
              </w:rPr>
            </w:pPr>
          </w:p>
        </w:tc>
        <w:tc>
          <w:tcPr>
            <w:tcW w:w="1099" w:type="dxa"/>
            <w:gridSpan w:val="2"/>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Asphalt</w:t>
            </w:r>
          </w:p>
        </w:tc>
        <w:tc>
          <w:tcPr>
            <w:tcW w:w="962" w:type="dxa"/>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Concrete</w:t>
            </w:r>
          </w:p>
        </w:tc>
        <w:tc>
          <w:tcPr>
            <w:tcW w:w="962" w:type="dxa"/>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Paved</w:t>
            </w:r>
          </w:p>
        </w:tc>
        <w:tc>
          <w:tcPr>
            <w:tcW w:w="1099" w:type="dxa"/>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Light Bituminous Pavement</w:t>
            </w:r>
          </w:p>
        </w:tc>
        <w:tc>
          <w:tcPr>
            <w:tcW w:w="962" w:type="dxa"/>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Stone</w:t>
            </w:r>
          </w:p>
        </w:tc>
        <w:tc>
          <w:tcPr>
            <w:tcW w:w="963" w:type="dxa"/>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Earth</w:t>
            </w:r>
          </w:p>
        </w:tc>
        <w:tc>
          <w:tcPr>
            <w:tcW w:w="2050" w:type="dxa"/>
            <w:gridSpan w:val="2"/>
            <w:shd w:val="clear" w:color="auto" w:fill="B8CCE4" w:themeFill="accent1" w:themeFillTint="66"/>
            <w:textDirection w:val="btLr"/>
            <w:vAlign w:val="center"/>
          </w:tcPr>
          <w:p w:rsidR="0085264B" w:rsidRPr="002866E0" w:rsidRDefault="0085264B" w:rsidP="00D41B57">
            <w:pPr>
              <w:keepNext/>
              <w:autoSpaceDE w:val="0"/>
              <w:autoSpaceDN w:val="0"/>
              <w:adjustRightInd w:val="0"/>
              <w:spacing w:before="60" w:after="60"/>
              <w:ind w:left="113" w:right="113"/>
              <w:jc w:val="center"/>
              <w:rPr>
                <w:color w:val="000000"/>
                <w:sz w:val="22"/>
                <w:szCs w:val="22"/>
                <w:lang w:eastAsia="en-GB"/>
              </w:rPr>
            </w:pPr>
            <w:r w:rsidRPr="002866E0">
              <w:rPr>
                <w:color w:val="000000"/>
                <w:sz w:val="22"/>
                <w:szCs w:val="22"/>
                <w:lang w:eastAsia="en-GB"/>
              </w:rPr>
              <w:t>Total</w:t>
            </w:r>
          </w:p>
        </w:tc>
      </w:tr>
      <w:tr w:rsidR="0085264B" w:rsidRPr="00DB4948" w:rsidTr="00D41B57">
        <w:trPr>
          <w:cantSplit/>
          <w:trHeight w:val="329"/>
        </w:trPr>
        <w:tc>
          <w:tcPr>
            <w:tcW w:w="448" w:type="dxa"/>
            <w:vMerge w:val="restart"/>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r w:rsidRPr="00DB4948">
              <w:rPr>
                <w:color w:val="000000"/>
                <w:sz w:val="22"/>
                <w:szCs w:val="22"/>
                <w:lang w:eastAsia="en-GB"/>
              </w:rPr>
              <w:t>Hill</w:t>
            </w: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Good</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19.2%</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0.8%</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0.3%</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20.4%</w:t>
            </w:r>
          </w:p>
        </w:tc>
        <w:tc>
          <w:tcPr>
            <w:tcW w:w="969" w:type="dxa"/>
            <w:vMerge w:val="restart"/>
            <w:shd w:val="clear" w:color="auto" w:fill="auto"/>
            <w:vAlign w:val="center"/>
          </w:tcPr>
          <w:p w:rsidR="0085264B" w:rsidRPr="00DB4948" w:rsidRDefault="0085264B" w:rsidP="00D41B57">
            <w:pPr>
              <w:keepNext/>
              <w:autoSpaceDE w:val="0"/>
              <w:autoSpaceDN w:val="0"/>
              <w:adjustRightInd w:val="0"/>
              <w:spacing w:before="60" w:after="60"/>
              <w:jc w:val="center"/>
              <w:rPr>
                <w:bCs/>
                <w:color w:val="000000"/>
                <w:sz w:val="22"/>
                <w:szCs w:val="22"/>
                <w:lang w:eastAsia="en-GB"/>
              </w:rPr>
            </w:pPr>
            <w:r w:rsidRPr="00DB4948">
              <w:rPr>
                <w:bCs/>
                <w:color w:val="000000"/>
                <w:sz w:val="22"/>
                <w:szCs w:val="22"/>
                <w:lang w:eastAsia="en-GB"/>
              </w:rPr>
              <w:t>40.6%</w:t>
            </w:r>
          </w:p>
        </w:tc>
      </w:tr>
      <w:tr w:rsidR="0085264B" w:rsidRPr="00DB4948" w:rsidTr="00D41B57">
        <w:trPr>
          <w:cantSplit/>
          <w:trHeight w:val="329"/>
        </w:trPr>
        <w:tc>
          <w:tcPr>
            <w:tcW w:w="448" w:type="dxa"/>
            <w:vMerge/>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Average</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11.5%</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1.4%</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1.4%</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0.3%</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14.6%</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448" w:type="dxa"/>
            <w:vMerge/>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Poor</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3.8%</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0.9%</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0.8%</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5.6%</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448" w:type="dxa"/>
            <w:vMerge w:val="restart"/>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r w:rsidRPr="00DB4948">
              <w:rPr>
                <w:color w:val="000000"/>
                <w:sz w:val="22"/>
                <w:szCs w:val="22"/>
                <w:lang w:eastAsia="en-GB"/>
              </w:rPr>
              <w:t>Mountain</w:t>
            </w: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Good</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10.3%</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0.4%</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10.8%</w:t>
            </w:r>
          </w:p>
        </w:tc>
        <w:tc>
          <w:tcPr>
            <w:tcW w:w="969" w:type="dxa"/>
            <w:vMerge w:val="restart"/>
            <w:shd w:val="clear" w:color="auto" w:fill="auto"/>
            <w:vAlign w:val="center"/>
          </w:tcPr>
          <w:p w:rsidR="0085264B" w:rsidRPr="00DB4948" w:rsidRDefault="0085264B" w:rsidP="00D41B57">
            <w:pPr>
              <w:keepNext/>
              <w:autoSpaceDE w:val="0"/>
              <w:autoSpaceDN w:val="0"/>
              <w:adjustRightInd w:val="0"/>
              <w:spacing w:before="60" w:after="60"/>
              <w:jc w:val="center"/>
              <w:rPr>
                <w:bCs/>
                <w:color w:val="000000"/>
                <w:sz w:val="22"/>
                <w:szCs w:val="22"/>
                <w:lang w:eastAsia="en-GB"/>
              </w:rPr>
            </w:pPr>
            <w:r w:rsidRPr="00DB4948">
              <w:rPr>
                <w:bCs/>
                <w:color w:val="000000"/>
                <w:sz w:val="22"/>
                <w:szCs w:val="22"/>
                <w:lang w:eastAsia="en-GB"/>
              </w:rPr>
              <w:t>18.3%</w:t>
            </w:r>
          </w:p>
        </w:tc>
      </w:tr>
      <w:tr w:rsidR="0085264B" w:rsidRPr="00DB4948" w:rsidTr="00D41B57">
        <w:trPr>
          <w:cantSplit/>
          <w:trHeight w:val="329"/>
        </w:trPr>
        <w:tc>
          <w:tcPr>
            <w:tcW w:w="448" w:type="dxa"/>
            <w:vMerge/>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Average</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4.0%</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0.2%</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0.2%</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4.5%</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448" w:type="dxa"/>
            <w:vMerge/>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Poor</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1.2%</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0.3%</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0.5%</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0.9%</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2.9%</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448" w:type="dxa"/>
            <w:vMerge w:val="restart"/>
            <w:shd w:val="clear" w:color="auto" w:fill="auto"/>
            <w:textDirection w:val="btLr"/>
            <w:vAlign w:val="center"/>
          </w:tcPr>
          <w:p w:rsidR="0085264B" w:rsidRPr="00DB4948" w:rsidRDefault="0085264B" w:rsidP="00D41B57">
            <w:pPr>
              <w:keepNext/>
              <w:autoSpaceDE w:val="0"/>
              <w:autoSpaceDN w:val="0"/>
              <w:adjustRightInd w:val="0"/>
              <w:spacing w:before="60" w:after="60"/>
              <w:ind w:left="113" w:right="113"/>
              <w:jc w:val="center"/>
              <w:rPr>
                <w:color w:val="000000"/>
                <w:sz w:val="22"/>
                <w:szCs w:val="22"/>
                <w:lang w:eastAsia="en-GB"/>
              </w:rPr>
            </w:pPr>
            <w:r w:rsidRPr="00DB4948">
              <w:rPr>
                <w:color w:val="000000"/>
                <w:sz w:val="22"/>
                <w:szCs w:val="22"/>
                <w:lang w:eastAsia="en-GB"/>
              </w:rPr>
              <w:t>Plains</w:t>
            </w: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Good</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19.9%</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1.0%</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0.7%</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21.7%</w:t>
            </w:r>
          </w:p>
        </w:tc>
        <w:tc>
          <w:tcPr>
            <w:tcW w:w="969" w:type="dxa"/>
            <w:vMerge w:val="restart"/>
            <w:shd w:val="clear" w:color="auto" w:fill="auto"/>
            <w:vAlign w:val="center"/>
          </w:tcPr>
          <w:p w:rsidR="0085264B" w:rsidRPr="00DB4948" w:rsidRDefault="0085264B" w:rsidP="00D41B57">
            <w:pPr>
              <w:keepNext/>
              <w:autoSpaceDE w:val="0"/>
              <w:autoSpaceDN w:val="0"/>
              <w:adjustRightInd w:val="0"/>
              <w:spacing w:before="60" w:after="60"/>
              <w:jc w:val="center"/>
              <w:rPr>
                <w:bCs/>
                <w:color w:val="000000"/>
                <w:sz w:val="22"/>
                <w:szCs w:val="22"/>
                <w:lang w:eastAsia="en-GB"/>
              </w:rPr>
            </w:pPr>
            <w:r w:rsidRPr="00DB4948">
              <w:rPr>
                <w:bCs/>
                <w:color w:val="000000"/>
                <w:sz w:val="22"/>
                <w:szCs w:val="22"/>
                <w:lang w:eastAsia="en-GB"/>
              </w:rPr>
              <w:t>41.2%</w:t>
            </w:r>
          </w:p>
        </w:tc>
      </w:tr>
      <w:tr w:rsidR="0085264B" w:rsidRPr="00DB4948" w:rsidTr="00D41B57">
        <w:trPr>
          <w:cantSplit/>
          <w:trHeight w:val="329"/>
        </w:trPr>
        <w:tc>
          <w:tcPr>
            <w:tcW w:w="448" w:type="dxa"/>
            <w:vMerge/>
            <w:shd w:val="clear" w:color="auto" w:fill="auto"/>
            <w:vAlign w:val="center"/>
          </w:tcPr>
          <w:p w:rsidR="0085264B" w:rsidRPr="00DB4948" w:rsidRDefault="0085264B" w:rsidP="00D41B57">
            <w:pPr>
              <w:keepNext/>
              <w:autoSpaceDE w:val="0"/>
              <w:autoSpaceDN w:val="0"/>
              <w:adjustRightInd w:val="0"/>
              <w:spacing w:before="60" w:after="60"/>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Average</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10.4%</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0.5%</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0.7%</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0.0%</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11.7%</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448" w:type="dxa"/>
            <w:vMerge/>
            <w:shd w:val="clear" w:color="auto" w:fill="auto"/>
            <w:vAlign w:val="center"/>
          </w:tcPr>
          <w:p w:rsidR="0085264B" w:rsidRPr="00DB4948" w:rsidRDefault="0085264B" w:rsidP="00D41B57">
            <w:pPr>
              <w:keepNext/>
              <w:autoSpaceDE w:val="0"/>
              <w:autoSpaceDN w:val="0"/>
              <w:adjustRightInd w:val="0"/>
              <w:spacing w:before="60" w:after="60"/>
              <w:jc w:val="center"/>
              <w:rPr>
                <w:color w:val="000000"/>
                <w:sz w:val="22"/>
                <w:szCs w:val="22"/>
                <w:lang w:eastAsia="en-GB"/>
              </w:rPr>
            </w:pPr>
          </w:p>
        </w:tc>
        <w:tc>
          <w:tcPr>
            <w:tcW w:w="107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Poor</w:t>
            </w:r>
          </w:p>
        </w:tc>
        <w:tc>
          <w:tcPr>
            <w:tcW w:w="1091"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5.5%</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0.6%</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1.4%</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0.1%</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7.7%</w:t>
            </w:r>
          </w:p>
        </w:tc>
        <w:tc>
          <w:tcPr>
            <w:tcW w:w="969" w:type="dxa"/>
            <w:vMerge/>
            <w:shd w:val="clear" w:color="auto" w:fill="auto"/>
            <w:vAlign w:val="center"/>
          </w:tcPr>
          <w:p w:rsidR="0085264B" w:rsidRPr="00DB4948" w:rsidRDefault="0085264B" w:rsidP="00D41B57">
            <w:pPr>
              <w:keepNext/>
              <w:autoSpaceDE w:val="0"/>
              <w:autoSpaceDN w:val="0"/>
              <w:adjustRightInd w:val="0"/>
              <w:spacing w:before="60" w:after="60"/>
              <w:jc w:val="center"/>
              <w:rPr>
                <w:b/>
                <w:bCs/>
                <w:color w:val="000000"/>
                <w:sz w:val="22"/>
                <w:szCs w:val="22"/>
                <w:lang w:eastAsia="en-GB"/>
              </w:rPr>
            </w:pPr>
          </w:p>
        </w:tc>
      </w:tr>
      <w:tr w:rsidR="0085264B" w:rsidRPr="00DB4948" w:rsidTr="00D41B57">
        <w:trPr>
          <w:cantSplit/>
          <w:trHeight w:val="329"/>
        </w:trPr>
        <w:tc>
          <w:tcPr>
            <w:tcW w:w="1514"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color w:val="000000"/>
                <w:sz w:val="22"/>
                <w:szCs w:val="22"/>
                <w:lang w:eastAsia="en-GB"/>
              </w:rPr>
            </w:pPr>
            <w:r w:rsidRPr="00DB4948">
              <w:rPr>
                <w:color w:val="000000"/>
                <w:sz w:val="22"/>
                <w:szCs w:val="22"/>
                <w:lang w:eastAsia="en-GB"/>
              </w:rPr>
              <w:t>Total</w:t>
            </w:r>
          </w:p>
        </w:tc>
        <w:tc>
          <w:tcPr>
            <w:tcW w:w="1099" w:type="dxa"/>
            <w:gridSpan w:val="2"/>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85.7%</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6.3%</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0.2%</w:t>
            </w:r>
          </w:p>
        </w:tc>
        <w:tc>
          <w:tcPr>
            <w:tcW w:w="1099"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6.0%</w:t>
            </w:r>
          </w:p>
        </w:tc>
        <w:tc>
          <w:tcPr>
            <w:tcW w:w="962"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1.6%</w:t>
            </w:r>
          </w:p>
        </w:tc>
        <w:tc>
          <w:tcPr>
            <w:tcW w:w="963"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0.1%</w:t>
            </w:r>
          </w:p>
        </w:tc>
        <w:tc>
          <w:tcPr>
            <w:tcW w:w="1081" w:type="dxa"/>
            <w:shd w:val="clear" w:color="auto" w:fill="auto"/>
            <w:vAlign w:val="center"/>
          </w:tcPr>
          <w:p w:rsidR="0085264B" w:rsidRPr="00DB4948" w:rsidRDefault="0085264B" w:rsidP="00D41B57">
            <w:pPr>
              <w:keepNext/>
              <w:autoSpaceDE w:val="0"/>
              <w:autoSpaceDN w:val="0"/>
              <w:adjustRightInd w:val="0"/>
              <w:spacing w:before="80" w:after="80"/>
              <w:jc w:val="center"/>
              <w:rPr>
                <w:bCs/>
                <w:color w:val="000000"/>
                <w:sz w:val="22"/>
                <w:szCs w:val="22"/>
                <w:lang w:eastAsia="en-GB"/>
              </w:rPr>
            </w:pPr>
            <w:r w:rsidRPr="00DB4948">
              <w:rPr>
                <w:bCs/>
                <w:color w:val="000000"/>
                <w:sz w:val="22"/>
                <w:szCs w:val="22"/>
                <w:lang w:eastAsia="en-GB"/>
              </w:rPr>
              <w:t>100.0%</w:t>
            </w:r>
          </w:p>
        </w:tc>
        <w:tc>
          <w:tcPr>
            <w:tcW w:w="969" w:type="dxa"/>
            <w:shd w:val="clear" w:color="auto" w:fill="auto"/>
            <w:vAlign w:val="center"/>
          </w:tcPr>
          <w:p w:rsidR="0085264B" w:rsidRPr="00DB4948" w:rsidRDefault="0085264B" w:rsidP="00D41B57">
            <w:pPr>
              <w:keepNext/>
              <w:autoSpaceDE w:val="0"/>
              <w:autoSpaceDN w:val="0"/>
              <w:adjustRightInd w:val="0"/>
              <w:spacing w:before="60" w:after="60"/>
              <w:jc w:val="center"/>
              <w:rPr>
                <w:bCs/>
                <w:color w:val="000000"/>
                <w:sz w:val="22"/>
                <w:szCs w:val="22"/>
                <w:lang w:eastAsia="en-GB"/>
              </w:rPr>
            </w:pPr>
            <w:r w:rsidRPr="00DB4948">
              <w:rPr>
                <w:bCs/>
                <w:color w:val="000000"/>
                <w:sz w:val="22"/>
                <w:szCs w:val="22"/>
                <w:lang w:eastAsia="en-GB"/>
              </w:rPr>
              <w:t>100.0%</w:t>
            </w:r>
          </w:p>
        </w:tc>
      </w:tr>
    </w:tbl>
    <w:p w:rsidR="0085264B" w:rsidRPr="00867A97" w:rsidRDefault="0085264B" w:rsidP="0085264B">
      <w:pPr>
        <w:spacing w:before="120" w:after="120" w:line="276" w:lineRule="auto"/>
        <w:ind w:left="851"/>
        <w:rPr>
          <w:i/>
          <w:sz w:val="22"/>
          <w:szCs w:val="22"/>
        </w:rPr>
      </w:pPr>
      <w:r>
        <w:rPr>
          <w:i/>
          <w:sz w:val="22"/>
          <w:szCs w:val="22"/>
        </w:rPr>
        <w:t>Source: AECOM analysis of CESTRIN Data</w:t>
      </w:r>
    </w:p>
    <w:p w:rsidR="0085264B" w:rsidRDefault="0085264B" w:rsidP="0085264B">
      <w:pPr>
        <w:pStyle w:val="NumberedParas"/>
        <w:tabs>
          <w:tab w:val="clear" w:pos="2291"/>
          <w:tab w:val="left" w:pos="851"/>
          <w:tab w:val="left" w:pos="2268"/>
          <w:tab w:val="num" w:pos="2433"/>
        </w:tabs>
        <w:ind w:left="851" w:hanging="851"/>
      </w:pPr>
      <w:r w:rsidRPr="00AA6F5B">
        <w:t xml:space="preserve">The notable point from this is that only just over 50% of the national network is classified as good with a further 30% average and 20% poor. The expectation </w:t>
      </w:r>
      <w:r>
        <w:t>should be</w:t>
      </w:r>
      <w:r w:rsidRPr="00AA6F5B">
        <w:t xml:space="preserve"> that the national network should be at the top end of the standard for any country.</w:t>
      </w:r>
      <w:r>
        <w:t xml:space="preserve"> </w:t>
      </w:r>
      <w:r w:rsidRPr="00AA6F5B">
        <w:t xml:space="preserve">Further information has been obtained on the proportion of national road network for which the design life has expired; this is shown in </w:t>
      </w:r>
      <w:r>
        <w:t xml:space="preserve">Figure 4.4. </w:t>
      </w:r>
      <w:r w:rsidRPr="000C06E9">
        <w:t>48% of all routes have some element classified poor. Of these the average proportion, by length, is 24%. There is no distinction by topography</w:t>
      </w:r>
      <w:r>
        <w:t>, thereby</w:t>
      </w:r>
      <w:r w:rsidRPr="000C06E9">
        <w:t xml:space="preserve"> suggesting a network wide issue.</w:t>
      </w:r>
    </w:p>
    <w:p w:rsidR="0085264B" w:rsidRDefault="0085264B" w:rsidP="0085264B">
      <w:pPr>
        <w:pStyle w:val="NumberedParas"/>
        <w:tabs>
          <w:tab w:val="clear" w:pos="2291"/>
          <w:tab w:val="left" w:pos="851"/>
          <w:tab w:val="left" w:pos="2268"/>
          <w:tab w:val="num" w:pos="2433"/>
        </w:tabs>
        <w:ind w:left="851" w:hanging="851"/>
      </w:pPr>
      <w:r w:rsidRPr="000C06E9">
        <w:t>Whi</w:t>
      </w:r>
      <w:r>
        <w:t>l</w:t>
      </w:r>
      <w:r w:rsidRPr="000C06E9">
        <w:t>st there are anecdotal references to the relative quality of the Romanian network and some subjective surveys by, for example, the World Economic Forum, in their report on “Global Competitiveness (2011–2012)”, places Romania 137th out of 142 countries considered with regard to the quality of the road infrastructure, we have not been able to obtain statistically robust comparative data.</w:t>
      </w:r>
      <w:r>
        <w:t xml:space="preserve"> </w:t>
      </w:r>
      <w:r w:rsidRPr="000C06E9">
        <w:t xml:space="preserve">As a proxy, we have looked at the level of motorway provision across Europe as motorway implies a level of quality and standard. The results are presented in the </w:t>
      </w:r>
      <w:r>
        <w:t>Figure 4.5 and Figure 4.64.6</w:t>
      </w:r>
      <w:r w:rsidRPr="00B56664">
        <w:t>.</w:t>
      </w:r>
    </w:p>
    <w:p w:rsidR="0085264B" w:rsidRDefault="0085264B" w:rsidP="0085264B">
      <w:pPr>
        <w:pStyle w:val="NumberedParas"/>
        <w:tabs>
          <w:tab w:val="clear" w:pos="2291"/>
          <w:tab w:val="left" w:pos="851"/>
          <w:tab w:val="left" w:pos="2268"/>
          <w:tab w:val="num" w:pos="2433"/>
        </w:tabs>
        <w:ind w:left="851" w:hanging="851"/>
      </w:pPr>
      <w:r w:rsidRPr="000C06E9">
        <w:t>From both indicators used, it is clear that the relative proportion of motorway standard routes is low compared to the rest of Europe.</w:t>
      </w:r>
    </w:p>
    <w:p w:rsidR="0085264B" w:rsidRPr="005026B8" w:rsidRDefault="0085264B" w:rsidP="0085264B">
      <w:pPr>
        <w:keepNext/>
        <w:spacing w:before="120" w:after="120" w:line="276" w:lineRule="auto"/>
        <w:ind w:left="851"/>
        <w:rPr>
          <w:b/>
          <w:sz w:val="22"/>
          <w:szCs w:val="22"/>
        </w:rPr>
      </w:pPr>
      <w:r>
        <w:rPr>
          <w:b/>
          <w:sz w:val="22"/>
          <w:szCs w:val="22"/>
        </w:rPr>
        <w:t xml:space="preserve">Figure 4.4 </w:t>
      </w:r>
      <w:r w:rsidRPr="005026B8">
        <w:rPr>
          <w:b/>
          <w:sz w:val="22"/>
          <w:szCs w:val="22"/>
        </w:rPr>
        <w:t>Proportion of National Network Beyond Service Life</w:t>
      </w:r>
    </w:p>
    <w:p w:rsidR="0085264B" w:rsidRDefault="0085264B" w:rsidP="0085264B">
      <w:pPr>
        <w:spacing w:before="120" w:after="120" w:line="276" w:lineRule="auto"/>
        <w:ind w:left="680" w:firstLine="171"/>
        <w:rPr>
          <w:sz w:val="22"/>
          <w:szCs w:val="22"/>
        </w:rPr>
      </w:pPr>
      <w:r w:rsidRPr="00AA6F5B">
        <w:rPr>
          <w:noProof/>
          <w:sz w:val="22"/>
          <w:szCs w:val="22"/>
          <w:lang w:val="ro-RO" w:eastAsia="ro-RO"/>
        </w:rPr>
        <w:drawing>
          <wp:inline distT="0" distB="0" distL="0" distR="0" wp14:anchorId="4E6D7E90" wp14:editId="599D3F2A">
            <wp:extent cx="6102000" cy="3989067"/>
            <wp:effectExtent l="19050" t="0" r="13050" b="0"/>
            <wp:docPr id="47"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CNADNR</w:t>
      </w:r>
    </w:p>
    <w:p w:rsidR="0085264B" w:rsidRDefault="0085264B" w:rsidP="0085264B">
      <w:pPr>
        <w:spacing w:before="120" w:after="120" w:line="276" w:lineRule="auto"/>
        <w:ind w:left="680"/>
        <w:rPr>
          <w:sz w:val="22"/>
          <w:szCs w:val="22"/>
        </w:rPr>
      </w:pPr>
    </w:p>
    <w:p w:rsidR="0085264B" w:rsidRDefault="0085264B" w:rsidP="0085264B">
      <w:pPr>
        <w:keepNext/>
        <w:spacing w:line="276" w:lineRule="auto"/>
        <w:ind w:left="851"/>
        <w:rPr>
          <w:b/>
          <w:sz w:val="22"/>
          <w:szCs w:val="22"/>
        </w:rPr>
      </w:pPr>
      <w:r w:rsidRPr="005026B8">
        <w:rPr>
          <w:b/>
          <w:sz w:val="22"/>
          <w:szCs w:val="22"/>
        </w:rPr>
        <w:t xml:space="preserve">Figure </w:t>
      </w:r>
      <w:r>
        <w:rPr>
          <w:b/>
          <w:sz w:val="22"/>
          <w:szCs w:val="22"/>
        </w:rPr>
        <w:t xml:space="preserve">4.5 </w:t>
      </w:r>
      <w:r w:rsidRPr="005026B8">
        <w:rPr>
          <w:b/>
          <w:sz w:val="22"/>
          <w:szCs w:val="22"/>
        </w:rPr>
        <w:t>Length of Motorway per 100,000 Population (2005)</w:t>
      </w:r>
    </w:p>
    <w:p w:rsidR="0085264B" w:rsidRDefault="0085264B" w:rsidP="0085264B">
      <w:pPr>
        <w:spacing w:line="276" w:lineRule="auto"/>
        <w:ind w:left="851"/>
        <w:rPr>
          <w:sz w:val="22"/>
          <w:szCs w:val="22"/>
        </w:rPr>
      </w:pPr>
      <w:r w:rsidRPr="000C06E9">
        <w:rPr>
          <w:noProof/>
          <w:sz w:val="22"/>
          <w:szCs w:val="22"/>
          <w:lang w:val="ro-RO" w:eastAsia="ro-RO"/>
        </w:rPr>
        <w:drawing>
          <wp:inline distT="0" distB="0" distL="0" distR="0" wp14:anchorId="008D1AD5" wp14:editId="404B186C">
            <wp:extent cx="6103917" cy="3942607"/>
            <wp:effectExtent l="0" t="0" r="11430" b="20320"/>
            <wp:docPr id="48"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analysis of Eurostat Data</w:t>
      </w:r>
    </w:p>
    <w:p w:rsidR="0085264B" w:rsidRDefault="0085264B" w:rsidP="0085264B">
      <w:pPr>
        <w:tabs>
          <w:tab w:val="left" w:pos="680"/>
        </w:tabs>
        <w:spacing w:line="276" w:lineRule="auto"/>
        <w:ind w:left="851"/>
        <w:rPr>
          <w:b/>
          <w:sz w:val="22"/>
          <w:szCs w:val="22"/>
        </w:rPr>
      </w:pPr>
      <w:r>
        <w:rPr>
          <w:b/>
          <w:sz w:val="22"/>
          <w:szCs w:val="22"/>
        </w:rPr>
        <w:t xml:space="preserve">Figure 4.6 </w:t>
      </w:r>
      <w:r w:rsidRPr="005026B8">
        <w:rPr>
          <w:b/>
          <w:sz w:val="22"/>
          <w:szCs w:val="22"/>
        </w:rPr>
        <w:t>Proportion of Network Classified as Motorway (2005)</w:t>
      </w:r>
    </w:p>
    <w:p w:rsidR="0085264B" w:rsidRDefault="0085264B" w:rsidP="0085264B">
      <w:pPr>
        <w:tabs>
          <w:tab w:val="left" w:pos="851"/>
        </w:tabs>
        <w:spacing w:line="276" w:lineRule="auto"/>
        <w:ind w:left="851"/>
        <w:rPr>
          <w:sz w:val="22"/>
          <w:szCs w:val="22"/>
        </w:rPr>
      </w:pPr>
      <w:r w:rsidRPr="000C06E9">
        <w:rPr>
          <w:noProof/>
          <w:sz w:val="22"/>
          <w:szCs w:val="22"/>
          <w:lang w:val="ro-RO" w:eastAsia="ro-RO"/>
        </w:rPr>
        <w:drawing>
          <wp:inline distT="0" distB="0" distL="0" distR="0" wp14:anchorId="1BF4C62C" wp14:editId="18634A3F">
            <wp:extent cx="6103916" cy="3835730"/>
            <wp:effectExtent l="0" t="0" r="11430" b="12700"/>
            <wp:docPr id="53"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85264B" w:rsidRDefault="0085264B" w:rsidP="0085264B">
      <w:pPr>
        <w:spacing w:before="120" w:after="120" w:line="276" w:lineRule="auto"/>
        <w:ind w:left="851"/>
        <w:rPr>
          <w:i/>
          <w:sz w:val="22"/>
          <w:szCs w:val="22"/>
        </w:rPr>
      </w:pPr>
      <w:r>
        <w:rPr>
          <w:i/>
          <w:sz w:val="22"/>
          <w:szCs w:val="22"/>
        </w:rPr>
        <w:t>Source: AECOM analysis of Eurostat Data</w:t>
      </w:r>
    </w:p>
    <w:p w:rsidR="0085264B" w:rsidRDefault="0085264B" w:rsidP="0085264B">
      <w:pPr>
        <w:pStyle w:val="Hdg3"/>
      </w:pPr>
      <w:r>
        <w:t>Road Maintenance</w:t>
      </w:r>
    </w:p>
    <w:p w:rsidR="0085264B" w:rsidRDefault="0085264B" w:rsidP="0085264B">
      <w:pPr>
        <w:pStyle w:val="NumberedParas"/>
        <w:tabs>
          <w:tab w:val="clear" w:pos="2291"/>
          <w:tab w:val="left" w:pos="851"/>
          <w:tab w:val="left" w:pos="2268"/>
          <w:tab w:val="num" w:pos="2433"/>
        </w:tabs>
        <w:ind w:left="851" w:hanging="851"/>
      </w:pPr>
      <w:r w:rsidRPr="000C06E9">
        <w:t xml:space="preserve">There are currently </w:t>
      </w:r>
      <w:r>
        <w:t xml:space="preserve">in the order of </w:t>
      </w:r>
      <w:r w:rsidRPr="00B56664">
        <w:t>50 framework</w:t>
      </w:r>
      <w:r w:rsidRPr="000C06E9">
        <w:t xml:space="preserve"> agreements in place covering maintenance activities on the national network which are subject to renewal every two years. </w:t>
      </w:r>
      <w:r>
        <w:t>In the UK, which has around ten times as much motorway network, there are 13 area based framework arrangements. T</w:t>
      </w:r>
      <w:r w:rsidRPr="000C06E9">
        <w:t xml:space="preserve">ypical contract durations of between 5 and 10 years </w:t>
      </w:r>
      <w:r>
        <w:t xml:space="preserve">are prevalent </w:t>
      </w:r>
      <w:r w:rsidRPr="000C06E9">
        <w:t>in the rest of Europe.</w:t>
      </w:r>
    </w:p>
    <w:p w:rsidR="0085264B" w:rsidRDefault="0085264B" w:rsidP="0085264B">
      <w:pPr>
        <w:pStyle w:val="NumberedParas"/>
        <w:tabs>
          <w:tab w:val="clear" w:pos="2291"/>
          <w:tab w:val="left" w:pos="851"/>
          <w:tab w:val="left" w:pos="2268"/>
          <w:tab w:val="num" w:pos="2433"/>
        </w:tabs>
        <w:ind w:left="851" w:hanging="851"/>
      </w:pPr>
      <w:r w:rsidRPr="000C06E9">
        <w:t>The case study of the Rijkswaterstaat in the Netherlands indicated savings of 20% in road maintenance costs through the extension of contract terms from 1–2 years to 5–7 years and by bundling more maintenance activities together in the same contract. In addition to these contract savings, longer contract periods incentivise the suppliers to invest in more efficient plant as the ‘payback’ will be more transparent.</w:t>
      </w:r>
    </w:p>
    <w:p w:rsidR="0085264B" w:rsidRDefault="0085264B" w:rsidP="0085264B">
      <w:pPr>
        <w:pStyle w:val="NumberedParas"/>
        <w:tabs>
          <w:tab w:val="clear" w:pos="2291"/>
          <w:tab w:val="left" w:pos="851"/>
          <w:tab w:val="left" w:pos="2268"/>
          <w:tab w:val="num" w:pos="2433"/>
        </w:tabs>
        <w:ind w:left="851" w:hanging="851"/>
      </w:pPr>
      <w:r w:rsidRPr="000C06E9">
        <w:t>Consultation with suppliers in the UK has also revealed that bulk-buying of materials across a large programme can provide greater efficiency and savings are likely to be significant. Contractors could use their fixed and mobile plant with significantly greater efficiency if contracts included both local and national roads.</w:t>
      </w:r>
    </w:p>
    <w:p w:rsidR="0085264B" w:rsidRDefault="0085264B" w:rsidP="0085264B">
      <w:pPr>
        <w:pStyle w:val="NumberedParas"/>
        <w:tabs>
          <w:tab w:val="clear" w:pos="2291"/>
          <w:tab w:val="left" w:pos="851"/>
          <w:tab w:val="left" w:pos="2268"/>
          <w:tab w:val="num" w:pos="2433"/>
        </w:tabs>
        <w:ind w:left="851" w:hanging="851"/>
      </w:pPr>
      <w:r>
        <w:t>The level of maintenance spend required has been determined with reference to the World Bank report “</w:t>
      </w:r>
      <w:r w:rsidRPr="007B1A2A">
        <w:t>Road and Railway Cost Recovery in Romania</w:t>
      </w:r>
      <w:r>
        <w:t xml:space="preserve">”, prepared by AECOM. The model used in that project </w:t>
      </w:r>
      <w:r w:rsidRPr="007B1A2A">
        <w:t>derive</w:t>
      </w:r>
      <w:r>
        <w:t>d</w:t>
      </w:r>
      <w:r w:rsidRPr="007B1A2A">
        <w:t xml:space="preserve"> Base Case Lifecycle Expenditure (CapEx), Operations and Maintenance Expenditure (OpEx) and Revenues forecasts for the road and railways networks in Romania.</w:t>
      </w:r>
    </w:p>
    <w:p w:rsidR="0085264B" w:rsidRDefault="0085264B" w:rsidP="0085264B">
      <w:pPr>
        <w:pStyle w:val="NumberedParas"/>
        <w:tabs>
          <w:tab w:val="clear" w:pos="2291"/>
          <w:tab w:val="left" w:pos="851"/>
          <w:tab w:val="left" w:pos="2268"/>
          <w:tab w:val="num" w:pos="2433"/>
        </w:tabs>
        <w:ind w:left="851" w:hanging="851"/>
      </w:pPr>
      <w:r w:rsidRPr="007B1A2A">
        <w:t xml:space="preserve">The resulting Base Case OpEx and CapEx forecasts </w:t>
      </w:r>
      <w:r>
        <w:t xml:space="preserve">were </w:t>
      </w:r>
      <w:r w:rsidRPr="007B1A2A">
        <w:t>governed by the following key assumptions:</w:t>
      </w:r>
    </w:p>
    <w:p w:rsidR="0085264B" w:rsidRPr="007B1A2A" w:rsidRDefault="0085264B" w:rsidP="00273D5E">
      <w:pPr>
        <w:pStyle w:val="BulletLevel1"/>
      </w:pPr>
      <w:r w:rsidRPr="007B1A2A">
        <w:t>Asset physical characteristics</w:t>
      </w:r>
    </w:p>
    <w:p w:rsidR="0085264B" w:rsidRPr="007B1A2A" w:rsidRDefault="0085264B" w:rsidP="00273D5E">
      <w:pPr>
        <w:pStyle w:val="BulletLevel1"/>
      </w:pPr>
      <w:r w:rsidRPr="007B1A2A">
        <w:t>Key socio-economic factors such as GDP growth and other specific indicators (for example car ownership growth in the case of the road model)</w:t>
      </w:r>
      <w:r>
        <w:t>;</w:t>
      </w:r>
    </w:p>
    <w:p w:rsidR="0085264B" w:rsidRPr="007B1A2A" w:rsidRDefault="0085264B" w:rsidP="00273D5E">
      <w:pPr>
        <w:pStyle w:val="BulletLevel1"/>
      </w:pPr>
      <w:r w:rsidRPr="007B1A2A">
        <w:t>Key project environmental factors such as initial and forecast traffic volumes</w:t>
      </w:r>
      <w:r>
        <w:t>;</w:t>
      </w:r>
    </w:p>
    <w:p w:rsidR="0085264B" w:rsidRPr="007B1A2A" w:rsidRDefault="0085264B" w:rsidP="00273D5E">
      <w:pPr>
        <w:pStyle w:val="BulletLevel1"/>
      </w:pPr>
      <w:r w:rsidRPr="007B1A2A">
        <w:t>Local standards and practices applicable to O&amp;M and whole life costs</w:t>
      </w:r>
      <w:r>
        <w:t>;</w:t>
      </w:r>
    </w:p>
    <w:p w:rsidR="0085264B" w:rsidRPr="007B1A2A" w:rsidRDefault="0085264B" w:rsidP="00273D5E">
      <w:pPr>
        <w:pStyle w:val="BulletLevel1"/>
      </w:pPr>
      <w:r w:rsidRPr="007B1A2A">
        <w:t>Assumed unit rates (derived from benchmarks and local knowledge)</w:t>
      </w:r>
      <w:r>
        <w:t>;</w:t>
      </w:r>
    </w:p>
    <w:p w:rsidR="0085264B" w:rsidRPr="007B1A2A" w:rsidRDefault="0085264B" w:rsidP="00273D5E">
      <w:pPr>
        <w:pStyle w:val="BulletLevel1"/>
      </w:pPr>
      <w:r w:rsidRPr="007B1A2A">
        <w:t>Proposed maintenance strategy (for example pavement in the case of the road model)</w:t>
      </w:r>
      <w:r>
        <w:t>; and</w:t>
      </w:r>
    </w:p>
    <w:p w:rsidR="0085264B" w:rsidRPr="007B1A2A" w:rsidRDefault="0085264B" w:rsidP="00273D5E">
      <w:pPr>
        <w:pStyle w:val="BulletLevel1"/>
      </w:pPr>
      <w:r w:rsidRPr="007B1A2A">
        <w:t>Proposed rehabilitation programs</w:t>
      </w:r>
      <w:r>
        <w:t>.</w:t>
      </w:r>
    </w:p>
    <w:p w:rsidR="0085264B" w:rsidRDefault="0085264B" w:rsidP="0085264B">
      <w:pPr>
        <w:pStyle w:val="NumberedParas"/>
        <w:tabs>
          <w:tab w:val="clear" w:pos="2291"/>
          <w:tab w:val="left" w:pos="851"/>
          <w:tab w:val="left" w:pos="2268"/>
          <w:tab w:val="num" w:pos="2433"/>
        </w:tabs>
        <w:ind w:left="851" w:hanging="851"/>
      </w:pPr>
      <w:r w:rsidRPr="007B1A2A">
        <w:t xml:space="preserve">The resulting revenues forecasts </w:t>
      </w:r>
      <w:r>
        <w:t>were</w:t>
      </w:r>
      <w:r w:rsidRPr="007B1A2A">
        <w:t xml:space="preserve"> governed by the following key assumptions:</w:t>
      </w:r>
    </w:p>
    <w:p w:rsidR="0085264B" w:rsidRPr="007B1A2A" w:rsidRDefault="0085264B" w:rsidP="00273D5E">
      <w:pPr>
        <w:pStyle w:val="BulletLevel1"/>
      </w:pPr>
      <w:r w:rsidRPr="007B1A2A">
        <w:t>Asset physical characteristics</w:t>
      </w:r>
      <w:r>
        <w:t>;</w:t>
      </w:r>
    </w:p>
    <w:p w:rsidR="0085264B" w:rsidRPr="007B1A2A" w:rsidRDefault="0085264B" w:rsidP="00273D5E">
      <w:pPr>
        <w:pStyle w:val="BulletLevel1"/>
      </w:pPr>
      <w:r w:rsidRPr="007B1A2A">
        <w:t>Key socio-economic factors such as GDP growth and other specific indicators (for example car ownership growth in the case of the road model)</w:t>
      </w:r>
      <w:r>
        <w:t>;</w:t>
      </w:r>
    </w:p>
    <w:p w:rsidR="0085264B" w:rsidRPr="007B1A2A" w:rsidRDefault="0085264B" w:rsidP="00273D5E">
      <w:pPr>
        <w:pStyle w:val="BulletLevel1"/>
      </w:pPr>
      <w:r w:rsidRPr="007B1A2A">
        <w:t>Key project environmental factors such as initial and forecast traffic volumes</w:t>
      </w:r>
      <w:r>
        <w:t>;</w:t>
      </w:r>
    </w:p>
    <w:p w:rsidR="0085264B" w:rsidRPr="007B1A2A" w:rsidRDefault="0085264B" w:rsidP="00273D5E">
      <w:pPr>
        <w:pStyle w:val="BulletLevel1"/>
      </w:pPr>
      <w:r w:rsidRPr="007B1A2A">
        <w:t>User charges</w:t>
      </w:r>
      <w:r>
        <w:t>; and</w:t>
      </w:r>
    </w:p>
    <w:p w:rsidR="0085264B" w:rsidRDefault="0085264B" w:rsidP="00273D5E">
      <w:pPr>
        <w:pStyle w:val="BulletLevel1"/>
      </w:pPr>
      <w:r w:rsidRPr="007B1A2A">
        <w:t>Other sources of revenues</w:t>
      </w:r>
      <w:r>
        <w:t>.</w:t>
      </w:r>
    </w:p>
    <w:p w:rsidR="0085264B" w:rsidRDefault="0085264B" w:rsidP="0085264B">
      <w:pPr>
        <w:pStyle w:val="NumberedParas"/>
        <w:tabs>
          <w:tab w:val="clear" w:pos="2291"/>
          <w:tab w:val="left" w:pos="851"/>
          <w:tab w:val="left" w:pos="2268"/>
          <w:tab w:val="num" w:pos="2433"/>
        </w:tabs>
        <w:ind w:left="851" w:hanging="851"/>
      </w:pPr>
      <w:r>
        <w:t>The work for the National Transport Strategy was able to refine further this model based upon our improved knowledge of the condition of the road network as developed with assistance from CESTRIN. The outputs of that process are provided in Table 4.5 below.</w:t>
      </w:r>
    </w:p>
    <w:p w:rsidR="0085264B" w:rsidRDefault="0085264B" w:rsidP="0085264B">
      <w:pPr>
        <w:keepNext/>
        <w:tabs>
          <w:tab w:val="left" w:pos="680"/>
        </w:tabs>
        <w:spacing w:before="120" w:after="120" w:line="276" w:lineRule="auto"/>
        <w:ind w:left="1560" w:hanging="709"/>
        <w:rPr>
          <w:b/>
          <w:sz w:val="22"/>
          <w:szCs w:val="22"/>
        </w:rPr>
      </w:pPr>
      <w:r>
        <w:rPr>
          <w:b/>
          <w:sz w:val="22"/>
          <w:szCs w:val="22"/>
        </w:rPr>
        <w:t xml:space="preserve">Table 4.5 Required </w:t>
      </w:r>
      <w:r w:rsidRPr="005026B8">
        <w:rPr>
          <w:b/>
          <w:sz w:val="22"/>
          <w:szCs w:val="22"/>
        </w:rPr>
        <w:t>Road Maintenance and Lifecycle Costs (million Lei)</w:t>
      </w:r>
    </w:p>
    <w:tbl>
      <w:tblPr>
        <w:tblW w:w="9718"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486"/>
        <w:gridCol w:w="1384"/>
        <w:gridCol w:w="1499"/>
        <w:gridCol w:w="1552"/>
        <w:gridCol w:w="1179"/>
        <w:gridCol w:w="1281"/>
      </w:tblGrid>
      <w:tr w:rsidR="0085264B" w:rsidRPr="00196780" w:rsidTr="00D41B57">
        <w:trPr>
          <w:trHeight w:val="255"/>
        </w:trPr>
        <w:tc>
          <w:tcPr>
            <w:tcW w:w="1337" w:type="dxa"/>
            <w:vMerge w:val="restart"/>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r>
              <w:rPr>
                <w:sz w:val="22"/>
                <w:szCs w:val="22"/>
                <w:lang w:eastAsia="en-GB"/>
              </w:rPr>
              <w:t>Period</w:t>
            </w:r>
          </w:p>
        </w:tc>
        <w:tc>
          <w:tcPr>
            <w:tcW w:w="4369" w:type="dxa"/>
            <w:gridSpan w:val="3"/>
            <w:shd w:val="clear" w:color="auto" w:fill="B8CCE4" w:themeFill="accent1" w:themeFillTint="66"/>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Total Cost in period</w:t>
            </w:r>
          </w:p>
        </w:tc>
        <w:tc>
          <w:tcPr>
            <w:tcW w:w="4012" w:type="dxa"/>
            <w:gridSpan w:val="3"/>
            <w:shd w:val="clear" w:color="auto" w:fill="B8CCE4" w:themeFill="accent1" w:themeFillTint="66"/>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Average Annual</w:t>
            </w:r>
          </w:p>
        </w:tc>
      </w:tr>
      <w:tr w:rsidR="0085264B" w:rsidRPr="00196780" w:rsidTr="00D41B57">
        <w:trPr>
          <w:trHeight w:val="255"/>
        </w:trPr>
        <w:tc>
          <w:tcPr>
            <w:tcW w:w="1337" w:type="dxa"/>
            <w:vMerge/>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p>
        </w:tc>
        <w:tc>
          <w:tcPr>
            <w:tcW w:w="1486" w:type="dxa"/>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Maintenance</w:t>
            </w:r>
          </w:p>
        </w:tc>
        <w:tc>
          <w:tcPr>
            <w:tcW w:w="1384" w:type="dxa"/>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Lifecycle</w:t>
            </w:r>
          </w:p>
        </w:tc>
        <w:tc>
          <w:tcPr>
            <w:tcW w:w="1499" w:type="dxa"/>
            <w:shd w:val="clear" w:color="auto" w:fill="B8CCE4" w:themeFill="accent1" w:themeFillTint="66"/>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Total</w:t>
            </w:r>
          </w:p>
        </w:tc>
        <w:tc>
          <w:tcPr>
            <w:tcW w:w="1552" w:type="dxa"/>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Maintenance</w:t>
            </w:r>
          </w:p>
        </w:tc>
        <w:tc>
          <w:tcPr>
            <w:tcW w:w="1179" w:type="dxa"/>
            <w:shd w:val="clear" w:color="auto" w:fill="B8CCE4" w:themeFill="accent1" w:themeFillTint="66"/>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Lifecycle</w:t>
            </w:r>
          </w:p>
        </w:tc>
        <w:tc>
          <w:tcPr>
            <w:tcW w:w="1281" w:type="dxa"/>
            <w:shd w:val="clear" w:color="auto" w:fill="B8CCE4" w:themeFill="accent1" w:themeFillTint="66"/>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Total</w:t>
            </w:r>
          </w:p>
        </w:tc>
      </w:tr>
      <w:tr w:rsidR="0085264B" w:rsidRPr="00196780" w:rsidTr="00D41B57">
        <w:trPr>
          <w:trHeight w:val="255"/>
        </w:trPr>
        <w:tc>
          <w:tcPr>
            <w:tcW w:w="1337"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2014-2020</w:t>
            </w:r>
          </w:p>
        </w:tc>
        <w:tc>
          <w:tcPr>
            <w:tcW w:w="1486" w:type="dxa"/>
            <w:shd w:val="clear" w:color="000000" w:fill="FFFFFF"/>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6,033</w:t>
            </w:r>
            <w:r>
              <w:rPr>
                <w:sz w:val="22"/>
                <w:szCs w:val="22"/>
                <w:lang w:eastAsia="en-GB"/>
              </w:rPr>
              <w:t>.3</w:t>
            </w:r>
          </w:p>
        </w:tc>
        <w:tc>
          <w:tcPr>
            <w:tcW w:w="1384" w:type="dxa"/>
            <w:shd w:val="clear" w:color="000000" w:fill="FFFFFF"/>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36,924</w:t>
            </w:r>
            <w:r>
              <w:rPr>
                <w:sz w:val="22"/>
                <w:szCs w:val="22"/>
                <w:lang w:eastAsia="en-GB"/>
              </w:rPr>
              <w:t>.6</w:t>
            </w:r>
          </w:p>
        </w:tc>
        <w:tc>
          <w:tcPr>
            <w:tcW w:w="1499"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42,957</w:t>
            </w:r>
            <w:r>
              <w:rPr>
                <w:bCs/>
                <w:sz w:val="22"/>
                <w:szCs w:val="22"/>
                <w:lang w:eastAsia="en-GB"/>
              </w:rPr>
              <w:t>.9</w:t>
            </w:r>
          </w:p>
        </w:tc>
        <w:tc>
          <w:tcPr>
            <w:tcW w:w="1552" w:type="dxa"/>
            <w:shd w:val="clear" w:color="000000" w:fill="FFFFFF"/>
            <w:noWrap/>
            <w:vAlign w:val="center"/>
            <w:hideMark/>
          </w:tcPr>
          <w:p w:rsidR="0085264B" w:rsidRPr="00196780" w:rsidRDefault="0085264B" w:rsidP="00D41B57">
            <w:pPr>
              <w:spacing w:before="60" w:after="60"/>
              <w:jc w:val="center"/>
              <w:rPr>
                <w:sz w:val="22"/>
                <w:szCs w:val="22"/>
                <w:lang w:eastAsia="en-GB"/>
              </w:rPr>
            </w:pPr>
            <w:r>
              <w:rPr>
                <w:sz w:val="22"/>
                <w:szCs w:val="22"/>
                <w:lang w:eastAsia="en-GB"/>
              </w:rPr>
              <w:t>861.</w:t>
            </w:r>
            <w:r w:rsidRPr="00196780">
              <w:rPr>
                <w:sz w:val="22"/>
                <w:szCs w:val="22"/>
                <w:lang w:eastAsia="en-GB"/>
              </w:rPr>
              <w:t>9</w:t>
            </w:r>
          </w:p>
        </w:tc>
        <w:tc>
          <w:tcPr>
            <w:tcW w:w="1179" w:type="dxa"/>
            <w:shd w:val="clear" w:color="000000" w:fill="FFFFFF"/>
            <w:noWrap/>
            <w:vAlign w:val="center"/>
            <w:hideMark/>
          </w:tcPr>
          <w:p w:rsidR="0085264B" w:rsidRPr="00196780" w:rsidRDefault="0085264B" w:rsidP="00D41B57">
            <w:pPr>
              <w:spacing w:before="60" w:after="60"/>
              <w:jc w:val="center"/>
              <w:rPr>
                <w:sz w:val="22"/>
                <w:szCs w:val="22"/>
                <w:lang w:eastAsia="en-GB"/>
              </w:rPr>
            </w:pPr>
            <w:r>
              <w:rPr>
                <w:sz w:val="22"/>
                <w:szCs w:val="22"/>
                <w:lang w:eastAsia="en-GB"/>
              </w:rPr>
              <w:t>5,274.</w:t>
            </w:r>
            <w:r w:rsidRPr="00196780">
              <w:rPr>
                <w:sz w:val="22"/>
                <w:szCs w:val="22"/>
                <w:lang w:eastAsia="en-GB"/>
              </w:rPr>
              <w:t>9</w:t>
            </w:r>
          </w:p>
        </w:tc>
        <w:tc>
          <w:tcPr>
            <w:tcW w:w="1281"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Pr>
                <w:bCs/>
                <w:sz w:val="22"/>
                <w:szCs w:val="22"/>
                <w:lang w:eastAsia="en-GB"/>
              </w:rPr>
              <w:t>6,136.</w:t>
            </w:r>
            <w:r w:rsidRPr="00196780">
              <w:rPr>
                <w:bCs/>
                <w:sz w:val="22"/>
                <w:szCs w:val="22"/>
                <w:lang w:eastAsia="en-GB"/>
              </w:rPr>
              <w:t>8</w:t>
            </w:r>
          </w:p>
        </w:tc>
      </w:tr>
      <w:tr w:rsidR="0085264B" w:rsidRPr="00196780" w:rsidTr="00D41B57">
        <w:trPr>
          <w:trHeight w:val="255"/>
        </w:trPr>
        <w:tc>
          <w:tcPr>
            <w:tcW w:w="1337"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2021-2030</w:t>
            </w:r>
          </w:p>
        </w:tc>
        <w:tc>
          <w:tcPr>
            <w:tcW w:w="1486" w:type="dxa"/>
            <w:shd w:val="clear" w:color="000000" w:fill="FFFFFF"/>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8,260</w:t>
            </w:r>
            <w:r>
              <w:rPr>
                <w:sz w:val="22"/>
                <w:szCs w:val="22"/>
                <w:lang w:eastAsia="en-GB"/>
              </w:rPr>
              <w:t>.4</w:t>
            </w:r>
          </w:p>
        </w:tc>
        <w:tc>
          <w:tcPr>
            <w:tcW w:w="1384" w:type="dxa"/>
            <w:shd w:val="clear" w:color="000000" w:fill="FFFFFF"/>
            <w:noWrap/>
            <w:vAlign w:val="center"/>
            <w:hideMark/>
          </w:tcPr>
          <w:p w:rsidR="0085264B" w:rsidRPr="00196780" w:rsidRDefault="0085264B" w:rsidP="00D41B57">
            <w:pPr>
              <w:spacing w:before="60" w:after="60"/>
              <w:jc w:val="center"/>
              <w:rPr>
                <w:sz w:val="22"/>
                <w:szCs w:val="22"/>
                <w:lang w:eastAsia="en-GB"/>
              </w:rPr>
            </w:pPr>
            <w:r w:rsidRPr="00196780">
              <w:rPr>
                <w:sz w:val="22"/>
                <w:szCs w:val="22"/>
                <w:lang w:eastAsia="en-GB"/>
              </w:rPr>
              <w:t>59,113</w:t>
            </w:r>
            <w:r>
              <w:rPr>
                <w:sz w:val="22"/>
                <w:szCs w:val="22"/>
                <w:lang w:eastAsia="en-GB"/>
              </w:rPr>
              <w:t>.5</w:t>
            </w:r>
          </w:p>
        </w:tc>
        <w:tc>
          <w:tcPr>
            <w:tcW w:w="1499"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67,373</w:t>
            </w:r>
            <w:r>
              <w:rPr>
                <w:bCs/>
                <w:sz w:val="22"/>
                <w:szCs w:val="22"/>
                <w:lang w:eastAsia="en-GB"/>
              </w:rPr>
              <w:t>.9</w:t>
            </w:r>
          </w:p>
        </w:tc>
        <w:tc>
          <w:tcPr>
            <w:tcW w:w="1552" w:type="dxa"/>
            <w:shd w:val="clear" w:color="000000" w:fill="FFFFFF"/>
            <w:noWrap/>
            <w:vAlign w:val="center"/>
            <w:hideMark/>
          </w:tcPr>
          <w:p w:rsidR="0085264B" w:rsidRPr="00196780" w:rsidRDefault="0085264B" w:rsidP="00D41B57">
            <w:pPr>
              <w:spacing w:before="60" w:after="60"/>
              <w:jc w:val="center"/>
              <w:rPr>
                <w:sz w:val="22"/>
                <w:szCs w:val="22"/>
                <w:lang w:eastAsia="en-GB"/>
              </w:rPr>
            </w:pPr>
            <w:r>
              <w:rPr>
                <w:sz w:val="22"/>
                <w:szCs w:val="22"/>
                <w:lang w:eastAsia="en-GB"/>
              </w:rPr>
              <w:t>826.</w:t>
            </w:r>
            <w:r w:rsidRPr="00196780">
              <w:rPr>
                <w:sz w:val="22"/>
                <w:szCs w:val="22"/>
                <w:lang w:eastAsia="en-GB"/>
              </w:rPr>
              <w:t>0</w:t>
            </w:r>
          </w:p>
        </w:tc>
        <w:tc>
          <w:tcPr>
            <w:tcW w:w="1179" w:type="dxa"/>
            <w:shd w:val="clear" w:color="000000" w:fill="FFFFFF"/>
            <w:noWrap/>
            <w:vAlign w:val="center"/>
            <w:hideMark/>
          </w:tcPr>
          <w:p w:rsidR="0085264B" w:rsidRPr="00196780" w:rsidRDefault="0085264B" w:rsidP="00D41B57">
            <w:pPr>
              <w:spacing w:before="60" w:after="60"/>
              <w:jc w:val="center"/>
              <w:rPr>
                <w:sz w:val="22"/>
                <w:szCs w:val="22"/>
                <w:lang w:eastAsia="en-GB"/>
              </w:rPr>
            </w:pPr>
            <w:r>
              <w:rPr>
                <w:sz w:val="22"/>
                <w:szCs w:val="22"/>
                <w:lang w:eastAsia="en-GB"/>
              </w:rPr>
              <w:t>5,911.</w:t>
            </w:r>
            <w:r w:rsidRPr="00196780">
              <w:rPr>
                <w:sz w:val="22"/>
                <w:szCs w:val="22"/>
                <w:lang w:eastAsia="en-GB"/>
              </w:rPr>
              <w:t>3</w:t>
            </w:r>
          </w:p>
        </w:tc>
        <w:tc>
          <w:tcPr>
            <w:tcW w:w="1281" w:type="dxa"/>
            <w:shd w:val="clear" w:color="000000" w:fill="FFFFFF"/>
            <w:noWrap/>
            <w:vAlign w:val="center"/>
            <w:hideMark/>
          </w:tcPr>
          <w:p w:rsidR="0085264B" w:rsidRPr="00196780" w:rsidRDefault="0085264B" w:rsidP="00D41B57">
            <w:pPr>
              <w:spacing w:before="60" w:after="60"/>
              <w:jc w:val="center"/>
              <w:rPr>
                <w:bCs/>
                <w:sz w:val="22"/>
                <w:szCs w:val="22"/>
                <w:lang w:eastAsia="en-GB"/>
              </w:rPr>
            </w:pPr>
            <w:r w:rsidRPr="00196780">
              <w:rPr>
                <w:bCs/>
                <w:sz w:val="22"/>
                <w:szCs w:val="22"/>
                <w:lang w:eastAsia="en-GB"/>
              </w:rPr>
              <w:t>6,737</w:t>
            </w:r>
            <w:r>
              <w:rPr>
                <w:bCs/>
                <w:sz w:val="22"/>
                <w:szCs w:val="22"/>
                <w:lang w:eastAsia="en-GB"/>
              </w:rPr>
              <w:t>.4</w:t>
            </w:r>
          </w:p>
        </w:tc>
      </w:tr>
    </w:tbl>
    <w:p w:rsidR="0085264B" w:rsidRPr="00462BD0" w:rsidRDefault="0085264B" w:rsidP="0085264B">
      <w:pPr>
        <w:spacing w:before="120" w:after="120" w:line="276" w:lineRule="auto"/>
        <w:ind w:left="851"/>
        <w:rPr>
          <w:i/>
          <w:sz w:val="22"/>
          <w:szCs w:val="22"/>
        </w:rPr>
      </w:pPr>
      <w:r w:rsidRPr="00462BD0">
        <w:rPr>
          <w:i/>
          <w:sz w:val="22"/>
          <w:szCs w:val="22"/>
        </w:rPr>
        <w:t>Source: AECOM</w:t>
      </w:r>
    </w:p>
    <w:p w:rsidR="0085264B" w:rsidRDefault="0085264B" w:rsidP="0085264B">
      <w:pPr>
        <w:pStyle w:val="Hdg3"/>
      </w:pPr>
      <w:r>
        <w:t>Future Trends</w:t>
      </w:r>
    </w:p>
    <w:p w:rsidR="0085264B" w:rsidRDefault="0085264B" w:rsidP="0085264B">
      <w:pPr>
        <w:pStyle w:val="NumberedParas"/>
        <w:tabs>
          <w:tab w:val="clear" w:pos="2291"/>
          <w:tab w:val="left" w:pos="851"/>
          <w:tab w:val="left" w:pos="2268"/>
          <w:tab w:val="num" w:pos="2433"/>
        </w:tabs>
        <w:ind w:left="851" w:hanging="851"/>
      </w:pPr>
      <w:r w:rsidRPr="002B345E">
        <w:t>Whilst road is already a highly significant mode for passenger transport in Romania, it is also worth reflecting on the level of car ownership currently, and how that may change in the future, as that directly influences mode choice.</w:t>
      </w:r>
    </w:p>
    <w:p w:rsidR="0085264B" w:rsidRDefault="0085264B" w:rsidP="0085264B">
      <w:pPr>
        <w:pStyle w:val="NumberedParas"/>
        <w:tabs>
          <w:tab w:val="clear" w:pos="2291"/>
          <w:tab w:val="left" w:pos="851"/>
          <w:tab w:val="left" w:pos="2268"/>
          <w:tab w:val="num" w:pos="2433"/>
        </w:tabs>
        <w:ind w:left="851" w:hanging="851"/>
      </w:pPr>
      <w:r w:rsidRPr="002B345E">
        <w:t>There has been a steady growth in car ownership levels in Romania with the long term trend averaging around 5% per annum.</w:t>
      </w:r>
      <w:r>
        <w:t xml:space="preserve"> </w:t>
      </w:r>
      <w:r w:rsidRPr="002B345E">
        <w:t>This needs to be seen in context however with car ownership levels in the rest of Europe. The comparison is provided i</w:t>
      </w:r>
      <w:r w:rsidRPr="00163D55">
        <w:t xml:space="preserve">n Figure </w:t>
      </w:r>
      <w:r>
        <w:t>4.7</w:t>
      </w:r>
      <w:r w:rsidRPr="002B345E">
        <w:t xml:space="preserve"> with the values for Romania highlighted in red</w:t>
      </w:r>
      <w:r>
        <w:t>.</w:t>
      </w:r>
    </w:p>
    <w:p w:rsidR="0085264B" w:rsidRPr="005026B8" w:rsidRDefault="0085264B" w:rsidP="0085264B">
      <w:pPr>
        <w:keepNext/>
        <w:spacing w:before="120" w:after="120" w:line="276" w:lineRule="auto"/>
        <w:ind w:left="851"/>
        <w:rPr>
          <w:b/>
          <w:sz w:val="22"/>
          <w:szCs w:val="22"/>
        </w:rPr>
      </w:pPr>
      <w:r w:rsidRPr="005026B8">
        <w:rPr>
          <w:b/>
          <w:sz w:val="22"/>
          <w:szCs w:val="22"/>
        </w:rPr>
        <w:t xml:space="preserve">Figure </w:t>
      </w:r>
      <w:r>
        <w:rPr>
          <w:b/>
          <w:sz w:val="22"/>
          <w:szCs w:val="22"/>
        </w:rPr>
        <w:t xml:space="preserve">4.7 </w:t>
      </w:r>
      <w:r w:rsidRPr="005026B8">
        <w:rPr>
          <w:b/>
          <w:sz w:val="22"/>
          <w:szCs w:val="22"/>
        </w:rPr>
        <w:t>Comparison of EU Car Ownership Levels (2010)</w:t>
      </w:r>
    </w:p>
    <w:p w:rsidR="0085264B" w:rsidRDefault="0085264B" w:rsidP="0085264B">
      <w:pPr>
        <w:spacing w:before="120" w:after="120" w:line="276" w:lineRule="auto"/>
        <w:ind w:left="680" w:firstLine="171"/>
        <w:rPr>
          <w:sz w:val="22"/>
          <w:szCs w:val="22"/>
        </w:rPr>
      </w:pPr>
      <w:r w:rsidRPr="002B345E">
        <w:rPr>
          <w:noProof/>
          <w:sz w:val="22"/>
          <w:szCs w:val="22"/>
          <w:lang w:val="ro-RO" w:eastAsia="ro-RO"/>
        </w:rPr>
        <w:drawing>
          <wp:inline distT="0" distB="0" distL="0" distR="0" wp14:anchorId="34241892" wp14:editId="67CF7007">
            <wp:extent cx="5636567" cy="3607640"/>
            <wp:effectExtent l="19050" t="0" r="21283" b="0"/>
            <wp:docPr id="54"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analysis of Eurostat Data</w:t>
      </w:r>
    </w:p>
    <w:p w:rsidR="0085264B" w:rsidRDefault="0085264B" w:rsidP="0085264B">
      <w:pPr>
        <w:pStyle w:val="NumberedParas"/>
        <w:tabs>
          <w:tab w:val="clear" w:pos="2291"/>
          <w:tab w:val="left" w:pos="851"/>
          <w:tab w:val="left" w:pos="2268"/>
          <w:tab w:val="num" w:pos="2433"/>
        </w:tabs>
        <w:ind w:left="851" w:hanging="851"/>
      </w:pPr>
      <w:r w:rsidRPr="002B345E">
        <w:t xml:space="preserve">Clearly car ownership levels are </w:t>
      </w:r>
      <w:r>
        <w:t xml:space="preserve">currently </w:t>
      </w:r>
      <w:r w:rsidRPr="002B345E">
        <w:t>lagging some way behind the rest of Europe. It is reasonable to expect that th</w:t>
      </w:r>
      <w:r>
        <w:t>ey</w:t>
      </w:r>
      <w:r w:rsidRPr="002B345E">
        <w:t xml:space="preserve"> </w:t>
      </w:r>
      <w:r>
        <w:t>are</w:t>
      </w:r>
      <w:r w:rsidRPr="002B345E">
        <w:t xml:space="preserve"> going to increase significantly over time which will have a direct impact on the likelihood of road becoming the mode of choice for even more passenger journeys than presently is the case.</w:t>
      </w:r>
    </w:p>
    <w:p w:rsidR="0085264B" w:rsidRDefault="0085264B" w:rsidP="0085264B">
      <w:pPr>
        <w:pStyle w:val="NumberedParas"/>
        <w:tabs>
          <w:tab w:val="clear" w:pos="2291"/>
          <w:tab w:val="left" w:pos="851"/>
          <w:tab w:val="left" w:pos="2268"/>
          <w:tab w:val="num" w:pos="2433"/>
        </w:tabs>
        <w:ind w:left="851" w:hanging="851"/>
      </w:pPr>
      <w:r w:rsidRPr="002B345E">
        <w:t>The road sector is the most dominant element of the Romanian transportation system, in terms of the transportation of both passengers and goods. The road network carries almost 75% of all passenger kilometres and just under 50% of all goods kilometres.</w:t>
      </w:r>
      <w:r>
        <w:t xml:space="preserve"> </w:t>
      </w:r>
      <w:r w:rsidRPr="002B345E">
        <w:t>As the Reference Case model relates to a forecast year of 2020, growth has been applied to the various trip demand matrices which feed into the modellin</w:t>
      </w:r>
      <w:r>
        <w:t xml:space="preserve">g process. The following </w:t>
      </w:r>
      <w:r w:rsidRPr="00163D55">
        <w:t xml:space="preserve">Table </w:t>
      </w:r>
      <w:r>
        <w:t>4.6</w:t>
      </w:r>
      <w:r w:rsidRPr="002B345E">
        <w:t xml:space="preserve"> summarises the trip matrix totals for the 2011 Base case and the 2020 Reference Case.</w:t>
      </w:r>
    </w:p>
    <w:p w:rsidR="0085264B" w:rsidRDefault="0085264B" w:rsidP="0085264B">
      <w:pPr>
        <w:pStyle w:val="NumberedParas"/>
        <w:tabs>
          <w:tab w:val="clear" w:pos="2291"/>
          <w:tab w:val="left" w:pos="851"/>
          <w:tab w:val="left" w:pos="2268"/>
          <w:tab w:val="num" w:pos="2433"/>
        </w:tabs>
        <w:ind w:left="851" w:hanging="851"/>
      </w:pPr>
      <w:r>
        <w:t>The Reference Case is the modelled scenario which includes all schemes which have sufficient levels of commitment for it to be reasonably assumed that they will be constructed by 2020. Information on the schemes included within the Reference case are provided later in Chapter 10.</w:t>
      </w:r>
    </w:p>
    <w:p w:rsidR="0085264B" w:rsidRDefault="0085264B" w:rsidP="0085264B">
      <w:pPr>
        <w:pStyle w:val="NumberedParas"/>
        <w:tabs>
          <w:tab w:val="clear" w:pos="2291"/>
          <w:tab w:val="left" w:pos="851"/>
          <w:tab w:val="left" w:pos="2268"/>
          <w:tab w:val="num" w:pos="2433"/>
        </w:tabs>
        <w:ind w:left="851" w:hanging="851"/>
      </w:pPr>
      <w:r w:rsidRPr="00145D60">
        <w:t xml:space="preserve">This </w:t>
      </w:r>
      <w:r>
        <w:t>show</w:t>
      </w:r>
      <w:r w:rsidRPr="00145D60">
        <w:t xml:space="preserve">s that the overall demand for road travel </w:t>
      </w:r>
      <w:r>
        <w:t>is forecast to</w:t>
      </w:r>
      <w:r w:rsidRPr="00145D60">
        <w:t xml:space="preserve"> increase by </w:t>
      </w:r>
      <w:r>
        <w:t xml:space="preserve">just under </w:t>
      </w:r>
      <w:r w:rsidRPr="007B3236">
        <w:t>20%.</w:t>
      </w:r>
      <w:r w:rsidRPr="00145D60">
        <w:t xml:space="preserve"> In absolute terms, the growth in car trips is more significant but there is a proportionately higher growth in road freight.</w:t>
      </w:r>
    </w:p>
    <w:p w:rsidR="0085264B" w:rsidRPr="005026B8" w:rsidRDefault="0085264B" w:rsidP="0085264B">
      <w:pPr>
        <w:keepNext/>
        <w:spacing w:before="120" w:after="120" w:line="276" w:lineRule="auto"/>
        <w:ind w:left="851"/>
        <w:rPr>
          <w:b/>
          <w:sz w:val="22"/>
          <w:szCs w:val="22"/>
        </w:rPr>
      </w:pPr>
      <w:r w:rsidRPr="005026B8">
        <w:rPr>
          <w:b/>
          <w:sz w:val="22"/>
          <w:szCs w:val="22"/>
        </w:rPr>
        <w:t xml:space="preserve">Table </w:t>
      </w:r>
      <w:r>
        <w:rPr>
          <w:b/>
          <w:sz w:val="22"/>
          <w:szCs w:val="22"/>
        </w:rPr>
        <w:t xml:space="preserve">4.6 </w:t>
      </w:r>
      <w:r w:rsidRPr="005026B8">
        <w:rPr>
          <w:b/>
          <w:sz w:val="22"/>
          <w:szCs w:val="22"/>
        </w:rPr>
        <w:t>Base 2011 and Reference Case 2020 Trip Totals</w:t>
      </w:r>
    </w:p>
    <w:tbl>
      <w:tblPr>
        <w:tblW w:w="9656" w:type="dxa"/>
        <w:tblInd w:w="851" w:type="dxa"/>
        <w:tblLayout w:type="fixed"/>
        <w:tblLook w:val="04A0" w:firstRow="1" w:lastRow="0" w:firstColumn="1" w:lastColumn="0" w:noHBand="0" w:noVBand="1"/>
      </w:tblPr>
      <w:tblGrid>
        <w:gridCol w:w="1100"/>
        <w:gridCol w:w="1559"/>
        <w:gridCol w:w="1276"/>
        <w:gridCol w:w="851"/>
        <w:gridCol w:w="1275"/>
        <w:gridCol w:w="884"/>
        <w:gridCol w:w="1243"/>
        <w:gridCol w:w="1468"/>
      </w:tblGrid>
      <w:tr w:rsidR="0085264B" w:rsidRPr="00145D60" w:rsidTr="00D41B57">
        <w:trPr>
          <w:trHeight w:val="300"/>
        </w:trPr>
        <w:tc>
          <w:tcPr>
            <w:tcW w:w="110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Vehicle Type</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Trip Purpose</w:t>
            </w:r>
          </w:p>
        </w:tc>
        <w:tc>
          <w:tcPr>
            <w:tcW w:w="6997" w:type="dxa"/>
            <w:gridSpan w:val="6"/>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Trip Matrix Totals</w:t>
            </w:r>
          </w:p>
        </w:tc>
      </w:tr>
      <w:tr w:rsidR="0085264B" w:rsidRPr="00145D60" w:rsidTr="00D41B57">
        <w:trPr>
          <w:trHeight w:val="900"/>
        </w:trPr>
        <w:tc>
          <w:tcPr>
            <w:tcW w:w="110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p>
        </w:tc>
        <w:tc>
          <w:tcPr>
            <w:tcW w:w="1559"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p>
        </w:tc>
        <w:tc>
          <w:tcPr>
            <w:tcW w:w="2127" w:type="dxa"/>
            <w:gridSpan w:val="2"/>
            <w:tcBorders>
              <w:top w:val="single" w:sz="4" w:space="0" w:color="auto"/>
              <w:left w:val="nil"/>
              <w:bottom w:val="single" w:sz="4" w:space="0" w:color="auto"/>
              <w:right w:val="single" w:sz="4" w:space="0" w:color="000000"/>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Base 2011</w:t>
            </w:r>
          </w:p>
        </w:tc>
        <w:tc>
          <w:tcPr>
            <w:tcW w:w="2159" w:type="dxa"/>
            <w:gridSpan w:val="2"/>
            <w:tcBorders>
              <w:top w:val="single" w:sz="4" w:space="0" w:color="auto"/>
              <w:left w:val="nil"/>
              <w:bottom w:val="single" w:sz="4" w:space="0" w:color="auto"/>
              <w:right w:val="single" w:sz="4" w:space="0" w:color="000000"/>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Reference 2020</w:t>
            </w:r>
          </w:p>
        </w:tc>
        <w:tc>
          <w:tcPr>
            <w:tcW w:w="1243" w:type="dxa"/>
            <w:tcBorders>
              <w:top w:val="nil"/>
              <w:left w:val="nil"/>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Absolute Change</w:t>
            </w:r>
          </w:p>
        </w:tc>
        <w:tc>
          <w:tcPr>
            <w:tcW w:w="1468" w:type="dxa"/>
            <w:tcBorders>
              <w:top w:val="nil"/>
              <w:left w:val="nil"/>
              <w:bottom w:val="single" w:sz="4" w:space="0" w:color="auto"/>
              <w:right w:val="single" w:sz="4" w:space="0" w:color="auto"/>
            </w:tcBorders>
            <w:shd w:val="clear" w:color="auto" w:fill="DBE5F1" w:themeFill="accent1" w:themeFillTint="33"/>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Percentage Change</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Car</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Business</w:t>
            </w:r>
          </w:p>
        </w:tc>
        <w:tc>
          <w:tcPr>
            <w:tcW w:w="1276"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282,410</w:t>
            </w:r>
          </w:p>
        </w:tc>
        <w:tc>
          <w:tcPr>
            <w:tcW w:w="851"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12.0%</w:t>
            </w:r>
          </w:p>
        </w:tc>
        <w:tc>
          <w:tcPr>
            <w:tcW w:w="1275"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350,072</w:t>
            </w:r>
          </w:p>
        </w:tc>
        <w:tc>
          <w:tcPr>
            <w:tcW w:w="884" w:type="dxa"/>
            <w:tcBorders>
              <w:top w:val="nil"/>
              <w:left w:val="nil"/>
              <w:bottom w:val="single" w:sz="4" w:space="0" w:color="auto"/>
              <w:right w:val="single" w:sz="4" w:space="0" w:color="auto"/>
            </w:tcBorders>
            <w:shd w:val="clear" w:color="auto" w:fill="auto"/>
            <w:vAlign w:val="center"/>
            <w:hideMark/>
          </w:tcPr>
          <w:p w:rsidR="0085264B" w:rsidRPr="00F434E2" w:rsidRDefault="0085264B" w:rsidP="00D41B57">
            <w:pPr>
              <w:jc w:val="center"/>
              <w:rPr>
                <w:color w:val="000000"/>
                <w:sz w:val="22"/>
                <w:szCs w:val="22"/>
              </w:rPr>
            </w:pPr>
            <w:r>
              <w:rPr>
                <w:rFonts w:cs="Arial"/>
                <w:color w:val="000000"/>
                <w:sz w:val="22"/>
                <w:szCs w:val="22"/>
              </w:rPr>
              <w:t>12.9%</w:t>
            </w:r>
          </w:p>
        </w:tc>
        <w:tc>
          <w:tcPr>
            <w:tcW w:w="1243"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+67,662</w:t>
            </w:r>
          </w:p>
        </w:tc>
        <w:tc>
          <w:tcPr>
            <w:tcW w:w="1468"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+24.0%</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Car</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Commuting</w:t>
            </w:r>
          </w:p>
        </w:tc>
        <w:tc>
          <w:tcPr>
            <w:tcW w:w="1276"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780,498</w:t>
            </w:r>
          </w:p>
        </w:tc>
        <w:tc>
          <w:tcPr>
            <w:tcW w:w="851"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33.1%</w:t>
            </w:r>
          </w:p>
        </w:tc>
        <w:tc>
          <w:tcPr>
            <w:tcW w:w="1275"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757,071</w:t>
            </w:r>
          </w:p>
        </w:tc>
        <w:tc>
          <w:tcPr>
            <w:tcW w:w="884" w:type="dxa"/>
            <w:tcBorders>
              <w:top w:val="nil"/>
              <w:left w:val="nil"/>
              <w:bottom w:val="single" w:sz="4" w:space="0" w:color="auto"/>
              <w:right w:val="single" w:sz="4" w:space="0" w:color="auto"/>
            </w:tcBorders>
            <w:shd w:val="clear" w:color="auto" w:fill="auto"/>
            <w:vAlign w:val="center"/>
            <w:hideMark/>
          </w:tcPr>
          <w:p w:rsidR="0085264B" w:rsidRPr="00F434E2" w:rsidRDefault="0085264B" w:rsidP="00D41B57">
            <w:pPr>
              <w:jc w:val="center"/>
              <w:rPr>
                <w:color w:val="000000"/>
                <w:sz w:val="22"/>
                <w:szCs w:val="22"/>
              </w:rPr>
            </w:pPr>
            <w:r>
              <w:rPr>
                <w:rFonts w:cs="Arial"/>
                <w:color w:val="000000"/>
                <w:sz w:val="22"/>
                <w:szCs w:val="22"/>
              </w:rPr>
              <w:t>27.9%</w:t>
            </w:r>
          </w:p>
        </w:tc>
        <w:tc>
          <w:tcPr>
            <w:tcW w:w="1243"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-23,427</w:t>
            </w:r>
          </w:p>
        </w:tc>
        <w:tc>
          <w:tcPr>
            <w:tcW w:w="1468"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-3.0%</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Car</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Private Business</w:t>
            </w:r>
          </w:p>
        </w:tc>
        <w:tc>
          <w:tcPr>
            <w:tcW w:w="1276"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1,056,692</w:t>
            </w:r>
          </w:p>
        </w:tc>
        <w:tc>
          <w:tcPr>
            <w:tcW w:w="851"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44.9%</w:t>
            </w:r>
          </w:p>
        </w:tc>
        <w:tc>
          <w:tcPr>
            <w:tcW w:w="1275"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1,309,886</w:t>
            </w:r>
          </w:p>
        </w:tc>
        <w:tc>
          <w:tcPr>
            <w:tcW w:w="884" w:type="dxa"/>
            <w:tcBorders>
              <w:top w:val="nil"/>
              <w:left w:val="nil"/>
              <w:bottom w:val="single" w:sz="4" w:space="0" w:color="auto"/>
              <w:right w:val="single" w:sz="4" w:space="0" w:color="auto"/>
            </w:tcBorders>
            <w:shd w:val="clear" w:color="auto" w:fill="auto"/>
            <w:vAlign w:val="center"/>
            <w:hideMark/>
          </w:tcPr>
          <w:p w:rsidR="0085264B" w:rsidRPr="00F434E2" w:rsidRDefault="0085264B" w:rsidP="00D41B57">
            <w:pPr>
              <w:jc w:val="center"/>
              <w:rPr>
                <w:color w:val="000000"/>
                <w:sz w:val="22"/>
                <w:szCs w:val="22"/>
              </w:rPr>
            </w:pPr>
            <w:r>
              <w:rPr>
                <w:rFonts w:cs="Arial"/>
                <w:color w:val="000000"/>
                <w:sz w:val="22"/>
                <w:szCs w:val="22"/>
              </w:rPr>
              <w:t>48.3%</w:t>
            </w:r>
          </w:p>
        </w:tc>
        <w:tc>
          <w:tcPr>
            <w:tcW w:w="1243"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+253,194</w:t>
            </w:r>
          </w:p>
        </w:tc>
        <w:tc>
          <w:tcPr>
            <w:tcW w:w="1468"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+24.0%</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Car</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color w:val="000000"/>
                <w:sz w:val="22"/>
                <w:szCs w:val="22"/>
              </w:rPr>
            </w:pPr>
            <w:r w:rsidRPr="00145D60">
              <w:rPr>
                <w:color w:val="000000"/>
                <w:sz w:val="22"/>
                <w:szCs w:val="22"/>
              </w:rPr>
              <w:t>Vacation</w:t>
            </w:r>
          </w:p>
        </w:tc>
        <w:tc>
          <w:tcPr>
            <w:tcW w:w="1276"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236,231</w:t>
            </w:r>
          </w:p>
        </w:tc>
        <w:tc>
          <w:tcPr>
            <w:tcW w:w="851"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10.0%</w:t>
            </w:r>
          </w:p>
        </w:tc>
        <w:tc>
          <w:tcPr>
            <w:tcW w:w="1275"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295,534</w:t>
            </w:r>
          </w:p>
        </w:tc>
        <w:tc>
          <w:tcPr>
            <w:tcW w:w="884" w:type="dxa"/>
            <w:tcBorders>
              <w:top w:val="nil"/>
              <w:left w:val="nil"/>
              <w:bottom w:val="single" w:sz="4" w:space="0" w:color="auto"/>
              <w:right w:val="single" w:sz="4" w:space="0" w:color="auto"/>
            </w:tcBorders>
            <w:shd w:val="clear" w:color="auto" w:fill="auto"/>
            <w:vAlign w:val="center"/>
            <w:hideMark/>
          </w:tcPr>
          <w:p w:rsidR="0085264B" w:rsidRPr="00F434E2" w:rsidRDefault="0085264B" w:rsidP="00D41B57">
            <w:pPr>
              <w:jc w:val="center"/>
              <w:rPr>
                <w:color w:val="000000"/>
                <w:sz w:val="22"/>
                <w:szCs w:val="22"/>
              </w:rPr>
            </w:pPr>
            <w:r>
              <w:rPr>
                <w:rFonts w:cs="Arial"/>
                <w:color w:val="000000"/>
                <w:sz w:val="22"/>
                <w:szCs w:val="22"/>
              </w:rPr>
              <w:t>10.9%</w:t>
            </w:r>
          </w:p>
        </w:tc>
        <w:tc>
          <w:tcPr>
            <w:tcW w:w="1243"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+59,303</w:t>
            </w:r>
          </w:p>
        </w:tc>
        <w:tc>
          <w:tcPr>
            <w:tcW w:w="1468" w:type="dxa"/>
            <w:tcBorders>
              <w:top w:val="nil"/>
              <w:left w:val="nil"/>
              <w:bottom w:val="single" w:sz="4" w:space="0" w:color="auto"/>
              <w:right w:val="single" w:sz="4"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+25.1%</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Car</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Total</w:t>
            </w:r>
          </w:p>
        </w:tc>
        <w:tc>
          <w:tcPr>
            <w:tcW w:w="1276"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2,355,831</w:t>
            </w:r>
          </w:p>
        </w:tc>
        <w:tc>
          <w:tcPr>
            <w:tcW w:w="851"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75"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2,712,563</w:t>
            </w:r>
          </w:p>
        </w:tc>
        <w:tc>
          <w:tcPr>
            <w:tcW w:w="884"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43"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+356,732</w:t>
            </w:r>
          </w:p>
        </w:tc>
        <w:tc>
          <w:tcPr>
            <w:tcW w:w="1468"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+15.1%</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Goods</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Total</w:t>
            </w:r>
          </w:p>
        </w:tc>
        <w:tc>
          <w:tcPr>
            <w:tcW w:w="1276"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582,982</w:t>
            </w:r>
          </w:p>
        </w:tc>
        <w:tc>
          <w:tcPr>
            <w:tcW w:w="851"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75"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762,913</w:t>
            </w:r>
          </w:p>
        </w:tc>
        <w:tc>
          <w:tcPr>
            <w:tcW w:w="884"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43"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+179,931</w:t>
            </w:r>
          </w:p>
        </w:tc>
        <w:tc>
          <w:tcPr>
            <w:tcW w:w="1468"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+30.9%</w:t>
            </w:r>
          </w:p>
        </w:tc>
      </w:tr>
      <w:tr w:rsidR="0085264B" w:rsidRPr="00145D60" w:rsidTr="00D41B57">
        <w:trPr>
          <w:trHeight w:val="340"/>
        </w:trPr>
        <w:tc>
          <w:tcPr>
            <w:tcW w:w="1100" w:type="dxa"/>
            <w:tcBorders>
              <w:top w:val="nil"/>
              <w:left w:val="single" w:sz="4" w:space="0" w:color="auto"/>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All</w:t>
            </w:r>
          </w:p>
        </w:tc>
        <w:tc>
          <w:tcPr>
            <w:tcW w:w="1559" w:type="dxa"/>
            <w:tcBorders>
              <w:top w:val="nil"/>
              <w:left w:val="nil"/>
              <w:bottom w:val="single" w:sz="4" w:space="0" w:color="auto"/>
              <w:right w:val="single" w:sz="4" w:space="0" w:color="auto"/>
            </w:tcBorders>
            <w:shd w:val="clear" w:color="auto" w:fill="auto"/>
            <w:vAlign w:val="center"/>
            <w:hideMark/>
          </w:tcPr>
          <w:p w:rsidR="0085264B" w:rsidRPr="00145D60" w:rsidRDefault="0085264B" w:rsidP="00D41B57">
            <w:pPr>
              <w:keepNext/>
              <w:spacing w:before="60" w:after="60"/>
              <w:jc w:val="center"/>
              <w:rPr>
                <w:b/>
                <w:bCs/>
                <w:color w:val="000000"/>
                <w:sz w:val="22"/>
                <w:szCs w:val="22"/>
              </w:rPr>
            </w:pPr>
            <w:r w:rsidRPr="00145D60">
              <w:rPr>
                <w:b/>
                <w:bCs/>
                <w:color w:val="000000"/>
                <w:sz w:val="22"/>
                <w:szCs w:val="22"/>
              </w:rPr>
              <w:t>Total</w:t>
            </w:r>
          </w:p>
        </w:tc>
        <w:tc>
          <w:tcPr>
            <w:tcW w:w="1276"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2,938,813</w:t>
            </w:r>
          </w:p>
        </w:tc>
        <w:tc>
          <w:tcPr>
            <w:tcW w:w="851"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75"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3,475,476</w:t>
            </w:r>
          </w:p>
        </w:tc>
        <w:tc>
          <w:tcPr>
            <w:tcW w:w="884"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keepNext/>
              <w:spacing w:before="60" w:after="60"/>
              <w:jc w:val="center"/>
              <w:rPr>
                <w:b/>
                <w:color w:val="000000"/>
                <w:sz w:val="22"/>
                <w:szCs w:val="22"/>
                <w:highlight w:val="yellow"/>
              </w:rPr>
            </w:pPr>
            <w:r>
              <w:rPr>
                <w:rFonts w:ascii="Calibri" w:hAnsi="Calibri"/>
                <w:color w:val="000000"/>
                <w:sz w:val="22"/>
                <w:szCs w:val="22"/>
              </w:rPr>
              <w:t> </w:t>
            </w:r>
          </w:p>
        </w:tc>
        <w:tc>
          <w:tcPr>
            <w:tcW w:w="1243"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+536,663</w:t>
            </w:r>
          </w:p>
        </w:tc>
        <w:tc>
          <w:tcPr>
            <w:tcW w:w="1468" w:type="dxa"/>
            <w:tcBorders>
              <w:top w:val="nil"/>
              <w:left w:val="nil"/>
              <w:bottom w:val="single" w:sz="4" w:space="0" w:color="auto"/>
              <w:right w:val="single" w:sz="4" w:space="0" w:color="auto"/>
            </w:tcBorders>
            <w:shd w:val="clear" w:color="auto" w:fill="auto"/>
            <w:vAlign w:val="center"/>
            <w:hideMark/>
          </w:tcPr>
          <w:p w:rsidR="0085264B" w:rsidRPr="007B3236" w:rsidRDefault="0085264B" w:rsidP="00D41B57">
            <w:pPr>
              <w:jc w:val="center"/>
              <w:rPr>
                <w:b/>
                <w:color w:val="000000"/>
                <w:sz w:val="22"/>
                <w:szCs w:val="22"/>
              </w:rPr>
            </w:pPr>
            <w:r>
              <w:rPr>
                <w:rFonts w:cs="Arial"/>
                <w:b/>
                <w:bCs/>
                <w:color w:val="000000"/>
                <w:sz w:val="22"/>
                <w:szCs w:val="22"/>
              </w:rPr>
              <w:t>+18.3%</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145D60">
        <w:t>Within the following sections, we present the results of the Reference Case model run with reference to the 2011 Base Year equivalent.</w:t>
      </w:r>
    </w:p>
    <w:p w:rsidR="0085264B" w:rsidRDefault="0085264B" w:rsidP="0085264B">
      <w:pPr>
        <w:pStyle w:val="NumberedParas"/>
        <w:tabs>
          <w:tab w:val="clear" w:pos="2291"/>
          <w:tab w:val="left" w:pos="851"/>
          <w:tab w:val="left" w:pos="2268"/>
          <w:tab w:val="num" w:pos="2433"/>
        </w:tabs>
        <w:ind w:left="851" w:hanging="851"/>
      </w:pPr>
      <w:r>
        <w:t>Tables 4.7 to 4.9</w:t>
      </w:r>
      <w:r w:rsidRPr="00145D60">
        <w:t xml:space="preserve"> show the changes forecast by the model in terms of vehicle kilometres, vehicle hours and average speed for car based trips.</w:t>
      </w:r>
    </w:p>
    <w:p w:rsidR="0085264B" w:rsidRPr="005026B8" w:rsidRDefault="0085264B" w:rsidP="0085264B">
      <w:pPr>
        <w:spacing w:before="120" w:after="120" w:line="276" w:lineRule="auto"/>
        <w:ind w:left="851"/>
        <w:rPr>
          <w:b/>
          <w:sz w:val="22"/>
          <w:szCs w:val="22"/>
        </w:rPr>
      </w:pPr>
      <w:r w:rsidRPr="005026B8">
        <w:rPr>
          <w:b/>
          <w:sz w:val="22"/>
          <w:szCs w:val="22"/>
        </w:rPr>
        <w:t xml:space="preserve">Table </w:t>
      </w:r>
      <w:r>
        <w:rPr>
          <w:b/>
          <w:sz w:val="22"/>
          <w:szCs w:val="22"/>
        </w:rPr>
        <w:t xml:space="preserve">4.7 </w:t>
      </w:r>
      <w:r w:rsidRPr="005026B8">
        <w:rPr>
          <w:b/>
          <w:sz w:val="22"/>
          <w:szCs w:val="22"/>
        </w:rPr>
        <w:t>Vehicle Kilometres (Cars) – Base 2011 and Reference Case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85264B" w:rsidRPr="00C8675F" w:rsidTr="00D41B57">
        <w:tc>
          <w:tcPr>
            <w:tcW w:w="1843" w:type="dxa"/>
            <w:vMerge w:val="restart"/>
            <w:shd w:val="clear" w:color="auto" w:fill="DBE5F1" w:themeFill="accent1" w:themeFillTint="33"/>
            <w:vAlign w:val="center"/>
          </w:tcPr>
          <w:p w:rsidR="0085264B" w:rsidRPr="00C8675F" w:rsidRDefault="0085264B" w:rsidP="00D41B57">
            <w:pPr>
              <w:spacing w:before="60" w:after="60"/>
              <w:rPr>
                <w:b/>
                <w:sz w:val="22"/>
                <w:szCs w:val="22"/>
              </w:rPr>
            </w:pPr>
            <w:r w:rsidRPr="00604286">
              <w:rPr>
                <w:b/>
                <w:sz w:val="22"/>
                <w:szCs w:val="22"/>
              </w:rPr>
              <w:t>Road Type</w:t>
            </w:r>
          </w:p>
        </w:tc>
        <w:tc>
          <w:tcPr>
            <w:tcW w:w="6766" w:type="dxa"/>
            <w:gridSpan w:val="4"/>
            <w:shd w:val="clear" w:color="auto" w:fill="DBE5F1" w:themeFill="accent1" w:themeFillTint="33"/>
            <w:vAlign w:val="center"/>
          </w:tcPr>
          <w:p w:rsidR="0085264B" w:rsidRPr="00C8675F" w:rsidRDefault="0085264B" w:rsidP="00D41B57">
            <w:pPr>
              <w:spacing w:before="60" w:after="60"/>
              <w:jc w:val="center"/>
              <w:rPr>
                <w:b/>
                <w:sz w:val="22"/>
                <w:szCs w:val="22"/>
              </w:rPr>
            </w:pPr>
            <w:r w:rsidRPr="00604286">
              <w:rPr>
                <w:b/>
                <w:sz w:val="22"/>
                <w:szCs w:val="22"/>
              </w:rPr>
              <w:t>Vehicle Kilometres - Cars</w:t>
            </w:r>
          </w:p>
        </w:tc>
      </w:tr>
      <w:tr w:rsidR="0085264B" w:rsidRPr="00C8675F" w:rsidTr="00D41B57">
        <w:tc>
          <w:tcPr>
            <w:tcW w:w="1843" w:type="dxa"/>
            <w:vMerge/>
            <w:shd w:val="clear" w:color="auto" w:fill="DBE5F1" w:themeFill="accent1" w:themeFillTint="33"/>
            <w:vAlign w:val="center"/>
          </w:tcPr>
          <w:p w:rsidR="0085264B" w:rsidRPr="00C8675F" w:rsidRDefault="0085264B" w:rsidP="00D41B57">
            <w:pPr>
              <w:spacing w:before="60" w:after="60"/>
              <w:rPr>
                <w:b/>
                <w:sz w:val="22"/>
                <w:szCs w:val="22"/>
              </w:rPr>
            </w:pPr>
          </w:p>
        </w:tc>
        <w:tc>
          <w:tcPr>
            <w:tcW w:w="1738" w:type="dxa"/>
            <w:shd w:val="clear" w:color="auto" w:fill="DBE5F1" w:themeFill="accent1" w:themeFillTint="33"/>
            <w:vAlign w:val="center"/>
          </w:tcPr>
          <w:p w:rsidR="0085264B" w:rsidRPr="00C8675F" w:rsidRDefault="0085264B" w:rsidP="00D41B57">
            <w:pPr>
              <w:spacing w:before="60" w:after="60"/>
              <w:jc w:val="center"/>
              <w:rPr>
                <w:b/>
                <w:bCs/>
                <w:sz w:val="22"/>
                <w:szCs w:val="22"/>
              </w:rPr>
            </w:pPr>
            <w:r w:rsidRPr="00604286">
              <w:rPr>
                <w:b/>
                <w:bCs/>
                <w:sz w:val="22"/>
                <w:szCs w:val="22"/>
              </w:rPr>
              <w:t>Base 2011</w:t>
            </w:r>
          </w:p>
        </w:tc>
        <w:tc>
          <w:tcPr>
            <w:tcW w:w="1739" w:type="dxa"/>
            <w:shd w:val="clear" w:color="auto" w:fill="DBE5F1" w:themeFill="accent1" w:themeFillTint="33"/>
            <w:vAlign w:val="center"/>
          </w:tcPr>
          <w:p w:rsidR="0085264B" w:rsidRPr="00C8675F" w:rsidRDefault="0085264B" w:rsidP="00D41B57">
            <w:pPr>
              <w:spacing w:before="60" w:after="60"/>
              <w:jc w:val="center"/>
              <w:rPr>
                <w:b/>
                <w:bCs/>
                <w:sz w:val="22"/>
                <w:szCs w:val="22"/>
              </w:rPr>
            </w:pPr>
            <w:r w:rsidRPr="00604286">
              <w:rPr>
                <w:b/>
                <w:bCs/>
                <w:sz w:val="22"/>
                <w:szCs w:val="22"/>
              </w:rPr>
              <w:t>Reference 2020</w:t>
            </w:r>
          </w:p>
        </w:tc>
        <w:tc>
          <w:tcPr>
            <w:tcW w:w="1738" w:type="dxa"/>
            <w:shd w:val="clear" w:color="auto" w:fill="DBE5F1" w:themeFill="accent1" w:themeFillTint="33"/>
            <w:vAlign w:val="center"/>
          </w:tcPr>
          <w:p w:rsidR="0085264B" w:rsidRPr="00C8675F" w:rsidRDefault="0085264B" w:rsidP="00D41B57">
            <w:pPr>
              <w:spacing w:before="60" w:after="60"/>
              <w:jc w:val="center"/>
              <w:rPr>
                <w:b/>
                <w:bCs/>
                <w:sz w:val="22"/>
                <w:szCs w:val="22"/>
              </w:rPr>
            </w:pPr>
            <w:r w:rsidRPr="00604286">
              <w:rPr>
                <w:b/>
                <w:bCs/>
                <w:sz w:val="22"/>
                <w:szCs w:val="22"/>
              </w:rPr>
              <w:t>Absolute Change</w:t>
            </w:r>
          </w:p>
        </w:tc>
        <w:tc>
          <w:tcPr>
            <w:tcW w:w="1551" w:type="dxa"/>
            <w:shd w:val="clear" w:color="auto" w:fill="DBE5F1" w:themeFill="accent1" w:themeFillTint="33"/>
            <w:vAlign w:val="center"/>
          </w:tcPr>
          <w:p w:rsidR="0085264B" w:rsidRPr="00C8675F" w:rsidRDefault="0085264B" w:rsidP="00D41B57">
            <w:pPr>
              <w:spacing w:before="60" w:after="60"/>
              <w:jc w:val="center"/>
              <w:rPr>
                <w:b/>
                <w:bCs/>
                <w:sz w:val="22"/>
                <w:szCs w:val="22"/>
              </w:rPr>
            </w:pPr>
            <w:r w:rsidRPr="00604286">
              <w:rPr>
                <w:b/>
                <w:bCs/>
                <w:sz w:val="22"/>
                <w:szCs w:val="22"/>
              </w:rPr>
              <w:t>Percentage Change</w:t>
            </w:r>
          </w:p>
        </w:tc>
      </w:tr>
      <w:tr w:rsidR="0085264B" w:rsidRPr="00C8675F" w:rsidTr="00D41B57">
        <w:tc>
          <w:tcPr>
            <w:tcW w:w="1843" w:type="dxa"/>
            <w:vAlign w:val="center"/>
          </w:tcPr>
          <w:p w:rsidR="0085264B" w:rsidRPr="00C8675F" w:rsidRDefault="0085264B" w:rsidP="00D41B57">
            <w:pPr>
              <w:spacing w:before="60" w:after="60"/>
              <w:rPr>
                <w:bCs/>
                <w:sz w:val="22"/>
                <w:szCs w:val="22"/>
              </w:rPr>
            </w:pPr>
            <w:r w:rsidRPr="00604286">
              <w:rPr>
                <w:bCs/>
                <w:sz w:val="22"/>
                <w:szCs w:val="22"/>
              </w:rPr>
              <w:t>Motorway</w:t>
            </w:r>
          </w:p>
        </w:tc>
        <w:tc>
          <w:tcPr>
            <w:tcW w:w="1738" w:type="dxa"/>
            <w:vAlign w:val="center"/>
          </w:tcPr>
          <w:p w:rsidR="0085264B" w:rsidRDefault="0085264B" w:rsidP="00D41B57">
            <w:pPr>
              <w:jc w:val="center"/>
              <w:rPr>
                <w:color w:val="000000"/>
                <w:sz w:val="22"/>
                <w:szCs w:val="22"/>
              </w:rPr>
            </w:pPr>
            <w:r>
              <w:rPr>
                <w:rFonts w:cs="Arial"/>
                <w:color w:val="000000"/>
                <w:sz w:val="22"/>
                <w:szCs w:val="22"/>
              </w:rPr>
              <w:t>5,221,090</w:t>
            </w:r>
          </w:p>
        </w:tc>
        <w:tc>
          <w:tcPr>
            <w:tcW w:w="1739" w:type="dxa"/>
            <w:vAlign w:val="center"/>
          </w:tcPr>
          <w:p w:rsidR="0085264B" w:rsidRDefault="0085264B" w:rsidP="00D41B57">
            <w:pPr>
              <w:jc w:val="center"/>
              <w:rPr>
                <w:color w:val="000000"/>
                <w:sz w:val="22"/>
                <w:szCs w:val="22"/>
              </w:rPr>
            </w:pPr>
            <w:r>
              <w:rPr>
                <w:rFonts w:cs="Arial"/>
                <w:color w:val="000000"/>
                <w:sz w:val="22"/>
                <w:szCs w:val="22"/>
              </w:rPr>
              <w:t>16,547,260</w:t>
            </w:r>
          </w:p>
        </w:tc>
        <w:tc>
          <w:tcPr>
            <w:tcW w:w="1738" w:type="dxa"/>
            <w:vAlign w:val="center"/>
          </w:tcPr>
          <w:p w:rsidR="0085264B" w:rsidRDefault="0085264B" w:rsidP="00D41B57">
            <w:pPr>
              <w:jc w:val="center"/>
              <w:rPr>
                <w:color w:val="000000"/>
                <w:sz w:val="22"/>
                <w:szCs w:val="22"/>
              </w:rPr>
            </w:pPr>
            <w:r>
              <w:rPr>
                <w:rFonts w:cs="Arial"/>
                <w:color w:val="000000"/>
                <w:sz w:val="22"/>
                <w:szCs w:val="22"/>
              </w:rPr>
              <w:t>+11,326,170</w:t>
            </w:r>
          </w:p>
        </w:tc>
        <w:tc>
          <w:tcPr>
            <w:tcW w:w="1551" w:type="dxa"/>
            <w:vAlign w:val="center"/>
          </w:tcPr>
          <w:p w:rsidR="0085264B" w:rsidRDefault="0085264B" w:rsidP="00D41B57">
            <w:pPr>
              <w:jc w:val="center"/>
              <w:rPr>
                <w:color w:val="000000"/>
                <w:sz w:val="22"/>
                <w:szCs w:val="22"/>
              </w:rPr>
            </w:pPr>
            <w:r>
              <w:rPr>
                <w:rFonts w:cs="Arial"/>
                <w:color w:val="000000"/>
                <w:sz w:val="22"/>
                <w:szCs w:val="22"/>
              </w:rPr>
              <w:t>+216.9%</w:t>
            </w:r>
          </w:p>
        </w:tc>
      </w:tr>
      <w:tr w:rsidR="0085264B" w:rsidRPr="00C8675F" w:rsidTr="00D41B57">
        <w:tc>
          <w:tcPr>
            <w:tcW w:w="1843" w:type="dxa"/>
            <w:vAlign w:val="center"/>
          </w:tcPr>
          <w:p w:rsidR="0085264B" w:rsidRPr="00C8675F" w:rsidRDefault="0085264B" w:rsidP="00D41B57">
            <w:pPr>
              <w:spacing w:before="60" w:after="60"/>
              <w:rPr>
                <w:bCs/>
                <w:sz w:val="22"/>
                <w:szCs w:val="22"/>
              </w:rPr>
            </w:pPr>
            <w:r w:rsidRPr="00604286">
              <w:rPr>
                <w:bCs/>
                <w:sz w:val="22"/>
                <w:szCs w:val="22"/>
              </w:rPr>
              <w:t>National</w:t>
            </w:r>
          </w:p>
        </w:tc>
        <w:tc>
          <w:tcPr>
            <w:tcW w:w="1738" w:type="dxa"/>
            <w:vAlign w:val="center"/>
          </w:tcPr>
          <w:p w:rsidR="0085264B" w:rsidRDefault="0085264B" w:rsidP="00D41B57">
            <w:pPr>
              <w:jc w:val="center"/>
              <w:rPr>
                <w:color w:val="000000"/>
                <w:sz w:val="22"/>
                <w:szCs w:val="22"/>
              </w:rPr>
            </w:pPr>
            <w:r>
              <w:rPr>
                <w:rFonts w:cs="Arial"/>
                <w:color w:val="000000"/>
                <w:sz w:val="22"/>
                <w:szCs w:val="22"/>
              </w:rPr>
              <w:t>50,464,502</w:t>
            </w:r>
          </w:p>
        </w:tc>
        <w:tc>
          <w:tcPr>
            <w:tcW w:w="1739" w:type="dxa"/>
            <w:vAlign w:val="center"/>
          </w:tcPr>
          <w:p w:rsidR="0085264B" w:rsidRDefault="0085264B" w:rsidP="00D41B57">
            <w:pPr>
              <w:jc w:val="center"/>
              <w:rPr>
                <w:color w:val="000000"/>
                <w:sz w:val="22"/>
                <w:szCs w:val="22"/>
              </w:rPr>
            </w:pPr>
            <w:r>
              <w:rPr>
                <w:rFonts w:cs="Arial"/>
                <w:color w:val="000000"/>
                <w:sz w:val="22"/>
                <w:szCs w:val="22"/>
              </w:rPr>
              <w:t>66,597,842</w:t>
            </w:r>
          </w:p>
        </w:tc>
        <w:tc>
          <w:tcPr>
            <w:tcW w:w="1738" w:type="dxa"/>
            <w:vAlign w:val="center"/>
          </w:tcPr>
          <w:p w:rsidR="0085264B" w:rsidRDefault="0085264B" w:rsidP="00D41B57">
            <w:pPr>
              <w:jc w:val="center"/>
              <w:rPr>
                <w:color w:val="000000"/>
                <w:sz w:val="22"/>
                <w:szCs w:val="22"/>
              </w:rPr>
            </w:pPr>
            <w:r>
              <w:rPr>
                <w:rFonts w:cs="Arial"/>
                <w:color w:val="000000"/>
                <w:sz w:val="22"/>
                <w:szCs w:val="22"/>
              </w:rPr>
              <w:t>+16,133,340</w:t>
            </w:r>
          </w:p>
        </w:tc>
        <w:tc>
          <w:tcPr>
            <w:tcW w:w="1551" w:type="dxa"/>
            <w:vAlign w:val="center"/>
          </w:tcPr>
          <w:p w:rsidR="0085264B" w:rsidRDefault="0085264B" w:rsidP="00D41B57">
            <w:pPr>
              <w:jc w:val="center"/>
              <w:rPr>
                <w:color w:val="000000"/>
                <w:sz w:val="22"/>
                <w:szCs w:val="22"/>
              </w:rPr>
            </w:pPr>
            <w:r>
              <w:rPr>
                <w:rFonts w:cs="Arial"/>
                <w:color w:val="000000"/>
                <w:sz w:val="22"/>
                <w:szCs w:val="22"/>
              </w:rPr>
              <w:t>+32.0%</w:t>
            </w:r>
          </w:p>
        </w:tc>
      </w:tr>
      <w:tr w:rsidR="0085264B" w:rsidRPr="00C8675F" w:rsidTr="00D41B57">
        <w:tc>
          <w:tcPr>
            <w:tcW w:w="1843" w:type="dxa"/>
            <w:vAlign w:val="center"/>
          </w:tcPr>
          <w:p w:rsidR="0085264B" w:rsidRPr="00C8675F" w:rsidRDefault="0085264B" w:rsidP="00D41B57">
            <w:pPr>
              <w:spacing w:before="60" w:after="60"/>
              <w:rPr>
                <w:bCs/>
                <w:sz w:val="22"/>
                <w:szCs w:val="22"/>
              </w:rPr>
            </w:pPr>
            <w:r w:rsidRPr="00604286">
              <w:rPr>
                <w:bCs/>
                <w:sz w:val="22"/>
                <w:szCs w:val="22"/>
              </w:rPr>
              <w:t>County</w:t>
            </w:r>
          </w:p>
        </w:tc>
        <w:tc>
          <w:tcPr>
            <w:tcW w:w="1738" w:type="dxa"/>
            <w:vAlign w:val="center"/>
          </w:tcPr>
          <w:p w:rsidR="0085264B" w:rsidRDefault="0085264B" w:rsidP="00D41B57">
            <w:pPr>
              <w:jc w:val="center"/>
              <w:rPr>
                <w:color w:val="000000"/>
                <w:sz w:val="22"/>
                <w:szCs w:val="22"/>
              </w:rPr>
            </w:pPr>
            <w:r>
              <w:rPr>
                <w:rFonts w:cs="Arial"/>
                <w:color w:val="000000"/>
                <w:sz w:val="22"/>
                <w:szCs w:val="22"/>
              </w:rPr>
              <w:t>8,235,621</w:t>
            </w:r>
          </w:p>
        </w:tc>
        <w:tc>
          <w:tcPr>
            <w:tcW w:w="1739" w:type="dxa"/>
            <w:vAlign w:val="center"/>
          </w:tcPr>
          <w:p w:rsidR="0085264B" w:rsidRDefault="0085264B" w:rsidP="00D41B57">
            <w:pPr>
              <w:jc w:val="center"/>
              <w:rPr>
                <w:color w:val="000000"/>
                <w:sz w:val="22"/>
                <w:szCs w:val="22"/>
              </w:rPr>
            </w:pPr>
            <w:r>
              <w:rPr>
                <w:rFonts w:cs="Arial"/>
                <w:color w:val="000000"/>
                <w:sz w:val="22"/>
                <w:szCs w:val="22"/>
              </w:rPr>
              <w:t>9,816,889</w:t>
            </w:r>
          </w:p>
        </w:tc>
        <w:tc>
          <w:tcPr>
            <w:tcW w:w="1738" w:type="dxa"/>
            <w:vAlign w:val="center"/>
          </w:tcPr>
          <w:p w:rsidR="0085264B" w:rsidRDefault="0085264B" w:rsidP="00D41B57">
            <w:pPr>
              <w:jc w:val="center"/>
              <w:rPr>
                <w:color w:val="000000"/>
                <w:sz w:val="22"/>
                <w:szCs w:val="22"/>
              </w:rPr>
            </w:pPr>
            <w:r>
              <w:rPr>
                <w:rFonts w:cs="Arial"/>
                <w:color w:val="000000"/>
                <w:sz w:val="22"/>
                <w:szCs w:val="22"/>
              </w:rPr>
              <w:t>+1,581,269</w:t>
            </w:r>
          </w:p>
        </w:tc>
        <w:tc>
          <w:tcPr>
            <w:tcW w:w="1551" w:type="dxa"/>
            <w:vAlign w:val="center"/>
          </w:tcPr>
          <w:p w:rsidR="0085264B" w:rsidRDefault="0085264B" w:rsidP="00D41B57">
            <w:pPr>
              <w:jc w:val="center"/>
              <w:rPr>
                <w:color w:val="000000"/>
                <w:sz w:val="22"/>
                <w:szCs w:val="22"/>
              </w:rPr>
            </w:pPr>
            <w:r>
              <w:rPr>
                <w:rFonts w:cs="Arial"/>
                <w:color w:val="000000"/>
                <w:sz w:val="22"/>
                <w:szCs w:val="22"/>
              </w:rPr>
              <w:t>+19.2%</w:t>
            </w:r>
          </w:p>
        </w:tc>
      </w:tr>
      <w:tr w:rsidR="0085264B" w:rsidRPr="00C8675F" w:rsidTr="00D41B57">
        <w:tc>
          <w:tcPr>
            <w:tcW w:w="1843" w:type="dxa"/>
            <w:vAlign w:val="center"/>
          </w:tcPr>
          <w:p w:rsidR="0085264B" w:rsidRPr="00C8675F" w:rsidRDefault="0085264B" w:rsidP="00D41B57">
            <w:pPr>
              <w:spacing w:before="60" w:after="60"/>
              <w:rPr>
                <w:bCs/>
                <w:sz w:val="22"/>
                <w:szCs w:val="22"/>
              </w:rPr>
            </w:pPr>
            <w:r w:rsidRPr="00604286">
              <w:rPr>
                <w:bCs/>
                <w:sz w:val="22"/>
                <w:szCs w:val="22"/>
              </w:rPr>
              <w:t>Local</w:t>
            </w:r>
          </w:p>
        </w:tc>
        <w:tc>
          <w:tcPr>
            <w:tcW w:w="1738" w:type="dxa"/>
            <w:vAlign w:val="center"/>
          </w:tcPr>
          <w:p w:rsidR="0085264B" w:rsidRDefault="0085264B" w:rsidP="00D41B57">
            <w:pPr>
              <w:jc w:val="center"/>
              <w:rPr>
                <w:color w:val="000000"/>
                <w:sz w:val="22"/>
                <w:szCs w:val="22"/>
              </w:rPr>
            </w:pPr>
            <w:r>
              <w:rPr>
                <w:rFonts w:cs="Arial"/>
                <w:color w:val="000000"/>
                <w:sz w:val="22"/>
                <w:szCs w:val="22"/>
              </w:rPr>
              <w:t>2,399,483</w:t>
            </w:r>
          </w:p>
        </w:tc>
        <w:tc>
          <w:tcPr>
            <w:tcW w:w="1739" w:type="dxa"/>
            <w:vAlign w:val="center"/>
          </w:tcPr>
          <w:p w:rsidR="0085264B" w:rsidRDefault="0085264B" w:rsidP="00D41B57">
            <w:pPr>
              <w:jc w:val="center"/>
              <w:rPr>
                <w:color w:val="000000"/>
                <w:sz w:val="22"/>
                <w:szCs w:val="22"/>
              </w:rPr>
            </w:pPr>
            <w:r>
              <w:rPr>
                <w:rFonts w:cs="Arial"/>
                <w:color w:val="000000"/>
                <w:sz w:val="22"/>
                <w:szCs w:val="22"/>
              </w:rPr>
              <w:t>2,764,667</w:t>
            </w:r>
          </w:p>
        </w:tc>
        <w:tc>
          <w:tcPr>
            <w:tcW w:w="1738" w:type="dxa"/>
            <w:vAlign w:val="center"/>
          </w:tcPr>
          <w:p w:rsidR="0085264B" w:rsidRDefault="0085264B" w:rsidP="00D41B57">
            <w:pPr>
              <w:jc w:val="center"/>
              <w:rPr>
                <w:color w:val="000000"/>
                <w:sz w:val="22"/>
                <w:szCs w:val="22"/>
              </w:rPr>
            </w:pPr>
            <w:r>
              <w:rPr>
                <w:rFonts w:cs="Arial"/>
                <w:color w:val="000000"/>
                <w:sz w:val="22"/>
                <w:szCs w:val="22"/>
              </w:rPr>
              <w:t>+365,184</w:t>
            </w:r>
          </w:p>
        </w:tc>
        <w:tc>
          <w:tcPr>
            <w:tcW w:w="1551" w:type="dxa"/>
            <w:vAlign w:val="center"/>
          </w:tcPr>
          <w:p w:rsidR="0085264B" w:rsidRDefault="0085264B" w:rsidP="00D41B57">
            <w:pPr>
              <w:jc w:val="center"/>
              <w:rPr>
                <w:color w:val="000000"/>
                <w:sz w:val="22"/>
                <w:szCs w:val="22"/>
              </w:rPr>
            </w:pPr>
            <w:r>
              <w:rPr>
                <w:rFonts w:cs="Arial"/>
                <w:color w:val="000000"/>
                <w:sz w:val="22"/>
                <w:szCs w:val="22"/>
              </w:rPr>
              <w:t>+15.2%</w:t>
            </w:r>
          </w:p>
        </w:tc>
      </w:tr>
      <w:tr w:rsidR="0085264B" w:rsidRPr="00C8675F" w:rsidTr="00D41B57">
        <w:tc>
          <w:tcPr>
            <w:tcW w:w="1843" w:type="dxa"/>
            <w:vAlign w:val="center"/>
          </w:tcPr>
          <w:p w:rsidR="0085264B" w:rsidRPr="00C8675F" w:rsidRDefault="0085264B" w:rsidP="00D41B57">
            <w:pPr>
              <w:spacing w:before="60" w:after="60"/>
              <w:rPr>
                <w:bCs/>
                <w:sz w:val="22"/>
                <w:szCs w:val="22"/>
              </w:rPr>
            </w:pPr>
            <w:r w:rsidRPr="00604286">
              <w:rPr>
                <w:bCs/>
                <w:sz w:val="22"/>
                <w:szCs w:val="22"/>
              </w:rPr>
              <w:t>All journeys</w:t>
            </w:r>
          </w:p>
        </w:tc>
        <w:tc>
          <w:tcPr>
            <w:tcW w:w="1738" w:type="dxa"/>
            <w:vAlign w:val="center"/>
          </w:tcPr>
          <w:p w:rsidR="0085264B" w:rsidRDefault="0085264B" w:rsidP="00D41B57">
            <w:pPr>
              <w:jc w:val="center"/>
              <w:rPr>
                <w:color w:val="000000"/>
                <w:sz w:val="22"/>
                <w:szCs w:val="22"/>
              </w:rPr>
            </w:pPr>
            <w:r>
              <w:rPr>
                <w:rFonts w:cs="Arial"/>
                <w:color w:val="000000"/>
                <w:sz w:val="22"/>
                <w:szCs w:val="22"/>
              </w:rPr>
              <w:t>66,320,696</w:t>
            </w:r>
          </w:p>
        </w:tc>
        <w:tc>
          <w:tcPr>
            <w:tcW w:w="1739" w:type="dxa"/>
            <w:vAlign w:val="center"/>
          </w:tcPr>
          <w:p w:rsidR="0085264B" w:rsidRDefault="0085264B" w:rsidP="00D41B57">
            <w:pPr>
              <w:jc w:val="center"/>
              <w:rPr>
                <w:color w:val="000000"/>
                <w:sz w:val="22"/>
                <w:szCs w:val="22"/>
              </w:rPr>
            </w:pPr>
            <w:r>
              <w:rPr>
                <w:rFonts w:cs="Arial"/>
                <w:color w:val="000000"/>
                <w:sz w:val="22"/>
                <w:szCs w:val="22"/>
              </w:rPr>
              <w:t>95,726,658</w:t>
            </w:r>
          </w:p>
        </w:tc>
        <w:tc>
          <w:tcPr>
            <w:tcW w:w="1738" w:type="dxa"/>
            <w:vAlign w:val="center"/>
          </w:tcPr>
          <w:p w:rsidR="0085264B" w:rsidRDefault="0085264B" w:rsidP="00D41B57">
            <w:pPr>
              <w:jc w:val="center"/>
              <w:rPr>
                <w:color w:val="000000"/>
                <w:sz w:val="22"/>
                <w:szCs w:val="22"/>
              </w:rPr>
            </w:pPr>
            <w:r>
              <w:rPr>
                <w:rFonts w:cs="Arial"/>
                <w:color w:val="000000"/>
                <w:sz w:val="22"/>
                <w:szCs w:val="22"/>
              </w:rPr>
              <w:t>+29,405,962</w:t>
            </w:r>
          </w:p>
        </w:tc>
        <w:tc>
          <w:tcPr>
            <w:tcW w:w="1551" w:type="dxa"/>
            <w:vAlign w:val="center"/>
          </w:tcPr>
          <w:p w:rsidR="0085264B" w:rsidRDefault="0085264B" w:rsidP="00D41B57">
            <w:pPr>
              <w:jc w:val="center"/>
              <w:rPr>
                <w:color w:val="000000"/>
                <w:sz w:val="22"/>
                <w:szCs w:val="22"/>
              </w:rPr>
            </w:pPr>
            <w:r>
              <w:rPr>
                <w:rFonts w:cs="Arial"/>
                <w:color w:val="000000"/>
                <w:sz w:val="22"/>
                <w:szCs w:val="22"/>
              </w:rPr>
              <w:t>+44.3%</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sidRPr="005026B8">
        <w:rPr>
          <w:b/>
          <w:sz w:val="22"/>
          <w:szCs w:val="22"/>
        </w:rPr>
        <w:t xml:space="preserve">Table </w:t>
      </w:r>
      <w:r>
        <w:rPr>
          <w:b/>
          <w:sz w:val="22"/>
          <w:szCs w:val="22"/>
        </w:rPr>
        <w:t xml:space="preserve">4.8 </w:t>
      </w:r>
      <w:r w:rsidRPr="005026B8">
        <w:rPr>
          <w:b/>
          <w:sz w:val="22"/>
          <w:szCs w:val="22"/>
        </w:rPr>
        <w:t>Vehicle Hours (Cars) – Base 2011 and Reference Case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85264B" w:rsidRPr="00C8675F" w:rsidTr="00D41B57">
        <w:tc>
          <w:tcPr>
            <w:tcW w:w="1843" w:type="dxa"/>
            <w:vMerge w:val="restart"/>
            <w:shd w:val="clear" w:color="auto" w:fill="DBE5F1" w:themeFill="accent1" w:themeFillTint="33"/>
            <w:vAlign w:val="center"/>
          </w:tcPr>
          <w:p w:rsidR="0085264B" w:rsidRPr="00C8675F" w:rsidRDefault="0085264B" w:rsidP="00D41B57">
            <w:pPr>
              <w:keepNext/>
              <w:spacing w:before="60" w:after="60"/>
              <w:rPr>
                <w:b/>
                <w:sz w:val="22"/>
                <w:szCs w:val="22"/>
              </w:rPr>
            </w:pPr>
            <w:r w:rsidRPr="00604286">
              <w:rPr>
                <w:b/>
                <w:sz w:val="22"/>
                <w:szCs w:val="22"/>
              </w:rPr>
              <w:t>Road Type</w:t>
            </w:r>
          </w:p>
        </w:tc>
        <w:tc>
          <w:tcPr>
            <w:tcW w:w="6766" w:type="dxa"/>
            <w:gridSpan w:val="4"/>
            <w:shd w:val="clear" w:color="auto" w:fill="DBE5F1" w:themeFill="accent1" w:themeFillTint="33"/>
            <w:vAlign w:val="center"/>
          </w:tcPr>
          <w:p w:rsidR="0085264B" w:rsidRPr="00C8675F" w:rsidRDefault="0085264B" w:rsidP="00D41B57">
            <w:pPr>
              <w:keepNext/>
              <w:spacing w:before="60" w:after="60"/>
              <w:jc w:val="center"/>
              <w:rPr>
                <w:b/>
                <w:sz w:val="22"/>
                <w:szCs w:val="22"/>
              </w:rPr>
            </w:pPr>
            <w:r w:rsidRPr="00604286">
              <w:rPr>
                <w:b/>
                <w:sz w:val="22"/>
                <w:szCs w:val="22"/>
              </w:rPr>
              <w:t>Vehicle Hours - Cars</w:t>
            </w:r>
          </w:p>
        </w:tc>
      </w:tr>
      <w:tr w:rsidR="0085264B" w:rsidRPr="00C8675F" w:rsidTr="00D41B57">
        <w:tc>
          <w:tcPr>
            <w:tcW w:w="1843" w:type="dxa"/>
            <w:vMerge/>
            <w:shd w:val="clear" w:color="auto" w:fill="DBE5F1" w:themeFill="accent1" w:themeFillTint="33"/>
            <w:vAlign w:val="center"/>
          </w:tcPr>
          <w:p w:rsidR="0085264B" w:rsidRPr="00C8675F" w:rsidRDefault="0085264B" w:rsidP="00D41B57">
            <w:pPr>
              <w:keepNext/>
              <w:spacing w:before="60" w:after="60"/>
              <w:rPr>
                <w:b/>
                <w:sz w:val="22"/>
                <w:szCs w:val="22"/>
              </w:rPr>
            </w:pP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Base 2011</w:t>
            </w:r>
          </w:p>
        </w:tc>
        <w:tc>
          <w:tcPr>
            <w:tcW w:w="1739"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Reference 2020</w:t>
            </w: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Absolute Change</w:t>
            </w:r>
          </w:p>
        </w:tc>
        <w:tc>
          <w:tcPr>
            <w:tcW w:w="1551"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Percentage Change</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Motorway</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42,449</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130,728</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+88,279</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+208.0%</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National</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776,878</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1,045,929</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+269,050</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+34.6%</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County</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181,060</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215,950</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+34,890</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+19.3%</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Local</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74,264</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86,166</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+11,902</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+16.0%</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All journeys</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1,074,651</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1,478,773</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+404,122</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+37.6%</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Table 4.9 </w:t>
      </w:r>
      <w:r w:rsidRPr="005026B8">
        <w:rPr>
          <w:b/>
          <w:sz w:val="22"/>
          <w:szCs w:val="22"/>
        </w:rPr>
        <w:t>Vehicle Speeds (Cars) – Base 2011 and Reference Case 2020</w:t>
      </w:r>
    </w:p>
    <w:tbl>
      <w:tblPr>
        <w:tblW w:w="852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1700"/>
        <w:gridCol w:w="1700"/>
        <w:gridCol w:w="1700"/>
        <w:gridCol w:w="1700"/>
      </w:tblGrid>
      <w:tr w:rsidR="0085264B" w:rsidRPr="009A6B13" w:rsidTr="00D41B57">
        <w:trPr>
          <w:cantSplit/>
          <w:trHeight w:val="300"/>
        </w:trPr>
        <w:tc>
          <w:tcPr>
            <w:tcW w:w="1720" w:type="dxa"/>
            <w:vMerge w:val="restart"/>
            <w:shd w:val="clear" w:color="auto" w:fill="DBE5F1" w:themeFill="accent1" w:themeFillTint="33"/>
            <w:vAlign w:val="center"/>
            <w:hideMark/>
          </w:tcPr>
          <w:p w:rsidR="0085264B" w:rsidRPr="009A6B13" w:rsidRDefault="0085264B" w:rsidP="00D41B57">
            <w:pPr>
              <w:keepNext/>
              <w:spacing w:before="60" w:after="60"/>
              <w:rPr>
                <w:b/>
                <w:bCs/>
                <w:color w:val="000000"/>
                <w:sz w:val="22"/>
                <w:szCs w:val="22"/>
                <w:lang w:val="en-US"/>
              </w:rPr>
            </w:pPr>
            <w:r w:rsidRPr="009A6B13">
              <w:rPr>
                <w:b/>
                <w:bCs/>
                <w:color w:val="000000"/>
                <w:sz w:val="22"/>
                <w:szCs w:val="22"/>
                <w:lang w:val="en-US"/>
              </w:rPr>
              <w:t>Road Type</w:t>
            </w:r>
          </w:p>
        </w:tc>
        <w:tc>
          <w:tcPr>
            <w:tcW w:w="6800" w:type="dxa"/>
            <w:gridSpan w:val="4"/>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Average Speed - Cars</w:t>
            </w:r>
          </w:p>
        </w:tc>
      </w:tr>
      <w:tr w:rsidR="0085264B" w:rsidRPr="009A6B13" w:rsidTr="00D41B57">
        <w:trPr>
          <w:cantSplit/>
          <w:trHeight w:val="564"/>
        </w:trPr>
        <w:tc>
          <w:tcPr>
            <w:tcW w:w="1720" w:type="dxa"/>
            <w:vMerge/>
            <w:shd w:val="clear" w:color="auto" w:fill="DBE5F1" w:themeFill="accent1" w:themeFillTint="33"/>
            <w:vAlign w:val="center"/>
            <w:hideMark/>
          </w:tcPr>
          <w:p w:rsidR="0085264B" w:rsidRPr="009A6B13" w:rsidRDefault="0085264B" w:rsidP="00D41B57">
            <w:pPr>
              <w:keepNext/>
              <w:spacing w:before="60" w:after="60"/>
              <w:rPr>
                <w:b/>
                <w:bCs/>
                <w:color w:val="000000"/>
                <w:sz w:val="22"/>
                <w:szCs w:val="22"/>
                <w:lang w:val="en-US"/>
              </w:rPr>
            </w:pPr>
          </w:p>
        </w:tc>
        <w:tc>
          <w:tcPr>
            <w:tcW w:w="1700" w:type="dxa"/>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Base 2011</w:t>
            </w:r>
          </w:p>
        </w:tc>
        <w:tc>
          <w:tcPr>
            <w:tcW w:w="1700" w:type="dxa"/>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Reference 2020</w:t>
            </w:r>
          </w:p>
        </w:tc>
        <w:tc>
          <w:tcPr>
            <w:tcW w:w="1700" w:type="dxa"/>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Absolute Change</w:t>
            </w:r>
          </w:p>
        </w:tc>
        <w:tc>
          <w:tcPr>
            <w:tcW w:w="1700" w:type="dxa"/>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Percentage Change</w:t>
            </w:r>
          </w:p>
        </w:tc>
      </w:tr>
      <w:tr w:rsidR="0085264B" w:rsidRPr="009A6B13" w:rsidTr="00D41B57">
        <w:trPr>
          <w:cantSplit/>
          <w:trHeight w:val="300"/>
        </w:trPr>
        <w:tc>
          <w:tcPr>
            <w:tcW w:w="1720" w:type="dxa"/>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Motorway</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123.0</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126.6</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+3.6</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+2.9%</w:t>
            </w:r>
          </w:p>
        </w:tc>
      </w:tr>
      <w:tr w:rsidR="0085264B" w:rsidRPr="009A6B13" w:rsidTr="00D41B57">
        <w:trPr>
          <w:cantSplit/>
          <w:trHeight w:val="300"/>
        </w:trPr>
        <w:tc>
          <w:tcPr>
            <w:tcW w:w="1720" w:type="dxa"/>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National</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65.0</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63.7</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-1.3</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-2.0%</w:t>
            </w:r>
          </w:p>
        </w:tc>
      </w:tr>
      <w:tr w:rsidR="0085264B" w:rsidRPr="009A6B13" w:rsidTr="00D41B57">
        <w:trPr>
          <w:cantSplit/>
          <w:trHeight w:val="300"/>
        </w:trPr>
        <w:tc>
          <w:tcPr>
            <w:tcW w:w="1720" w:type="dxa"/>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County</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45.5</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45.5</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-0.0</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-0.1%</w:t>
            </w:r>
          </w:p>
        </w:tc>
      </w:tr>
      <w:tr w:rsidR="0085264B" w:rsidRPr="009A6B13" w:rsidTr="00D41B57">
        <w:trPr>
          <w:cantSplit/>
          <w:trHeight w:val="300"/>
        </w:trPr>
        <w:tc>
          <w:tcPr>
            <w:tcW w:w="1720" w:type="dxa"/>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Local</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32.3</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32.1</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-0.2</w:t>
            </w:r>
          </w:p>
        </w:tc>
        <w:tc>
          <w:tcPr>
            <w:tcW w:w="1700" w:type="dxa"/>
            <w:shd w:val="clear" w:color="auto" w:fill="auto"/>
            <w:vAlign w:val="center"/>
            <w:hideMark/>
          </w:tcPr>
          <w:p w:rsidR="0085264B" w:rsidRDefault="0085264B" w:rsidP="00D41B57">
            <w:pPr>
              <w:jc w:val="center"/>
              <w:rPr>
                <w:color w:val="000000"/>
                <w:sz w:val="22"/>
                <w:szCs w:val="22"/>
              </w:rPr>
            </w:pPr>
            <w:r>
              <w:rPr>
                <w:rFonts w:cs="Arial"/>
                <w:color w:val="000000"/>
                <w:sz w:val="22"/>
                <w:szCs w:val="22"/>
              </w:rPr>
              <w:t>-0.7%</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t>The increase, for car trips, of 44% for vehicle kilometres against an increase of 15% in car trips highlights the trip lengthening which occurs as a result of increased accessibility and improved inter-urban road networks. The lesser increase in vehicle hours, compared to vehicle kilometres, also points to improved speeds as a consequence of improvements in the Reference Case Scenario.</w:t>
      </w:r>
    </w:p>
    <w:p w:rsidR="0085264B" w:rsidRDefault="0085264B" w:rsidP="0085264B">
      <w:pPr>
        <w:pStyle w:val="NumberedParas"/>
        <w:tabs>
          <w:tab w:val="clear" w:pos="2291"/>
          <w:tab w:val="left" w:pos="851"/>
          <w:tab w:val="left" w:pos="2268"/>
          <w:tab w:val="num" w:pos="2433"/>
        </w:tabs>
        <w:ind w:left="851" w:hanging="851"/>
      </w:pPr>
      <w:r>
        <w:t>Figure 4.8</w:t>
      </w:r>
      <w:r w:rsidRPr="00A52812">
        <w:t xml:space="preserve"> illustrates the impact of the reference case</w:t>
      </w:r>
      <w:r>
        <w:t>, as forecast by the transport model</w:t>
      </w:r>
      <w:r w:rsidRPr="00A52812">
        <w:t>, relative to the base year for cars across the indicators discussed earlier.</w:t>
      </w:r>
    </w:p>
    <w:p w:rsidR="0085264B" w:rsidRPr="00FD64E8" w:rsidRDefault="0085264B" w:rsidP="0085264B">
      <w:pPr>
        <w:keepNext/>
        <w:spacing w:before="120" w:after="120" w:line="276" w:lineRule="auto"/>
        <w:ind w:left="851"/>
        <w:rPr>
          <w:b/>
          <w:sz w:val="22"/>
          <w:szCs w:val="22"/>
        </w:rPr>
      </w:pPr>
      <w:r w:rsidRPr="00FD64E8">
        <w:rPr>
          <w:b/>
          <w:sz w:val="22"/>
          <w:szCs w:val="22"/>
        </w:rPr>
        <w:t xml:space="preserve">Figure </w:t>
      </w:r>
      <w:r>
        <w:rPr>
          <w:b/>
          <w:sz w:val="22"/>
          <w:szCs w:val="22"/>
        </w:rPr>
        <w:t xml:space="preserve">4.8 </w:t>
      </w:r>
      <w:r w:rsidRPr="00FD64E8">
        <w:rPr>
          <w:b/>
          <w:sz w:val="22"/>
          <w:szCs w:val="22"/>
        </w:rPr>
        <w:t>Base Year to Reference Case (2020) – Cars</w:t>
      </w:r>
    </w:p>
    <w:p w:rsidR="0085264B" w:rsidRDefault="0085264B" w:rsidP="0085264B">
      <w:pPr>
        <w:spacing w:before="120" w:after="120" w:line="276" w:lineRule="auto"/>
        <w:ind w:left="680" w:firstLine="171"/>
        <w:rPr>
          <w:sz w:val="22"/>
          <w:szCs w:val="22"/>
        </w:rPr>
      </w:pPr>
      <w:r w:rsidRPr="00A83752">
        <w:rPr>
          <w:noProof/>
          <w:sz w:val="22"/>
          <w:szCs w:val="22"/>
          <w:lang w:val="ro-RO" w:eastAsia="ro-RO"/>
        </w:rPr>
        <w:drawing>
          <wp:inline distT="0" distB="0" distL="0" distR="0" wp14:anchorId="1C09B854" wp14:editId="3BF124B0">
            <wp:extent cx="5943600" cy="3884930"/>
            <wp:effectExtent l="19050" t="0" r="19050" b="127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t>Tables 4.10 to 4.12</w:t>
      </w:r>
      <w:r w:rsidRPr="00526886">
        <w:t xml:space="preserve"> show the changes forecast by the model in terms of vehicle kilometres, vehicle hours and average speed for all goods vehicle trips.</w:t>
      </w:r>
    </w:p>
    <w:p w:rsidR="0085264B" w:rsidRPr="005026B8" w:rsidRDefault="0085264B" w:rsidP="0085264B">
      <w:pPr>
        <w:keepNext/>
        <w:spacing w:before="120" w:after="120" w:line="276" w:lineRule="auto"/>
        <w:ind w:left="851"/>
        <w:rPr>
          <w:b/>
          <w:sz w:val="22"/>
          <w:szCs w:val="22"/>
        </w:rPr>
      </w:pPr>
      <w:r w:rsidRPr="005026B8">
        <w:rPr>
          <w:b/>
          <w:sz w:val="22"/>
          <w:szCs w:val="22"/>
        </w:rPr>
        <w:t xml:space="preserve">Table </w:t>
      </w:r>
      <w:r>
        <w:rPr>
          <w:b/>
          <w:sz w:val="22"/>
          <w:szCs w:val="22"/>
        </w:rPr>
        <w:t xml:space="preserve">4.10 </w:t>
      </w:r>
      <w:r w:rsidRPr="005026B8">
        <w:rPr>
          <w:b/>
          <w:sz w:val="22"/>
          <w:szCs w:val="22"/>
        </w:rPr>
        <w:t>Vehicle Kilometres (Goods) – Base 2011 and Reference Case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85264B" w:rsidRPr="00C8675F" w:rsidTr="00D41B57">
        <w:tc>
          <w:tcPr>
            <w:tcW w:w="1843" w:type="dxa"/>
            <w:vMerge w:val="restart"/>
            <w:shd w:val="clear" w:color="auto" w:fill="DBE5F1" w:themeFill="accent1" w:themeFillTint="33"/>
            <w:vAlign w:val="center"/>
          </w:tcPr>
          <w:p w:rsidR="0085264B" w:rsidRPr="00C8675F" w:rsidRDefault="0085264B" w:rsidP="00D41B57">
            <w:pPr>
              <w:keepNext/>
              <w:spacing w:before="60" w:after="60"/>
              <w:rPr>
                <w:b/>
                <w:sz w:val="22"/>
                <w:szCs w:val="22"/>
              </w:rPr>
            </w:pPr>
            <w:r w:rsidRPr="00604286">
              <w:rPr>
                <w:b/>
                <w:sz w:val="22"/>
                <w:szCs w:val="22"/>
              </w:rPr>
              <w:t>Road Type</w:t>
            </w:r>
          </w:p>
        </w:tc>
        <w:tc>
          <w:tcPr>
            <w:tcW w:w="6766" w:type="dxa"/>
            <w:gridSpan w:val="4"/>
            <w:shd w:val="clear" w:color="auto" w:fill="DBE5F1" w:themeFill="accent1" w:themeFillTint="33"/>
            <w:vAlign w:val="center"/>
          </w:tcPr>
          <w:p w:rsidR="0085264B" w:rsidRPr="00C8675F" w:rsidRDefault="0085264B" w:rsidP="00D41B57">
            <w:pPr>
              <w:keepNext/>
              <w:spacing w:before="60" w:after="60"/>
              <w:jc w:val="center"/>
              <w:rPr>
                <w:b/>
                <w:sz w:val="22"/>
                <w:szCs w:val="22"/>
              </w:rPr>
            </w:pPr>
            <w:r w:rsidRPr="00604286">
              <w:rPr>
                <w:b/>
                <w:sz w:val="22"/>
                <w:szCs w:val="22"/>
              </w:rPr>
              <w:t xml:space="preserve">Vehicle Kilometres - </w:t>
            </w:r>
            <w:r>
              <w:rPr>
                <w:b/>
                <w:sz w:val="22"/>
                <w:szCs w:val="22"/>
              </w:rPr>
              <w:t>Good</w:t>
            </w:r>
            <w:r w:rsidRPr="00604286">
              <w:rPr>
                <w:b/>
                <w:sz w:val="22"/>
                <w:szCs w:val="22"/>
              </w:rPr>
              <w:t>s</w:t>
            </w:r>
          </w:p>
        </w:tc>
      </w:tr>
      <w:tr w:rsidR="0085264B" w:rsidRPr="00C8675F" w:rsidTr="00D41B57">
        <w:tc>
          <w:tcPr>
            <w:tcW w:w="1843" w:type="dxa"/>
            <w:vMerge/>
            <w:shd w:val="clear" w:color="auto" w:fill="DBE5F1" w:themeFill="accent1" w:themeFillTint="33"/>
            <w:vAlign w:val="center"/>
          </w:tcPr>
          <w:p w:rsidR="0085264B" w:rsidRPr="00C8675F" w:rsidRDefault="0085264B" w:rsidP="00D41B57">
            <w:pPr>
              <w:keepNext/>
              <w:spacing w:before="60" w:after="60"/>
              <w:rPr>
                <w:b/>
                <w:sz w:val="22"/>
                <w:szCs w:val="22"/>
              </w:rPr>
            </w:pP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Base 2011</w:t>
            </w:r>
          </w:p>
        </w:tc>
        <w:tc>
          <w:tcPr>
            <w:tcW w:w="1739"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Reference 2020</w:t>
            </w: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Absolute Change</w:t>
            </w:r>
          </w:p>
        </w:tc>
        <w:tc>
          <w:tcPr>
            <w:tcW w:w="1551"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Percentage Change</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Motorway</w:t>
            </w:r>
          </w:p>
        </w:tc>
        <w:tc>
          <w:tcPr>
            <w:tcW w:w="1738" w:type="dxa"/>
            <w:vAlign w:val="center"/>
          </w:tcPr>
          <w:p w:rsidR="0085264B" w:rsidRDefault="0085264B" w:rsidP="00D41B57">
            <w:pPr>
              <w:jc w:val="center"/>
              <w:rPr>
                <w:color w:val="000000"/>
                <w:sz w:val="22"/>
                <w:szCs w:val="22"/>
              </w:rPr>
            </w:pPr>
            <w:r>
              <w:rPr>
                <w:rFonts w:cs="Arial"/>
                <w:color w:val="000000"/>
                <w:sz w:val="22"/>
                <w:szCs w:val="22"/>
              </w:rPr>
              <w:t>4,122,421</w:t>
            </w:r>
          </w:p>
        </w:tc>
        <w:tc>
          <w:tcPr>
            <w:tcW w:w="1739" w:type="dxa"/>
            <w:vAlign w:val="center"/>
          </w:tcPr>
          <w:p w:rsidR="0085264B" w:rsidRDefault="0085264B" w:rsidP="00D41B57">
            <w:pPr>
              <w:jc w:val="center"/>
              <w:rPr>
                <w:color w:val="000000"/>
                <w:sz w:val="22"/>
                <w:szCs w:val="22"/>
              </w:rPr>
            </w:pPr>
            <w:r>
              <w:rPr>
                <w:rFonts w:cs="Arial"/>
                <w:color w:val="000000"/>
                <w:sz w:val="22"/>
                <w:szCs w:val="22"/>
              </w:rPr>
              <w:t>12,645,813</w:t>
            </w:r>
          </w:p>
        </w:tc>
        <w:tc>
          <w:tcPr>
            <w:tcW w:w="1738" w:type="dxa"/>
            <w:vAlign w:val="center"/>
          </w:tcPr>
          <w:p w:rsidR="0085264B" w:rsidRDefault="0085264B" w:rsidP="00D41B57">
            <w:pPr>
              <w:jc w:val="center"/>
              <w:rPr>
                <w:color w:val="000000"/>
                <w:sz w:val="22"/>
                <w:szCs w:val="22"/>
              </w:rPr>
            </w:pPr>
            <w:r>
              <w:rPr>
                <w:rFonts w:cs="Arial"/>
                <w:color w:val="000000"/>
                <w:sz w:val="22"/>
                <w:szCs w:val="22"/>
              </w:rPr>
              <w:t>+8,523,392</w:t>
            </w:r>
          </w:p>
        </w:tc>
        <w:tc>
          <w:tcPr>
            <w:tcW w:w="1551" w:type="dxa"/>
            <w:vAlign w:val="center"/>
          </w:tcPr>
          <w:p w:rsidR="0085264B" w:rsidRDefault="0085264B" w:rsidP="00D41B57">
            <w:pPr>
              <w:jc w:val="center"/>
              <w:rPr>
                <w:color w:val="000000"/>
                <w:sz w:val="22"/>
                <w:szCs w:val="22"/>
              </w:rPr>
            </w:pPr>
            <w:r>
              <w:rPr>
                <w:rFonts w:cs="Arial"/>
                <w:color w:val="000000"/>
                <w:sz w:val="22"/>
                <w:szCs w:val="22"/>
              </w:rPr>
              <w:t>+206.8%</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National</w:t>
            </w:r>
          </w:p>
        </w:tc>
        <w:tc>
          <w:tcPr>
            <w:tcW w:w="1738" w:type="dxa"/>
            <w:vAlign w:val="center"/>
          </w:tcPr>
          <w:p w:rsidR="0085264B" w:rsidRDefault="0085264B" w:rsidP="00D41B57">
            <w:pPr>
              <w:jc w:val="center"/>
              <w:rPr>
                <w:color w:val="000000"/>
                <w:sz w:val="22"/>
                <w:szCs w:val="22"/>
              </w:rPr>
            </w:pPr>
            <w:r>
              <w:rPr>
                <w:rFonts w:cs="Arial"/>
                <w:color w:val="000000"/>
                <w:sz w:val="22"/>
                <w:szCs w:val="22"/>
              </w:rPr>
              <w:t>33,530,573</w:t>
            </w:r>
          </w:p>
        </w:tc>
        <w:tc>
          <w:tcPr>
            <w:tcW w:w="1739" w:type="dxa"/>
            <w:vAlign w:val="center"/>
          </w:tcPr>
          <w:p w:rsidR="0085264B" w:rsidRDefault="0085264B" w:rsidP="00D41B57">
            <w:pPr>
              <w:jc w:val="center"/>
              <w:rPr>
                <w:color w:val="000000"/>
                <w:sz w:val="22"/>
                <w:szCs w:val="22"/>
              </w:rPr>
            </w:pPr>
            <w:r>
              <w:rPr>
                <w:rFonts w:cs="Arial"/>
                <w:color w:val="000000"/>
                <w:sz w:val="22"/>
                <w:szCs w:val="22"/>
              </w:rPr>
              <w:t>38,909,327</w:t>
            </w:r>
          </w:p>
        </w:tc>
        <w:tc>
          <w:tcPr>
            <w:tcW w:w="1738" w:type="dxa"/>
            <w:vAlign w:val="center"/>
          </w:tcPr>
          <w:p w:rsidR="0085264B" w:rsidRDefault="0085264B" w:rsidP="00D41B57">
            <w:pPr>
              <w:jc w:val="center"/>
              <w:rPr>
                <w:color w:val="000000"/>
                <w:sz w:val="22"/>
                <w:szCs w:val="22"/>
              </w:rPr>
            </w:pPr>
            <w:r>
              <w:rPr>
                <w:rFonts w:cs="Arial"/>
                <w:color w:val="000000"/>
                <w:sz w:val="22"/>
                <w:szCs w:val="22"/>
              </w:rPr>
              <w:t>+5,378,754</w:t>
            </w:r>
          </w:p>
        </w:tc>
        <w:tc>
          <w:tcPr>
            <w:tcW w:w="1551" w:type="dxa"/>
            <w:vAlign w:val="center"/>
          </w:tcPr>
          <w:p w:rsidR="0085264B" w:rsidRDefault="0085264B" w:rsidP="00D41B57">
            <w:pPr>
              <w:jc w:val="center"/>
              <w:rPr>
                <w:color w:val="000000"/>
                <w:sz w:val="22"/>
                <w:szCs w:val="22"/>
              </w:rPr>
            </w:pPr>
            <w:r>
              <w:rPr>
                <w:rFonts w:cs="Arial"/>
                <w:color w:val="000000"/>
                <w:sz w:val="22"/>
                <w:szCs w:val="22"/>
              </w:rPr>
              <w:t>+16.0%</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County</w:t>
            </w:r>
          </w:p>
        </w:tc>
        <w:tc>
          <w:tcPr>
            <w:tcW w:w="1738" w:type="dxa"/>
            <w:vAlign w:val="center"/>
          </w:tcPr>
          <w:p w:rsidR="0085264B" w:rsidRDefault="0085264B" w:rsidP="00D41B57">
            <w:pPr>
              <w:jc w:val="center"/>
              <w:rPr>
                <w:color w:val="000000"/>
                <w:sz w:val="22"/>
                <w:szCs w:val="22"/>
              </w:rPr>
            </w:pPr>
            <w:r>
              <w:rPr>
                <w:rFonts w:cs="Arial"/>
                <w:color w:val="000000"/>
                <w:sz w:val="22"/>
                <w:szCs w:val="22"/>
              </w:rPr>
              <w:t>3,329,595</w:t>
            </w:r>
          </w:p>
        </w:tc>
        <w:tc>
          <w:tcPr>
            <w:tcW w:w="1739" w:type="dxa"/>
            <w:vAlign w:val="center"/>
          </w:tcPr>
          <w:p w:rsidR="0085264B" w:rsidRDefault="0085264B" w:rsidP="00D41B57">
            <w:pPr>
              <w:jc w:val="center"/>
              <w:rPr>
                <w:color w:val="000000"/>
                <w:sz w:val="22"/>
                <w:szCs w:val="22"/>
              </w:rPr>
            </w:pPr>
            <w:r>
              <w:rPr>
                <w:rFonts w:cs="Arial"/>
                <w:color w:val="000000"/>
                <w:sz w:val="22"/>
                <w:szCs w:val="22"/>
              </w:rPr>
              <w:t>3,856,655</w:t>
            </w:r>
          </w:p>
        </w:tc>
        <w:tc>
          <w:tcPr>
            <w:tcW w:w="1738" w:type="dxa"/>
            <w:vAlign w:val="center"/>
          </w:tcPr>
          <w:p w:rsidR="0085264B" w:rsidRDefault="0085264B" w:rsidP="00D41B57">
            <w:pPr>
              <w:jc w:val="center"/>
              <w:rPr>
                <w:color w:val="000000"/>
                <w:sz w:val="22"/>
                <w:szCs w:val="22"/>
              </w:rPr>
            </w:pPr>
            <w:r>
              <w:rPr>
                <w:rFonts w:cs="Arial"/>
                <w:color w:val="000000"/>
                <w:sz w:val="22"/>
                <w:szCs w:val="22"/>
              </w:rPr>
              <w:t>+527,060</w:t>
            </w:r>
          </w:p>
        </w:tc>
        <w:tc>
          <w:tcPr>
            <w:tcW w:w="1551" w:type="dxa"/>
            <w:vAlign w:val="center"/>
          </w:tcPr>
          <w:p w:rsidR="0085264B" w:rsidRDefault="0085264B" w:rsidP="00D41B57">
            <w:pPr>
              <w:jc w:val="center"/>
              <w:rPr>
                <w:color w:val="000000"/>
                <w:sz w:val="22"/>
                <w:szCs w:val="22"/>
              </w:rPr>
            </w:pPr>
            <w:r>
              <w:rPr>
                <w:rFonts w:cs="Arial"/>
                <w:color w:val="000000"/>
                <w:sz w:val="22"/>
                <w:szCs w:val="22"/>
              </w:rPr>
              <w:t>+15.8%</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Local</w:t>
            </w:r>
          </w:p>
        </w:tc>
        <w:tc>
          <w:tcPr>
            <w:tcW w:w="1738" w:type="dxa"/>
            <w:vAlign w:val="center"/>
          </w:tcPr>
          <w:p w:rsidR="0085264B" w:rsidRDefault="0085264B" w:rsidP="00D41B57">
            <w:pPr>
              <w:jc w:val="center"/>
              <w:rPr>
                <w:color w:val="000000"/>
                <w:sz w:val="22"/>
                <w:szCs w:val="22"/>
              </w:rPr>
            </w:pPr>
            <w:r>
              <w:rPr>
                <w:rFonts w:cs="Arial"/>
                <w:color w:val="000000"/>
                <w:sz w:val="22"/>
                <w:szCs w:val="22"/>
              </w:rPr>
              <w:t>556,033</w:t>
            </w:r>
          </w:p>
        </w:tc>
        <w:tc>
          <w:tcPr>
            <w:tcW w:w="1739" w:type="dxa"/>
            <w:vAlign w:val="center"/>
          </w:tcPr>
          <w:p w:rsidR="0085264B" w:rsidRDefault="0085264B" w:rsidP="00D41B57">
            <w:pPr>
              <w:jc w:val="center"/>
              <w:rPr>
                <w:color w:val="000000"/>
                <w:sz w:val="22"/>
                <w:szCs w:val="22"/>
              </w:rPr>
            </w:pPr>
            <w:r>
              <w:rPr>
                <w:rFonts w:cs="Arial"/>
                <w:color w:val="000000"/>
                <w:sz w:val="22"/>
                <w:szCs w:val="22"/>
              </w:rPr>
              <w:t>649,580</w:t>
            </w:r>
          </w:p>
        </w:tc>
        <w:tc>
          <w:tcPr>
            <w:tcW w:w="1738" w:type="dxa"/>
            <w:vAlign w:val="center"/>
          </w:tcPr>
          <w:p w:rsidR="0085264B" w:rsidRDefault="0085264B" w:rsidP="00D41B57">
            <w:pPr>
              <w:jc w:val="center"/>
              <w:rPr>
                <w:color w:val="000000"/>
                <w:sz w:val="22"/>
                <w:szCs w:val="22"/>
              </w:rPr>
            </w:pPr>
            <w:r>
              <w:rPr>
                <w:rFonts w:cs="Arial"/>
                <w:color w:val="000000"/>
                <w:sz w:val="22"/>
                <w:szCs w:val="22"/>
              </w:rPr>
              <w:t>+93,547</w:t>
            </w:r>
          </w:p>
        </w:tc>
        <w:tc>
          <w:tcPr>
            <w:tcW w:w="1551" w:type="dxa"/>
            <w:vAlign w:val="center"/>
          </w:tcPr>
          <w:p w:rsidR="0085264B" w:rsidRDefault="0085264B" w:rsidP="00D41B57">
            <w:pPr>
              <w:jc w:val="center"/>
              <w:rPr>
                <w:color w:val="000000"/>
                <w:sz w:val="22"/>
                <w:szCs w:val="22"/>
              </w:rPr>
            </w:pPr>
            <w:r>
              <w:rPr>
                <w:rFonts w:cs="Arial"/>
                <w:color w:val="000000"/>
                <w:sz w:val="22"/>
                <w:szCs w:val="22"/>
              </w:rPr>
              <w:t>+16.8%</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All journeys</w:t>
            </w:r>
          </w:p>
        </w:tc>
        <w:tc>
          <w:tcPr>
            <w:tcW w:w="1738" w:type="dxa"/>
            <w:vAlign w:val="center"/>
          </w:tcPr>
          <w:p w:rsidR="0085264B" w:rsidRDefault="0085264B" w:rsidP="00D41B57">
            <w:pPr>
              <w:jc w:val="center"/>
              <w:rPr>
                <w:color w:val="000000"/>
                <w:sz w:val="22"/>
                <w:szCs w:val="22"/>
              </w:rPr>
            </w:pPr>
            <w:r>
              <w:rPr>
                <w:rFonts w:cs="Arial"/>
                <w:color w:val="000000"/>
                <w:sz w:val="22"/>
                <w:szCs w:val="22"/>
              </w:rPr>
              <w:t>41,538,622</w:t>
            </w:r>
          </w:p>
        </w:tc>
        <w:tc>
          <w:tcPr>
            <w:tcW w:w="1739" w:type="dxa"/>
            <w:vAlign w:val="center"/>
          </w:tcPr>
          <w:p w:rsidR="0085264B" w:rsidRDefault="0085264B" w:rsidP="00D41B57">
            <w:pPr>
              <w:jc w:val="center"/>
              <w:rPr>
                <w:color w:val="000000"/>
                <w:sz w:val="22"/>
                <w:szCs w:val="22"/>
              </w:rPr>
            </w:pPr>
            <w:r>
              <w:rPr>
                <w:rFonts w:cs="Arial"/>
                <w:color w:val="000000"/>
                <w:sz w:val="22"/>
                <w:szCs w:val="22"/>
              </w:rPr>
              <w:t>56,061,375</w:t>
            </w:r>
          </w:p>
        </w:tc>
        <w:tc>
          <w:tcPr>
            <w:tcW w:w="1738" w:type="dxa"/>
            <w:vAlign w:val="center"/>
          </w:tcPr>
          <w:p w:rsidR="0085264B" w:rsidRDefault="0085264B" w:rsidP="00D41B57">
            <w:pPr>
              <w:jc w:val="center"/>
              <w:rPr>
                <w:color w:val="000000"/>
                <w:sz w:val="22"/>
                <w:szCs w:val="22"/>
              </w:rPr>
            </w:pPr>
            <w:r>
              <w:rPr>
                <w:rFonts w:cs="Arial"/>
                <w:color w:val="000000"/>
                <w:sz w:val="22"/>
                <w:szCs w:val="22"/>
              </w:rPr>
              <w:t>+14,522,753</w:t>
            </w:r>
          </w:p>
        </w:tc>
        <w:tc>
          <w:tcPr>
            <w:tcW w:w="1551" w:type="dxa"/>
            <w:vAlign w:val="center"/>
          </w:tcPr>
          <w:p w:rsidR="0085264B" w:rsidRDefault="0085264B" w:rsidP="00D41B57">
            <w:pPr>
              <w:jc w:val="center"/>
              <w:rPr>
                <w:color w:val="000000"/>
                <w:sz w:val="22"/>
                <w:szCs w:val="22"/>
              </w:rPr>
            </w:pPr>
            <w:r>
              <w:rPr>
                <w:rFonts w:cs="Arial"/>
                <w:color w:val="000000"/>
                <w:sz w:val="22"/>
                <w:szCs w:val="22"/>
              </w:rPr>
              <w:t>+35.0%</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Table 4.11 </w:t>
      </w:r>
      <w:r w:rsidRPr="005026B8">
        <w:rPr>
          <w:b/>
          <w:sz w:val="22"/>
          <w:szCs w:val="22"/>
        </w:rPr>
        <w:t>Vehicle Hours (Goods) – Base 2011 and Reference Case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85264B" w:rsidRPr="00C8675F" w:rsidTr="00D41B57">
        <w:tc>
          <w:tcPr>
            <w:tcW w:w="1843" w:type="dxa"/>
            <w:vMerge w:val="restart"/>
            <w:shd w:val="clear" w:color="auto" w:fill="DBE5F1" w:themeFill="accent1" w:themeFillTint="33"/>
            <w:vAlign w:val="center"/>
          </w:tcPr>
          <w:p w:rsidR="0085264B" w:rsidRPr="00C8675F" w:rsidRDefault="0085264B" w:rsidP="00D41B57">
            <w:pPr>
              <w:keepNext/>
              <w:spacing w:before="60" w:after="60"/>
              <w:rPr>
                <w:b/>
                <w:sz w:val="22"/>
                <w:szCs w:val="22"/>
              </w:rPr>
            </w:pPr>
            <w:r w:rsidRPr="00604286">
              <w:rPr>
                <w:b/>
                <w:sz w:val="22"/>
                <w:szCs w:val="22"/>
              </w:rPr>
              <w:t>Road Type</w:t>
            </w:r>
          </w:p>
        </w:tc>
        <w:tc>
          <w:tcPr>
            <w:tcW w:w="6766" w:type="dxa"/>
            <w:gridSpan w:val="4"/>
            <w:shd w:val="clear" w:color="auto" w:fill="DBE5F1" w:themeFill="accent1" w:themeFillTint="33"/>
            <w:vAlign w:val="center"/>
          </w:tcPr>
          <w:p w:rsidR="0085264B" w:rsidRPr="00C8675F" w:rsidRDefault="0085264B" w:rsidP="00D41B57">
            <w:pPr>
              <w:keepNext/>
              <w:spacing w:before="60" w:after="60"/>
              <w:jc w:val="center"/>
              <w:rPr>
                <w:b/>
                <w:sz w:val="22"/>
                <w:szCs w:val="22"/>
              </w:rPr>
            </w:pPr>
            <w:r>
              <w:rPr>
                <w:b/>
                <w:sz w:val="22"/>
                <w:szCs w:val="22"/>
              </w:rPr>
              <w:t>Vehicle Hours - Good</w:t>
            </w:r>
            <w:r w:rsidRPr="00604286">
              <w:rPr>
                <w:b/>
                <w:sz w:val="22"/>
                <w:szCs w:val="22"/>
              </w:rPr>
              <w:t>s</w:t>
            </w:r>
          </w:p>
        </w:tc>
      </w:tr>
      <w:tr w:rsidR="0085264B" w:rsidRPr="00C8675F" w:rsidTr="00D41B57">
        <w:tc>
          <w:tcPr>
            <w:tcW w:w="1843" w:type="dxa"/>
            <w:vMerge/>
            <w:shd w:val="clear" w:color="auto" w:fill="DBE5F1" w:themeFill="accent1" w:themeFillTint="33"/>
            <w:vAlign w:val="center"/>
          </w:tcPr>
          <w:p w:rsidR="0085264B" w:rsidRPr="00C8675F" w:rsidRDefault="0085264B" w:rsidP="00D41B57">
            <w:pPr>
              <w:keepNext/>
              <w:spacing w:before="60" w:after="60"/>
              <w:rPr>
                <w:b/>
                <w:sz w:val="22"/>
                <w:szCs w:val="22"/>
              </w:rPr>
            </w:pP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Base 2011</w:t>
            </w:r>
          </w:p>
        </w:tc>
        <w:tc>
          <w:tcPr>
            <w:tcW w:w="1739"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Reference 2020</w:t>
            </w:r>
          </w:p>
        </w:tc>
        <w:tc>
          <w:tcPr>
            <w:tcW w:w="1738"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Absolute Change</w:t>
            </w:r>
          </w:p>
        </w:tc>
        <w:tc>
          <w:tcPr>
            <w:tcW w:w="1551" w:type="dxa"/>
            <w:shd w:val="clear" w:color="auto" w:fill="DBE5F1" w:themeFill="accent1" w:themeFillTint="33"/>
            <w:vAlign w:val="center"/>
          </w:tcPr>
          <w:p w:rsidR="0085264B" w:rsidRPr="00C8675F" w:rsidRDefault="0085264B" w:rsidP="00D41B57">
            <w:pPr>
              <w:keepNext/>
              <w:spacing w:before="60" w:after="60"/>
              <w:jc w:val="center"/>
              <w:rPr>
                <w:b/>
                <w:bCs/>
                <w:sz w:val="22"/>
                <w:szCs w:val="22"/>
              </w:rPr>
            </w:pPr>
            <w:r w:rsidRPr="00604286">
              <w:rPr>
                <w:b/>
                <w:bCs/>
                <w:sz w:val="22"/>
                <w:szCs w:val="22"/>
              </w:rPr>
              <w:t>Percentage Change</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Motorway</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68,744</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199,828</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+131,084</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+190.7%</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National</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744,698</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899,495</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+154,797</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+20.8%</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County</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105,872</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124,002</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+18,129</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+17.1%</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Local</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26,163</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30,786</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+4,623</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+17.7%</w:t>
            </w:r>
          </w:p>
        </w:tc>
      </w:tr>
      <w:tr w:rsidR="0085264B" w:rsidRPr="00C8675F" w:rsidTr="00D41B57">
        <w:tc>
          <w:tcPr>
            <w:tcW w:w="1843" w:type="dxa"/>
            <w:vAlign w:val="center"/>
          </w:tcPr>
          <w:p w:rsidR="0085264B" w:rsidRPr="00C8675F" w:rsidRDefault="0085264B" w:rsidP="00D41B57">
            <w:pPr>
              <w:keepNext/>
              <w:spacing w:before="60" w:after="60"/>
              <w:rPr>
                <w:bCs/>
                <w:sz w:val="22"/>
                <w:szCs w:val="22"/>
              </w:rPr>
            </w:pPr>
            <w:r w:rsidRPr="00604286">
              <w:rPr>
                <w:bCs/>
                <w:sz w:val="22"/>
                <w:szCs w:val="22"/>
              </w:rPr>
              <w:t>All journeys</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945,477</w:t>
            </w:r>
          </w:p>
        </w:tc>
        <w:tc>
          <w:tcPr>
            <w:tcW w:w="1739" w:type="dxa"/>
            <w:vAlign w:val="center"/>
          </w:tcPr>
          <w:p w:rsidR="0085264B" w:rsidRDefault="0085264B" w:rsidP="00D41B57">
            <w:pPr>
              <w:keepNext/>
              <w:jc w:val="center"/>
              <w:rPr>
                <w:color w:val="000000"/>
                <w:sz w:val="22"/>
                <w:szCs w:val="22"/>
              </w:rPr>
            </w:pPr>
            <w:r>
              <w:rPr>
                <w:rFonts w:cs="Arial"/>
                <w:color w:val="000000"/>
                <w:sz w:val="22"/>
                <w:szCs w:val="22"/>
              </w:rPr>
              <w:t>1,254,110</w:t>
            </w:r>
          </w:p>
        </w:tc>
        <w:tc>
          <w:tcPr>
            <w:tcW w:w="1738" w:type="dxa"/>
            <w:vAlign w:val="center"/>
          </w:tcPr>
          <w:p w:rsidR="0085264B" w:rsidRDefault="0085264B" w:rsidP="00D41B57">
            <w:pPr>
              <w:keepNext/>
              <w:jc w:val="center"/>
              <w:rPr>
                <w:color w:val="000000"/>
                <w:sz w:val="22"/>
                <w:szCs w:val="22"/>
              </w:rPr>
            </w:pPr>
            <w:r>
              <w:rPr>
                <w:rFonts w:cs="Arial"/>
                <w:color w:val="000000"/>
                <w:sz w:val="22"/>
                <w:szCs w:val="22"/>
              </w:rPr>
              <w:t>+308,633</w:t>
            </w:r>
          </w:p>
        </w:tc>
        <w:tc>
          <w:tcPr>
            <w:tcW w:w="1551" w:type="dxa"/>
            <w:vAlign w:val="center"/>
          </w:tcPr>
          <w:p w:rsidR="0085264B" w:rsidRDefault="0085264B" w:rsidP="00D41B57">
            <w:pPr>
              <w:keepNext/>
              <w:jc w:val="center"/>
              <w:rPr>
                <w:color w:val="000000"/>
                <w:sz w:val="22"/>
                <w:szCs w:val="22"/>
              </w:rPr>
            </w:pPr>
            <w:r>
              <w:rPr>
                <w:rFonts w:cs="Arial"/>
                <w:color w:val="000000"/>
                <w:sz w:val="22"/>
                <w:szCs w:val="22"/>
              </w:rPr>
              <w:t>+32.6%</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Table 4.12 </w:t>
      </w:r>
      <w:r w:rsidRPr="005026B8">
        <w:rPr>
          <w:b/>
          <w:sz w:val="22"/>
          <w:szCs w:val="22"/>
        </w:rPr>
        <w:t>Vehicle Speeds (Goods) – Base 2011 and Reference Case 2020</w:t>
      </w:r>
    </w:p>
    <w:tbl>
      <w:tblPr>
        <w:tblW w:w="8520" w:type="dxa"/>
        <w:tblInd w:w="851" w:type="dxa"/>
        <w:tblLook w:val="04A0" w:firstRow="1" w:lastRow="0" w:firstColumn="1" w:lastColumn="0" w:noHBand="0" w:noVBand="1"/>
      </w:tblPr>
      <w:tblGrid>
        <w:gridCol w:w="1714"/>
        <w:gridCol w:w="1694"/>
        <w:gridCol w:w="1696"/>
        <w:gridCol w:w="1695"/>
        <w:gridCol w:w="1721"/>
      </w:tblGrid>
      <w:tr w:rsidR="0085264B" w:rsidRPr="009A6B13" w:rsidTr="00D41B57">
        <w:trPr>
          <w:trHeight w:val="300"/>
        </w:trPr>
        <w:tc>
          <w:tcPr>
            <w:tcW w:w="1714" w:type="dxa"/>
            <w:vMerge w:val="restart"/>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85264B" w:rsidRPr="009A6B13" w:rsidRDefault="0085264B" w:rsidP="00D41B57">
            <w:pPr>
              <w:keepNext/>
              <w:spacing w:before="60" w:after="60"/>
              <w:rPr>
                <w:b/>
                <w:bCs/>
                <w:color w:val="000000"/>
                <w:sz w:val="22"/>
                <w:szCs w:val="22"/>
                <w:lang w:val="en-US"/>
              </w:rPr>
            </w:pPr>
            <w:r w:rsidRPr="009A6B13">
              <w:rPr>
                <w:b/>
                <w:bCs/>
                <w:color w:val="000000"/>
                <w:sz w:val="22"/>
                <w:szCs w:val="22"/>
                <w:lang w:val="en-US"/>
              </w:rPr>
              <w:t>Road Type</w:t>
            </w:r>
          </w:p>
        </w:tc>
        <w:tc>
          <w:tcPr>
            <w:tcW w:w="6806" w:type="dxa"/>
            <w:gridSpan w:val="4"/>
            <w:tcBorders>
              <w:top w:val="single" w:sz="8" w:space="0" w:color="auto"/>
              <w:left w:val="nil"/>
              <w:bottom w:val="single" w:sz="8" w:space="0" w:color="auto"/>
              <w:right w:val="single" w:sz="8" w:space="0" w:color="000000"/>
            </w:tcBorders>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Pr>
                <w:b/>
                <w:bCs/>
                <w:color w:val="000000"/>
                <w:sz w:val="22"/>
                <w:szCs w:val="22"/>
                <w:lang w:val="en-US"/>
              </w:rPr>
              <w:t>Average Speed - Good</w:t>
            </w:r>
            <w:r w:rsidRPr="009A6B13">
              <w:rPr>
                <w:b/>
                <w:bCs/>
                <w:color w:val="000000"/>
                <w:sz w:val="22"/>
                <w:szCs w:val="22"/>
                <w:lang w:val="en-US"/>
              </w:rPr>
              <w:t>s</w:t>
            </w:r>
          </w:p>
        </w:tc>
      </w:tr>
      <w:tr w:rsidR="0085264B" w:rsidRPr="009A6B13" w:rsidTr="00D41B57">
        <w:trPr>
          <w:trHeight w:val="564"/>
        </w:trPr>
        <w:tc>
          <w:tcPr>
            <w:tcW w:w="1714" w:type="dxa"/>
            <w:vMerge/>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85264B" w:rsidRPr="009A6B13" w:rsidRDefault="0085264B" w:rsidP="00D41B57">
            <w:pPr>
              <w:keepNext/>
              <w:spacing w:before="60" w:after="60"/>
              <w:rPr>
                <w:b/>
                <w:bCs/>
                <w:color w:val="000000"/>
                <w:sz w:val="22"/>
                <w:szCs w:val="22"/>
                <w:lang w:val="en-US"/>
              </w:rPr>
            </w:pPr>
          </w:p>
        </w:tc>
        <w:tc>
          <w:tcPr>
            <w:tcW w:w="1694" w:type="dxa"/>
            <w:tcBorders>
              <w:top w:val="nil"/>
              <w:left w:val="nil"/>
              <w:bottom w:val="single" w:sz="8" w:space="0" w:color="auto"/>
              <w:right w:val="single" w:sz="8" w:space="0" w:color="auto"/>
            </w:tcBorders>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Base 2011</w:t>
            </w:r>
          </w:p>
        </w:tc>
        <w:tc>
          <w:tcPr>
            <w:tcW w:w="1696" w:type="dxa"/>
            <w:tcBorders>
              <w:top w:val="nil"/>
              <w:left w:val="nil"/>
              <w:bottom w:val="single" w:sz="8" w:space="0" w:color="auto"/>
              <w:right w:val="single" w:sz="8" w:space="0" w:color="auto"/>
            </w:tcBorders>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Reference 2020</w:t>
            </w:r>
          </w:p>
        </w:tc>
        <w:tc>
          <w:tcPr>
            <w:tcW w:w="1695" w:type="dxa"/>
            <w:tcBorders>
              <w:top w:val="nil"/>
              <w:left w:val="nil"/>
              <w:bottom w:val="single" w:sz="8" w:space="0" w:color="auto"/>
              <w:right w:val="single" w:sz="8" w:space="0" w:color="auto"/>
            </w:tcBorders>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Absolute Change</w:t>
            </w:r>
          </w:p>
        </w:tc>
        <w:tc>
          <w:tcPr>
            <w:tcW w:w="1721" w:type="dxa"/>
            <w:tcBorders>
              <w:top w:val="nil"/>
              <w:left w:val="nil"/>
              <w:bottom w:val="single" w:sz="8" w:space="0" w:color="auto"/>
              <w:right w:val="single" w:sz="8" w:space="0" w:color="auto"/>
            </w:tcBorders>
            <w:shd w:val="clear" w:color="auto" w:fill="DBE5F1" w:themeFill="accent1" w:themeFillTint="33"/>
            <w:vAlign w:val="center"/>
            <w:hideMark/>
          </w:tcPr>
          <w:p w:rsidR="0085264B" w:rsidRPr="009A6B13" w:rsidRDefault="0085264B" w:rsidP="00D41B57">
            <w:pPr>
              <w:keepNext/>
              <w:spacing w:before="60" w:after="60"/>
              <w:jc w:val="center"/>
              <w:rPr>
                <w:b/>
                <w:bCs/>
                <w:color w:val="000000"/>
                <w:sz w:val="22"/>
                <w:szCs w:val="22"/>
                <w:lang w:val="en-US"/>
              </w:rPr>
            </w:pPr>
            <w:r w:rsidRPr="009A6B13">
              <w:rPr>
                <w:b/>
                <w:bCs/>
                <w:color w:val="000000"/>
                <w:sz w:val="22"/>
                <w:szCs w:val="22"/>
                <w:lang w:val="en-US"/>
              </w:rPr>
              <w:t>Percentage Change</w:t>
            </w:r>
          </w:p>
        </w:tc>
      </w:tr>
      <w:tr w:rsidR="0085264B" w:rsidRPr="009A6B13" w:rsidTr="00D41B57">
        <w:trPr>
          <w:trHeight w:val="300"/>
        </w:trPr>
        <w:tc>
          <w:tcPr>
            <w:tcW w:w="1714" w:type="dxa"/>
            <w:tcBorders>
              <w:top w:val="nil"/>
              <w:left w:val="single" w:sz="8" w:space="0" w:color="auto"/>
              <w:bottom w:val="single" w:sz="8" w:space="0" w:color="auto"/>
              <w:right w:val="single" w:sz="8" w:space="0" w:color="auto"/>
            </w:tcBorders>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Motorway</w:t>
            </w:r>
          </w:p>
        </w:tc>
        <w:tc>
          <w:tcPr>
            <w:tcW w:w="1694"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60.0</w:t>
            </w:r>
          </w:p>
        </w:tc>
        <w:tc>
          <w:tcPr>
            <w:tcW w:w="1696"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63.3</w:t>
            </w:r>
          </w:p>
        </w:tc>
        <w:tc>
          <w:tcPr>
            <w:tcW w:w="1695"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+3.3</w:t>
            </w:r>
          </w:p>
        </w:tc>
        <w:tc>
          <w:tcPr>
            <w:tcW w:w="1721"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+5.5%</w:t>
            </w:r>
          </w:p>
        </w:tc>
      </w:tr>
      <w:tr w:rsidR="0085264B" w:rsidRPr="009A6B13" w:rsidTr="00D41B57">
        <w:trPr>
          <w:trHeight w:val="300"/>
        </w:trPr>
        <w:tc>
          <w:tcPr>
            <w:tcW w:w="1714" w:type="dxa"/>
            <w:tcBorders>
              <w:top w:val="nil"/>
              <w:left w:val="single" w:sz="8" w:space="0" w:color="auto"/>
              <w:bottom w:val="single" w:sz="8" w:space="0" w:color="auto"/>
              <w:right w:val="single" w:sz="8" w:space="0" w:color="auto"/>
            </w:tcBorders>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National</w:t>
            </w:r>
          </w:p>
        </w:tc>
        <w:tc>
          <w:tcPr>
            <w:tcW w:w="1694"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45.0</w:t>
            </w:r>
          </w:p>
        </w:tc>
        <w:tc>
          <w:tcPr>
            <w:tcW w:w="1696"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43.3</w:t>
            </w:r>
          </w:p>
        </w:tc>
        <w:tc>
          <w:tcPr>
            <w:tcW w:w="1695"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-1.8</w:t>
            </w:r>
          </w:p>
        </w:tc>
        <w:tc>
          <w:tcPr>
            <w:tcW w:w="1721"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-3.9%</w:t>
            </w:r>
          </w:p>
        </w:tc>
      </w:tr>
      <w:tr w:rsidR="0085264B" w:rsidRPr="009A6B13" w:rsidTr="00D41B57">
        <w:trPr>
          <w:trHeight w:val="300"/>
        </w:trPr>
        <w:tc>
          <w:tcPr>
            <w:tcW w:w="1714" w:type="dxa"/>
            <w:tcBorders>
              <w:top w:val="nil"/>
              <w:left w:val="single" w:sz="8" w:space="0" w:color="auto"/>
              <w:bottom w:val="single" w:sz="8" w:space="0" w:color="auto"/>
              <w:right w:val="single" w:sz="8" w:space="0" w:color="auto"/>
            </w:tcBorders>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County</w:t>
            </w:r>
          </w:p>
        </w:tc>
        <w:tc>
          <w:tcPr>
            <w:tcW w:w="1694"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31.4</w:t>
            </w:r>
          </w:p>
        </w:tc>
        <w:tc>
          <w:tcPr>
            <w:tcW w:w="1696"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31.1</w:t>
            </w:r>
          </w:p>
        </w:tc>
        <w:tc>
          <w:tcPr>
            <w:tcW w:w="1695"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-0.3</w:t>
            </w:r>
          </w:p>
        </w:tc>
        <w:tc>
          <w:tcPr>
            <w:tcW w:w="1721"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-1.1%</w:t>
            </w:r>
          </w:p>
        </w:tc>
      </w:tr>
      <w:tr w:rsidR="0085264B" w:rsidRPr="009A6B13" w:rsidTr="00D41B57">
        <w:trPr>
          <w:trHeight w:val="300"/>
        </w:trPr>
        <w:tc>
          <w:tcPr>
            <w:tcW w:w="1714" w:type="dxa"/>
            <w:tcBorders>
              <w:top w:val="nil"/>
              <w:left w:val="single" w:sz="8" w:space="0" w:color="auto"/>
              <w:bottom w:val="single" w:sz="8" w:space="0" w:color="auto"/>
              <w:right w:val="single" w:sz="8" w:space="0" w:color="auto"/>
            </w:tcBorders>
            <w:shd w:val="clear" w:color="auto" w:fill="auto"/>
            <w:vAlign w:val="center"/>
            <w:hideMark/>
          </w:tcPr>
          <w:p w:rsidR="0085264B" w:rsidRPr="009A6B13" w:rsidRDefault="0085264B" w:rsidP="00D41B57">
            <w:pPr>
              <w:keepNext/>
              <w:spacing w:before="60" w:after="60"/>
              <w:rPr>
                <w:color w:val="000000"/>
                <w:sz w:val="22"/>
                <w:szCs w:val="22"/>
                <w:lang w:val="en-US"/>
              </w:rPr>
            </w:pPr>
            <w:r w:rsidRPr="009A6B13">
              <w:rPr>
                <w:color w:val="000000"/>
                <w:sz w:val="22"/>
                <w:szCs w:val="22"/>
                <w:lang w:val="en-US"/>
              </w:rPr>
              <w:t>Local</w:t>
            </w:r>
          </w:p>
        </w:tc>
        <w:tc>
          <w:tcPr>
            <w:tcW w:w="1694"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21.3</w:t>
            </w:r>
          </w:p>
        </w:tc>
        <w:tc>
          <w:tcPr>
            <w:tcW w:w="1696"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21.1</w:t>
            </w:r>
          </w:p>
        </w:tc>
        <w:tc>
          <w:tcPr>
            <w:tcW w:w="1695"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-0.2</w:t>
            </w:r>
          </w:p>
        </w:tc>
        <w:tc>
          <w:tcPr>
            <w:tcW w:w="1721" w:type="dxa"/>
            <w:tcBorders>
              <w:top w:val="nil"/>
              <w:left w:val="nil"/>
              <w:bottom w:val="single" w:sz="8" w:space="0" w:color="auto"/>
              <w:right w:val="single" w:sz="8" w:space="0" w:color="auto"/>
            </w:tcBorders>
            <w:shd w:val="clear" w:color="auto" w:fill="auto"/>
            <w:vAlign w:val="center"/>
            <w:hideMark/>
          </w:tcPr>
          <w:p w:rsidR="0085264B" w:rsidRDefault="0085264B" w:rsidP="00D41B57">
            <w:pPr>
              <w:jc w:val="center"/>
              <w:rPr>
                <w:color w:val="000000"/>
                <w:sz w:val="22"/>
                <w:szCs w:val="22"/>
              </w:rPr>
            </w:pPr>
            <w:r>
              <w:rPr>
                <w:rFonts w:cs="Arial"/>
                <w:color w:val="000000"/>
                <w:sz w:val="22"/>
                <w:szCs w:val="22"/>
              </w:rPr>
              <w:t>-0.7%</w:t>
            </w:r>
          </w:p>
        </w:tc>
      </w:tr>
    </w:tbl>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EA177B">
        <w:t xml:space="preserve">Figure </w:t>
      </w:r>
      <w:r>
        <w:t>4.9</w:t>
      </w:r>
      <w:r w:rsidRPr="00526886">
        <w:t xml:space="preserve"> illustrates the impact of the reference case, relative to the base year for goods vehicles across the same indicators used for cars.</w:t>
      </w:r>
      <w:r>
        <w:t xml:space="preserve"> </w:t>
      </w:r>
      <w:r w:rsidRPr="0021417D">
        <w:t>The growth in goods traffic is greater than that for cars, (</w:t>
      </w:r>
      <w:r w:rsidRPr="000C1246">
        <w:t>31% compared to 15%)</w:t>
      </w:r>
      <w:r w:rsidRPr="0021417D">
        <w:t xml:space="preserve"> but the overall pattern of impacts is similar to that reported on for cars.</w:t>
      </w:r>
    </w:p>
    <w:p w:rsidR="0085264B" w:rsidRDefault="0085264B" w:rsidP="0085264B">
      <w:pPr>
        <w:pStyle w:val="NumberedParas"/>
        <w:tabs>
          <w:tab w:val="clear" w:pos="2291"/>
          <w:tab w:val="left" w:pos="851"/>
          <w:tab w:val="left" w:pos="2268"/>
          <w:tab w:val="num" w:pos="2433"/>
        </w:tabs>
        <w:ind w:left="851" w:hanging="851"/>
      </w:pPr>
      <w:r w:rsidRPr="0021417D">
        <w:t>There is a significant growth in vehicle kilometres on motorways (</w:t>
      </w:r>
      <w:r>
        <w:t>207</w:t>
      </w:r>
      <w:r w:rsidRPr="000C1246">
        <w:t>%) and</w:t>
      </w:r>
      <w:r w:rsidRPr="0021417D">
        <w:t xml:space="preserve"> </w:t>
      </w:r>
      <w:r>
        <w:t xml:space="preserve">a more modest growth on </w:t>
      </w:r>
      <w:r w:rsidRPr="0021417D">
        <w:t>the National network</w:t>
      </w:r>
      <w:r>
        <w:t xml:space="preserve"> (16%)</w:t>
      </w:r>
      <w:r w:rsidRPr="0021417D">
        <w:t>. As with cars, the road network, and motorways in particular, are becoming a much more attractive mode as a consequence of the Reference Case schemes.</w:t>
      </w:r>
    </w:p>
    <w:p w:rsidR="0085264B" w:rsidRPr="005026B8" w:rsidRDefault="0085264B" w:rsidP="0085264B">
      <w:pPr>
        <w:keepNext/>
        <w:tabs>
          <w:tab w:val="left" w:pos="680"/>
        </w:tabs>
        <w:spacing w:before="120" w:after="120" w:line="276" w:lineRule="auto"/>
        <w:ind w:left="851"/>
        <w:rPr>
          <w:b/>
          <w:sz w:val="22"/>
          <w:szCs w:val="22"/>
        </w:rPr>
      </w:pPr>
      <w:r>
        <w:rPr>
          <w:b/>
          <w:sz w:val="22"/>
          <w:szCs w:val="22"/>
        </w:rPr>
        <w:t xml:space="preserve">Figure 4.9 </w:t>
      </w:r>
      <w:r w:rsidRPr="005026B8">
        <w:rPr>
          <w:b/>
          <w:sz w:val="22"/>
          <w:szCs w:val="22"/>
        </w:rPr>
        <w:t>Base Year to Reference Case (2020) – Goods</w:t>
      </w:r>
    </w:p>
    <w:p w:rsidR="0085264B" w:rsidRDefault="0085264B" w:rsidP="0085264B">
      <w:pPr>
        <w:tabs>
          <w:tab w:val="left" w:pos="680"/>
        </w:tabs>
        <w:spacing w:before="120" w:after="120" w:line="276" w:lineRule="auto"/>
        <w:ind w:left="680" w:firstLine="171"/>
        <w:rPr>
          <w:sz w:val="22"/>
          <w:szCs w:val="22"/>
        </w:rPr>
      </w:pPr>
      <w:r w:rsidRPr="00A83752">
        <w:rPr>
          <w:noProof/>
          <w:sz w:val="22"/>
          <w:szCs w:val="22"/>
          <w:lang w:val="ro-RO" w:eastAsia="ro-RO"/>
        </w:rPr>
        <w:drawing>
          <wp:inline distT="0" distB="0" distL="0" distR="0" wp14:anchorId="2D195A4B" wp14:editId="40A9A75E">
            <wp:extent cx="5943600" cy="3884930"/>
            <wp:effectExtent l="19050" t="0" r="19050" b="1270"/>
            <wp:docPr id="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21417D">
        <w:t xml:space="preserve">The </w:t>
      </w:r>
      <w:r>
        <w:t xml:space="preserve">Reference Case model runs, forecast </w:t>
      </w:r>
      <w:r w:rsidRPr="0021417D">
        <w:t>significant increases on many of the main corridors for car traffic</w:t>
      </w:r>
      <w:r>
        <w:t>,</w:t>
      </w:r>
      <w:r w:rsidRPr="0021417D">
        <w:t xml:space="preserve"> reflect</w:t>
      </w:r>
      <w:r>
        <w:t>ing</w:t>
      </w:r>
      <w:r w:rsidRPr="0021417D">
        <w:t xml:space="preserve"> a number of factors raised earlier in this report, notably:</w:t>
      </w:r>
    </w:p>
    <w:p w:rsidR="0085264B" w:rsidRPr="0021417D" w:rsidRDefault="0085264B" w:rsidP="00273D5E">
      <w:pPr>
        <w:pStyle w:val="BulletLevel1"/>
      </w:pPr>
      <w:r w:rsidRPr="0021417D">
        <w:t>Increasing levels of car ownership;</w:t>
      </w:r>
    </w:p>
    <w:p w:rsidR="0085264B" w:rsidRDefault="0085264B" w:rsidP="00273D5E">
      <w:pPr>
        <w:pStyle w:val="BulletLevel1"/>
      </w:pPr>
      <w:r w:rsidRPr="0021417D">
        <w:t>Improvements to the national highway network; and</w:t>
      </w:r>
    </w:p>
    <w:p w:rsidR="0085264B" w:rsidRPr="002866E0" w:rsidRDefault="0085264B" w:rsidP="00273D5E">
      <w:pPr>
        <w:pStyle w:val="BulletLevel1"/>
      </w:pPr>
      <w:r w:rsidRPr="0021417D">
        <w:t xml:space="preserve">Reductions in </w:t>
      </w:r>
      <w:r>
        <w:t xml:space="preserve">the </w:t>
      </w:r>
      <w:r w:rsidRPr="0021417D">
        <w:t xml:space="preserve">performance of rail services, as </w:t>
      </w:r>
      <w:r w:rsidRPr="002866E0">
        <w:t>discussed in Chapter 6.</w:t>
      </w:r>
    </w:p>
    <w:p w:rsidR="0085264B" w:rsidRDefault="0085264B" w:rsidP="0085264B">
      <w:pPr>
        <w:pStyle w:val="NumberedParas"/>
        <w:tabs>
          <w:tab w:val="clear" w:pos="2291"/>
          <w:tab w:val="left" w:pos="851"/>
          <w:tab w:val="left" w:pos="2268"/>
          <w:tab w:val="num" w:pos="2433"/>
        </w:tabs>
        <w:ind w:left="851" w:hanging="851"/>
      </w:pPr>
      <w:r w:rsidRPr="0021417D">
        <w:t xml:space="preserve">Without improvements in the public transport offer, the result is a mode shift towards car with an increase in car trips of </w:t>
      </w:r>
      <w:r w:rsidRPr="00D42ABA">
        <w:t>over 15% against a total increase in passenger trips across all modes of just under 11%. Longer trip lengths are also forecast with passenger kilometres increasing for car by 4</w:t>
      </w:r>
      <w:r>
        <w:t>4</w:t>
      </w:r>
      <w:r w:rsidRPr="00D42ABA">
        <w:t>% against an all modes figure of 27%.</w:t>
      </w:r>
    </w:p>
    <w:p w:rsidR="0085264B" w:rsidRDefault="0085264B" w:rsidP="0085264B">
      <w:pPr>
        <w:pStyle w:val="NumberedParas"/>
        <w:tabs>
          <w:tab w:val="clear" w:pos="2291"/>
          <w:tab w:val="left" w:pos="851"/>
          <w:tab w:val="left" w:pos="2268"/>
          <w:tab w:val="num" w:pos="2433"/>
        </w:tabs>
        <w:ind w:left="851" w:hanging="851"/>
      </w:pPr>
      <w:r w:rsidRPr="0021417D">
        <w:t>The most significant increases are on the East-West corridor of Constanta-Bucharest-Sibiu-Arad but these are also increases on the North-South movements on Bucharest-Buzau-Bacau and Sibiu-Cluj.</w:t>
      </w:r>
    </w:p>
    <w:p w:rsidR="0085264B" w:rsidRDefault="0085264B" w:rsidP="0085264B">
      <w:pPr>
        <w:pStyle w:val="NumberedParas"/>
        <w:tabs>
          <w:tab w:val="clear" w:pos="2291"/>
          <w:tab w:val="left" w:pos="851"/>
          <w:tab w:val="left" w:pos="2268"/>
          <w:tab w:val="num" w:pos="2433"/>
        </w:tabs>
        <w:ind w:left="851" w:hanging="851"/>
      </w:pPr>
      <w:r w:rsidRPr="0021417D">
        <w:t xml:space="preserve">Road freight experiences similar patterns of growth with volumes up by </w:t>
      </w:r>
      <w:r>
        <w:t>31%</w:t>
      </w:r>
      <w:r w:rsidRPr="0021417D">
        <w:t xml:space="preserve"> against a total figure of around </w:t>
      </w:r>
      <w:r>
        <w:t>27%</w:t>
      </w:r>
      <w:r w:rsidRPr="0021417D">
        <w:t xml:space="preserve">. Again the trip length is increasing with road freight tonne kilometres increasing by </w:t>
      </w:r>
      <w:r>
        <w:t xml:space="preserve">36% </w:t>
      </w:r>
      <w:r w:rsidRPr="0021417D">
        <w:t xml:space="preserve">against an all modes figure of </w:t>
      </w:r>
      <w:r>
        <w:t>32%</w:t>
      </w:r>
      <w:r w:rsidRPr="0021417D">
        <w:t>.</w:t>
      </w:r>
    </w:p>
    <w:p w:rsidR="0085264B" w:rsidRDefault="0085264B" w:rsidP="0085264B">
      <w:pPr>
        <w:pStyle w:val="NumberedParas"/>
        <w:tabs>
          <w:tab w:val="clear" w:pos="2291"/>
          <w:tab w:val="left" w:pos="851"/>
          <w:tab w:val="left" w:pos="2268"/>
          <w:tab w:val="num" w:pos="2433"/>
        </w:tabs>
        <w:ind w:left="851" w:hanging="851"/>
      </w:pPr>
      <w:r>
        <w:t>In summary, the transport model forecasts significant growth in trips on the road network, both cars and freight, which will result in capacity and level of service issues if there are not improvements to the network. The main problems which have been identified may be summarised as follows:</w:t>
      </w:r>
    </w:p>
    <w:p w:rsidR="0085264B" w:rsidRDefault="0085264B" w:rsidP="00273D5E">
      <w:pPr>
        <w:pStyle w:val="BulletLevel1"/>
      </w:pPr>
      <w:r>
        <w:t>Air pollution and noise resulting from poor accessibility;</w:t>
      </w:r>
    </w:p>
    <w:p w:rsidR="0085264B" w:rsidRDefault="0085264B" w:rsidP="00273D5E">
      <w:pPr>
        <w:pStyle w:val="BulletLevel1"/>
      </w:pPr>
      <w:r>
        <w:t>Poor accessibility to international trade;</w:t>
      </w:r>
    </w:p>
    <w:p w:rsidR="0085264B" w:rsidRDefault="0085264B" w:rsidP="00273D5E">
      <w:pPr>
        <w:pStyle w:val="BulletLevel1"/>
      </w:pPr>
      <w:r>
        <w:t>High travel times leading to uncompetitive service;</w:t>
      </w:r>
    </w:p>
    <w:p w:rsidR="0085264B" w:rsidRDefault="0085264B" w:rsidP="00273D5E">
      <w:pPr>
        <w:pStyle w:val="BulletLevel1"/>
      </w:pPr>
      <w:r>
        <w:t>High administration costs on local and national hauliers;</w:t>
      </w:r>
    </w:p>
    <w:p w:rsidR="0085264B" w:rsidRDefault="0085264B" w:rsidP="00273D5E">
      <w:pPr>
        <w:pStyle w:val="BulletLevel1"/>
      </w:pPr>
      <w:r>
        <w:t>Delays at border crossings;</w:t>
      </w:r>
    </w:p>
    <w:p w:rsidR="0085264B" w:rsidRDefault="0085264B" w:rsidP="00273D5E">
      <w:pPr>
        <w:pStyle w:val="BulletLevel1"/>
      </w:pPr>
      <w:r>
        <w:t>High fatal accident rates compared to rest of EU;</w:t>
      </w:r>
    </w:p>
    <w:p w:rsidR="0085264B" w:rsidRDefault="0085264B" w:rsidP="00273D5E">
      <w:pPr>
        <w:pStyle w:val="BulletLevel1"/>
      </w:pPr>
      <w:r>
        <w:t>Lack of secure and safe goods vehicle parking;</w:t>
      </w:r>
    </w:p>
    <w:p w:rsidR="0085264B" w:rsidRDefault="0085264B" w:rsidP="00273D5E">
      <w:pPr>
        <w:pStyle w:val="BulletLevel1"/>
      </w:pPr>
      <w:r>
        <w:t>Inadequate asset maintenance;</w:t>
      </w:r>
    </w:p>
    <w:p w:rsidR="0085264B" w:rsidRDefault="0085264B" w:rsidP="00273D5E">
      <w:pPr>
        <w:pStyle w:val="BulletLevel1"/>
      </w:pPr>
      <w:r>
        <w:t>Institutional and organisation stability &amp; capacity issues; and</w:t>
      </w:r>
    </w:p>
    <w:p w:rsidR="0085264B" w:rsidRDefault="0085264B" w:rsidP="00273D5E">
      <w:pPr>
        <w:pStyle w:val="BulletLevel1"/>
      </w:pPr>
      <w:r>
        <w:t>Excessive axle loads causing significant road surface damage.</w:t>
      </w:r>
    </w:p>
    <w:p w:rsidR="0085264B" w:rsidRDefault="0085264B" w:rsidP="0085264B">
      <w:pPr>
        <w:rPr>
          <w:sz w:val="22"/>
          <w:szCs w:val="22"/>
        </w:rPr>
      </w:pPr>
      <w:r>
        <w:br w:type="page"/>
      </w:r>
    </w:p>
    <w:p w:rsidR="0085264B" w:rsidRDefault="0085264B" w:rsidP="0085264B">
      <w:pPr>
        <w:pStyle w:val="Hdg2"/>
        <w:tabs>
          <w:tab w:val="clear" w:pos="2138"/>
          <w:tab w:val="num" w:pos="1430"/>
        </w:tabs>
        <w:ind w:left="851" w:hanging="851"/>
      </w:pPr>
      <w:bookmarkStart w:id="70" w:name="_Toc397020187"/>
      <w:bookmarkStart w:id="71" w:name="_Toc397065253"/>
      <w:bookmarkStart w:id="72" w:name="_Toc410648983"/>
      <w:bookmarkStart w:id="73" w:name="_Toc413056045"/>
      <w:r>
        <w:t>Strategic Objectives</w:t>
      </w:r>
      <w:bookmarkEnd w:id="70"/>
      <w:bookmarkEnd w:id="71"/>
      <w:bookmarkEnd w:id="72"/>
      <w:bookmarkEnd w:id="73"/>
    </w:p>
    <w:p w:rsidR="0085264B" w:rsidRDefault="0085264B" w:rsidP="0085264B">
      <w:pPr>
        <w:pStyle w:val="NumberedParas"/>
        <w:tabs>
          <w:tab w:val="clear" w:pos="2291"/>
          <w:tab w:val="left" w:pos="851"/>
          <w:tab w:val="left" w:pos="2268"/>
          <w:tab w:val="num" w:pos="2433"/>
        </w:tabs>
        <w:ind w:left="851" w:hanging="851"/>
      </w:pPr>
      <w:r>
        <w:t>The strategic objectives for the Road Sector have been identified as:</w:t>
      </w:r>
    </w:p>
    <w:p w:rsidR="0085264B" w:rsidRPr="00ED6989" w:rsidRDefault="0085264B" w:rsidP="00273D5E">
      <w:pPr>
        <w:pStyle w:val="BulletLevel1"/>
      </w:pPr>
      <w:r w:rsidRPr="00ED6989">
        <w:t>Improving the population mobility and freight traffic along the TEN – T Core and Comprehensive network through the execution of a motorway and expressway network</w:t>
      </w:r>
      <w:r>
        <w:t>;</w:t>
      </w:r>
    </w:p>
    <w:p w:rsidR="0085264B" w:rsidRPr="00ED6989" w:rsidRDefault="0085264B" w:rsidP="00273D5E">
      <w:pPr>
        <w:pStyle w:val="BulletLevel1"/>
      </w:pPr>
      <w:r w:rsidRPr="00ED6989">
        <w:t>Ensuring the accessibility of population and business environment to the TEN – T Core and Comprehensive network through the execution of  the national connectivity corridors</w:t>
      </w:r>
      <w:r>
        <w:t>;</w:t>
      </w:r>
    </w:p>
    <w:p w:rsidR="0085264B" w:rsidRPr="00ED6989" w:rsidRDefault="0085264B" w:rsidP="00273D5E">
      <w:pPr>
        <w:pStyle w:val="BulletLevel1"/>
      </w:pPr>
      <w:r w:rsidRPr="00ED6989">
        <w:t>Ensuring a safe and operational road transport network which contributes to the reduction in the number of road accidents</w:t>
      </w:r>
      <w:r>
        <w:t xml:space="preserve">, in line with </w:t>
      </w:r>
      <w:r w:rsidRPr="0051524C">
        <w:t xml:space="preserve">Clause </w:t>
      </w:r>
      <w:r>
        <w:t>33</w:t>
      </w:r>
      <w:r w:rsidRPr="0051524C">
        <w:t xml:space="preserve"> of EU Regulation No. 1315/2013</w:t>
      </w:r>
      <w:r>
        <w:t xml:space="preserve"> which seeks to ensure the </w:t>
      </w:r>
      <w:r w:rsidRPr="0051524C">
        <w:t>security and safety of passengers and freight movements</w:t>
      </w:r>
      <w:r>
        <w:t>,</w:t>
      </w:r>
      <w:r w:rsidRPr="0051524C">
        <w:t xml:space="preserve"> </w:t>
      </w:r>
      <w:r w:rsidRPr="00ED6989">
        <w:t>as well as the reduction of journey times</w:t>
      </w:r>
      <w:r>
        <w:t>;</w:t>
      </w:r>
    </w:p>
    <w:p w:rsidR="0085264B" w:rsidRPr="00ED6989" w:rsidRDefault="0085264B" w:rsidP="00273D5E">
      <w:pPr>
        <w:pStyle w:val="BulletLevel1"/>
      </w:pPr>
      <w:r w:rsidRPr="00ED6989">
        <w:t>Ensuring international accessibility through the connection with the neighbour countries</w:t>
      </w:r>
      <w:r>
        <w:t>; and</w:t>
      </w:r>
    </w:p>
    <w:p w:rsidR="0085264B" w:rsidRDefault="0085264B" w:rsidP="00273D5E">
      <w:pPr>
        <w:pStyle w:val="BulletLevel1"/>
      </w:pPr>
      <w:r w:rsidRPr="00ED6989">
        <w:t>Ensuring a</w:t>
      </w:r>
      <w:r>
        <w:t xml:space="preserve"> more</w:t>
      </w:r>
      <w:r w:rsidRPr="00ED6989">
        <w:t xml:space="preserve"> environmental</w:t>
      </w:r>
      <w:r>
        <w:t>ly</w:t>
      </w:r>
      <w:r w:rsidRPr="00ED6989">
        <w:t xml:space="preserve"> friendly transport network through the implementation of by-pass schemes</w:t>
      </w:r>
      <w:r>
        <w:t>.</w:t>
      </w:r>
    </w:p>
    <w:p w:rsidR="0085264B" w:rsidRDefault="0085264B" w:rsidP="0085264B">
      <w:pPr>
        <w:pStyle w:val="NumberedParas"/>
        <w:tabs>
          <w:tab w:val="clear" w:pos="2291"/>
          <w:tab w:val="left" w:pos="851"/>
          <w:tab w:val="left" w:pos="2268"/>
          <w:tab w:val="num" w:pos="2433"/>
        </w:tabs>
        <w:ind w:left="851" w:hanging="851"/>
      </w:pPr>
      <w:r w:rsidRPr="00ED6989">
        <w:t>In the context of limited funding, there is a need to focus national policy and investment on those parts of the network which, in terms of role and function, form the primary sections of the national network.  We refer to this as the Primary Economic Network (PEN).</w:t>
      </w:r>
    </w:p>
    <w:p w:rsidR="0085264B" w:rsidRDefault="0085264B" w:rsidP="0085264B">
      <w:pPr>
        <w:pStyle w:val="NumberedParas"/>
        <w:tabs>
          <w:tab w:val="clear" w:pos="2291"/>
          <w:tab w:val="left" w:pos="851"/>
          <w:tab w:val="left" w:pos="2268"/>
          <w:tab w:val="num" w:pos="2433"/>
        </w:tabs>
        <w:ind w:left="851" w:hanging="851"/>
      </w:pPr>
      <w:r w:rsidRPr="00ED6989">
        <w:t>The definition of the Primary Economic Network for roads is a function of the following factors:</w:t>
      </w:r>
    </w:p>
    <w:p w:rsidR="0085264B" w:rsidRPr="00ED6989" w:rsidRDefault="0085264B" w:rsidP="00273D5E">
      <w:pPr>
        <w:pStyle w:val="BulletLevel1"/>
      </w:pPr>
      <w:r w:rsidRPr="00ED6989">
        <w:t>Connectivity between significant population centres with significant centres being defined by population levels in excess of 125,000;</w:t>
      </w:r>
    </w:p>
    <w:p w:rsidR="0085264B" w:rsidRPr="00ED6989" w:rsidRDefault="0085264B" w:rsidP="00273D5E">
      <w:pPr>
        <w:pStyle w:val="BulletLevel1"/>
      </w:pPr>
      <w:r w:rsidRPr="00ED6989">
        <w:t>Connectivity with international gateways such as border crossings, airports and ports; and</w:t>
      </w:r>
    </w:p>
    <w:p w:rsidR="0085264B" w:rsidRDefault="0085264B" w:rsidP="00273D5E">
      <w:pPr>
        <w:pStyle w:val="BulletLevel1"/>
      </w:pPr>
      <w:r w:rsidRPr="00ED6989">
        <w:t>Economically significant corridors, defined as those which carry high volumes of goods traffic.</w:t>
      </w:r>
    </w:p>
    <w:p w:rsidR="0085264B" w:rsidRDefault="0085264B" w:rsidP="0085264B">
      <w:pPr>
        <w:pStyle w:val="NumberedParas"/>
        <w:tabs>
          <w:tab w:val="clear" w:pos="2291"/>
          <w:tab w:val="left" w:pos="851"/>
          <w:tab w:val="left" w:pos="2268"/>
          <w:tab w:val="num" w:pos="2433"/>
        </w:tabs>
        <w:ind w:left="851" w:hanging="851"/>
      </w:pPr>
      <w:r w:rsidRPr="00ED6989">
        <w:t xml:space="preserve">The population centres and border crossing points that have been used to define the primary network </w:t>
      </w:r>
      <w:r>
        <w:t>are set out in Table 4.13 and Table 4.14</w:t>
      </w:r>
      <w:r w:rsidRPr="00E97ED4">
        <w:t>.</w:t>
      </w:r>
    </w:p>
    <w:p w:rsidR="0085264B" w:rsidRPr="005026B8" w:rsidRDefault="0085264B" w:rsidP="0085264B">
      <w:pPr>
        <w:spacing w:before="120" w:after="120" w:line="276" w:lineRule="auto"/>
        <w:ind w:left="851"/>
        <w:rPr>
          <w:b/>
          <w:sz w:val="22"/>
          <w:szCs w:val="22"/>
        </w:rPr>
      </w:pPr>
      <w:r>
        <w:rPr>
          <w:b/>
          <w:sz w:val="22"/>
          <w:szCs w:val="22"/>
        </w:rPr>
        <w:t xml:space="preserve">Table 4.13 </w:t>
      </w:r>
      <w:r w:rsidRPr="005026B8">
        <w:rPr>
          <w:b/>
          <w:sz w:val="22"/>
          <w:szCs w:val="22"/>
        </w:rPr>
        <w:t>Top 20 Cities by Population</w:t>
      </w:r>
    </w:p>
    <w:tbl>
      <w:tblPr>
        <w:tblW w:w="947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7"/>
        <w:gridCol w:w="1890"/>
        <w:gridCol w:w="1890"/>
        <w:gridCol w:w="1027"/>
        <w:gridCol w:w="1890"/>
        <w:gridCol w:w="1890"/>
      </w:tblGrid>
      <w:tr w:rsidR="0085264B" w:rsidRPr="00E44163" w:rsidTr="00D41B57">
        <w:trPr>
          <w:cantSplit/>
        </w:trPr>
        <w:tc>
          <w:tcPr>
            <w:tcW w:w="887" w:type="dxa"/>
            <w:shd w:val="clear" w:color="auto" w:fill="B8CCE4" w:themeFill="accent1" w:themeFillTint="66"/>
            <w:vAlign w:val="center"/>
          </w:tcPr>
          <w:p w:rsidR="0085264B" w:rsidRPr="00E44163" w:rsidRDefault="0085264B" w:rsidP="00D41B57">
            <w:pPr>
              <w:spacing w:before="60" w:after="60"/>
              <w:jc w:val="center"/>
              <w:rPr>
                <w:b/>
                <w:sz w:val="22"/>
                <w:szCs w:val="22"/>
              </w:rPr>
            </w:pPr>
            <w:r w:rsidRPr="00E44163">
              <w:rPr>
                <w:b/>
                <w:sz w:val="22"/>
                <w:szCs w:val="22"/>
              </w:rPr>
              <w:t>Order</w:t>
            </w:r>
          </w:p>
        </w:tc>
        <w:tc>
          <w:tcPr>
            <w:tcW w:w="1890" w:type="dxa"/>
            <w:shd w:val="clear" w:color="auto" w:fill="B8CCE4" w:themeFill="accent1" w:themeFillTint="66"/>
          </w:tcPr>
          <w:p w:rsidR="0085264B" w:rsidRPr="00E44163" w:rsidRDefault="0085264B" w:rsidP="00D41B57">
            <w:pPr>
              <w:spacing w:before="60" w:after="60"/>
              <w:jc w:val="center"/>
              <w:rPr>
                <w:b/>
                <w:sz w:val="22"/>
                <w:szCs w:val="22"/>
              </w:rPr>
            </w:pPr>
            <w:r w:rsidRPr="00E44163">
              <w:rPr>
                <w:b/>
                <w:sz w:val="22"/>
                <w:szCs w:val="22"/>
              </w:rPr>
              <w:t>City</w:t>
            </w:r>
          </w:p>
        </w:tc>
        <w:tc>
          <w:tcPr>
            <w:tcW w:w="1890" w:type="dxa"/>
            <w:shd w:val="clear" w:color="auto" w:fill="B8CCE4" w:themeFill="accent1" w:themeFillTint="66"/>
          </w:tcPr>
          <w:p w:rsidR="0085264B" w:rsidRPr="00E44163" w:rsidRDefault="0085264B" w:rsidP="00D41B57">
            <w:pPr>
              <w:spacing w:before="60" w:after="60"/>
              <w:jc w:val="center"/>
              <w:rPr>
                <w:b/>
                <w:sz w:val="22"/>
                <w:szCs w:val="22"/>
              </w:rPr>
            </w:pPr>
            <w:r w:rsidRPr="00E44163">
              <w:rPr>
                <w:b/>
                <w:sz w:val="22"/>
                <w:szCs w:val="22"/>
              </w:rPr>
              <w:t>Population</w:t>
            </w:r>
          </w:p>
        </w:tc>
        <w:tc>
          <w:tcPr>
            <w:tcW w:w="1027" w:type="dxa"/>
            <w:shd w:val="clear" w:color="auto" w:fill="B8CCE4" w:themeFill="accent1" w:themeFillTint="66"/>
          </w:tcPr>
          <w:p w:rsidR="0085264B" w:rsidRPr="00E44163" w:rsidRDefault="0085264B" w:rsidP="00D41B57">
            <w:pPr>
              <w:spacing w:before="60" w:after="60"/>
              <w:jc w:val="center"/>
              <w:rPr>
                <w:b/>
                <w:sz w:val="22"/>
                <w:szCs w:val="22"/>
              </w:rPr>
            </w:pPr>
            <w:r w:rsidRPr="00E44163">
              <w:rPr>
                <w:b/>
                <w:sz w:val="22"/>
                <w:szCs w:val="22"/>
              </w:rPr>
              <w:t>Order</w:t>
            </w:r>
          </w:p>
        </w:tc>
        <w:tc>
          <w:tcPr>
            <w:tcW w:w="1890" w:type="dxa"/>
            <w:shd w:val="clear" w:color="auto" w:fill="B8CCE4" w:themeFill="accent1" w:themeFillTint="66"/>
          </w:tcPr>
          <w:p w:rsidR="0085264B" w:rsidRPr="00E44163" w:rsidRDefault="0085264B" w:rsidP="00D41B57">
            <w:pPr>
              <w:spacing w:before="60" w:after="60"/>
              <w:jc w:val="center"/>
              <w:rPr>
                <w:b/>
                <w:sz w:val="22"/>
                <w:szCs w:val="22"/>
              </w:rPr>
            </w:pPr>
            <w:r w:rsidRPr="00E44163">
              <w:rPr>
                <w:b/>
                <w:sz w:val="22"/>
                <w:szCs w:val="22"/>
              </w:rPr>
              <w:t>City</w:t>
            </w:r>
          </w:p>
        </w:tc>
        <w:tc>
          <w:tcPr>
            <w:tcW w:w="1890" w:type="dxa"/>
            <w:shd w:val="clear" w:color="auto" w:fill="B8CCE4" w:themeFill="accent1" w:themeFillTint="66"/>
            <w:vAlign w:val="center"/>
          </w:tcPr>
          <w:p w:rsidR="0085264B" w:rsidRPr="00E44163" w:rsidRDefault="0085264B" w:rsidP="00D41B57">
            <w:pPr>
              <w:spacing w:before="60" w:after="60"/>
              <w:jc w:val="center"/>
              <w:rPr>
                <w:b/>
                <w:sz w:val="22"/>
                <w:szCs w:val="22"/>
              </w:rPr>
            </w:pPr>
            <w:r w:rsidRPr="00E44163">
              <w:rPr>
                <w:b/>
                <w:sz w:val="22"/>
                <w:szCs w:val="22"/>
              </w:rPr>
              <w:t>Population</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1</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Bucharest</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1,883,425</w:t>
            </w:r>
          </w:p>
        </w:tc>
        <w:tc>
          <w:tcPr>
            <w:tcW w:w="1027" w:type="dxa"/>
          </w:tcPr>
          <w:p w:rsidR="0085264B" w:rsidRPr="00ED6989" w:rsidRDefault="0085264B" w:rsidP="00D41B57">
            <w:pPr>
              <w:spacing w:before="60" w:after="60"/>
              <w:jc w:val="center"/>
              <w:rPr>
                <w:sz w:val="22"/>
                <w:szCs w:val="22"/>
              </w:rPr>
            </w:pPr>
            <w:r w:rsidRPr="00ED6989">
              <w:rPr>
                <w:sz w:val="22"/>
                <w:szCs w:val="22"/>
              </w:rPr>
              <w:t>11</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Brăila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180,302</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2</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Cluj-Napoca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324,576</w:t>
            </w:r>
          </w:p>
        </w:tc>
        <w:tc>
          <w:tcPr>
            <w:tcW w:w="1027" w:type="dxa"/>
          </w:tcPr>
          <w:p w:rsidR="0085264B" w:rsidRPr="00ED6989" w:rsidRDefault="0085264B" w:rsidP="00D41B57">
            <w:pPr>
              <w:spacing w:before="60" w:after="60"/>
              <w:jc w:val="center"/>
              <w:rPr>
                <w:sz w:val="22"/>
                <w:szCs w:val="22"/>
              </w:rPr>
            </w:pPr>
            <w:r w:rsidRPr="00ED6989">
              <w:rPr>
                <w:sz w:val="22"/>
                <w:szCs w:val="22"/>
              </w:rPr>
              <w:t>12</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Arad</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159,704</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3</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Timișoara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319,279</w:t>
            </w:r>
          </w:p>
        </w:tc>
        <w:tc>
          <w:tcPr>
            <w:tcW w:w="1027" w:type="dxa"/>
          </w:tcPr>
          <w:p w:rsidR="0085264B" w:rsidRPr="00ED6989" w:rsidRDefault="0085264B" w:rsidP="00D41B57">
            <w:pPr>
              <w:spacing w:before="60" w:after="60"/>
              <w:jc w:val="center"/>
              <w:rPr>
                <w:sz w:val="22"/>
                <w:szCs w:val="22"/>
              </w:rPr>
            </w:pPr>
            <w:r w:rsidRPr="00ED6989">
              <w:rPr>
                <w:sz w:val="22"/>
                <w:szCs w:val="22"/>
              </w:rPr>
              <w:t>13</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Pitești</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155,383</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4</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Iași</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290,422</w:t>
            </w:r>
          </w:p>
        </w:tc>
        <w:tc>
          <w:tcPr>
            <w:tcW w:w="1027" w:type="dxa"/>
          </w:tcPr>
          <w:p w:rsidR="0085264B" w:rsidRPr="00ED6989" w:rsidRDefault="0085264B" w:rsidP="00D41B57">
            <w:pPr>
              <w:spacing w:before="60" w:after="60"/>
              <w:jc w:val="center"/>
              <w:rPr>
                <w:sz w:val="22"/>
                <w:szCs w:val="22"/>
              </w:rPr>
            </w:pPr>
            <w:r w:rsidRPr="00ED6989">
              <w:rPr>
                <w:sz w:val="22"/>
                <w:szCs w:val="22"/>
              </w:rPr>
              <w:t>14</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Sibiu</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147,245</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5</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Constanța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283,872</w:t>
            </w:r>
          </w:p>
        </w:tc>
        <w:tc>
          <w:tcPr>
            <w:tcW w:w="1027" w:type="dxa"/>
          </w:tcPr>
          <w:p w:rsidR="0085264B" w:rsidRPr="00ED6989" w:rsidRDefault="0085264B" w:rsidP="00D41B57">
            <w:pPr>
              <w:spacing w:before="60" w:after="60"/>
              <w:jc w:val="center"/>
              <w:rPr>
                <w:sz w:val="22"/>
                <w:szCs w:val="22"/>
              </w:rPr>
            </w:pPr>
            <w:r w:rsidRPr="00ED6989">
              <w:rPr>
                <w:sz w:val="22"/>
                <w:szCs w:val="22"/>
              </w:rPr>
              <w:t>15</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Bacău</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144,307</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6</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Craiova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269,506</w:t>
            </w:r>
          </w:p>
        </w:tc>
        <w:tc>
          <w:tcPr>
            <w:tcW w:w="1027" w:type="dxa"/>
          </w:tcPr>
          <w:p w:rsidR="0085264B" w:rsidRPr="00ED6989" w:rsidRDefault="0085264B" w:rsidP="00D41B57">
            <w:pPr>
              <w:spacing w:before="60" w:after="60"/>
              <w:jc w:val="center"/>
              <w:rPr>
                <w:sz w:val="22"/>
                <w:szCs w:val="22"/>
              </w:rPr>
            </w:pPr>
            <w:r w:rsidRPr="00ED6989">
              <w:rPr>
                <w:sz w:val="22"/>
                <w:szCs w:val="22"/>
              </w:rPr>
              <w:t>16</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Târgu Mureș</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134,290</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7</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Brașov</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253,200</w:t>
            </w:r>
          </w:p>
        </w:tc>
        <w:tc>
          <w:tcPr>
            <w:tcW w:w="1027" w:type="dxa"/>
          </w:tcPr>
          <w:p w:rsidR="0085264B" w:rsidRPr="00ED6989" w:rsidRDefault="0085264B" w:rsidP="00D41B57">
            <w:pPr>
              <w:spacing w:before="60" w:after="60"/>
              <w:jc w:val="center"/>
              <w:rPr>
                <w:sz w:val="22"/>
                <w:szCs w:val="22"/>
              </w:rPr>
            </w:pPr>
            <w:r w:rsidRPr="00ED6989">
              <w:rPr>
                <w:sz w:val="22"/>
                <w:szCs w:val="22"/>
              </w:rPr>
              <w:t>17</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Baia Mare</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123,738</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8</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Galați</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249,342</w:t>
            </w:r>
          </w:p>
        </w:tc>
        <w:tc>
          <w:tcPr>
            <w:tcW w:w="1027" w:type="dxa"/>
          </w:tcPr>
          <w:p w:rsidR="0085264B" w:rsidRPr="00ED6989" w:rsidRDefault="0085264B" w:rsidP="00D41B57">
            <w:pPr>
              <w:spacing w:before="60" w:after="60"/>
              <w:jc w:val="center"/>
              <w:rPr>
                <w:sz w:val="22"/>
                <w:szCs w:val="22"/>
              </w:rPr>
            </w:pPr>
            <w:r w:rsidRPr="00ED6989">
              <w:rPr>
                <w:sz w:val="22"/>
                <w:szCs w:val="22"/>
              </w:rPr>
              <w:t>18</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Buzău</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115,494</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9</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Ploiești</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209,945</w:t>
            </w:r>
          </w:p>
        </w:tc>
        <w:tc>
          <w:tcPr>
            <w:tcW w:w="1027" w:type="dxa"/>
          </w:tcPr>
          <w:p w:rsidR="0085264B" w:rsidRPr="00ED6989" w:rsidRDefault="0085264B" w:rsidP="00D41B57">
            <w:pPr>
              <w:spacing w:before="60" w:after="60"/>
              <w:jc w:val="center"/>
              <w:rPr>
                <w:sz w:val="22"/>
                <w:szCs w:val="22"/>
              </w:rPr>
            </w:pPr>
            <w:r w:rsidRPr="00ED6989">
              <w:rPr>
                <w:sz w:val="22"/>
                <w:szCs w:val="22"/>
              </w:rPr>
              <w:t>19</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Botoșani</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106,847</w:t>
            </w:r>
          </w:p>
        </w:tc>
      </w:tr>
      <w:tr w:rsidR="0085264B" w:rsidRPr="00ED6989" w:rsidTr="00D41B57">
        <w:trPr>
          <w:cantSplit/>
        </w:trPr>
        <w:tc>
          <w:tcPr>
            <w:tcW w:w="887" w:type="dxa"/>
            <w:vAlign w:val="center"/>
          </w:tcPr>
          <w:p w:rsidR="0085264B" w:rsidRPr="00ED6989" w:rsidRDefault="0085264B" w:rsidP="00D41B57">
            <w:pPr>
              <w:spacing w:before="60" w:after="60"/>
              <w:jc w:val="center"/>
              <w:rPr>
                <w:sz w:val="22"/>
                <w:szCs w:val="22"/>
              </w:rPr>
            </w:pPr>
            <w:r w:rsidRPr="00ED6989">
              <w:rPr>
                <w:sz w:val="22"/>
                <w:szCs w:val="22"/>
              </w:rPr>
              <w:t>10</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Oradea</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196,367</w:t>
            </w:r>
          </w:p>
        </w:tc>
        <w:tc>
          <w:tcPr>
            <w:tcW w:w="1027" w:type="dxa"/>
          </w:tcPr>
          <w:p w:rsidR="0085264B" w:rsidRPr="00ED6989" w:rsidRDefault="0085264B" w:rsidP="00D41B57">
            <w:pPr>
              <w:spacing w:before="60" w:after="60"/>
              <w:jc w:val="center"/>
              <w:rPr>
                <w:sz w:val="22"/>
                <w:szCs w:val="22"/>
              </w:rPr>
            </w:pPr>
            <w:r w:rsidRPr="00ED6989">
              <w:rPr>
                <w:sz w:val="22"/>
                <w:szCs w:val="22"/>
              </w:rPr>
              <w:t>20</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Satu Mare</w:t>
            </w:r>
          </w:p>
        </w:tc>
        <w:tc>
          <w:tcPr>
            <w:tcW w:w="1890" w:type="dxa"/>
            <w:vAlign w:val="bottom"/>
          </w:tcPr>
          <w:p w:rsidR="0085264B" w:rsidRPr="00ED6989" w:rsidRDefault="0085264B" w:rsidP="00D41B57">
            <w:pPr>
              <w:spacing w:before="60" w:after="60"/>
              <w:jc w:val="center"/>
              <w:rPr>
                <w:sz w:val="22"/>
                <w:szCs w:val="22"/>
              </w:rPr>
            </w:pPr>
            <w:r w:rsidRPr="00ED6989">
              <w:rPr>
                <w:sz w:val="22"/>
                <w:szCs w:val="22"/>
              </w:rPr>
              <w:t>102,441</w:t>
            </w:r>
          </w:p>
        </w:tc>
      </w:tr>
    </w:tbl>
    <w:p w:rsidR="0085264B" w:rsidRPr="00867A97" w:rsidRDefault="0085264B" w:rsidP="0085264B">
      <w:pPr>
        <w:spacing w:before="120" w:after="120" w:line="276" w:lineRule="auto"/>
        <w:ind w:left="851"/>
        <w:rPr>
          <w:i/>
          <w:sz w:val="22"/>
          <w:szCs w:val="22"/>
        </w:rPr>
      </w:pPr>
      <w:r>
        <w:rPr>
          <w:i/>
          <w:sz w:val="22"/>
          <w:szCs w:val="22"/>
        </w:rPr>
        <w:t>Source: Romanian National Census</w:t>
      </w:r>
    </w:p>
    <w:p w:rsidR="0085264B" w:rsidRPr="005026B8" w:rsidRDefault="0085264B" w:rsidP="0085264B">
      <w:pPr>
        <w:keepNext/>
        <w:spacing w:before="120" w:after="120" w:line="276" w:lineRule="auto"/>
        <w:ind w:left="851"/>
        <w:rPr>
          <w:b/>
          <w:sz w:val="22"/>
          <w:szCs w:val="22"/>
        </w:rPr>
      </w:pPr>
      <w:r>
        <w:rPr>
          <w:b/>
          <w:sz w:val="22"/>
          <w:szCs w:val="22"/>
        </w:rPr>
        <w:t xml:space="preserve">Table 4.14 </w:t>
      </w:r>
      <w:r w:rsidRPr="005026B8">
        <w:rPr>
          <w:b/>
          <w:sz w:val="22"/>
          <w:szCs w:val="22"/>
        </w:rPr>
        <w:t xml:space="preserve">Top 10 Border Crossings (Goods Vehicle Flows – </w:t>
      </w:r>
      <w:r>
        <w:rPr>
          <w:b/>
          <w:sz w:val="22"/>
          <w:szCs w:val="22"/>
        </w:rPr>
        <w:t xml:space="preserve">2011 </w:t>
      </w:r>
      <w:r w:rsidRPr="005026B8">
        <w:rPr>
          <w:b/>
          <w:sz w:val="22"/>
          <w:szCs w:val="22"/>
        </w:rPr>
        <w:t>AADT)</w:t>
      </w:r>
    </w:p>
    <w:tbl>
      <w:tblPr>
        <w:tblW w:w="947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2432"/>
        <w:gridCol w:w="1653"/>
        <w:gridCol w:w="2404"/>
        <w:gridCol w:w="2103"/>
      </w:tblGrid>
      <w:tr w:rsidR="0085264B" w:rsidRPr="00ED6989" w:rsidTr="00D41B57">
        <w:tc>
          <w:tcPr>
            <w:tcW w:w="882" w:type="dxa"/>
            <w:vMerge w:val="restart"/>
            <w:shd w:val="clear" w:color="auto" w:fill="DBE5F1" w:themeFill="accent1" w:themeFillTint="33"/>
            <w:vAlign w:val="center"/>
          </w:tcPr>
          <w:p w:rsidR="0085264B" w:rsidRPr="005178A9" w:rsidRDefault="0085264B" w:rsidP="00D41B57">
            <w:pPr>
              <w:keepNext/>
              <w:spacing w:before="60" w:after="60"/>
              <w:jc w:val="center"/>
              <w:rPr>
                <w:b/>
                <w:sz w:val="22"/>
                <w:szCs w:val="22"/>
              </w:rPr>
            </w:pPr>
            <w:r w:rsidRPr="005178A9">
              <w:rPr>
                <w:b/>
                <w:sz w:val="22"/>
                <w:szCs w:val="22"/>
              </w:rPr>
              <w:t>Order</w:t>
            </w:r>
          </w:p>
        </w:tc>
        <w:tc>
          <w:tcPr>
            <w:tcW w:w="2432" w:type="dxa"/>
            <w:vMerge w:val="restart"/>
            <w:shd w:val="clear" w:color="auto" w:fill="DBE5F1" w:themeFill="accent1" w:themeFillTint="33"/>
            <w:vAlign w:val="center"/>
          </w:tcPr>
          <w:p w:rsidR="0085264B" w:rsidRPr="005178A9" w:rsidRDefault="0085264B" w:rsidP="00D41B57">
            <w:pPr>
              <w:keepNext/>
              <w:spacing w:before="60" w:after="60"/>
              <w:jc w:val="center"/>
              <w:rPr>
                <w:b/>
                <w:sz w:val="22"/>
                <w:szCs w:val="22"/>
              </w:rPr>
            </w:pPr>
            <w:r w:rsidRPr="005178A9">
              <w:rPr>
                <w:b/>
                <w:sz w:val="22"/>
                <w:szCs w:val="22"/>
              </w:rPr>
              <w:t>Border Crossing</w:t>
            </w:r>
          </w:p>
        </w:tc>
        <w:tc>
          <w:tcPr>
            <w:tcW w:w="1653" w:type="dxa"/>
            <w:vMerge w:val="restart"/>
            <w:shd w:val="clear" w:color="auto" w:fill="DBE5F1" w:themeFill="accent1" w:themeFillTint="33"/>
            <w:vAlign w:val="center"/>
          </w:tcPr>
          <w:p w:rsidR="0085264B" w:rsidRPr="005178A9" w:rsidRDefault="0085264B" w:rsidP="00D41B57">
            <w:pPr>
              <w:keepNext/>
              <w:spacing w:before="60" w:after="60"/>
              <w:jc w:val="center"/>
              <w:rPr>
                <w:b/>
                <w:sz w:val="22"/>
                <w:szCs w:val="22"/>
              </w:rPr>
            </w:pPr>
            <w:r w:rsidRPr="005178A9">
              <w:rPr>
                <w:b/>
                <w:sz w:val="22"/>
                <w:szCs w:val="22"/>
              </w:rPr>
              <w:t>HGV Volumes</w:t>
            </w:r>
          </w:p>
        </w:tc>
        <w:tc>
          <w:tcPr>
            <w:tcW w:w="4507" w:type="dxa"/>
            <w:gridSpan w:val="2"/>
            <w:shd w:val="clear" w:color="auto" w:fill="DBE5F1" w:themeFill="accent1" w:themeFillTint="33"/>
          </w:tcPr>
          <w:p w:rsidR="0085264B" w:rsidRPr="005178A9" w:rsidRDefault="0085264B" w:rsidP="00D41B57">
            <w:pPr>
              <w:keepNext/>
              <w:spacing w:before="60" w:after="60"/>
              <w:jc w:val="center"/>
              <w:rPr>
                <w:b/>
                <w:sz w:val="22"/>
                <w:szCs w:val="22"/>
              </w:rPr>
            </w:pPr>
            <w:r w:rsidRPr="005178A9">
              <w:rPr>
                <w:b/>
                <w:sz w:val="22"/>
                <w:szCs w:val="22"/>
              </w:rPr>
              <w:t>Proportion of Countrywide Border Flows</w:t>
            </w:r>
          </w:p>
        </w:tc>
      </w:tr>
      <w:tr w:rsidR="0085264B" w:rsidRPr="00ED6989" w:rsidTr="00D41B57">
        <w:tc>
          <w:tcPr>
            <w:tcW w:w="882" w:type="dxa"/>
            <w:vMerge/>
            <w:shd w:val="clear" w:color="auto" w:fill="DBE5F1" w:themeFill="accent1" w:themeFillTint="33"/>
            <w:vAlign w:val="center"/>
          </w:tcPr>
          <w:p w:rsidR="0085264B" w:rsidRPr="005178A9" w:rsidRDefault="0085264B" w:rsidP="00D41B57">
            <w:pPr>
              <w:keepNext/>
              <w:spacing w:before="60" w:after="60"/>
              <w:jc w:val="center"/>
              <w:rPr>
                <w:b/>
                <w:sz w:val="22"/>
                <w:szCs w:val="22"/>
              </w:rPr>
            </w:pPr>
          </w:p>
        </w:tc>
        <w:tc>
          <w:tcPr>
            <w:tcW w:w="2432" w:type="dxa"/>
            <w:vMerge/>
            <w:shd w:val="clear" w:color="auto" w:fill="DBE5F1" w:themeFill="accent1" w:themeFillTint="33"/>
          </w:tcPr>
          <w:p w:rsidR="0085264B" w:rsidRPr="005178A9" w:rsidRDefault="0085264B" w:rsidP="00D41B57">
            <w:pPr>
              <w:keepNext/>
              <w:spacing w:before="60" w:after="60"/>
              <w:jc w:val="center"/>
              <w:rPr>
                <w:b/>
                <w:sz w:val="22"/>
                <w:szCs w:val="22"/>
              </w:rPr>
            </w:pPr>
          </w:p>
        </w:tc>
        <w:tc>
          <w:tcPr>
            <w:tcW w:w="1653" w:type="dxa"/>
            <w:vMerge/>
            <w:shd w:val="clear" w:color="auto" w:fill="DBE5F1" w:themeFill="accent1" w:themeFillTint="33"/>
          </w:tcPr>
          <w:p w:rsidR="0085264B" w:rsidRPr="005178A9" w:rsidRDefault="0085264B" w:rsidP="00D41B57">
            <w:pPr>
              <w:keepNext/>
              <w:spacing w:before="60" w:after="60"/>
              <w:jc w:val="center"/>
              <w:rPr>
                <w:b/>
                <w:sz w:val="22"/>
                <w:szCs w:val="22"/>
              </w:rPr>
            </w:pPr>
          </w:p>
        </w:tc>
        <w:tc>
          <w:tcPr>
            <w:tcW w:w="2404" w:type="dxa"/>
            <w:shd w:val="clear" w:color="auto" w:fill="DBE5F1" w:themeFill="accent1" w:themeFillTint="33"/>
          </w:tcPr>
          <w:p w:rsidR="0085264B" w:rsidRPr="005178A9" w:rsidRDefault="0085264B" w:rsidP="00D41B57">
            <w:pPr>
              <w:keepNext/>
              <w:spacing w:before="60" w:after="60"/>
              <w:jc w:val="center"/>
              <w:rPr>
                <w:b/>
                <w:sz w:val="22"/>
                <w:szCs w:val="22"/>
              </w:rPr>
            </w:pPr>
            <w:r w:rsidRPr="005178A9">
              <w:rPr>
                <w:b/>
                <w:sz w:val="22"/>
                <w:szCs w:val="22"/>
              </w:rPr>
              <w:t>Individual</w:t>
            </w:r>
          </w:p>
        </w:tc>
        <w:tc>
          <w:tcPr>
            <w:tcW w:w="2103" w:type="dxa"/>
            <w:shd w:val="clear" w:color="auto" w:fill="DBE5F1" w:themeFill="accent1" w:themeFillTint="33"/>
            <w:vAlign w:val="center"/>
          </w:tcPr>
          <w:p w:rsidR="0085264B" w:rsidRPr="005178A9" w:rsidRDefault="0085264B" w:rsidP="00D41B57">
            <w:pPr>
              <w:keepNext/>
              <w:spacing w:before="60" w:after="60"/>
              <w:jc w:val="center"/>
              <w:rPr>
                <w:b/>
                <w:sz w:val="22"/>
                <w:szCs w:val="22"/>
              </w:rPr>
            </w:pPr>
            <w:r w:rsidRPr="005178A9">
              <w:rPr>
                <w:b/>
                <w:sz w:val="22"/>
                <w:szCs w:val="22"/>
              </w:rPr>
              <w:t>Cumulative</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1</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Nadlac</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1,778</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22.7%</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22.7%</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2</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Bors</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1,498</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19.2%</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41.9%</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3</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Giurgiu</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1,126</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14.4%</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56.3%</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4</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Varsad</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680</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8.7%</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65.0%</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5</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Stanca-Costesti</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501</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6.4%</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71.4%</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6</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Petea</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298</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3.8%</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75.2%</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7</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Bechet</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290</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3.7%</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78.9%</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8</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Siret</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234</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3.0%</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81.9%</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9</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Calafat</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155</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2.0%</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83.9%</w:t>
            </w:r>
          </w:p>
        </w:tc>
      </w:tr>
      <w:tr w:rsidR="0085264B" w:rsidRPr="00ED6989" w:rsidTr="00D41B57">
        <w:tc>
          <w:tcPr>
            <w:tcW w:w="882" w:type="dxa"/>
            <w:vAlign w:val="center"/>
          </w:tcPr>
          <w:p w:rsidR="0085264B" w:rsidRPr="00ED6989" w:rsidRDefault="0085264B" w:rsidP="00D41B57">
            <w:pPr>
              <w:keepNext/>
              <w:spacing w:before="60" w:after="60"/>
              <w:jc w:val="center"/>
              <w:rPr>
                <w:sz w:val="22"/>
                <w:szCs w:val="22"/>
              </w:rPr>
            </w:pPr>
            <w:r w:rsidRPr="00ED6989">
              <w:rPr>
                <w:sz w:val="22"/>
                <w:szCs w:val="22"/>
              </w:rPr>
              <w:t>10</w:t>
            </w:r>
          </w:p>
        </w:tc>
        <w:tc>
          <w:tcPr>
            <w:tcW w:w="2432" w:type="dxa"/>
            <w:vAlign w:val="bottom"/>
          </w:tcPr>
          <w:p w:rsidR="0085264B" w:rsidRPr="00ED6989" w:rsidRDefault="0085264B" w:rsidP="00D41B57">
            <w:pPr>
              <w:keepNext/>
              <w:spacing w:before="60" w:after="60"/>
              <w:jc w:val="center"/>
              <w:rPr>
                <w:sz w:val="22"/>
                <w:szCs w:val="22"/>
              </w:rPr>
            </w:pPr>
            <w:r w:rsidRPr="00ED6989">
              <w:rPr>
                <w:sz w:val="22"/>
                <w:szCs w:val="22"/>
              </w:rPr>
              <w:t>Negru Voda</w:t>
            </w:r>
          </w:p>
        </w:tc>
        <w:tc>
          <w:tcPr>
            <w:tcW w:w="1653" w:type="dxa"/>
            <w:vAlign w:val="bottom"/>
          </w:tcPr>
          <w:p w:rsidR="0085264B" w:rsidRPr="00ED6989" w:rsidRDefault="0085264B" w:rsidP="00D41B57">
            <w:pPr>
              <w:keepNext/>
              <w:spacing w:before="60" w:after="60"/>
              <w:jc w:val="center"/>
              <w:rPr>
                <w:sz w:val="22"/>
                <w:szCs w:val="22"/>
              </w:rPr>
            </w:pPr>
            <w:r w:rsidRPr="00ED6989">
              <w:rPr>
                <w:sz w:val="22"/>
                <w:szCs w:val="22"/>
              </w:rPr>
              <w:t>153</w:t>
            </w:r>
          </w:p>
        </w:tc>
        <w:tc>
          <w:tcPr>
            <w:tcW w:w="2404" w:type="dxa"/>
            <w:vAlign w:val="bottom"/>
          </w:tcPr>
          <w:p w:rsidR="0085264B" w:rsidRPr="00ED6989" w:rsidRDefault="0085264B" w:rsidP="00D41B57">
            <w:pPr>
              <w:keepNext/>
              <w:spacing w:before="60" w:after="60"/>
              <w:jc w:val="center"/>
              <w:rPr>
                <w:sz w:val="22"/>
                <w:szCs w:val="22"/>
              </w:rPr>
            </w:pPr>
            <w:r w:rsidRPr="00ED6989">
              <w:rPr>
                <w:sz w:val="22"/>
                <w:szCs w:val="22"/>
              </w:rPr>
              <w:t>2.0%</w:t>
            </w:r>
          </w:p>
        </w:tc>
        <w:tc>
          <w:tcPr>
            <w:tcW w:w="2103" w:type="dxa"/>
            <w:vAlign w:val="bottom"/>
          </w:tcPr>
          <w:p w:rsidR="0085264B" w:rsidRPr="00ED6989" w:rsidRDefault="0085264B" w:rsidP="00D41B57">
            <w:pPr>
              <w:keepNext/>
              <w:spacing w:before="60" w:after="60"/>
              <w:jc w:val="center"/>
              <w:rPr>
                <w:sz w:val="22"/>
                <w:szCs w:val="22"/>
              </w:rPr>
            </w:pPr>
            <w:r w:rsidRPr="00ED6989">
              <w:rPr>
                <w:sz w:val="22"/>
                <w:szCs w:val="22"/>
              </w:rPr>
              <w:t>85.8%</w:t>
            </w:r>
          </w:p>
        </w:tc>
      </w:tr>
    </w:tbl>
    <w:p w:rsidR="0085264B" w:rsidRPr="00867A97" w:rsidRDefault="0085264B" w:rsidP="0085264B">
      <w:pPr>
        <w:spacing w:before="120" w:after="120" w:line="276" w:lineRule="auto"/>
        <w:ind w:left="851"/>
        <w:rPr>
          <w:i/>
          <w:sz w:val="22"/>
          <w:szCs w:val="22"/>
        </w:rPr>
      </w:pPr>
      <w:r>
        <w:rPr>
          <w:i/>
          <w:sz w:val="22"/>
          <w:szCs w:val="22"/>
        </w:rPr>
        <w:t>Source: Romanian Customs</w:t>
      </w:r>
    </w:p>
    <w:p w:rsidR="0085264B" w:rsidRDefault="0085264B" w:rsidP="0085264B">
      <w:pPr>
        <w:pStyle w:val="NumberedParas"/>
        <w:tabs>
          <w:tab w:val="clear" w:pos="2291"/>
          <w:tab w:val="left" w:pos="851"/>
          <w:tab w:val="left" w:pos="2268"/>
          <w:tab w:val="num" w:pos="2433"/>
        </w:tabs>
        <w:ind w:left="851" w:hanging="851"/>
      </w:pPr>
      <w:r w:rsidRPr="009534B6">
        <w:t xml:space="preserve">The corridors with significant goods vehicle traffic flows, as derived from the National Transport Model, are </w:t>
      </w:r>
      <w:r>
        <w:t>shown in Figure 4.10</w:t>
      </w:r>
      <w:r w:rsidRPr="00E97ED4">
        <w:t xml:space="preserve"> together</w:t>
      </w:r>
      <w:r w:rsidRPr="009534B6">
        <w:t xml:space="preserve"> with the top twenty population centres and top 10 border crossing points.</w:t>
      </w:r>
      <w:r>
        <w:t xml:space="preserve"> </w:t>
      </w:r>
      <w:r w:rsidRPr="00A54340">
        <w:t xml:space="preserve">We also provide a similar plot but taking account of total vehicle flows – </w:t>
      </w:r>
      <w:r>
        <w:t>this is provided in Figure 4.11</w:t>
      </w:r>
      <w:r w:rsidRPr="00E97ED4">
        <w:t>.</w:t>
      </w:r>
    </w:p>
    <w:p w:rsidR="0085264B" w:rsidRDefault="0085264B" w:rsidP="0085264B">
      <w:pPr>
        <w:pStyle w:val="NumberedParas"/>
        <w:tabs>
          <w:tab w:val="clear" w:pos="2291"/>
          <w:tab w:val="left" w:pos="851"/>
          <w:tab w:val="left" w:pos="2268"/>
          <w:tab w:val="num" w:pos="2433"/>
        </w:tabs>
        <w:ind w:left="851" w:hanging="851"/>
      </w:pPr>
      <w:r>
        <w:t>The combination of population centres, vehicle flows and primary border crossings</w:t>
      </w:r>
      <w:r w:rsidRPr="00A54340">
        <w:t xml:space="preserve"> leads to </w:t>
      </w:r>
      <w:r w:rsidRPr="00E97ED4">
        <w:t xml:space="preserve">a definition of the Primary Economic Network as shown in Figure </w:t>
      </w:r>
      <w:r>
        <w:t>4.12</w:t>
      </w:r>
      <w:r w:rsidRPr="00E97ED4">
        <w:t>. This</w:t>
      </w:r>
      <w:r>
        <w:t xml:space="preserve"> takes the results from Figure 4.10 and Figure 4.11</w:t>
      </w:r>
      <w:r w:rsidRPr="00E97ED4">
        <w:t xml:space="preserve"> and highlights the relevant links in red.</w:t>
      </w:r>
      <w:r>
        <w:t xml:space="preserve"> There is</w:t>
      </w:r>
      <w:r w:rsidRPr="00E97ED4">
        <w:t xml:space="preserve"> close correlation between </w:t>
      </w:r>
      <w:r>
        <w:t>the PEN</w:t>
      </w:r>
      <w:r w:rsidRPr="00E97ED4">
        <w:t xml:space="preserve"> and the TEN-T corridors</w:t>
      </w:r>
      <w:r>
        <w:t>,</w:t>
      </w:r>
      <w:r w:rsidRPr="00E97ED4">
        <w:t xml:space="preserve"> as show</w:t>
      </w:r>
      <w:r>
        <w:t>n in Figure 4.13</w:t>
      </w:r>
      <w:r w:rsidRPr="00E97ED4">
        <w:t>.</w:t>
      </w:r>
    </w:p>
    <w:p w:rsidR="0085264B" w:rsidRDefault="0085264B" w:rsidP="0085264B">
      <w:pPr>
        <w:pStyle w:val="NumberedParas"/>
        <w:tabs>
          <w:tab w:val="clear" w:pos="2291"/>
          <w:tab w:val="left" w:pos="851"/>
          <w:tab w:val="left" w:pos="2268"/>
          <w:tab w:val="num" w:pos="2433"/>
        </w:tabs>
        <w:ind w:left="851" w:hanging="851"/>
      </w:pPr>
      <w:r w:rsidRPr="00BD4FB3">
        <w:t>We have also analysed the major movements at an aggregate level to identify the most important international, regional and c</w:t>
      </w:r>
      <w:r>
        <w:t>ounty level movements. Figures 4.14 to 4.16</w:t>
      </w:r>
      <w:r w:rsidRPr="00BD4FB3">
        <w:t xml:space="preserve"> present the results of that analysis</w:t>
      </w:r>
      <w:r>
        <w:t>.</w:t>
      </w:r>
    </w:p>
    <w:p w:rsidR="0085264B" w:rsidRPr="002866E0" w:rsidRDefault="0085264B" w:rsidP="0085264B">
      <w:pPr>
        <w:pStyle w:val="Body"/>
      </w:pPr>
    </w:p>
    <w:p w:rsidR="0085264B" w:rsidRPr="005026B8" w:rsidRDefault="0085264B" w:rsidP="0085264B">
      <w:pPr>
        <w:keepNext/>
        <w:spacing w:before="120" w:after="120" w:line="276" w:lineRule="auto"/>
        <w:ind w:left="851"/>
        <w:rPr>
          <w:b/>
          <w:sz w:val="22"/>
          <w:szCs w:val="22"/>
        </w:rPr>
      </w:pPr>
      <w:r>
        <w:rPr>
          <w:b/>
          <w:sz w:val="22"/>
          <w:szCs w:val="22"/>
        </w:rPr>
        <w:t xml:space="preserve">Figure 4.10 </w:t>
      </w:r>
      <w:r w:rsidRPr="005026B8">
        <w:rPr>
          <w:b/>
          <w:sz w:val="22"/>
          <w:szCs w:val="22"/>
        </w:rPr>
        <w:t>Goods Vehicle Flows, Population Centres and Major Border Road Crossings</w:t>
      </w:r>
    </w:p>
    <w:p w:rsidR="0085264B" w:rsidRDefault="0085264B" w:rsidP="0085264B">
      <w:pPr>
        <w:spacing w:before="120" w:after="120" w:line="276" w:lineRule="auto"/>
        <w:ind w:left="680" w:firstLine="171"/>
        <w:rPr>
          <w:sz w:val="22"/>
          <w:szCs w:val="22"/>
        </w:rPr>
      </w:pPr>
      <w:r w:rsidRPr="009534B6">
        <w:rPr>
          <w:noProof/>
          <w:sz w:val="22"/>
          <w:szCs w:val="22"/>
          <w:lang w:val="ro-RO" w:eastAsia="ro-RO"/>
        </w:rPr>
        <w:drawing>
          <wp:inline distT="0" distB="0" distL="0" distR="0" wp14:anchorId="47869CDC" wp14:editId="123C8A5A">
            <wp:extent cx="6102000" cy="5779999"/>
            <wp:effectExtent l="19050" t="19050" r="13050" b="11201"/>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6102000" cy="5779999"/>
                    </a:xfrm>
                    <a:prstGeom prst="rect">
                      <a:avLst/>
                    </a:prstGeom>
                    <a:noFill/>
                    <a:ln w="12700">
                      <a:solidFill>
                        <a:schemeClr val="accent1"/>
                      </a:solidFill>
                      <a:miter lim="800000"/>
                      <a:headEnd/>
                      <a:tailEnd/>
                    </a:ln>
                  </pic:spPr>
                </pic:pic>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Figure 4.11 </w:t>
      </w:r>
      <w:r w:rsidRPr="005026B8">
        <w:rPr>
          <w:b/>
          <w:sz w:val="22"/>
          <w:szCs w:val="22"/>
        </w:rPr>
        <w:t>Total Vehicle Flows, Population Centres and Major Border Road Crossings</w:t>
      </w:r>
    </w:p>
    <w:p w:rsidR="0085264B" w:rsidRDefault="0085264B" w:rsidP="0085264B">
      <w:pPr>
        <w:spacing w:before="120" w:after="120" w:line="276" w:lineRule="auto"/>
        <w:ind w:left="680" w:firstLine="171"/>
        <w:rPr>
          <w:sz w:val="22"/>
          <w:szCs w:val="22"/>
        </w:rPr>
      </w:pPr>
      <w:r w:rsidRPr="00A54340">
        <w:rPr>
          <w:noProof/>
          <w:sz w:val="22"/>
          <w:szCs w:val="22"/>
          <w:lang w:val="ro-RO" w:eastAsia="ro-RO"/>
        </w:rPr>
        <w:drawing>
          <wp:inline distT="0" distB="0" distL="0" distR="0" wp14:anchorId="37945DC9" wp14:editId="51DEBF9C">
            <wp:extent cx="6102000" cy="5774069"/>
            <wp:effectExtent l="19050" t="19050" r="13050" b="17131"/>
            <wp:docPr id="2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102000" cy="5774069"/>
                    </a:xfrm>
                    <a:prstGeom prst="rect">
                      <a:avLst/>
                    </a:prstGeom>
                    <a:noFill/>
                    <a:ln w="12700">
                      <a:solidFill>
                        <a:schemeClr val="accent1"/>
                      </a:solidFill>
                      <a:miter lim="800000"/>
                      <a:headEnd/>
                      <a:tailEnd/>
                    </a:ln>
                  </pic:spPr>
                </pic:pic>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Figure 4.12 </w:t>
      </w:r>
      <w:r w:rsidRPr="005026B8">
        <w:rPr>
          <w:b/>
          <w:sz w:val="22"/>
          <w:szCs w:val="22"/>
        </w:rPr>
        <w:t>Proposed Primary Economic Network (Overlaid on National Model Analysis)</w:t>
      </w:r>
    </w:p>
    <w:p w:rsidR="0085264B" w:rsidRDefault="0085264B" w:rsidP="0085264B">
      <w:pPr>
        <w:spacing w:before="120" w:after="120" w:line="276" w:lineRule="auto"/>
        <w:ind w:left="680" w:firstLine="171"/>
        <w:rPr>
          <w:sz w:val="22"/>
          <w:szCs w:val="22"/>
        </w:rPr>
      </w:pPr>
      <w:r w:rsidRPr="00A54340">
        <w:rPr>
          <w:noProof/>
          <w:sz w:val="22"/>
          <w:szCs w:val="22"/>
          <w:lang w:val="ro-RO" w:eastAsia="ro-RO"/>
        </w:rPr>
        <w:drawing>
          <wp:inline distT="0" distB="0" distL="0" distR="0" wp14:anchorId="6969AA79" wp14:editId="15BDC5E4">
            <wp:extent cx="6102000" cy="4991306"/>
            <wp:effectExtent l="19050" t="19050" r="13050" b="18844"/>
            <wp:docPr id="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6102000" cy="4991306"/>
                    </a:xfrm>
                    <a:prstGeom prst="rect">
                      <a:avLst/>
                    </a:prstGeom>
                    <a:noFill/>
                    <a:ln w="12700">
                      <a:solidFill>
                        <a:schemeClr val="accent1"/>
                      </a:solidFill>
                      <a:miter lim="800000"/>
                      <a:headEnd/>
                      <a:tailEnd/>
                    </a:ln>
                  </pic:spPr>
                </pic:pic>
              </a:graphicData>
            </a:graphic>
          </wp:inline>
        </w:drawing>
      </w:r>
    </w:p>
    <w:p w:rsidR="0085264B" w:rsidRPr="00867A97" w:rsidRDefault="0085264B" w:rsidP="0085264B">
      <w:pPr>
        <w:spacing w:before="120" w:after="120" w:line="276" w:lineRule="auto"/>
        <w:ind w:left="851"/>
        <w:rPr>
          <w:i/>
          <w:sz w:val="22"/>
          <w:szCs w:val="22"/>
        </w:rPr>
      </w:pPr>
      <w:r>
        <w:rPr>
          <w:i/>
          <w:sz w:val="22"/>
          <w:szCs w:val="22"/>
        </w:rPr>
        <w:t>Source: AECOM National Transport Model</w:t>
      </w:r>
    </w:p>
    <w:p w:rsidR="0085264B" w:rsidRPr="005026B8" w:rsidRDefault="0085264B" w:rsidP="0085264B">
      <w:pPr>
        <w:keepNext/>
        <w:spacing w:before="120" w:after="120" w:line="276" w:lineRule="auto"/>
        <w:ind w:left="851"/>
        <w:rPr>
          <w:b/>
          <w:sz w:val="22"/>
          <w:szCs w:val="22"/>
        </w:rPr>
      </w:pPr>
      <w:r>
        <w:rPr>
          <w:b/>
          <w:sz w:val="22"/>
          <w:szCs w:val="22"/>
        </w:rPr>
        <w:t xml:space="preserve">Figure 4.13 </w:t>
      </w:r>
      <w:r w:rsidRPr="005026B8">
        <w:rPr>
          <w:b/>
          <w:sz w:val="22"/>
          <w:szCs w:val="22"/>
        </w:rPr>
        <w:t>Correlation Between PEN (Red) and TEN-T (Purple)</w:t>
      </w:r>
    </w:p>
    <w:p w:rsidR="0085264B" w:rsidRDefault="0085264B" w:rsidP="0085264B">
      <w:pPr>
        <w:spacing w:before="120" w:after="120" w:line="276" w:lineRule="auto"/>
        <w:ind w:left="680" w:firstLine="171"/>
        <w:rPr>
          <w:sz w:val="22"/>
          <w:szCs w:val="22"/>
        </w:rPr>
      </w:pPr>
      <w:r w:rsidRPr="00A54340">
        <w:rPr>
          <w:noProof/>
          <w:sz w:val="22"/>
          <w:szCs w:val="22"/>
          <w:lang w:val="ro-RO" w:eastAsia="ro-RO"/>
        </w:rPr>
        <w:drawing>
          <wp:inline distT="0" distB="0" distL="0" distR="0" wp14:anchorId="2C5D7ED1" wp14:editId="19D6DA3D">
            <wp:extent cx="6102000" cy="4970550"/>
            <wp:effectExtent l="19050" t="19050" r="13050" b="20550"/>
            <wp:docPr id="2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6102000" cy="4970550"/>
                    </a:xfrm>
                    <a:prstGeom prst="rect">
                      <a:avLst/>
                    </a:prstGeom>
                    <a:noFill/>
                    <a:ln w="12700">
                      <a:solidFill>
                        <a:schemeClr val="accent1"/>
                      </a:solidFill>
                      <a:miter lim="800000"/>
                      <a:headEnd/>
                      <a:tailEnd/>
                    </a:ln>
                  </pic:spPr>
                </pic:pic>
              </a:graphicData>
            </a:graphic>
          </wp:inline>
        </w:drawing>
      </w:r>
    </w:p>
    <w:p w:rsidR="0085264B" w:rsidRDefault="0085264B" w:rsidP="0085264B">
      <w:pPr>
        <w:pStyle w:val="Body"/>
        <w:ind w:left="851"/>
      </w:pPr>
      <w:r>
        <w:t>Source: AECOM National Transport Model</w:t>
      </w:r>
    </w:p>
    <w:p w:rsidR="0085264B" w:rsidRPr="008E03B0" w:rsidRDefault="0085264B" w:rsidP="0085264B">
      <w:pPr>
        <w:pStyle w:val="Hdg2"/>
        <w:tabs>
          <w:tab w:val="clear" w:pos="2138"/>
          <w:tab w:val="num" w:pos="1430"/>
        </w:tabs>
        <w:ind w:left="851" w:hanging="851"/>
      </w:pPr>
      <w:bookmarkStart w:id="74" w:name="_Toc397020188"/>
      <w:bookmarkStart w:id="75" w:name="_Toc397065254"/>
      <w:bookmarkStart w:id="76" w:name="_Toc410648984"/>
      <w:bookmarkStart w:id="77" w:name="_Toc413056046"/>
      <w:r>
        <w:t>Operational Objectives</w:t>
      </w:r>
      <w:bookmarkEnd w:id="74"/>
      <w:bookmarkEnd w:id="75"/>
      <w:bookmarkEnd w:id="76"/>
      <w:bookmarkEnd w:id="77"/>
    </w:p>
    <w:p w:rsidR="0085264B" w:rsidRDefault="0085264B" w:rsidP="0085264B">
      <w:pPr>
        <w:pStyle w:val="Hdg3"/>
      </w:pPr>
      <w:r>
        <w:t>Introduction</w:t>
      </w:r>
    </w:p>
    <w:p w:rsidR="0085264B" w:rsidRDefault="0085264B" w:rsidP="0085264B">
      <w:pPr>
        <w:pStyle w:val="NumberedParas"/>
        <w:tabs>
          <w:tab w:val="clear" w:pos="2291"/>
          <w:tab w:val="left" w:pos="851"/>
          <w:tab w:val="left" w:pos="2268"/>
          <w:tab w:val="num" w:pos="2433"/>
        </w:tabs>
        <w:ind w:left="851" w:hanging="851"/>
      </w:pPr>
      <w:r w:rsidRPr="006A7942">
        <w:rPr>
          <w:lang w:val="ro-RO"/>
        </w:rPr>
        <w:t xml:space="preserve">The proposed interventions will support the following operational objectives as indicated in Figure </w:t>
      </w:r>
      <w:r>
        <w:rPr>
          <w:lang w:val="ro-RO"/>
        </w:rPr>
        <w:t>4.14 which maps them in relation to the high level objectives and problems.</w:t>
      </w:r>
    </w:p>
    <w:p w:rsidR="0085264B" w:rsidRDefault="0085264B" w:rsidP="0085264B">
      <w:pPr>
        <w:keepNext/>
        <w:spacing w:after="120"/>
        <w:ind w:left="567" w:firstLine="284"/>
      </w:pPr>
      <w:r w:rsidRPr="0019173A">
        <w:rPr>
          <w:b/>
          <w:sz w:val="22"/>
          <w:szCs w:val="22"/>
          <w:lang w:val="ro-RO"/>
        </w:rPr>
        <w:t xml:space="preserve">Figure </w:t>
      </w:r>
      <w:r>
        <w:rPr>
          <w:b/>
          <w:sz w:val="22"/>
          <w:szCs w:val="22"/>
          <w:lang w:val="ro-RO"/>
        </w:rPr>
        <w:t xml:space="preserve">4.14 </w:t>
      </w:r>
      <w:r w:rsidRPr="0019173A">
        <w:rPr>
          <w:b/>
          <w:sz w:val="22"/>
          <w:szCs w:val="22"/>
          <w:lang w:val="ro-RO"/>
        </w:rPr>
        <w:t>Links Between Problems, Interventions and Operational Objectives</w:t>
      </w:r>
    </w:p>
    <w:p w:rsidR="0085264B" w:rsidRDefault="0085264B" w:rsidP="0085264B">
      <w:r>
        <w:rPr>
          <w:noProof/>
          <w:szCs w:val="22"/>
          <w:lang w:val="ro-RO" w:eastAsia="ro-RO"/>
        </w:rPr>
        <w:drawing>
          <wp:inline distT="0" distB="0" distL="0" distR="0" wp14:anchorId="627F267B" wp14:editId="42F43219">
            <wp:extent cx="6534785" cy="6719866"/>
            <wp:effectExtent l="1905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6534785" cy="6719866"/>
                    </a:xfrm>
                    <a:prstGeom prst="rect">
                      <a:avLst/>
                    </a:prstGeom>
                    <a:noFill/>
                    <a:ln w="9525">
                      <a:noFill/>
                      <a:miter lim="800000"/>
                      <a:headEnd/>
                      <a:tailEnd/>
                    </a:ln>
                  </pic:spPr>
                </pic:pic>
              </a:graphicData>
            </a:graphic>
          </wp:inline>
        </w:drawing>
      </w:r>
    </w:p>
    <w:p w:rsidR="0085264B" w:rsidRDefault="0085264B" w:rsidP="0085264B">
      <w:r w:rsidRPr="0019173A">
        <w:rPr>
          <w:i/>
          <w:sz w:val="22"/>
          <w:szCs w:val="22"/>
        </w:rPr>
        <w:t xml:space="preserve">Source: AECOM analysis </w:t>
      </w:r>
    </w:p>
    <w:p w:rsidR="0085264B" w:rsidRDefault="0085264B" w:rsidP="0085264B"/>
    <w:p w:rsidR="0085264B" w:rsidRDefault="0085264B" w:rsidP="0085264B"/>
    <w:p w:rsidR="0085264B" w:rsidRDefault="0085264B" w:rsidP="0085264B">
      <w:pPr>
        <w:pStyle w:val="NumberedParas"/>
        <w:tabs>
          <w:tab w:val="clear" w:pos="2291"/>
          <w:tab w:val="left" w:pos="851"/>
          <w:tab w:val="left" w:pos="2268"/>
          <w:tab w:val="num" w:pos="2433"/>
        </w:tabs>
        <w:ind w:left="851" w:hanging="851"/>
      </w:pPr>
      <w:r>
        <w:t>Table 4.15</w:t>
      </w:r>
      <w:r w:rsidRPr="006D083A">
        <w:t xml:space="preserve"> summarises the main problems using supporting evidence, with the operational objectives described above ‘mapped’ to the issues. The proposed interventions and their suitability for testing using the National Transport Model are also shown</w:t>
      </w:r>
      <w:r>
        <w:t>.</w:t>
      </w:r>
    </w:p>
    <w:p w:rsidR="0085264B" w:rsidRDefault="0085264B" w:rsidP="0085264B">
      <w:pPr>
        <w:pStyle w:val="NumberedParas"/>
        <w:tabs>
          <w:tab w:val="clear" w:pos="2291"/>
          <w:tab w:val="left" w:pos="851"/>
          <w:tab w:val="left" w:pos="2268"/>
          <w:tab w:val="num" w:pos="2433"/>
        </w:tabs>
        <w:ind w:left="851" w:hanging="851"/>
        <w:sectPr w:rsidR="0085264B" w:rsidSect="00E5363A">
          <w:headerReference w:type="default" r:id="rId102"/>
          <w:pgSz w:w="11907" w:h="16840" w:code="9"/>
          <w:pgMar w:top="1418" w:right="709" w:bottom="1418" w:left="907" w:header="357" w:footer="567" w:gutter="0"/>
          <w:cols w:space="187"/>
          <w:docGrid w:linePitch="360"/>
        </w:sectPr>
      </w:pPr>
    </w:p>
    <w:p w:rsidR="0085264B" w:rsidRPr="00EF7388" w:rsidRDefault="0085264B" w:rsidP="0085264B">
      <w:pPr>
        <w:spacing w:before="120" w:after="120" w:line="276" w:lineRule="auto"/>
        <w:rPr>
          <w:b/>
          <w:sz w:val="22"/>
          <w:szCs w:val="22"/>
        </w:rPr>
      </w:pPr>
      <w:r>
        <w:rPr>
          <w:b/>
          <w:sz w:val="22"/>
          <w:szCs w:val="22"/>
        </w:rPr>
        <w:t>Table 4.15</w:t>
      </w:r>
      <w:r w:rsidRPr="00EF7388">
        <w:rPr>
          <w:b/>
          <w:sz w:val="22"/>
          <w:szCs w:val="22"/>
        </w:rPr>
        <w:t>: High Level Objectives and Supporting Evidence for Passenger Rail and Freight</w:t>
      </w:r>
    </w:p>
    <w:tbl>
      <w:tblPr>
        <w:tblW w:w="21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676"/>
        <w:gridCol w:w="1417"/>
        <w:gridCol w:w="2268"/>
        <w:gridCol w:w="3544"/>
        <w:gridCol w:w="2268"/>
        <w:gridCol w:w="851"/>
        <w:gridCol w:w="3543"/>
        <w:gridCol w:w="993"/>
        <w:gridCol w:w="850"/>
        <w:gridCol w:w="1134"/>
        <w:gridCol w:w="1701"/>
        <w:gridCol w:w="1134"/>
      </w:tblGrid>
      <w:tr w:rsidR="0085264B" w:rsidRPr="009526CD" w:rsidTr="00D41B57">
        <w:trPr>
          <w:tblHeader/>
        </w:trPr>
        <w:tc>
          <w:tcPr>
            <w:tcW w:w="1417" w:type="dxa"/>
            <w:vMerge w:val="restart"/>
            <w:shd w:val="clear" w:color="auto" w:fill="C6D9F1"/>
            <w:vAlign w:val="center"/>
          </w:tcPr>
          <w:p w:rsidR="0085264B" w:rsidRPr="00664D4E" w:rsidRDefault="0085264B" w:rsidP="00D41B57">
            <w:pPr>
              <w:rPr>
                <w:rFonts w:cs="Arial"/>
                <w:b/>
                <w:sz w:val="20"/>
                <w:szCs w:val="20"/>
              </w:rPr>
            </w:pPr>
            <w:r w:rsidRPr="00664D4E">
              <w:rPr>
                <w:rFonts w:cs="Arial"/>
                <w:b/>
                <w:sz w:val="20"/>
                <w:szCs w:val="20"/>
              </w:rPr>
              <w:t>High level objective</w:t>
            </w:r>
          </w:p>
        </w:tc>
        <w:tc>
          <w:tcPr>
            <w:tcW w:w="4361" w:type="dxa"/>
            <w:gridSpan w:val="3"/>
            <w:shd w:val="clear" w:color="auto" w:fill="C6D9F1"/>
            <w:vAlign w:val="center"/>
          </w:tcPr>
          <w:p w:rsidR="0085264B" w:rsidRPr="00664D4E" w:rsidRDefault="0085264B" w:rsidP="00D41B57">
            <w:pPr>
              <w:jc w:val="center"/>
              <w:rPr>
                <w:rFonts w:cs="Arial"/>
                <w:b/>
                <w:sz w:val="20"/>
                <w:szCs w:val="20"/>
              </w:rPr>
            </w:pPr>
            <w:r w:rsidRPr="00664D4E">
              <w:rPr>
                <w:rFonts w:cs="Arial"/>
                <w:b/>
                <w:sz w:val="20"/>
                <w:szCs w:val="20"/>
              </w:rPr>
              <w:t>Problem</w:t>
            </w:r>
          </w:p>
        </w:tc>
        <w:tc>
          <w:tcPr>
            <w:tcW w:w="3544" w:type="dxa"/>
            <w:vMerge w:val="restart"/>
            <w:shd w:val="clear" w:color="auto" w:fill="C6D9F1"/>
            <w:vAlign w:val="center"/>
          </w:tcPr>
          <w:p w:rsidR="0085264B" w:rsidRPr="00664D4E" w:rsidRDefault="0085264B" w:rsidP="00D41B57">
            <w:pPr>
              <w:rPr>
                <w:rFonts w:cs="Arial"/>
                <w:b/>
                <w:sz w:val="20"/>
                <w:szCs w:val="20"/>
              </w:rPr>
            </w:pPr>
            <w:r w:rsidRPr="00664D4E">
              <w:rPr>
                <w:rFonts w:cs="Arial"/>
                <w:b/>
                <w:sz w:val="20"/>
                <w:szCs w:val="20"/>
              </w:rPr>
              <w:t>Summary of supporting evidence / metrics</w:t>
            </w:r>
          </w:p>
        </w:tc>
        <w:tc>
          <w:tcPr>
            <w:tcW w:w="3119" w:type="dxa"/>
            <w:gridSpan w:val="2"/>
            <w:shd w:val="clear" w:color="auto" w:fill="C6D9F1"/>
            <w:vAlign w:val="center"/>
          </w:tcPr>
          <w:p w:rsidR="0085264B" w:rsidRPr="00664D4E" w:rsidRDefault="0085264B" w:rsidP="00D41B57">
            <w:pPr>
              <w:rPr>
                <w:rFonts w:cs="Arial"/>
                <w:b/>
                <w:sz w:val="20"/>
                <w:szCs w:val="20"/>
              </w:rPr>
            </w:pPr>
            <w:r w:rsidRPr="00664D4E">
              <w:rPr>
                <w:rFonts w:cs="Arial"/>
                <w:b/>
                <w:sz w:val="20"/>
                <w:szCs w:val="20"/>
              </w:rPr>
              <w:t>Operational objectives</w:t>
            </w:r>
          </w:p>
        </w:tc>
        <w:tc>
          <w:tcPr>
            <w:tcW w:w="3543" w:type="dxa"/>
            <w:shd w:val="clear" w:color="auto" w:fill="C6D9F1"/>
            <w:vAlign w:val="center"/>
          </w:tcPr>
          <w:p w:rsidR="0085264B" w:rsidRPr="00664D4E" w:rsidRDefault="0085264B" w:rsidP="00D41B57">
            <w:pPr>
              <w:jc w:val="center"/>
              <w:rPr>
                <w:rFonts w:cs="Arial"/>
                <w:b/>
                <w:sz w:val="20"/>
                <w:szCs w:val="20"/>
              </w:rPr>
            </w:pPr>
            <w:r w:rsidRPr="00664D4E">
              <w:rPr>
                <w:rFonts w:cs="Arial"/>
                <w:b/>
                <w:sz w:val="20"/>
                <w:szCs w:val="20"/>
              </w:rPr>
              <w:t>Intervention(s)</w:t>
            </w:r>
          </w:p>
        </w:tc>
        <w:tc>
          <w:tcPr>
            <w:tcW w:w="4678" w:type="dxa"/>
            <w:gridSpan w:val="4"/>
            <w:shd w:val="clear" w:color="auto" w:fill="C6D9F1"/>
            <w:vAlign w:val="center"/>
          </w:tcPr>
          <w:p w:rsidR="0085264B" w:rsidRPr="00664D4E" w:rsidRDefault="0085264B" w:rsidP="00D41B57">
            <w:pPr>
              <w:jc w:val="center"/>
              <w:rPr>
                <w:rFonts w:cs="Arial"/>
                <w:b/>
                <w:sz w:val="20"/>
                <w:szCs w:val="20"/>
              </w:rPr>
            </w:pPr>
            <w:r w:rsidRPr="00664D4E">
              <w:rPr>
                <w:rFonts w:cs="Arial"/>
                <w:b/>
                <w:sz w:val="20"/>
                <w:szCs w:val="20"/>
              </w:rPr>
              <w:t>Testing plan</w:t>
            </w:r>
          </w:p>
        </w:tc>
        <w:tc>
          <w:tcPr>
            <w:tcW w:w="1134" w:type="dxa"/>
            <w:vMerge w:val="restart"/>
            <w:shd w:val="clear" w:color="auto" w:fill="C6D9F1"/>
          </w:tcPr>
          <w:p w:rsidR="0085264B" w:rsidRPr="004D7C96" w:rsidRDefault="0085264B" w:rsidP="00D41B57">
            <w:pPr>
              <w:rPr>
                <w:rFonts w:cs="Arial"/>
                <w:b/>
                <w:sz w:val="20"/>
                <w:szCs w:val="20"/>
              </w:rPr>
            </w:pPr>
            <w:r w:rsidRPr="004D7C96">
              <w:rPr>
                <w:rFonts w:cs="Arial"/>
                <w:b/>
                <w:sz w:val="20"/>
                <w:szCs w:val="20"/>
              </w:rPr>
              <w:t>Project/ Intervention number / reference</w:t>
            </w:r>
          </w:p>
          <w:p w:rsidR="0085264B" w:rsidRPr="00664D4E" w:rsidRDefault="0085264B" w:rsidP="00D41B57">
            <w:pPr>
              <w:rPr>
                <w:rFonts w:cs="Arial"/>
                <w:b/>
                <w:sz w:val="20"/>
                <w:szCs w:val="20"/>
              </w:rPr>
            </w:pPr>
          </w:p>
        </w:tc>
      </w:tr>
      <w:tr w:rsidR="0085264B" w:rsidTr="00D41B57">
        <w:trPr>
          <w:tblHeader/>
        </w:trPr>
        <w:tc>
          <w:tcPr>
            <w:tcW w:w="1417" w:type="dxa"/>
            <w:vMerge/>
            <w:shd w:val="clear" w:color="auto" w:fill="C6D9F1"/>
            <w:vAlign w:val="center"/>
          </w:tcPr>
          <w:p w:rsidR="0085264B" w:rsidRPr="00664D4E" w:rsidRDefault="0085264B" w:rsidP="00D41B57">
            <w:pPr>
              <w:rPr>
                <w:rFonts w:cs="Arial"/>
                <w:sz w:val="20"/>
                <w:szCs w:val="20"/>
              </w:rPr>
            </w:pPr>
          </w:p>
        </w:tc>
        <w:tc>
          <w:tcPr>
            <w:tcW w:w="676" w:type="dxa"/>
            <w:shd w:val="clear" w:color="auto" w:fill="C6D9F1"/>
            <w:vAlign w:val="center"/>
          </w:tcPr>
          <w:p w:rsidR="0085264B" w:rsidRPr="00664D4E" w:rsidRDefault="0085264B" w:rsidP="00D41B57">
            <w:pPr>
              <w:rPr>
                <w:rFonts w:cs="Arial"/>
                <w:b/>
                <w:sz w:val="20"/>
                <w:szCs w:val="20"/>
              </w:rPr>
            </w:pPr>
            <w:r w:rsidRPr="00664D4E">
              <w:rPr>
                <w:rFonts w:cs="Arial"/>
                <w:b/>
                <w:sz w:val="20"/>
                <w:szCs w:val="20"/>
              </w:rPr>
              <w:t>No.</w:t>
            </w:r>
          </w:p>
        </w:tc>
        <w:tc>
          <w:tcPr>
            <w:tcW w:w="1417" w:type="dxa"/>
            <w:shd w:val="clear" w:color="auto" w:fill="C6D9F1"/>
            <w:vAlign w:val="center"/>
          </w:tcPr>
          <w:p w:rsidR="0085264B" w:rsidRPr="00664D4E" w:rsidRDefault="0085264B" w:rsidP="00D41B57">
            <w:pPr>
              <w:rPr>
                <w:rFonts w:cs="Arial"/>
                <w:b/>
                <w:sz w:val="20"/>
                <w:szCs w:val="20"/>
              </w:rPr>
            </w:pPr>
            <w:r>
              <w:rPr>
                <w:rFonts w:cs="Arial"/>
                <w:b/>
                <w:sz w:val="20"/>
                <w:szCs w:val="20"/>
              </w:rPr>
              <w:t>Category</w:t>
            </w:r>
          </w:p>
        </w:tc>
        <w:tc>
          <w:tcPr>
            <w:tcW w:w="2268" w:type="dxa"/>
            <w:shd w:val="clear" w:color="auto" w:fill="C6D9F1"/>
            <w:vAlign w:val="center"/>
          </w:tcPr>
          <w:p w:rsidR="0085264B" w:rsidRPr="00664D4E" w:rsidRDefault="0085264B" w:rsidP="00D41B57">
            <w:pPr>
              <w:rPr>
                <w:rFonts w:cs="Arial"/>
                <w:b/>
                <w:sz w:val="20"/>
                <w:szCs w:val="20"/>
              </w:rPr>
            </w:pPr>
            <w:r w:rsidRPr="00664D4E">
              <w:rPr>
                <w:rFonts w:cs="Arial"/>
                <w:b/>
                <w:sz w:val="20"/>
                <w:szCs w:val="20"/>
              </w:rPr>
              <w:t>Description</w:t>
            </w:r>
          </w:p>
        </w:tc>
        <w:tc>
          <w:tcPr>
            <w:tcW w:w="3544" w:type="dxa"/>
            <w:vMerge/>
            <w:shd w:val="clear" w:color="auto" w:fill="C6D9F1"/>
          </w:tcPr>
          <w:p w:rsidR="0085264B" w:rsidRPr="00664D4E" w:rsidRDefault="0085264B" w:rsidP="00D41B57">
            <w:pPr>
              <w:rPr>
                <w:rFonts w:cs="Arial"/>
                <w:sz w:val="20"/>
                <w:szCs w:val="20"/>
              </w:rPr>
            </w:pPr>
          </w:p>
        </w:tc>
        <w:tc>
          <w:tcPr>
            <w:tcW w:w="2268" w:type="dxa"/>
            <w:shd w:val="clear" w:color="auto" w:fill="C6D9F1"/>
            <w:vAlign w:val="center"/>
          </w:tcPr>
          <w:p w:rsidR="0085264B" w:rsidRPr="00664D4E" w:rsidRDefault="0085264B" w:rsidP="00D41B57">
            <w:pPr>
              <w:rPr>
                <w:rFonts w:cs="Arial"/>
                <w:b/>
                <w:sz w:val="20"/>
                <w:szCs w:val="20"/>
              </w:rPr>
            </w:pPr>
            <w:r w:rsidRPr="00664D4E">
              <w:rPr>
                <w:rFonts w:cs="Arial"/>
                <w:b/>
                <w:sz w:val="20"/>
                <w:szCs w:val="20"/>
              </w:rPr>
              <w:t>Description</w:t>
            </w:r>
          </w:p>
        </w:tc>
        <w:tc>
          <w:tcPr>
            <w:tcW w:w="851" w:type="dxa"/>
            <w:shd w:val="clear" w:color="auto" w:fill="C6D9F1"/>
            <w:vAlign w:val="center"/>
          </w:tcPr>
          <w:p w:rsidR="0085264B" w:rsidRPr="00664D4E" w:rsidRDefault="0085264B" w:rsidP="00D41B57">
            <w:pPr>
              <w:rPr>
                <w:rFonts w:cs="Arial"/>
                <w:b/>
                <w:sz w:val="20"/>
                <w:szCs w:val="20"/>
              </w:rPr>
            </w:pPr>
            <w:r>
              <w:rPr>
                <w:rFonts w:cs="Arial"/>
                <w:b/>
                <w:sz w:val="20"/>
                <w:szCs w:val="20"/>
              </w:rPr>
              <w:t>Ref.</w:t>
            </w:r>
          </w:p>
        </w:tc>
        <w:tc>
          <w:tcPr>
            <w:tcW w:w="3543" w:type="dxa"/>
            <w:shd w:val="clear" w:color="auto" w:fill="C6D9F1"/>
            <w:vAlign w:val="center"/>
          </w:tcPr>
          <w:p w:rsidR="0085264B" w:rsidRPr="00664D4E" w:rsidRDefault="0085264B" w:rsidP="00D41B57">
            <w:pPr>
              <w:rPr>
                <w:rFonts w:cs="Arial"/>
                <w:b/>
                <w:sz w:val="20"/>
                <w:szCs w:val="20"/>
              </w:rPr>
            </w:pPr>
            <w:r w:rsidRPr="00664D4E">
              <w:rPr>
                <w:rFonts w:cs="Arial"/>
                <w:b/>
                <w:sz w:val="20"/>
                <w:szCs w:val="20"/>
              </w:rPr>
              <w:t>Description / Alternatives</w:t>
            </w:r>
          </w:p>
        </w:tc>
        <w:tc>
          <w:tcPr>
            <w:tcW w:w="993" w:type="dxa"/>
            <w:shd w:val="clear" w:color="auto" w:fill="C6D9F1"/>
            <w:vAlign w:val="center"/>
          </w:tcPr>
          <w:p w:rsidR="0085264B" w:rsidRPr="00664D4E" w:rsidRDefault="0085264B" w:rsidP="00D41B57">
            <w:pPr>
              <w:rPr>
                <w:rFonts w:cs="Arial"/>
                <w:b/>
                <w:sz w:val="20"/>
                <w:szCs w:val="20"/>
              </w:rPr>
            </w:pPr>
            <w:r w:rsidRPr="00664D4E">
              <w:rPr>
                <w:rFonts w:cs="Arial"/>
                <w:b/>
                <w:sz w:val="20"/>
                <w:szCs w:val="20"/>
              </w:rPr>
              <w:t>Suitable for testing</w:t>
            </w:r>
          </w:p>
        </w:tc>
        <w:tc>
          <w:tcPr>
            <w:tcW w:w="850" w:type="dxa"/>
            <w:shd w:val="clear" w:color="auto" w:fill="C6D9F1"/>
            <w:vAlign w:val="center"/>
          </w:tcPr>
          <w:p w:rsidR="0085264B" w:rsidRPr="00664D4E" w:rsidRDefault="0085264B" w:rsidP="00D41B57">
            <w:pPr>
              <w:rPr>
                <w:rFonts w:cs="Arial"/>
                <w:b/>
                <w:sz w:val="20"/>
                <w:szCs w:val="20"/>
              </w:rPr>
            </w:pPr>
            <w:r>
              <w:rPr>
                <w:rFonts w:cs="Arial"/>
                <w:b/>
                <w:sz w:val="20"/>
                <w:szCs w:val="20"/>
              </w:rPr>
              <w:t>AADT Ref.</w:t>
            </w:r>
          </w:p>
        </w:tc>
        <w:tc>
          <w:tcPr>
            <w:tcW w:w="1134" w:type="dxa"/>
            <w:shd w:val="clear" w:color="auto" w:fill="C6D9F1"/>
            <w:vAlign w:val="center"/>
          </w:tcPr>
          <w:p w:rsidR="0085264B" w:rsidRPr="00664D4E" w:rsidRDefault="0085264B" w:rsidP="00D41B57">
            <w:pPr>
              <w:rPr>
                <w:rFonts w:cs="Arial"/>
                <w:b/>
                <w:sz w:val="20"/>
                <w:szCs w:val="20"/>
              </w:rPr>
            </w:pPr>
            <w:r>
              <w:rPr>
                <w:rFonts w:cs="Arial"/>
                <w:b/>
                <w:sz w:val="20"/>
                <w:szCs w:val="20"/>
              </w:rPr>
              <w:t>Road Improvment</w:t>
            </w:r>
            <w:r w:rsidRPr="00664D4E">
              <w:rPr>
                <w:rFonts w:cs="Arial"/>
                <w:b/>
                <w:sz w:val="20"/>
                <w:szCs w:val="20"/>
              </w:rPr>
              <w:t xml:space="preserve"> to be tested</w:t>
            </w:r>
          </w:p>
        </w:tc>
        <w:tc>
          <w:tcPr>
            <w:tcW w:w="1701" w:type="dxa"/>
            <w:shd w:val="clear" w:color="auto" w:fill="C6D9F1"/>
            <w:vAlign w:val="center"/>
          </w:tcPr>
          <w:p w:rsidR="0085264B" w:rsidRPr="00664D4E" w:rsidRDefault="0085264B" w:rsidP="00D41B57">
            <w:pPr>
              <w:rPr>
                <w:rFonts w:cs="Arial"/>
                <w:b/>
                <w:sz w:val="20"/>
                <w:szCs w:val="20"/>
              </w:rPr>
            </w:pPr>
            <w:r>
              <w:rPr>
                <w:rFonts w:cs="Arial"/>
                <w:b/>
                <w:sz w:val="20"/>
                <w:szCs w:val="20"/>
              </w:rPr>
              <w:t>Level of Aggregation to be Tested</w:t>
            </w:r>
          </w:p>
        </w:tc>
        <w:tc>
          <w:tcPr>
            <w:tcW w:w="1134" w:type="dxa"/>
            <w:vMerge/>
            <w:shd w:val="clear" w:color="auto" w:fill="C6D9F1"/>
          </w:tcPr>
          <w:p w:rsidR="0085264B" w:rsidRDefault="0085264B" w:rsidP="00D41B57"/>
        </w:tc>
      </w:tr>
      <w:tr w:rsidR="0085264B" w:rsidTr="00D41B57">
        <w:tc>
          <w:tcPr>
            <w:tcW w:w="1417" w:type="dxa"/>
            <w:vMerge w:val="restart"/>
            <w:shd w:val="clear" w:color="auto" w:fill="auto"/>
            <w:vAlign w:val="center"/>
          </w:tcPr>
          <w:p w:rsidR="0085264B" w:rsidRPr="00664D4E" w:rsidRDefault="0085264B" w:rsidP="00D41B57">
            <w:pPr>
              <w:spacing w:before="60" w:after="60"/>
              <w:jc w:val="both"/>
              <w:rPr>
                <w:rFonts w:cs="Arial"/>
                <w:sz w:val="20"/>
                <w:szCs w:val="20"/>
              </w:rPr>
            </w:pPr>
            <w:r>
              <w:t>Sustainability</w:t>
            </w:r>
          </w:p>
        </w:tc>
        <w:tc>
          <w:tcPr>
            <w:tcW w:w="676" w:type="dxa"/>
            <w:vMerge w:val="restart"/>
            <w:shd w:val="clear" w:color="auto" w:fill="auto"/>
            <w:vAlign w:val="center"/>
          </w:tcPr>
          <w:p w:rsidR="0085264B" w:rsidRPr="00664D4E" w:rsidRDefault="0085264B" w:rsidP="00D41B57">
            <w:pPr>
              <w:spacing w:before="60" w:after="60"/>
              <w:jc w:val="both"/>
              <w:rPr>
                <w:rFonts w:cs="Arial"/>
                <w:sz w:val="20"/>
                <w:szCs w:val="20"/>
              </w:rPr>
            </w:pPr>
            <w:r>
              <w:t>01</w:t>
            </w:r>
          </w:p>
        </w:tc>
        <w:tc>
          <w:tcPr>
            <w:tcW w:w="1417" w:type="dxa"/>
            <w:vMerge w:val="restart"/>
            <w:shd w:val="clear" w:color="auto" w:fill="auto"/>
            <w:vAlign w:val="center"/>
          </w:tcPr>
          <w:p w:rsidR="0085264B" w:rsidRPr="00664D4E" w:rsidRDefault="0085264B" w:rsidP="00D41B57">
            <w:pPr>
              <w:spacing w:before="60" w:after="60"/>
              <w:jc w:val="both"/>
              <w:rPr>
                <w:rFonts w:cs="Arial"/>
                <w:sz w:val="20"/>
                <w:szCs w:val="20"/>
              </w:rPr>
            </w:pPr>
            <w:r>
              <w:t>Inadequate Maintenance</w:t>
            </w:r>
          </w:p>
        </w:tc>
        <w:tc>
          <w:tcPr>
            <w:tcW w:w="2268" w:type="dxa"/>
            <w:vMerge w:val="restart"/>
            <w:shd w:val="clear" w:color="auto" w:fill="auto"/>
            <w:vAlign w:val="center"/>
          </w:tcPr>
          <w:p w:rsidR="0085264B" w:rsidRPr="00664D4E" w:rsidRDefault="0085264B" w:rsidP="00D41B57">
            <w:pPr>
              <w:spacing w:before="60" w:after="60"/>
              <w:rPr>
                <w:rFonts w:cs="Arial"/>
                <w:sz w:val="20"/>
                <w:szCs w:val="20"/>
              </w:rPr>
            </w:pPr>
            <w:r>
              <w:t xml:space="preserve">Inadequately maintained existing and future assets </w:t>
            </w:r>
            <w:r w:rsidRPr="00330D15">
              <w:t>on the national network</w:t>
            </w:r>
            <w:r>
              <w:t xml:space="preserve"> jeopardise its long-term sustainability</w:t>
            </w:r>
          </w:p>
        </w:tc>
        <w:tc>
          <w:tcPr>
            <w:tcW w:w="3544" w:type="dxa"/>
            <w:vMerge w:val="restart"/>
            <w:shd w:val="clear" w:color="auto" w:fill="auto"/>
            <w:vAlign w:val="center"/>
          </w:tcPr>
          <w:p w:rsidR="0085264B" w:rsidRDefault="0085264B" w:rsidP="00D41B57">
            <w:r>
              <w:t>Only just over 50% of the national network is classified as good condition with a further 30% average and 20% poor.</w:t>
            </w:r>
          </w:p>
          <w:p w:rsidR="0085264B" w:rsidRDefault="0085264B" w:rsidP="00D41B57"/>
          <w:p w:rsidR="0085264B" w:rsidRDefault="0085264B" w:rsidP="00D41B57">
            <w:r>
              <w:t>Over 60% of the national network is categorised as being beyond its service life.</w:t>
            </w:r>
          </w:p>
          <w:p w:rsidR="0085264B" w:rsidRDefault="0085264B" w:rsidP="00D41B57"/>
          <w:p w:rsidR="0085264B" w:rsidRPr="00664D4E" w:rsidRDefault="0085264B" w:rsidP="00D41B57">
            <w:pPr>
              <w:numPr>
                <w:ilvl w:val="0"/>
                <w:numId w:val="23"/>
              </w:numPr>
              <w:spacing w:before="60" w:after="60" w:line="264" w:lineRule="auto"/>
              <w:ind w:left="459" w:hanging="284"/>
              <w:jc w:val="both"/>
              <w:rPr>
                <w:rFonts w:cs="Arial"/>
                <w:sz w:val="20"/>
                <w:szCs w:val="20"/>
              </w:rPr>
            </w:pPr>
            <w:r w:rsidRPr="004D0409">
              <w:t>See Appendix E: Maintenance</w:t>
            </w:r>
          </w:p>
        </w:tc>
        <w:tc>
          <w:tcPr>
            <w:tcW w:w="2268" w:type="dxa"/>
            <w:vMerge w:val="restart"/>
            <w:shd w:val="clear" w:color="auto" w:fill="auto"/>
            <w:vAlign w:val="center"/>
          </w:tcPr>
          <w:p w:rsidR="0085264B" w:rsidRPr="00664D4E" w:rsidRDefault="0085264B" w:rsidP="00D41B57">
            <w:pPr>
              <w:spacing w:before="60" w:after="60"/>
              <w:rPr>
                <w:rFonts w:cs="Arial"/>
                <w:sz w:val="20"/>
                <w:szCs w:val="20"/>
              </w:rPr>
            </w:pPr>
            <w:r>
              <w:t>Improve maintenance as to ensure ‘good’ standard surface conditions (as defined by CESTRIN viabilitate survey) at least on the primary economic network and good/average for the rest of the national network.</w:t>
            </w:r>
          </w:p>
        </w:tc>
        <w:tc>
          <w:tcPr>
            <w:tcW w:w="851" w:type="dxa"/>
            <w:shd w:val="clear" w:color="auto" w:fill="auto"/>
            <w:vAlign w:val="center"/>
          </w:tcPr>
          <w:p w:rsidR="0085264B" w:rsidRDefault="0085264B" w:rsidP="00D41B57">
            <w:r>
              <w:t>OR01</w:t>
            </w:r>
          </w:p>
          <w:p w:rsidR="0085264B" w:rsidRPr="00664D4E" w:rsidRDefault="0085264B" w:rsidP="00D41B57">
            <w:pPr>
              <w:spacing w:before="60" w:after="60"/>
              <w:jc w:val="both"/>
              <w:rPr>
                <w:rFonts w:cs="Arial"/>
                <w:sz w:val="20"/>
                <w:szCs w:val="20"/>
              </w:rPr>
            </w:pPr>
          </w:p>
        </w:tc>
        <w:tc>
          <w:tcPr>
            <w:tcW w:w="3543" w:type="dxa"/>
            <w:shd w:val="clear" w:color="auto" w:fill="auto"/>
            <w:vAlign w:val="center"/>
          </w:tcPr>
          <w:p w:rsidR="0085264B" w:rsidRPr="00F44071" w:rsidRDefault="0085264B" w:rsidP="00D41B57">
            <w:r>
              <w:t>Adopt best practice PMS approach to prioritisation of roads maintenance. In particular ensure by regulation that the PMS is the basis for planning maintenance and is regularly updated and operated to that end.</w:t>
            </w:r>
          </w:p>
        </w:tc>
        <w:tc>
          <w:tcPr>
            <w:tcW w:w="993" w:type="dxa"/>
            <w:shd w:val="clear" w:color="auto" w:fill="auto"/>
            <w:vAlign w:val="center"/>
          </w:tcPr>
          <w:p w:rsidR="0085264B" w:rsidRPr="00664D4E" w:rsidRDefault="0085264B" w:rsidP="00D41B57">
            <w:pPr>
              <w:spacing w:before="60" w:after="60"/>
              <w:jc w:val="both"/>
              <w:rPr>
                <w:rFonts w:cs="Arial"/>
                <w:sz w:val="20"/>
                <w:szCs w:val="20"/>
              </w:rPr>
            </w:pPr>
            <w:r>
              <w:t>N</w:t>
            </w:r>
          </w:p>
        </w:tc>
        <w:tc>
          <w:tcPr>
            <w:tcW w:w="850" w:type="dxa"/>
            <w:shd w:val="clear" w:color="auto" w:fill="auto"/>
            <w:vAlign w:val="center"/>
          </w:tcPr>
          <w:p w:rsidR="0085264B" w:rsidRPr="00664D4E" w:rsidRDefault="0085264B" w:rsidP="00D41B57">
            <w:pPr>
              <w:spacing w:before="60" w:after="60"/>
              <w:jc w:val="both"/>
              <w:rPr>
                <w:rFonts w:cs="Arial"/>
                <w:sz w:val="20"/>
                <w:szCs w:val="20"/>
              </w:rPr>
            </w:pPr>
            <w:r>
              <w:t>N.A.</w:t>
            </w:r>
          </w:p>
        </w:tc>
        <w:tc>
          <w:tcPr>
            <w:tcW w:w="1134" w:type="dxa"/>
            <w:shd w:val="clear" w:color="auto" w:fill="auto"/>
            <w:vAlign w:val="center"/>
          </w:tcPr>
          <w:p w:rsidR="0085264B" w:rsidRPr="00664D4E" w:rsidRDefault="0085264B" w:rsidP="00D41B57">
            <w:pPr>
              <w:spacing w:before="60" w:after="60"/>
              <w:jc w:val="both"/>
              <w:rPr>
                <w:rFonts w:cs="Arial"/>
                <w:sz w:val="20"/>
                <w:szCs w:val="20"/>
              </w:rPr>
            </w:pPr>
            <w:r>
              <w:t>N.A.</w:t>
            </w:r>
          </w:p>
        </w:tc>
        <w:tc>
          <w:tcPr>
            <w:tcW w:w="1701" w:type="dxa"/>
            <w:vAlign w:val="center"/>
          </w:tcPr>
          <w:p w:rsidR="0085264B" w:rsidRDefault="0085264B" w:rsidP="00D41B57">
            <w:pPr>
              <w:spacing w:before="60" w:after="60"/>
              <w:jc w:val="both"/>
            </w:pPr>
            <w:r>
              <w:t>N.A.</w:t>
            </w:r>
          </w:p>
        </w:tc>
        <w:tc>
          <w:tcPr>
            <w:tcW w:w="1134" w:type="dxa"/>
            <w:shd w:val="clear" w:color="auto" w:fill="auto"/>
            <w:vAlign w:val="center"/>
          </w:tcPr>
          <w:p w:rsidR="0085264B" w:rsidRPr="00664D4E" w:rsidRDefault="0085264B" w:rsidP="00D41B57">
            <w:pPr>
              <w:spacing w:before="60" w:after="60"/>
              <w:jc w:val="center"/>
              <w:rPr>
                <w:rFonts w:cs="Arial"/>
                <w:sz w:val="20"/>
                <w:szCs w:val="20"/>
              </w:rPr>
            </w:pPr>
            <w:r w:rsidRPr="005D041E">
              <w:t>H</w:t>
            </w:r>
            <w:r>
              <w:t>6</w:t>
            </w:r>
            <w:r w:rsidRPr="005D041E">
              <w:t>0</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OR02</w:t>
            </w:r>
          </w:p>
        </w:tc>
        <w:tc>
          <w:tcPr>
            <w:tcW w:w="3543" w:type="dxa"/>
            <w:shd w:val="clear" w:color="auto" w:fill="auto"/>
            <w:vAlign w:val="center"/>
          </w:tcPr>
          <w:p w:rsidR="0085264B" w:rsidRDefault="0085264B" w:rsidP="00D41B57">
            <w:r>
              <w:t>Carry out a detailed study review of the existing road assets data and systems in order to establish accuracy, completeness and appropriateness of the currently available inventory, inspection and maintenance records data and functionality of the associated asset management systems such as PMS, BMS etc. together with appropriate improvements measures.</w:t>
            </w:r>
          </w:p>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Pr="005D041E" w:rsidRDefault="0085264B" w:rsidP="00D41B57">
            <w:pPr>
              <w:jc w:val="center"/>
            </w:pPr>
            <w:r>
              <w:t>H61</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330D15" w:rsidRDefault="0085264B" w:rsidP="00D41B57">
            <w:pPr>
              <w:jc w:val="center"/>
            </w:pPr>
          </w:p>
        </w:tc>
        <w:tc>
          <w:tcPr>
            <w:tcW w:w="3544" w:type="dxa"/>
            <w:vMerge/>
            <w:shd w:val="clear" w:color="auto" w:fill="auto"/>
            <w:vAlign w:val="center"/>
          </w:tcPr>
          <w:p w:rsidR="0085264B"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OR03</w:t>
            </w:r>
          </w:p>
        </w:tc>
        <w:tc>
          <w:tcPr>
            <w:tcW w:w="3543" w:type="dxa"/>
            <w:shd w:val="clear" w:color="auto" w:fill="auto"/>
            <w:vAlign w:val="center"/>
          </w:tcPr>
          <w:p w:rsidR="0085264B" w:rsidRDefault="0085264B" w:rsidP="00D41B57">
            <w:r>
              <w:t xml:space="preserve">Carry out a detailed analysis of O&amp;M funding requirements (both for backlog removal and on-going routine &amp; planned maintenance activities for all current and planned assets) and historic allocations to identify appropriate annual O&amp;M funding needs and their earmarking. As a stop-gap measure the annual roads O&amp;M budget for 2015 should be increased from </w:t>
            </w:r>
          </w:p>
          <w:p w:rsidR="0085264B" w:rsidRDefault="0085264B" w:rsidP="00D41B57">
            <w:r>
              <w:t xml:space="preserve">the historic (last 10 years) average </w:t>
            </w:r>
            <w:r w:rsidRPr="004D0409">
              <w:t xml:space="preserve">of €158M to minimum €1,363M. </w:t>
            </w:r>
            <w:r w:rsidRPr="004D0409">
              <w:rPr>
                <w:b/>
              </w:rPr>
              <w:t>[These figures are subject to confirmation pending further discussions with CNADNR].</w:t>
            </w:r>
          </w:p>
          <w:p w:rsidR="0085264B" w:rsidRDefault="0085264B" w:rsidP="00D41B57"/>
          <w:p w:rsidR="0085264B" w:rsidRDefault="0085264B" w:rsidP="00D41B57">
            <w:r>
              <w:t>This should be ensured in long-term by government commitments supported by appropriate additional revenue sources e.g. increased vignette levels. A separate feasibility study into options for distance based user-charging should also be undertaken.</w:t>
            </w:r>
          </w:p>
          <w:p w:rsidR="0085264B" w:rsidRDefault="0085264B" w:rsidP="00D41B57"/>
          <w:p w:rsidR="0085264B" w:rsidRDefault="0085264B" w:rsidP="00D41B57">
            <w:r>
              <w:t>A preliminary test will be undertaken using the National Model to assess the impacts of distance based charging.</w:t>
            </w:r>
          </w:p>
        </w:tc>
        <w:tc>
          <w:tcPr>
            <w:tcW w:w="993" w:type="dxa"/>
            <w:shd w:val="clear" w:color="auto" w:fill="auto"/>
            <w:vAlign w:val="center"/>
          </w:tcPr>
          <w:p w:rsidR="0085264B" w:rsidRDefault="0085264B" w:rsidP="00D41B57">
            <w:pPr>
              <w:jc w:val="center"/>
            </w:pPr>
            <w:r>
              <w:t>Yes (high level test for charging option)</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Network level</w:t>
            </w:r>
          </w:p>
        </w:tc>
        <w:tc>
          <w:tcPr>
            <w:tcW w:w="1134" w:type="dxa"/>
            <w:shd w:val="clear" w:color="auto" w:fill="auto"/>
            <w:vAlign w:val="center"/>
          </w:tcPr>
          <w:p w:rsidR="0085264B" w:rsidRDefault="0085264B" w:rsidP="00D41B57">
            <w:pPr>
              <w:jc w:val="center"/>
            </w:pPr>
            <w:r>
              <w:t>H62</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330D15" w:rsidRDefault="0085264B" w:rsidP="00D41B57">
            <w:pPr>
              <w:jc w:val="center"/>
            </w:pPr>
          </w:p>
        </w:tc>
        <w:tc>
          <w:tcPr>
            <w:tcW w:w="3544" w:type="dxa"/>
            <w:vMerge/>
            <w:shd w:val="clear" w:color="auto" w:fill="auto"/>
            <w:vAlign w:val="center"/>
          </w:tcPr>
          <w:p w:rsidR="0085264B"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OR04</w:t>
            </w:r>
          </w:p>
        </w:tc>
        <w:tc>
          <w:tcPr>
            <w:tcW w:w="3543" w:type="dxa"/>
            <w:shd w:val="clear" w:color="auto" w:fill="auto"/>
            <w:vAlign w:val="center"/>
          </w:tcPr>
          <w:p w:rsidR="0085264B" w:rsidDel="00DD2F0D" w:rsidRDefault="0085264B" w:rsidP="00D41B57">
            <w:r>
              <w:t>Introduce an efficient and effective system for prioritisation and allocation of O&amp;M expenditures on a multi-year basis and develop dedicated backlog removal plans for all major assets (roads and bridges).</w:t>
            </w:r>
          </w:p>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H63</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330D15" w:rsidRDefault="0085264B" w:rsidP="00D41B57">
            <w:pPr>
              <w:jc w:val="center"/>
            </w:pPr>
          </w:p>
        </w:tc>
        <w:tc>
          <w:tcPr>
            <w:tcW w:w="3544" w:type="dxa"/>
            <w:vMerge/>
            <w:shd w:val="clear" w:color="auto" w:fill="auto"/>
            <w:vAlign w:val="center"/>
          </w:tcPr>
          <w:p w:rsidR="0085264B"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OR05</w:t>
            </w:r>
          </w:p>
        </w:tc>
        <w:tc>
          <w:tcPr>
            <w:tcW w:w="3543" w:type="dxa"/>
            <w:shd w:val="clear" w:color="auto" w:fill="auto"/>
            <w:vAlign w:val="center"/>
          </w:tcPr>
          <w:p w:rsidR="0085264B" w:rsidRDefault="0085264B" w:rsidP="00D41B57">
            <w:r>
              <w:t xml:space="preserve">Review  the existing O&amp;M relevant standards and specifications in terms of their appropriateness and affordability and define appropriate ‘Quality of Service’ parameters the network should provide. </w:t>
            </w:r>
          </w:p>
        </w:tc>
        <w:tc>
          <w:tcPr>
            <w:tcW w:w="993" w:type="dxa"/>
            <w:shd w:val="clear" w:color="auto" w:fill="auto"/>
            <w:vAlign w:val="center"/>
          </w:tcPr>
          <w:p w:rsidR="0085264B" w:rsidRDefault="0085264B" w:rsidP="00D41B57">
            <w:pPr>
              <w:jc w:val="center"/>
            </w:pPr>
            <w:r>
              <w:t>N</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H64</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330D15" w:rsidRDefault="0085264B" w:rsidP="00D41B57">
            <w:pPr>
              <w:jc w:val="center"/>
            </w:pPr>
          </w:p>
        </w:tc>
        <w:tc>
          <w:tcPr>
            <w:tcW w:w="3544" w:type="dxa"/>
            <w:vMerge/>
            <w:shd w:val="clear" w:color="auto" w:fill="auto"/>
            <w:vAlign w:val="center"/>
          </w:tcPr>
          <w:p w:rsidR="0085264B"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OR06</w:t>
            </w:r>
          </w:p>
        </w:tc>
        <w:tc>
          <w:tcPr>
            <w:tcW w:w="3543" w:type="dxa"/>
            <w:shd w:val="clear" w:color="auto" w:fill="auto"/>
            <w:vAlign w:val="center"/>
          </w:tcPr>
          <w:p w:rsidR="0085264B" w:rsidRDefault="0085264B" w:rsidP="00D41B57">
            <w:r>
              <w:t xml:space="preserve">Reform the  current maintenance practice (&gt;100 contracts of max 2 years) by proceeding systematically with longer term </w:t>
            </w:r>
            <w:r w:rsidRPr="003A4EE2">
              <w:t>(</w:t>
            </w:r>
            <w:r>
              <w:t>5-7</w:t>
            </w:r>
            <w:r w:rsidRPr="003A4EE2">
              <w:t xml:space="preserve"> years)</w:t>
            </w:r>
            <w:r>
              <w:t xml:space="preserve"> performance based contracts at regional scale.</w:t>
            </w:r>
          </w:p>
          <w:p w:rsidR="0085264B" w:rsidRDefault="0085264B" w:rsidP="00D41B57"/>
          <w:p w:rsidR="0085264B" w:rsidRDefault="0085264B" w:rsidP="00D41B57"/>
        </w:tc>
        <w:tc>
          <w:tcPr>
            <w:tcW w:w="993" w:type="dxa"/>
            <w:shd w:val="clear" w:color="auto" w:fill="auto"/>
            <w:vAlign w:val="center"/>
          </w:tcPr>
          <w:p w:rsidR="0085264B" w:rsidRDefault="0085264B" w:rsidP="00D41B57">
            <w:pPr>
              <w:jc w:val="center"/>
            </w:pPr>
            <w:r>
              <w:t>N.A.</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H65</w:t>
            </w:r>
          </w:p>
        </w:tc>
      </w:tr>
      <w:tr w:rsidR="0085264B" w:rsidTr="00D41B57">
        <w:tc>
          <w:tcPr>
            <w:tcW w:w="1417" w:type="dxa"/>
            <w:vMerge w:val="restart"/>
            <w:shd w:val="clear" w:color="auto" w:fill="auto"/>
            <w:vAlign w:val="center"/>
          </w:tcPr>
          <w:p w:rsidR="0085264B" w:rsidRDefault="0085264B" w:rsidP="00D41B57">
            <w:pPr>
              <w:jc w:val="center"/>
            </w:pPr>
          </w:p>
        </w:tc>
        <w:tc>
          <w:tcPr>
            <w:tcW w:w="676" w:type="dxa"/>
            <w:vMerge w:val="restart"/>
            <w:shd w:val="clear" w:color="auto" w:fill="auto"/>
            <w:vAlign w:val="center"/>
          </w:tcPr>
          <w:p w:rsidR="0085264B" w:rsidRPr="00912309" w:rsidRDefault="0085264B" w:rsidP="00D41B57">
            <w:pPr>
              <w:jc w:val="center"/>
            </w:pPr>
            <w:r w:rsidRPr="00912309">
              <w:t>02</w:t>
            </w:r>
          </w:p>
        </w:tc>
        <w:tc>
          <w:tcPr>
            <w:tcW w:w="1417" w:type="dxa"/>
            <w:vMerge w:val="restart"/>
            <w:shd w:val="clear" w:color="auto" w:fill="auto"/>
            <w:vAlign w:val="center"/>
          </w:tcPr>
          <w:p w:rsidR="0085264B" w:rsidRDefault="0085264B" w:rsidP="00D41B57">
            <w:pPr>
              <w:jc w:val="center"/>
            </w:pPr>
            <w:r>
              <w:t>Management &amp; Operations</w:t>
            </w:r>
          </w:p>
        </w:tc>
        <w:tc>
          <w:tcPr>
            <w:tcW w:w="2268" w:type="dxa"/>
            <w:vMerge w:val="restart"/>
            <w:shd w:val="clear" w:color="auto" w:fill="auto"/>
            <w:vAlign w:val="center"/>
          </w:tcPr>
          <w:p w:rsidR="0085264B" w:rsidRPr="00330D15" w:rsidRDefault="0085264B" w:rsidP="00D41B57">
            <w:pPr>
              <w:jc w:val="center"/>
            </w:pPr>
            <w:r>
              <w:t>Institutional capacity issues</w:t>
            </w:r>
          </w:p>
          <w:p w:rsidR="0085264B" w:rsidRPr="00330D15" w:rsidRDefault="0085264B" w:rsidP="00D41B57">
            <w:pPr>
              <w:jc w:val="center"/>
            </w:pPr>
            <w:r>
              <w:t>Significant damage to roads assets (pavements and structures predominantly) by excessive axel loads</w:t>
            </w:r>
          </w:p>
        </w:tc>
        <w:tc>
          <w:tcPr>
            <w:tcW w:w="3544" w:type="dxa"/>
            <w:shd w:val="clear" w:color="auto" w:fill="auto"/>
            <w:vAlign w:val="center"/>
          </w:tcPr>
          <w:p w:rsidR="0085264B" w:rsidRDefault="0085264B" w:rsidP="00D41B57">
            <w:r>
              <w:t>At all levels  - lack of ownership, frequent organisational changes, high staff turnover, adequacy of human resources and their experience, adequate training options etc.</w:t>
            </w:r>
          </w:p>
        </w:tc>
        <w:tc>
          <w:tcPr>
            <w:tcW w:w="2268" w:type="dxa"/>
            <w:shd w:val="clear" w:color="auto" w:fill="auto"/>
            <w:vAlign w:val="center"/>
          </w:tcPr>
          <w:p w:rsidR="0085264B" w:rsidRDefault="0085264B" w:rsidP="00D41B57">
            <w:r>
              <w:t>Improved  institutional &amp; organisation stability and capacity to ensure efficient and effective management of activities in the road sector during all project phases (planning &amp; preparation, implementation, operation &amp; maintenance)</w:t>
            </w:r>
          </w:p>
          <w:p w:rsidR="0085264B" w:rsidRDefault="0085264B" w:rsidP="00D41B57"/>
        </w:tc>
        <w:tc>
          <w:tcPr>
            <w:tcW w:w="851" w:type="dxa"/>
            <w:shd w:val="clear" w:color="auto" w:fill="auto"/>
            <w:vAlign w:val="center"/>
          </w:tcPr>
          <w:p w:rsidR="0085264B" w:rsidRDefault="0085264B" w:rsidP="00D41B57">
            <w:r>
              <w:t>OR07</w:t>
            </w:r>
          </w:p>
        </w:tc>
        <w:tc>
          <w:tcPr>
            <w:tcW w:w="3543" w:type="dxa"/>
            <w:shd w:val="clear" w:color="auto" w:fill="auto"/>
            <w:vAlign w:val="center"/>
          </w:tcPr>
          <w:p w:rsidR="0085264B" w:rsidRDefault="0085264B" w:rsidP="00D41B57">
            <w:r>
              <w:t xml:space="preserve">Audit and review of the existing situation followed by identification of relevant measures and recommendations in terms organisation </w:t>
            </w:r>
            <w:r w:rsidRPr="0085498B">
              <w:t xml:space="preserve">of the departments </w:t>
            </w:r>
            <w:r>
              <w:t>to</w:t>
            </w:r>
            <w:r w:rsidRPr="0085498B">
              <w:t xml:space="preserve"> be in charge </w:t>
            </w:r>
            <w:r>
              <w:t xml:space="preserve">of all stages of project cycle, </w:t>
            </w:r>
            <w:r w:rsidRPr="0085498B">
              <w:t xml:space="preserve">completed by a Training Needs Assessment for </w:t>
            </w:r>
            <w:r>
              <w:t>all key</w:t>
            </w:r>
            <w:r w:rsidRPr="0085498B">
              <w:t xml:space="preserve"> staff.</w:t>
            </w:r>
          </w:p>
          <w:p w:rsidR="0085264B" w:rsidRDefault="0085264B" w:rsidP="00D41B57"/>
          <w:p w:rsidR="0085264B" w:rsidRDefault="0085264B" w:rsidP="00D41B57">
            <w:r>
              <w:t xml:space="preserve">Appoint and retain management based  on longer term performance-based contracts with the Ministry. </w:t>
            </w:r>
          </w:p>
        </w:tc>
        <w:tc>
          <w:tcPr>
            <w:tcW w:w="993" w:type="dxa"/>
            <w:shd w:val="clear" w:color="auto" w:fill="auto"/>
            <w:vAlign w:val="center"/>
          </w:tcPr>
          <w:p w:rsidR="0085264B" w:rsidRDefault="0085264B" w:rsidP="00D41B57">
            <w:pPr>
              <w:jc w:val="center"/>
            </w:pPr>
            <w:r>
              <w:t>N.A.</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H66</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Pr="00554CF1" w:rsidRDefault="0085264B" w:rsidP="00D41B57">
            <w:pPr>
              <w:jc w:val="center"/>
              <w:rPr>
                <w:highlight w:val="yellow"/>
              </w:rP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shd w:val="clear" w:color="auto" w:fill="auto"/>
            <w:vAlign w:val="center"/>
          </w:tcPr>
          <w:p w:rsidR="0085264B" w:rsidRDefault="0085264B" w:rsidP="00D41B57">
            <w:r>
              <w:t xml:space="preserve">Effect of excessive axle loading on the expected (designed) life of assets is considerable and well documented (e.g. Liddle, 1963). </w:t>
            </w:r>
          </w:p>
          <w:p w:rsidR="0085264B" w:rsidRDefault="0085264B" w:rsidP="00D41B57"/>
          <w:p w:rsidR="0085264B" w:rsidRDefault="0085264B" w:rsidP="00D41B57">
            <w:r>
              <w:t xml:space="preserve">Data from CESTRIN’s WIM database suggests 20% of 4-axle trucks overweight which (as they can weigh up to 50 tonnes) is a major concern. (see also Appendix E) </w:t>
            </w:r>
          </w:p>
        </w:tc>
        <w:tc>
          <w:tcPr>
            <w:tcW w:w="2268" w:type="dxa"/>
            <w:shd w:val="clear" w:color="auto" w:fill="auto"/>
            <w:vAlign w:val="center"/>
          </w:tcPr>
          <w:p w:rsidR="0085264B" w:rsidRDefault="0085264B" w:rsidP="00D41B57">
            <w:r>
              <w:t>Limit damage to roads caused by excessive overloading of trucks</w:t>
            </w:r>
          </w:p>
        </w:tc>
        <w:tc>
          <w:tcPr>
            <w:tcW w:w="851" w:type="dxa"/>
            <w:shd w:val="clear" w:color="auto" w:fill="auto"/>
            <w:vAlign w:val="center"/>
          </w:tcPr>
          <w:p w:rsidR="0085264B" w:rsidRPr="004E6BFE" w:rsidRDefault="0085264B" w:rsidP="00D41B57">
            <w:r w:rsidRPr="004E6BFE">
              <w:t>OR08</w:t>
            </w:r>
          </w:p>
        </w:tc>
        <w:tc>
          <w:tcPr>
            <w:tcW w:w="3543" w:type="dxa"/>
            <w:shd w:val="clear" w:color="auto" w:fill="auto"/>
            <w:vAlign w:val="center"/>
          </w:tcPr>
          <w:p w:rsidR="0085264B" w:rsidRDefault="0085264B" w:rsidP="00D41B57">
            <w:r>
              <w:t xml:space="preserve">Review appropriateness of axle load legislation and ensure its effective enforcement via regular spot-checks and fines for non-compliance. </w:t>
            </w:r>
          </w:p>
          <w:p w:rsidR="0085264B" w:rsidRDefault="0085264B" w:rsidP="00D41B57"/>
          <w:p w:rsidR="0085264B" w:rsidRDefault="0085264B" w:rsidP="00D41B57">
            <w:r>
              <w:t xml:space="preserve">Ensure sufficient monitoring and checking procedures / facilities in place. </w:t>
            </w:r>
          </w:p>
        </w:tc>
        <w:tc>
          <w:tcPr>
            <w:tcW w:w="993" w:type="dxa"/>
            <w:shd w:val="clear" w:color="auto" w:fill="auto"/>
            <w:vAlign w:val="center"/>
          </w:tcPr>
          <w:p w:rsidR="0085264B" w:rsidRDefault="0085264B" w:rsidP="00D41B57">
            <w:pPr>
              <w:jc w:val="center"/>
            </w:pPr>
            <w:r>
              <w:t>N.A.</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Pr="00AE4E38" w:rsidRDefault="0085264B" w:rsidP="00D41B57">
            <w:pPr>
              <w:jc w:val="center"/>
              <w:rPr>
                <w:highlight w:val="yellow"/>
              </w:rPr>
            </w:pPr>
            <w:r w:rsidRPr="0000167A">
              <w:t>H67</w:t>
            </w:r>
          </w:p>
        </w:tc>
      </w:tr>
      <w:tr w:rsidR="0085264B" w:rsidTr="00D41B57">
        <w:tc>
          <w:tcPr>
            <w:tcW w:w="1417" w:type="dxa"/>
            <w:vMerge w:val="restart"/>
            <w:shd w:val="clear" w:color="auto" w:fill="auto"/>
            <w:vAlign w:val="center"/>
          </w:tcPr>
          <w:p w:rsidR="0085264B" w:rsidRPr="00D72710" w:rsidRDefault="0085264B" w:rsidP="00D41B57">
            <w:pPr>
              <w:jc w:val="center"/>
            </w:pPr>
            <w:r w:rsidRPr="00D72710">
              <w:t>Economic Efficiency</w:t>
            </w:r>
          </w:p>
          <w:p w:rsidR="0085264B" w:rsidRPr="00D72710" w:rsidRDefault="0085264B" w:rsidP="00D41B57">
            <w:pPr>
              <w:jc w:val="center"/>
            </w:pPr>
          </w:p>
        </w:tc>
        <w:tc>
          <w:tcPr>
            <w:tcW w:w="676" w:type="dxa"/>
            <w:vMerge w:val="restart"/>
            <w:shd w:val="clear" w:color="auto" w:fill="auto"/>
            <w:vAlign w:val="center"/>
          </w:tcPr>
          <w:p w:rsidR="0085264B" w:rsidRPr="00D72710" w:rsidRDefault="0085264B" w:rsidP="00D41B57">
            <w:pPr>
              <w:jc w:val="center"/>
            </w:pPr>
            <w:r>
              <w:t>03</w:t>
            </w:r>
          </w:p>
        </w:tc>
        <w:tc>
          <w:tcPr>
            <w:tcW w:w="1417" w:type="dxa"/>
            <w:vMerge w:val="restart"/>
            <w:shd w:val="clear" w:color="auto" w:fill="auto"/>
            <w:vAlign w:val="center"/>
          </w:tcPr>
          <w:p w:rsidR="0085264B" w:rsidRPr="00D72710" w:rsidRDefault="0085264B" w:rsidP="00D41B57">
            <w:pPr>
              <w:jc w:val="center"/>
            </w:pPr>
            <w:r w:rsidRPr="00D72710">
              <w:t>Infrastructure Deficit</w:t>
            </w:r>
          </w:p>
        </w:tc>
        <w:tc>
          <w:tcPr>
            <w:tcW w:w="2268" w:type="dxa"/>
            <w:vMerge w:val="restart"/>
            <w:shd w:val="clear" w:color="auto" w:fill="auto"/>
            <w:vAlign w:val="center"/>
          </w:tcPr>
          <w:p w:rsidR="0085264B" w:rsidRPr="00D72710" w:rsidRDefault="0085264B" w:rsidP="00D41B57">
            <w:pPr>
              <w:jc w:val="center"/>
            </w:pPr>
            <w:r w:rsidRPr="00D72710">
              <w:t xml:space="preserve">High travel times leading to uncompetitive </w:t>
            </w:r>
            <w:r w:rsidRPr="00463BBB">
              <w:rPr>
                <w:b/>
              </w:rPr>
              <w:t>service o</w:t>
            </w:r>
            <w:r>
              <w:rPr>
                <w:b/>
              </w:rPr>
              <w:t>n</w:t>
            </w:r>
            <w:r w:rsidRPr="00463BBB">
              <w:rPr>
                <w:b/>
              </w:rPr>
              <w:t xml:space="preserve"> the key national </w:t>
            </w:r>
            <w:r>
              <w:rPr>
                <w:b/>
              </w:rPr>
              <w:t xml:space="preserve">connectivity </w:t>
            </w:r>
            <w:r w:rsidRPr="00463BBB">
              <w:rPr>
                <w:b/>
              </w:rPr>
              <w:t>corridors</w:t>
            </w:r>
            <w:r w:rsidRPr="00D72710">
              <w:t>.</w:t>
            </w:r>
          </w:p>
        </w:tc>
        <w:tc>
          <w:tcPr>
            <w:tcW w:w="3544" w:type="dxa"/>
            <w:vMerge w:val="restart"/>
            <w:shd w:val="clear" w:color="auto" w:fill="auto"/>
            <w:vAlign w:val="center"/>
          </w:tcPr>
          <w:p w:rsidR="0085264B" w:rsidRPr="00D72710" w:rsidRDefault="0085264B" w:rsidP="00D41B57">
            <w:r w:rsidRPr="00D72710">
              <w:t>Less than 3% of network is motorway standard.</w:t>
            </w:r>
          </w:p>
          <w:p w:rsidR="0085264B" w:rsidRPr="00D72710" w:rsidRDefault="0085264B" w:rsidP="00D41B57">
            <w:r w:rsidRPr="00D72710">
              <w:t>Average speed for non-motorway links is 66 kph.</w:t>
            </w:r>
          </w:p>
          <w:p w:rsidR="0085264B" w:rsidRPr="00D72710" w:rsidRDefault="0085264B" w:rsidP="00D41B57"/>
          <w:p w:rsidR="0085264B" w:rsidRPr="00D72710" w:rsidRDefault="0085264B" w:rsidP="00D41B57">
            <w:r w:rsidRPr="00D72710">
              <w:t xml:space="preserve">See detailed national model analysis in Appendix </w:t>
            </w:r>
            <w:r>
              <w:t>B</w:t>
            </w:r>
            <w:r w:rsidRPr="00D72710">
              <w:t>: Economic Impact of Delays (2020 Reference Case) and Figure A1.</w:t>
            </w:r>
          </w:p>
        </w:tc>
        <w:tc>
          <w:tcPr>
            <w:tcW w:w="2268" w:type="dxa"/>
            <w:shd w:val="clear" w:color="auto" w:fill="auto"/>
            <w:vAlign w:val="center"/>
          </w:tcPr>
          <w:p w:rsidR="0085264B" w:rsidRPr="00463BBB" w:rsidRDefault="0085264B" w:rsidP="00D41B57">
            <w:r w:rsidRPr="00D72710">
              <w:t>Impro</w:t>
            </w:r>
            <w:r>
              <w:t>ve travel speeds on Bucharest–Center</w:t>
            </w:r>
            <w:r w:rsidRPr="00D72710">
              <w:t xml:space="preserve"> Corridor</w:t>
            </w:r>
          </w:p>
          <w:p w:rsidR="0085264B" w:rsidRPr="00D72710" w:rsidRDefault="0085264B" w:rsidP="00D41B57">
            <w:r w:rsidRPr="00D72710">
              <w:t>(</w:t>
            </w:r>
            <w:r w:rsidRPr="004D503C">
              <w:rPr>
                <w:b/>
              </w:rPr>
              <w:t>Bucharest-Brasov</w:t>
            </w:r>
            <w:r w:rsidRPr="00D72710">
              <w:t>)</w:t>
            </w:r>
          </w:p>
        </w:tc>
        <w:tc>
          <w:tcPr>
            <w:tcW w:w="851" w:type="dxa"/>
            <w:shd w:val="clear" w:color="auto" w:fill="auto"/>
            <w:vAlign w:val="center"/>
          </w:tcPr>
          <w:p w:rsidR="0085264B" w:rsidRDefault="0085264B" w:rsidP="00D41B57">
            <w:r>
              <w:t>OR1</w:t>
            </w:r>
          </w:p>
        </w:tc>
        <w:tc>
          <w:tcPr>
            <w:tcW w:w="3543" w:type="dxa"/>
            <w:shd w:val="clear" w:color="auto" w:fill="auto"/>
            <w:vAlign w:val="center"/>
          </w:tcPr>
          <w:p w:rsidR="0085264B" w:rsidRDefault="0085264B" w:rsidP="00D41B57">
            <w:r>
              <w:t>Ploiesti-Comarnic-Brasov</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65,000</w:t>
            </w:r>
          </w:p>
        </w:tc>
        <w:tc>
          <w:tcPr>
            <w:tcW w:w="1134" w:type="dxa"/>
            <w:shd w:val="clear" w:color="auto" w:fill="auto"/>
            <w:vAlign w:val="center"/>
          </w:tcPr>
          <w:p w:rsidR="0085264B" w:rsidRDefault="0085264B" w:rsidP="00D41B57">
            <w:pPr>
              <w:jc w:val="center"/>
            </w:pPr>
            <w:r>
              <w:t>Motorway 2x2</w:t>
            </w:r>
          </w:p>
        </w:tc>
        <w:tc>
          <w:tcPr>
            <w:tcW w:w="1701" w:type="dxa"/>
            <w:vAlign w:val="center"/>
          </w:tcPr>
          <w:p w:rsidR="0085264B" w:rsidRDefault="0085264B" w:rsidP="00D41B57">
            <w:pPr>
              <w:jc w:val="center"/>
            </w:pPr>
            <w:r>
              <w:t>Tested against Reference Case</w:t>
            </w:r>
          </w:p>
        </w:tc>
        <w:tc>
          <w:tcPr>
            <w:tcW w:w="1134" w:type="dxa"/>
            <w:shd w:val="clear" w:color="auto" w:fill="auto"/>
            <w:vAlign w:val="center"/>
          </w:tcPr>
          <w:p w:rsidR="0085264B" w:rsidRDefault="0085264B" w:rsidP="00D41B57">
            <w:pPr>
              <w:jc w:val="center"/>
            </w:pPr>
            <w:r>
              <w:t>H1</w:t>
            </w:r>
          </w:p>
          <w:p w:rsidR="0085264B" w:rsidRDefault="0085264B" w:rsidP="00D41B57">
            <w:pPr>
              <w:jc w:val="center"/>
            </w:pPr>
            <w:r>
              <w:t>H8</w:t>
            </w:r>
          </w:p>
        </w:tc>
      </w:tr>
      <w:tr w:rsidR="0085264B" w:rsidTr="00D41B57">
        <w:tc>
          <w:tcPr>
            <w:tcW w:w="1417" w:type="dxa"/>
            <w:vMerge/>
            <w:shd w:val="clear" w:color="auto" w:fill="auto"/>
            <w:vAlign w:val="center"/>
          </w:tcPr>
          <w:p w:rsidR="0085264B" w:rsidRPr="00D72710"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D72710" w:rsidRDefault="0085264B" w:rsidP="00D41B57">
            <w:pPr>
              <w:jc w:val="center"/>
            </w:pPr>
          </w:p>
        </w:tc>
        <w:tc>
          <w:tcPr>
            <w:tcW w:w="2268" w:type="dxa"/>
            <w:vMerge/>
            <w:shd w:val="clear" w:color="auto" w:fill="auto"/>
            <w:vAlign w:val="center"/>
          </w:tcPr>
          <w:p w:rsidR="0085264B" w:rsidRPr="00D72710" w:rsidRDefault="0085264B" w:rsidP="00D41B57">
            <w:pPr>
              <w:jc w:val="center"/>
            </w:pPr>
          </w:p>
        </w:tc>
        <w:tc>
          <w:tcPr>
            <w:tcW w:w="3544" w:type="dxa"/>
            <w:vMerge/>
            <w:shd w:val="clear" w:color="auto" w:fill="auto"/>
            <w:vAlign w:val="center"/>
          </w:tcPr>
          <w:p w:rsidR="0085264B" w:rsidRPr="00D72710" w:rsidRDefault="0085264B" w:rsidP="00D41B57"/>
        </w:tc>
        <w:tc>
          <w:tcPr>
            <w:tcW w:w="2268" w:type="dxa"/>
            <w:shd w:val="clear" w:color="auto" w:fill="auto"/>
            <w:vAlign w:val="center"/>
          </w:tcPr>
          <w:p w:rsidR="0085264B" w:rsidRPr="00463BBB" w:rsidRDefault="0085264B" w:rsidP="00D41B57">
            <w:r w:rsidRPr="00D72710">
              <w:t>Improve travel speeds on Bucharest – West Corridor</w:t>
            </w:r>
          </w:p>
          <w:p w:rsidR="0085264B" w:rsidRPr="00D72710" w:rsidRDefault="0085264B" w:rsidP="00D41B57">
            <w:r w:rsidRPr="00D72710">
              <w:t>(</w:t>
            </w:r>
            <w:r w:rsidRPr="004D503C">
              <w:rPr>
                <w:b/>
              </w:rPr>
              <w:t>Bucharest-Sibiu</w:t>
            </w:r>
            <w:r w:rsidRPr="00D72710">
              <w:t>)</w:t>
            </w:r>
          </w:p>
        </w:tc>
        <w:tc>
          <w:tcPr>
            <w:tcW w:w="851" w:type="dxa"/>
            <w:shd w:val="clear" w:color="auto" w:fill="auto"/>
            <w:vAlign w:val="center"/>
          </w:tcPr>
          <w:p w:rsidR="0085264B" w:rsidRDefault="0085264B" w:rsidP="00D41B57">
            <w:r>
              <w:t>OR2</w:t>
            </w:r>
          </w:p>
          <w:p w:rsidR="0085264B" w:rsidRDefault="0085264B" w:rsidP="00D41B57"/>
        </w:tc>
        <w:tc>
          <w:tcPr>
            <w:tcW w:w="3543" w:type="dxa"/>
            <w:shd w:val="clear" w:color="auto" w:fill="auto"/>
            <w:vAlign w:val="center"/>
          </w:tcPr>
          <w:p w:rsidR="0085264B" w:rsidRPr="009318C4" w:rsidRDefault="0085264B" w:rsidP="00D41B57">
            <w:r>
              <w:t xml:space="preserve">Option 1: </w:t>
            </w:r>
            <w:r w:rsidRPr="009318C4">
              <w:t>Pitesti</w:t>
            </w:r>
            <w:r>
              <w:t xml:space="preserve"> – Sibiu</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57,000</w:t>
            </w:r>
          </w:p>
        </w:tc>
        <w:tc>
          <w:tcPr>
            <w:tcW w:w="1134" w:type="dxa"/>
            <w:shd w:val="clear" w:color="auto" w:fill="auto"/>
            <w:vAlign w:val="center"/>
          </w:tcPr>
          <w:p w:rsidR="0085264B" w:rsidRDefault="0085264B" w:rsidP="00D41B57">
            <w:pPr>
              <w:jc w:val="center"/>
            </w:pPr>
            <w:r>
              <w:t>Motorway 2x2</w:t>
            </w:r>
          </w:p>
        </w:tc>
        <w:tc>
          <w:tcPr>
            <w:tcW w:w="1701" w:type="dxa"/>
            <w:vAlign w:val="center"/>
          </w:tcPr>
          <w:p w:rsidR="0085264B" w:rsidRDefault="0085264B" w:rsidP="00D41B57">
            <w:pPr>
              <w:jc w:val="center"/>
            </w:pPr>
            <w:r>
              <w:t>Each option to be tested against Reference Case and also Reference Case plus alternative.</w:t>
            </w:r>
          </w:p>
        </w:tc>
        <w:tc>
          <w:tcPr>
            <w:tcW w:w="1134" w:type="dxa"/>
            <w:shd w:val="clear" w:color="auto" w:fill="auto"/>
            <w:vAlign w:val="center"/>
          </w:tcPr>
          <w:p w:rsidR="0085264B" w:rsidRDefault="0085264B" w:rsidP="00D41B57">
            <w:pPr>
              <w:jc w:val="center"/>
            </w:pPr>
            <w:r>
              <w:t>H2</w:t>
            </w:r>
          </w:p>
        </w:tc>
      </w:tr>
      <w:tr w:rsidR="0085264B" w:rsidTr="00D41B57">
        <w:tc>
          <w:tcPr>
            <w:tcW w:w="1417" w:type="dxa"/>
            <w:vMerge/>
            <w:shd w:val="clear" w:color="auto" w:fill="auto"/>
            <w:vAlign w:val="center"/>
          </w:tcPr>
          <w:p w:rsidR="0085264B" w:rsidRPr="00D72710"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D72710" w:rsidRDefault="0085264B" w:rsidP="00D41B57">
            <w:pPr>
              <w:jc w:val="center"/>
            </w:pPr>
          </w:p>
        </w:tc>
        <w:tc>
          <w:tcPr>
            <w:tcW w:w="2268" w:type="dxa"/>
            <w:vMerge/>
            <w:shd w:val="clear" w:color="auto" w:fill="auto"/>
            <w:vAlign w:val="center"/>
          </w:tcPr>
          <w:p w:rsidR="0085264B" w:rsidRPr="00D72710" w:rsidRDefault="0085264B" w:rsidP="00D41B57">
            <w:pPr>
              <w:jc w:val="center"/>
            </w:pPr>
          </w:p>
        </w:tc>
        <w:tc>
          <w:tcPr>
            <w:tcW w:w="3544" w:type="dxa"/>
            <w:vMerge/>
            <w:shd w:val="clear" w:color="auto" w:fill="auto"/>
            <w:vAlign w:val="center"/>
          </w:tcPr>
          <w:p w:rsidR="0085264B" w:rsidRPr="00D72710" w:rsidRDefault="0085264B" w:rsidP="00D41B57"/>
        </w:tc>
        <w:tc>
          <w:tcPr>
            <w:tcW w:w="2268" w:type="dxa"/>
            <w:shd w:val="clear" w:color="auto" w:fill="auto"/>
            <w:vAlign w:val="center"/>
          </w:tcPr>
          <w:p w:rsidR="0085264B" w:rsidRPr="00D72710"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Pr="009318C4" w:rsidRDefault="0085264B" w:rsidP="00D41B57">
            <w:r>
              <w:t>Option 2: Ploiesti–</w:t>
            </w:r>
            <w:r w:rsidRPr="009318C4">
              <w:t>Comarnic</w:t>
            </w:r>
            <w:r>
              <w:t>-</w:t>
            </w:r>
            <w:r w:rsidRPr="009318C4">
              <w:t>Brasov</w:t>
            </w:r>
            <w:r>
              <w:t>-Sibiu</w:t>
            </w:r>
          </w:p>
        </w:tc>
        <w:tc>
          <w:tcPr>
            <w:tcW w:w="993" w:type="dxa"/>
            <w:shd w:val="clear" w:color="auto" w:fill="auto"/>
            <w:vAlign w:val="center"/>
          </w:tcPr>
          <w:p w:rsidR="0085264B" w:rsidRPr="009318C4" w:rsidRDefault="0085264B" w:rsidP="00D41B57">
            <w:pPr>
              <w:jc w:val="center"/>
            </w:pPr>
            <w:r>
              <w:t>Y</w:t>
            </w:r>
          </w:p>
        </w:tc>
        <w:tc>
          <w:tcPr>
            <w:tcW w:w="850" w:type="dxa"/>
            <w:shd w:val="clear" w:color="auto" w:fill="auto"/>
            <w:vAlign w:val="center"/>
          </w:tcPr>
          <w:p w:rsidR="0085264B" w:rsidRPr="009318C4" w:rsidRDefault="0085264B" w:rsidP="00D41B57">
            <w:pPr>
              <w:jc w:val="center"/>
            </w:pPr>
            <w:r>
              <w:t>65,000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9318C4" w:rsidRDefault="0085264B" w:rsidP="00D41B57">
            <w:pPr>
              <w:jc w:val="center"/>
            </w:pPr>
          </w:p>
        </w:tc>
        <w:tc>
          <w:tcPr>
            <w:tcW w:w="1134" w:type="dxa"/>
            <w:shd w:val="clear" w:color="auto" w:fill="auto"/>
            <w:vAlign w:val="center"/>
          </w:tcPr>
          <w:p w:rsidR="0085264B" w:rsidRPr="009318C4" w:rsidRDefault="0085264B" w:rsidP="00D41B57">
            <w:pPr>
              <w:jc w:val="center"/>
            </w:pPr>
            <w:r w:rsidRPr="009318C4">
              <w:t>H1</w:t>
            </w:r>
            <w:r>
              <w:t>, H7, H8</w:t>
            </w:r>
          </w:p>
        </w:tc>
      </w:tr>
      <w:tr w:rsidR="0085264B" w:rsidTr="00D41B57">
        <w:tc>
          <w:tcPr>
            <w:tcW w:w="1417" w:type="dxa"/>
            <w:vMerge/>
            <w:shd w:val="clear" w:color="auto" w:fill="auto"/>
            <w:vAlign w:val="center"/>
          </w:tcPr>
          <w:p w:rsidR="0085264B" w:rsidRPr="00463BB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Pr="00463BBB" w:rsidRDefault="0085264B" w:rsidP="00D41B57">
            <w:r w:rsidRPr="00D72710">
              <w:t>Improve travel speeds on Bucharest - North East Corridor</w:t>
            </w:r>
          </w:p>
          <w:p w:rsidR="0085264B" w:rsidRPr="00463BBB" w:rsidRDefault="0085264B" w:rsidP="00D41B57">
            <w:r w:rsidRPr="00D72710">
              <w:t>(</w:t>
            </w:r>
            <w:r w:rsidRPr="004D503C">
              <w:rPr>
                <w:b/>
              </w:rPr>
              <w:t>Bucharest - Bacau-Iasi</w:t>
            </w:r>
            <w:r w:rsidRPr="00D72710">
              <w:t>)</w:t>
            </w:r>
          </w:p>
        </w:tc>
        <w:tc>
          <w:tcPr>
            <w:tcW w:w="851" w:type="dxa"/>
            <w:shd w:val="clear" w:color="auto" w:fill="auto"/>
            <w:vAlign w:val="center"/>
          </w:tcPr>
          <w:p w:rsidR="0085264B" w:rsidRDefault="0085264B" w:rsidP="00D41B57">
            <w:r>
              <w:t>OR3</w:t>
            </w:r>
          </w:p>
        </w:tc>
        <w:tc>
          <w:tcPr>
            <w:tcW w:w="3543" w:type="dxa"/>
            <w:shd w:val="clear" w:color="auto" w:fill="auto"/>
            <w:vAlign w:val="center"/>
          </w:tcPr>
          <w:p w:rsidR="0085264B" w:rsidRPr="00463BBB" w:rsidRDefault="0085264B" w:rsidP="00D41B57">
            <w:pPr>
              <w:rPr>
                <w:lang w:val="fr-CH"/>
              </w:rPr>
            </w:pPr>
            <w:r w:rsidRPr="00463BBB">
              <w:rPr>
                <w:lang w:val="fr-CH"/>
              </w:rPr>
              <w:t xml:space="preserve">Option </w:t>
            </w:r>
            <w:r>
              <w:rPr>
                <w:lang w:val="fr-CH"/>
              </w:rPr>
              <w:t>1</w:t>
            </w:r>
            <w:r w:rsidRPr="00463BBB">
              <w:rPr>
                <w:lang w:val="fr-CH"/>
              </w:rPr>
              <w:t>: Ploiesti-Buzau- Bacau-Iasi</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463BBB" w:rsidRDefault="0085264B" w:rsidP="00D41B57">
            <w:pPr>
              <w:jc w:val="center"/>
              <w:rPr>
                <w:highlight w:val="yellow"/>
              </w:rPr>
            </w:pPr>
            <w:r w:rsidRPr="00E46E6D">
              <w:t>47,000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463BBB" w:rsidRDefault="0085264B" w:rsidP="00D41B57">
            <w:pPr>
              <w:jc w:val="center"/>
              <w:rPr>
                <w:highlight w:val="yellow"/>
              </w:rPr>
            </w:pPr>
            <w:r>
              <w:t>Each option to be tested against Reference Case and also Reference Case plus alternative</w:t>
            </w:r>
          </w:p>
        </w:tc>
        <w:tc>
          <w:tcPr>
            <w:tcW w:w="1134" w:type="dxa"/>
            <w:shd w:val="clear" w:color="auto" w:fill="auto"/>
            <w:vAlign w:val="center"/>
          </w:tcPr>
          <w:p w:rsidR="0085264B" w:rsidRDefault="0085264B" w:rsidP="00D41B57">
            <w:pPr>
              <w:jc w:val="center"/>
            </w:pPr>
            <w:r w:rsidRPr="008272EC">
              <w:t>H38</w:t>
            </w:r>
          </w:p>
          <w:p w:rsidR="0085264B" w:rsidRPr="008272EC" w:rsidRDefault="0085264B" w:rsidP="00D41B57">
            <w:pPr>
              <w:jc w:val="center"/>
            </w:pPr>
            <w:r>
              <w:t>H13</w:t>
            </w:r>
          </w:p>
        </w:tc>
      </w:tr>
      <w:tr w:rsidR="0085264B" w:rsidTr="00D41B57">
        <w:tc>
          <w:tcPr>
            <w:tcW w:w="1417" w:type="dxa"/>
            <w:vMerge/>
            <w:shd w:val="clear" w:color="auto" w:fill="auto"/>
            <w:vAlign w:val="center"/>
          </w:tcPr>
          <w:p w:rsidR="0085264B" w:rsidRPr="00463BB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Pr="00463BBB"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Pr="00463BBB" w:rsidRDefault="0085264B" w:rsidP="00D41B57">
            <w:pPr>
              <w:rPr>
                <w:lang w:val="fr-CH"/>
              </w:rPr>
            </w:pPr>
            <w:r w:rsidRPr="00463BBB">
              <w:rPr>
                <w:lang w:val="fr-CH"/>
              </w:rPr>
              <w:t xml:space="preserve">Option </w:t>
            </w:r>
            <w:r>
              <w:rPr>
                <w:lang w:val="fr-CH"/>
              </w:rPr>
              <w:t>2</w:t>
            </w:r>
            <w:r w:rsidRPr="00463BBB">
              <w:rPr>
                <w:lang w:val="fr-CH"/>
              </w:rPr>
              <w:t>: Ploiesti-Brasov-Bacau-Iasi</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463BBB" w:rsidRDefault="0085264B" w:rsidP="00D41B57">
            <w:pPr>
              <w:jc w:val="center"/>
              <w:rPr>
                <w:highlight w:val="yellow"/>
              </w:rPr>
            </w:pPr>
            <w:r w:rsidRPr="00E46E6D">
              <w:t>65,000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8272EC" w:rsidRDefault="0085264B" w:rsidP="00D41B57">
            <w:pPr>
              <w:jc w:val="center"/>
            </w:pPr>
          </w:p>
        </w:tc>
        <w:tc>
          <w:tcPr>
            <w:tcW w:w="1134" w:type="dxa"/>
            <w:shd w:val="clear" w:color="auto" w:fill="auto"/>
            <w:vAlign w:val="center"/>
          </w:tcPr>
          <w:p w:rsidR="0085264B" w:rsidRPr="008272EC" w:rsidRDefault="0085264B" w:rsidP="00D41B57">
            <w:pPr>
              <w:jc w:val="center"/>
            </w:pPr>
            <w:r w:rsidRPr="008272EC">
              <w:t>H1</w:t>
            </w:r>
            <w:r>
              <w:t xml:space="preserve">, </w:t>
            </w:r>
            <w:r w:rsidRPr="008272EC">
              <w:t>H8</w:t>
            </w:r>
            <w:r>
              <w:t xml:space="preserve">, </w:t>
            </w:r>
            <w:r w:rsidRPr="008272EC">
              <w:t>H12</w:t>
            </w:r>
            <w:r>
              <w:t xml:space="preserve">, </w:t>
            </w:r>
            <w:r w:rsidRPr="008272EC">
              <w:t>H13</w:t>
            </w:r>
          </w:p>
        </w:tc>
      </w:tr>
      <w:tr w:rsidR="0085264B" w:rsidTr="00D41B57">
        <w:tc>
          <w:tcPr>
            <w:tcW w:w="1417" w:type="dxa"/>
            <w:vMerge/>
            <w:shd w:val="clear" w:color="auto" w:fill="auto"/>
            <w:vAlign w:val="center"/>
          </w:tcPr>
          <w:p w:rsidR="0085264B" w:rsidRPr="00463BB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Pr="00463BBB"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Pr="00912309" w:rsidRDefault="0085264B" w:rsidP="00D41B57">
            <w:r>
              <w:t xml:space="preserve">Bucharest-Bacau-Iasi </w:t>
            </w:r>
            <w:r w:rsidRPr="00271A9B">
              <w:rPr>
                <w:i/>
              </w:rPr>
              <w:t>via</w:t>
            </w:r>
            <w:r>
              <w:rPr>
                <w:i/>
              </w:rPr>
              <w:t xml:space="preserve"> Pascani (using preferred choice from option 1 and 2 as far as Bacau)</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E46E6D" w:rsidRDefault="0085264B" w:rsidP="00D41B57">
            <w:pPr>
              <w:jc w:val="center"/>
            </w:pP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8272EC" w:rsidRDefault="0085264B" w:rsidP="00D41B57">
            <w:pPr>
              <w:jc w:val="center"/>
            </w:pPr>
            <w:r>
              <w:t>Reference Case plus best performing of Option 1 and 2</w:t>
            </w:r>
          </w:p>
        </w:tc>
        <w:tc>
          <w:tcPr>
            <w:tcW w:w="1134" w:type="dxa"/>
            <w:shd w:val="clear" w:color="auto" w:fill="auto"/>
            <w:vAlign w:val="center"/>
          </w:tcPr>
          <w:p w:rsidR="0085264B" w:rsidRPr="008272EC" w:rsidRDefault="0085264B" w:rsidP="00D41B57">
            <w:pPr>
              <w:jc w:val="center"/>
            </w:pPr>
            <w:r>
              <w:t>TBC</w:t>
            </w:r>
          </w:p>
        </w:tc>
      </w:tr>
      <w:tr w:rsidR="0085264B" w:rsidTr="00D41B57">
        <w:tc>
          <w:tcPr>
            <w:tcW w:w="1417" w:type="dxa"/>
            <w:vMerge/>
            <w:shd w:val="clear" w:color="auto" w:fill="auto"/>
            <w:vAlign w:val="center"/>
          </w:tcPr>
          <w:p w:rsidR="0085264B" w:rsidRPr="00463BB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Pr="00463BBB" w:rsidRDefault="0085264B" w:rsidP="00D41B57">
            <w:r w:rsidRPr="00D72710">
              <w:t>Improve travel speeds on Bucharest - South West Corridor</w:t>
            </w:r>
          </w:p>
          <w:p w:rsidR="0085264B" w:rsidRPr="00D72710" w:rsidRDefault="0085264B" w:rsidP="00D41B57">
            <w:r w:rsidRPr="00D72710">
              <w:t>(</w:t>
            </w:r>
            <w:r w:rsidRPr="004D503C">
              <w:rPr>
                <w:b/>
              </w:rPr>
              <w:t>Bucharest – Craiova</w:t>
            </w:r>
            <w:r w:rsidRPr="00D72710">
              <w:t>)</w:t>
            </w:r>
          </w:p>
          <w:p w:rsidR="0085264B" w:rsidRPr="00463BBB" w:rsidRDefault="0085264B" w:rsidP="00D41B57"/>
        </w:tc>
        <w:tc>
          <w:tcPr>
            <w:tcW w:w="851" w:type="dxa"/>
            <w:shd w:val="clear" w:color="auto" w:fill="auto"/>
            <w:vAlign w:val="center"/>
          </w:tcPr>
          <w:p w:rsidR="0085264B" w:rsidRDefault="0085264B" w:rsidP="00D41B57">
            <w:r>
              <w:t>OR4</w:t>
            </w:r>
          </w:p>
        </w:tc>
        <w:tc>
          <w:tcPr>
            <w:tcW w:w="3543" w:type="dxa"/>
            <w:shd w:val="clear" w:color="auto" w:fill="auto"/>
            <w:vAlign w:val="center"/>
          </w:tcPr>
          <w:p w:rsidR="0085264B" w:rsidRDefault="0085264B" w:rsidP="00D41B57">
            <w:r>
              <w:t>Option 1: Pitesti-Craiova</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463BBB" w:rsidRDefault="0085264B" w:rsidP="00D41B57">
            <w:pPr>
              <w:jc w:val="center"/>
              <w:rPr>
                <w:highlight w:val="yellow"/>
              </w:rPr>
            </w:pPr>
            <w:r w:rsidRPr="00242691">
              <w:t>37,000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463BBB" w:rsidRDefault="0085264B" w:rsidP="00D41B57">
            <w:pPr>
              <w:jc w:val="center"/>
              <w:rPr>
                <w:highlight w:val="yellow"/>
              </w:rPr>
            </w:pPr>
            <w:r>
              <w:t>Each option to be tested against Reference Case and also Reference Case plus alternative</w:t>
            </w:r>
          </w:p>
        </w:tc>
        <w:tc>
          <w:tcPr>
            <w:tcW w:w="1134" w:type="dxa"/>
            <w:shd w:val="clear" w:color="auto" w:fill="auto"/>
            <w:vAlign w:val="center"/>
          </w:tcPr>
          <w:p w:rsidR="0085264B" w:rsidRPr="008272EC" w:rsidRDefault="0085264B" w:rsidP="00D41B57">
            <w:pPr>
              <w:jc w:val="center"/>
            </w:pPr>
            <w:r w:rsidRPr="008272EC">
              <w:t>H6</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Default="0085264B" w:rsidP="00D41B57">
            <w:r>
              <w:t>Option 2: Bucharest-Alexandria-Craiova</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463BBB" w:rsidRDefault="0085264B" w:rsidP="00D41B57">
            <w:pPr>
              <w:jc w:val="center"/>
              <w:rPr>
                <w:highlight w:val="yellow"/>
              </w:rPr>
            </w:pPr>
            <w:r w:rsidRPr="00242691">
              <w:t>42,000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463BBB" w:rsidRDefault="0085264B" w:rsidP="00D41B57">
            <w:pPr>
              <w:jc w:val="center"/>
              <w:rPr>
                <w:highlight w:val="yellow"/>
              </w:rPr>
            </w:pPr>
          </w:p>
        </w:tc>
        <w:tc>
          <w:tcPr>
            <w:tcW w:w="1134" w:type="dxa"/>
            <w:shd w:val="clear" w:color="auto" w:fill="auto"/>
            <w:vAlign w:val="center"/>
          </w:tcPr>
          <w:p w:rsidR="0085264B" w:rsidRPr="008272EC" w:rsidRDefault="0085264B" w:rsidP="00D41B57">
            <w:pPr>
              <w:jc w:val="center"/>
            </w:pPr>
            <w:r w:rsidRPr="008272EC">
              <w:t>H9</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Improve travel speeds on North-East – Center - West Corridor</w:t>
            </w:r>
          </w:p>
          <w:p w:rsidR="0085264B" w:rsidRPr="00463BBB" w:rsidRDefault="0085264B" w:rsidP="00D41B57">
            <w:pPr>
              <w:rPr>
                <w:lang w:val="fr-CH"/>
              </w:rPr>
            </w:pPr>
            <w:r w:rsidRPr="00463BBB">
              <w:rPr>
                <w:lang w:val="fr-CH"/>
              </w:rPr>
              <w:t>(</w:t>
            </w:r>
            <w:r w:rsidRPr="004D503C">
              <w:rPr>
                <w:b/>
                <w:lang w:val="fr-CH"/>
              </w:rPr>
              <w:t>Iasi – Brasov/Cluj – HU Border</w:t>
            </w:r>
            <w:r w:rsidRPr="00463BBB">
              <w:rPr>
                <w:lang w:val="fr-CH"/>
              </w:rPr>
              <w:t>)</w:t>
            </w:r>
          </w:p>
        </w:tc>
        <w:tc>
          <w:tcPr>
            <w:tcW w:w="851" w:type="dxa"/>
            <w:shd w:val="clear" w:color="auto" w:fill="auto"/>
            <w:vAlign w:val="center"/>
          </w:tcPr>
          <w:p w:rsidR="0085264B" w:rsidRDefault="0085264B" w:rsidP="00D41B57">
            <w:r>
              <w:t>OR5</w:t>
            </w:r>
          </w:p>
        </w:tc>
        <w:tc>
          <w:tcPr>
            <w:tcW w:w="3543" w:type="dxa"/>
            <w:shd w:val="clear" w:color="auto" w:fill="auto"/>
            <w:vAlign w:val="center"/>
          </w:tcPr>
          <w:p w:rsidR="0085264B" w:rsidRPr="00463BBB" w:rsidRDefault="0085264B" w:rsidP="00D41B57">
            <w:pPr>
              <w:rPr>
                <w:lang w:val="fr-CH"/>
              </w:rPr>
            </w:pPr>
            <w:r w:rsidRPr="00463BBB">
              <w:rPr>
                <w:lang w:val="fr-CH"/>
              </w:rPr>
              <w:t>Option 1: Iasi - Turda + Nadaselu - Bors</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Pr="00463BBB" w:rsidRDefault="0085264B" w:rsidP="00D41B57">
            <w:pPr>
              <w:jc w:val="center"/>
              <w:rPr>
                <w:highlight w:val="yellow"/>
                <w:lang w:val="fr-CH"/>
              </w:rPr>
            </w:pPr>
            <w:r w:rsidRPr="00242691">
              <w:rPr>
                <w:lang w:val="fr-CH"/>
              </w:rPr>
              <w:t>35,000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Pr="00463BBB" w:rsidRDefault="0085264B" w:rsidP="00D41B57">
            <w:pPr>
              <w:jc w:val="center"/>
              <w:rPr>
                <w:highlight w:val="yellow"/>
              </w:rPr>
            </w:pPr>
            <w:r>
              <w:t>Each option to be tested against Reference Case and also Reference Case plus alternative</w:t>
            </w:r>
          </w:p>
        </w:tc>
        <w:tc>
          <w:tcPr>
            <w:tcW w:w="1134" w:type="dxa"/>
            <w:shd w:val="clear" w:color="auto" w:fill="auto"/>
            <w:vAlign w:val="center"/>
          </w:tcPr>
          <w:p w:rsidR="0085264B" w:rsidRPr="008272EC" w:rsidRDefault="0085264B" w:rsidP="00D41B57">
            <w:pPr>
              <w:jc w:val="center"/>
              <w:rPr>
                <w:lang w:val="fr-CH"/>
              </w:rPr>
            </w:pPr>
            <w:r w:rsidRPr="008272EC">
              <w:rPr>
                <w:lang w:val="fr-CH"/>
              </w:rPr>
              <w:t>H14</w:t>
            </w:r>
          </w:p>
          <w:p w:rsidR="0085264B" w:rsidRPr="008272EC" w:rsidRDefault="0085264B" w:rsidP="00D41B57">
            <w:pPr>
              <w:jc w:val="center"/>
              <w:rPr>
                <w:lang w:val="fr-CH"/>
              </w:rPr>
            </w:pPr>
            <w:r w:rsidRPr="008272EC">
              <w:rPr>
                <w:lang w:val="fr-CH"/>
              </w:rPr>
              <w:t>H15</w:t>
            </w:r>
          </w:p>
        </w:tc>
      </w:tr>
      <w:tr w:rsidR="0085264B" w:rsidTr="00D41B57">
        <w:tc>
          <w:tcPr>
            <w:tcW w:w="1417" w:type="dxa"/>
            <w:vMerge/>
            <w:shd w:val="clear" w:color="auto" w:fill="auto"/>
            <w:vAlign w:val="center"/>
          </w:tcPr>
          <w:p w:rsidR="0085264B" w:rsidRPr="00463BBB" w:rsidRDefault="0085264B" w:rsidP="00D41B57">
            <w:pPr>
              <w:jc w:val="center"/>
              <w:rPr>
                <w:lang w:val="fr-CH"/>
              </w:rPr>
            </w:pPr>
          </w:p>
        </w:tc>
        <w:tc>
          <w:tcPr>
            <w:tcW w:w="676" w:type="dxa"/>
            <w:vMerge/>
            <w:shd w:val="clear" w:color="auto" w:fill="auto"/>
            <w:vAlign w:val="center"/>
          </w:tcPr>
          <w:p w:rsidR="0085264B" w:rsidRPr="00463BBB" w:rsidRDefault="0085264B" w:rsidP="00D41B57">
            <w:pPr>
              <w:jc w:val="center"/>
              <w:rPr>
                <w:lang w:val="fr-CH"/>
              </w:rPr>
            </w:pPr>
          </w:p>
        </w:tc>
        <w:tc>
          <w:tcPr>
            <w:tcW w:w="1417" w:type="dxa"/>
            <w:vMerge/>
            <w:shd w:val="clear" w:color="auto" w:fill="auto"/>
            <w:vAlign w:val="center"/>
          </w:tcPr>
          <w:p w:rsidR="0085264B" w:rsidRPr="00463BBB" w:rsidRDefault="0085264B" w:rsidP="00D41B57">
            <w:pPr>
              <w:jc w:val="center"/>
              <w:rPr>
                <w:lang w:val="fr-CH"/>
              </w:rPr>
            </w:pPr>
          </w:p>
        </w:tc>
        <w:tc>
          <w:tcPr>
            <w:tcW w:w="2268" w:type="dxa"/>
            <w:vMerge/>
            <w:shd w:val="clear" w:color="auto" w:fill="auto"/>
            <w:vAlign w:val="center"/>
          </w:tcPr>
          <w:p w:rsidR="0085264B" w:rsidRPr="00463BBB" w:rsidRDefault="0085264B" w:rsidP="00D41B57">
            <w:pPr>
              <w:jc w:val="center"/>
              <w:rPr>
                <w:lang w:val="fr-CH"/>
              </w:rPr>
            </w:pPr>
          </w:p>
        </w:tc>
        <w:tc>
          <w:tcPr>
            <w:tcW w:w="3544" w:type="dxa"/>
            <w:vMerge/>
            <w:shd w:val="clear" w:color="auto" w:fill="auto"/>
            <w:vAlign w:val="center"/>
          </w:tcPr>
          <w:p w:rsidR="0085264B" w:rsidRPr="00463BBB" w:rsidRDefault="0085264B" w:rsidP="00D41B57">
            <w:pPr>
              <w:rPr>
                <w:lang w:val="fr-CH"/>
              </w:rPr>
            </w:pPr>
          </w:p>
        </w:tc>
        <w:tc>
          <w:tcPr>
            <w:tcW w:w="2268" w:type="dxa"/>
            <w:shd w:val="clear" w:color="auto" w:fill="auto"/>
            <w:vAlign w:val="center"/>
          </w:tcPr>
          <w:p w:rsidR="0085264B" w:rsidRPr="00463BBB" w:rsidRDefault="0085264B" w:rsidP="00D41B57">
            <w:pPr>
              <w:rPr>
                <w:lang w:val="fr-CH"/>
              </w:rPr>
            </w:pPr>
          </w:p>
        </w:tc>
        <w:tc>
          <w:tcPr>
            <w:tcW w:w="851" w:type="dxa"/>
            <w:shd w:val="clear" w:color="auto" w:fill="auto"/>
            <w:vAlign w:val="center"/>
          </w:tcPr>
          <w:p w:rsidR="0085264B" w:rsidRPr="00463BBB" w:rsidRDefault="0085264B" w:rsidP="00D41B57">
            <w:pPr>
              <w:rPr>
                <w:lang w:val="fr-CH"/>
              </w:rPr>
            </w:pPr>
          </w:p>
        </w:tc>
        <w:tc>
          <w:tcPr>
            <w:tcW w:w="3543" w:type="dxa"/>
            <w:shd w:val="clear" w:color="auto" w:fill="auto"/>
            <w:vAlign w:val="center"/>
          </w:tcPr>
          <w:p w:rsidR="0085264B" w:rsidRDefault="0085264B" w:rsidP="00D41B57">
            <w:r>
              <w:t>Option 2: Iasi – Bacau – Brasov – Sibiu</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44,000</w:t>
            </w:r>
          </w:p>
        </w:tc>
        <w:tc>
          <w:tcPr>
            <w:tcW w:w="1134" w:type="dxa"/>
            <w:shd w:val="clear" w:color="auto" w:fill="auto"/>
            <w:vAlign w:val="center"/>
          </w:tcPr>
          <w:p w:rsidR="0085264B" w:rsidRPr="009318C4" w:rsidRDefault="0085264B" w:rsidP="00D41B57">
            <w:pPr>
              <w:jc w:val="center"/>
            </w:pPr>
            <w:r>
              <w:t>Motorway 2x2</w:t>
            </w:r>
          </w:p>
        </w:tc>
        <w:tc>
          <w:tcPr>
            <w:tcW w:w="1701" w:type="dxa"/>
            <w:vAlign w:val="center"/>
          </w:tcPr>
          <w:p w:rsidR="0085264B" w:rsidRDefault="0085264B" w:rsidP="00D41B57">
            <w:pPr>
              <w:jc w:val="center"/>
            </w:pPr>
          </w:p>
        </w:tc>
        <w:tc>
          <w:tcPr>
            <w:tcW w:w="1134" w:type="dxa"/>
            <w:shd w:val="clear" w:color="auto" w:fill="auto"/>
            <w:vAlign w:val="center"/>
          </w:tcPr>
          <w:p w:rsidR="0085264B" w:rsidRDefault="0085264B" w:rsidP="00D41B57">
            <w:pPr>
              <w:jc w:val="center"/>
            </w:pPr>
            <w:r>
              <w:t>H7, H12, H13</w:t>
            </w:r>
          </w:p>
        </w:tc>
      </w:tr>
      <w:tr w:rsidR="0085264B" w:rsidTr="00D41B57">
        <w:tc>
          <w:tcPr>
            <w:tcW w:w="1417" w:type="dxa"/>
            <w:vMerge/>
            <w:shd w:val="clear" w:color="auto" w:fill="auto"/>
            <w:vAlign w:val="center"/>
          </w:tcPr>
          <w:p w:rsidR="0085264B" w:rsidRPr="00463BBB" w:rsidRDefault="0085264B" w:rsidP="00D41B57">
            <w:pPr>
              <w:jc w:val="center"/>
              <w:rPr>
                <w:lang w:val="fr-CH"/>
              </w:rPr>
            </w:pPr>
          </w:p>
        </w:tc>
        <w:tc>
          <w:tcPr>
            <w:tcW w:w="676" w:type="dxa"/>
            <w:vMerge/>
            <w:shd w:val="clear" w:color="auto" w:fill="auto"/>
            <w:vAlign w:val="center"/>
          </w:tcPr>
          <w:p w:rsidR="0085264B" w:rsidRPr="00463BBB" w:rsidRDefault="0085264B" w:rsidP="00D41B57">
            <w:pPr>
              <w:jc w:val="center"/>
              <w:rPr>
                <w:lang w:val="fr-CH"/>
              </w:rPr>
            </w:pPr>
          </w:p>
        </w:tc>
        <w:tc>
          <w:tcPr>
            <w:tcW w:w="1417" w:type="dxa"/>
            <w:vMerge/>
            <w:shd w:val="clear" w:color="auto" w:fill="auto"/>
            <w:vAlign w:val="center"/>
          </w:tcPr>
          <w:p w:rsidR="0085264B" w:rsidRPr="00463BBB" w:rsidRDefault="0085264B" w:rsidP="00D41B57">
            <w:pPr>
              <w:jc w:val="center"/>
              <w:rPr>
                <w:lang w:val="fr-CH"/>
              </w:rPr>
            </w:pPr>
          </w:p>
        </w:tc>
        <w:tc>
          <w:tcPr>
            <w:tcW w:w="2268" w:type="dxa"/>
            <w:vMerge/>
            <w:shd w:val="clear" w:color="auto" w:fill="auto"/>
            <w:vAlign w:val="center"/>
          </w:tcPr>
          <w:p w:rsidR="0085264B" w:rsidRPr="00463BBB" w:rsidRDefault="0085264B" w:rsidP="00D41B57">
            <w:pPr>
              <w:jc w:val="center"/>
              <w:rPr>
                <w:lang w:val="fr-CH"/>
              </w:rPr>
            </w:pPr>
          </w:p>
        </w:tc>
        <w:tc>
          <w:tcPr>
            <w:tcW w:w="3544" w:type="dxa"/>
            <w:vMerge/>
            <w:shd w:val="clear" w:color="auto" w:fill="auto"/>
            <w:vAlign w:val="center"/>
          </w:tcPr>
          <w:p w:rsidR="0085264B" w:rsidRPr="00463BBB" w:rsidRDefault="0085264B" w:rsidP="00D41B57">
            <w:pPr>
              <w:rPr>
                <w:lang w:val="fr-CH"/>
              </w:rPr>
            </w:pPr>
          </w:p>
        </w:tc>
        <w:tc>
          <w:tcPr>
            <w:tcW w:w="2268" w:type="dxa"/>
            <w:shd w:val="clear" w:color="auto" w:fill="auto"/>
            <w:vAlign w:val="center"/>
          </w:tcPr>
          <w:p w:rsidR="0085264B" w:rsidRPr="008B23BA" w:rsidRDefault="0085264B" w:rsidP="00D41B57">
            <w:r w:rsidRPr="008B23BA">
              <w:t>Aggregate all national corridor objectives</w:t>
            </w:r>
          </w:p>
        </w:tc>
        <w:tc>
          <w:tcPr>
            <w:tcW w:w="851" w:type="dxa"/>
            <w:shd w:val="clear" w:color="auto" w:fill="auto"/>
            <w:vAlign w:val="center"/>
          </w:tcPr>
          <w:p w:rsidR="0085264B" w:rsidRPr="004D503C" w:rsidRDefault="0085264B" w:rsidP="00D41B57">
            <w:r w:rsidRPr="004D503C">
              <w:t>OR1+OR2+OR3+OR4+OR5</w:t>
            </w:r>
          </w:p>
        </w:tc>
        <w:tc>
          <w:tcPr>
            <w:tcW w:w="3543" w:type="dxa"/>
            <w:shd w:val="clear" w:color="auto" w:fill="auto"/>
            <w:vAlign w:val="center"/>
          </w:tcPr>
          <w:p w:rsidR="0085264B" w:rsidRDefault="0085264B" w:rsidP="00D41B57">
            <w:r w:rsidRPr="00463BBB">
              <w:t xml:space="preserve">Option </w:t>
            </w:r>
            <w:r>
              <w:t>A</w:t>
            </w:r>
            <w:r w:rsidRPr="00463BBB">
              <w:t xml:space="preserve">: </w:t>
            </w:r>
            <w:r>
              <w:t>sum of best option of each of OR1 to OR5</w:t>
            </w:r>
          </w:p>
          <w:p w:rsidR="0085264B" w:rsidRPr="008B23BA" w:rsidRDefault="0085264B" w:rsidP="00D41B57">
            <w:r>
              <w:t>Option B: Variant combination based on Core TEN-T networks</w:t>
            </w:r>
          </w:p>
        </w:tc>
        <w:tc>
          <w:tcPr>
            <w:tcW w:w="993" w:type="dxa"/>
            <w:shd w:val="clear" w:color="auto" w:fill="auto"/>
            <w:vAlign w:val="center"/>
          </w:tcPr>
          <w:p w:rsidR="0085264B" w:rsidRPr="008B23BA" w:rsidRDefault="0085264B" w:rsidP="00D41B57">
            <w:pPr>
              <w:jc w:val="center"/>
            </w:pPr>
            <w:r>
              <w:t>Y</w:t>
            </w:r>
          </w:p>
        </w:tc>
        <w:tc>
          <w:tcPr>
            <w:tcW w:w="850" w:type="dxa"/>
            <w:shd w:val="clear" w:color="auto" w:fill="auto"/>
            <w:vAlign w:val="center"/>
          </w:tcPr>
          <w:p w:rsidR="0085264B" w:rsidRPr="008B23BA" w:rsidRDefault="0085264B" w:rsidP="00D41B57">
            <w:pPr>
              <w:jc w:val="center"/>
            </w:pPr>
            <w:r>
              <w:t>TBC</w:t>
            </w:r>
          </w:p>
        </w:tc>
        <w:tc>
          <w:tcPr>
            <w:tcW w:w="1134" w:type="dxa"/>
            <w:shd w:val="clear" w:color="auto" w:fill="auto"/>
            <w:vAlign w:val="center"/>
          </w:tcPr>
          <w:p w:rsidR="0085264B" w:rsidRPr="008B23BA" w:rsidRDefault="0085264B" w:rsidP="00D41B57">
            <w:pPr>
              <w:jc w:val="center"/>
            </w:pPr>
            <w:r>
              <w:t>TBC</w:t>
            </w:r>
          </w:p>
        </w:tc>
        <w:tc>
          <w:tcPr>
            <w:tcW w:w="1701" w:type="dxa"/>
            <w:vAlign w:val="center"/>
          </w:tcPr>
          <w:p w:rsidR="0085264B" w:rsidRPr="008B23BA" w:rsidRDefault="0085264B" w:rsidP="00D41B57">
            <w:pPr>
              <w:jc w:val="center"/>
            </w:pPr>
            <w:r>
              <w:t>Aggregate tests OR1+Or2+OR3+OR4+OR5</w:t>
            </w:r>
          </w:p>
        </w:tc>
        <w:tc>
          <w:tcPr>
            <w:tcW w:w="1134" w:type="dxa"/>
            <w:shd w:val="clear" w:color="auto" w:fill="auto"/>
            <w:vAlign w:val="center"/>
          </w:tcPr>
          <w:p w:rsidR="0085264B" w:rsidRPr="008B23BA" w:rsidRDefault="0085264B" w:rsidP="00D41B57">
            <w:pPr>
              <w:jc w:val="center"/>
            </w:pPr>
            <w:r>
              <w:t>TBC</w:t>
            </w:r>
          </w:p>
        </w:tc>
      </w:tr>
      <w:tr w:rsidR="0085264B" w:rsidTr="00D41B57">
        <w:tc>
          <w:tcPr>
            <w:tcW w:w="1417" w:type="dxa"/>
            <w:vMerge w:val="restart"/>
            <w:shd w:val="clear" w:color="auto" w:fill="auto"/>
            <w:vAlign w:val="center"/>
          </w:tcPr>
          <w:p w:rsidR="0085264B" w:rsidRDefault="0085264B" w:rsidP="00D41B57">
            <w:pPr>
              <w:jc w:val="center"/>
            </w:pPr>
            <w:r>
              <w:t>Economic Efficiency</w:t>
            </w:r>
          </w:p>
          <w:p w:rsidR="0085264B" w:rsidRPr="008B23BA" w:rsidRDefault="0085264B" w:rsidP="00D41B57">
            <w:pPr>
              <w:jc w:val="center"/>
            </w:pPr>
          </w:p>
        </w:tc>
        <w:tc>
          <w:tcPr>
            <w:tcW w:w="676" w:type="dxa"/>
            <w:vMerge w:val="restart"/>
            <w:shd w:val="clear" w:color="auto" w:fill="auto"/>
            <w:vAlign w:val="center"/>
          </w:tcPr>
          <w:p w:rsidR="0085264B" w:rsidRDefault="0085264B" w:rsidP="00D41B57">
            <w:pPr>
              <w:jc w:val="center"/>
            </w:pPr>
            <w:r>
              <w:t>04</w:t>
            </w:r>
          </w:p>
        </w:tc>
        <w:tc>
          <w:tcPr>
            <w:tcW w:w="1417" w:type="dxa"/>
            <w:vMerge w:val="restart"/>
            <w:shd w:val="clear" w:color="auto" w:fill="auto"/>
            <w:vAlign w:val="center"/>
          </w:tcPr>
          <w:p w:rsidR="0085264B" w:rsidRDefault="0085264B" w:rsidP="00D41B57">
            <w:pPr>
              <w:jc w:val="center"/>
            </w:pPr>
            <w:r>
              <w:t>Infrastructure Deficit</w:t>
            </w:r>
          </w:p>
        </w:tc>
        <w:tc>
          <w:tcPr>
            <w:tcW w:w="2268" w:type="dxa"/>
            <w:vMerge w:val="restart"/>
            <w:shd w:val="clear" w:color="auto" w:fill="auto"/>
            <w:vAlign w:val="center"/>
          </w:tcPr>
          <w:p w:rsidR="0085264B" w:rsidRDefault="0085264B" w:rsidP="00D41B57">
            <w:pPr>
              <w:jc w:val="center"/>
            </w:pPr>
            <w:r>
              <w:t xml:space="preserve">High travel times leading to uncompetitive service on </w:t>
            </w:r>
            <w:r w:rsidRPr="00463BBB">
              <w:rPr>
                <w:b/>
              </w:rPr>
              <w:t xml:space="preserve">other significant </w:t>
            </w:r>
            <w:r>
              <w:rPr>
                <w:b/>
              </w:rPr>
              <w:t xml:space="preserve">regional connectivity </w:t>
            </w:r>
            <w:r w:rsidRPr="00463BBB">
              <w:rPr>
                <w:b/>
              </w:rPr>
              <w:t xml:space="preserve"> links</w:t>
            </w:r>
          </w:p>
        </w:tc>
        <w:tc>
          <w:tcPr>
            <w:tcW w:w="3544" w:type="dxa"/>
            <w:vMerge w:val="restart"/>
            <w:shd w:val="clear" w:color="auto" w:fill="auto"/>
            <w:vAlign w:val="center"/>
          </w:tcPr>
          <w:p w:rsidR="0085264B" w:rsidRDefault="0085264B" w:rsidP="00D41B57">
            <w:r>
              <w:t>Less than 3% of network is motorway standard.</w:t>
            </w:r>
          </w:p>
          <w:p w:rsidR="0085264B" w:rsidRDefault="0085264B" w:rsidP="00D41B57">
            <w:r>
              <w:t>Average speed for non-motorway links is 66 kph.</w:t>
            </w:r>
          </w:p>
          <w:p w:rsidR="0085264B" w:rsidRDefault="0085264B" w:rsidP="00D41B57"/>
          <w:p w:rsidR="0085264B" w:rsidRDefault="0085264B" w:rsidP="00D41B57">
            <w:r w:rsidRPr="00D60F08">
              <w:t>See detailed national model analysis in Appendix A: Economic Impact of Delays (2020 Reference Case)</w:t>
            </w:r>
          </w:p>
          <w:p w:rsidR="0085264B" w:rsidRDefault="0085264B" w:rsidP="00D41B57"/>
          <w:p w:rsidR="0085264B" w:rsidRDefault="0085264B" w:rsidP="00D41B57">
            <w:r>
              <w:t>Schemes identified by a</w:t>
            </w:r>
            <w:r w:rsidRPr="00C3477A">
              <w:t>nalysis of completed level 1 networks using lost time, target speed and level of service analysis to inform</w:t>
            </w:r>
            <w:r>
              <w:t xml:space="preserve"> Level 2 schemes. The </w:t>
            </w:r>
            <w:r w:rsidRPr="00C3477A">
              <w:t xml:space="preserve">tests </w:t>
            </w:r>
            <w:r>
              <w:t xml:space="preserve">herein </w:t>
            </w:r>
            <w:r w:rsidRPr="00C3477A">
              <w:t>are those considered most likely to emerge based on current knowledge but may be refined following completion of the Level 1 tests.</w:t>
            </w:r>
          </w:p>
        </w:tc>
        <w:tc>
          <w:tcPr>
            <w:tcW w:w="2268" w:type="dxa"/>
            <w:shd w:val="clear" w:color="auto" w:fill="auto"/>
            <w:vAlign w:val="center"/>
          </w:tcPr>
          <w:p w:rsidR="0085264B" w:rsidRDefault="0085264B" w:rsidP="00D41B57">
            <w:r>
              <w:t xml:space="preserve">Improve travel speeds on </w:t>
            </w:r>
            <w:r w:rsidRPr="00D60F08">
              <w:rPr>
                <w:b/>
              </w:rPr>
              <w:t>Braila – Galati - Focsani</w:t>
            </w:r>
            <w:r>
              <w:t xml:space="preserve"> link</w:t>
            </w:r>
          </w:p>
        </w:tc>
        <w:tc>
          <w:tcPr>
            <w:tcW w:w="851" w:type="dxa"/>
            <w:shd w:val="clear" w:color="auto" w:fill="auto"/>
            <w:vAlign w:val="center"/>
          </w:tcPr>
          <w:p w:rsidR="0085264B" w:rsidRDefault="0085264B" w:rsidP="00D41B57">
            <w:r w:rsidRPr="008F0932">
              <w:t>OR</w:t>
            </w:r>
            <w:r>
              <w:t>6</w:t>
            </w:r>
          </w:p>
        </w:tc>
        <w:tc>
          <w:tcPr>
            <w:tcW w:w="3543" w:type="dxa"/>
            <w:shd w:val="clear" w:color="auto" w:fill="auto"/>
            <w:vAlign w:val="center"/>
          </w:tcPr>
          <w:p w:rsidR="0085264B" w:rsidRPr="00463BBB" w:rsidRDefault="0085264B" w:rsidP="00D41B57">
            <w:r>
              <w:t>Focsani-Galati-Braila</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RDefault="0085264B" w:rsidP="00D41B57">
            <w:pPr>
              <w:jc w:val="center"/>
            </w:pPr>
            <w:r>
              <w:t>H39</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 xml:space="preserve">Improve travel speeds in vicinity of </w:t>
            </w:r>
            <w:r>
              <w:rPr>
                <w:b/>
              </w:rPr>
              <w:t>Suceava,</w:t>
            </w:r>
            <w:r w:rsidRPr="00D60F08">
              <w:rPr>
                <w:b/>
              </w:rPr>
              <w:t xml:space="preserve"> Botosani</w:t>
            </w:r>
            <w:r>
              <w:t xml:space="preserve"> and </w:t>
            </w:r>
            <w:r w:rsidRPr="00D60F08">
              <w:rPr>
                <w:b/>
              </w:rPr>
              <w:t>Siret</w:t>
            </w:r>
          </w:p>
        </w:tc>
        <w:tc>
          <w:tcPr>
            <w:tcW w:w="851" w:type="dxa"/>
            <w:shd w:val="clear" w:color="auto" w:fill="auto"/>
            <w:vAlign w:val="center"/>
          </w:tcPr>
          <w:p w:rsidR="0085264B" w:rsidRPr="008F0932" w:rsidRDefault="0085264B" w:rsidP="00D41B57">
            <w:r>
              <w:t>OR7</w:t>
            </w:r>
          </w:p>
        </w:tc>
        <w:tc>
          <w:tcPr>
            <w:tcW w:w="3543" w:type="dxa"/>
            <w:shd w:val="clear" w:color="auto" w:fill="auto"/>
            <w:vAlign w:val="center"/>
          </w:tcPr>
          <w:p w:rsidR="0085264B" w:rsidRDefault="0085264B" w:rsidP="00D41B57">
            <w:r>
              <w:t>Bacau-Suceava</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RDefault="0085264B" w:rsidP="00D41B57">
            <w:pPr>
              <w:jc w:val="center"/>
            </w:pPr>
            <w:r>
              <w:t>H40</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Default="0085264B" w:rsidP="00D41B57">
            <w:r>
              <w:t>Suceava-Siret</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RDefault="0085264B" w:rsidP="00D41B57">
            <w:pPr>
              <w:jc w:val="center"/>
            </w:pPr>
            <w:r>
              <w:t>H41</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tc>
        <w:tc>
          <w:tcPr>
            <w:tcW w:w="851" w:type="dxa"/>
            <w:shd w:val="clear" w:color="auto" w:fill="auto"/>
            <w:vAlign w:val="center"/>
          </w:tcPr>
          <w:p w:rsidR="0085264B" w:rsidRDefault="0085264B" w:rsidP="00D41B57"/>
        </w:tc>
        <w:tc>
          <w:tcPr>
            <w:tcW w:w="3543" w:type="dxa"/>
            <w:shd w:val="clear" w:color="auto" w:fill="auto"/>
            <w:vAlign w:val="center"/>
          </w:tcPr>
          <w:p w:rsidR="0085264B" w:rsidRDefault="0085264B" w:rsidP="00D41B57">
            <w:r>
              <w:t>Suceava-Botosani</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RDefault="0085264B" w:rsidP="00D41B57">
            <w:pPr>
              <w:jc w:val="center"/>
            </w:pPr>
            <w:r>
              <w:t>H42</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 xml:space="preserve">Improve travel speeds on </w:t>
            </w:r>
            <w:r w:rsidRPr="00D60F08">
              <w:rPr>
                <w:b/>
              </w:rPr>
              <w:t>Bacau – Piatra Neamt</w:t>
            </w:r>
            <w:r>
              <w:t xml:space="preserve"> link</w:t>
            </w:r>
          </w:p>
        </w:tc>
        <w:tc>
          <w:tcPr>
            <w:tcW w:w="851" w:type="dxa"/>
            <w:shd w:val="clear" w:color="auto" w:fill="auto"/>
            <w:vAlign w:val="center"/>
          </w:tcPr>
          <w:p w:rsidR="0085264B" w:rsidRPr="008F0932" w:rsidRDefault="0085264B" w:rsidP="00D41B57">
            <w:r>
              <w:t>OR8</w:t>
            </w:r>
          </w:p>
        </w:tc>
        <w:tc>
          <w:tcPr>
            <w:tcW w:w="3543" w:type="dxa"/>
            <w:shd w:val="clear" w:color="auto" w:fill="auto"/>
            <w:vAlign w:val="center"/>
          </w:tcPr>
          <w:p w:rsidR="0085264B" w:rsidRPr="00E9293B" w:rsidDel="00B129A5" w:rsidRDefault="0085264B" w:rsidP="00D41B57">
            <w:r>
              <w:t>Bacau-Piatra Neamt</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Del="00B129A5" w:rsidRDefault="0085264B" w:rsidP="00D41B57">
            <w:pPr>
              <w:jc w:val="center"/>
            </w:pPr>
            <w:r>
              <w:t>H43</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 xml:space="preserve">Improve travel speeds on </w:t>
            </w:r>
            <w:r w:rsidRPr="00D60F08">
              <w:rPr>
                <w:b/>
              </w:rPr>
              <w:t>Cluj - Dej</w:t>
            </w:r>
            <w:r>
              <w:t xml:space="preserve"> link</w:t>
            </w:r>
          </w:p>
        </w:tc>
        <w:tc>
          <w:tcPr>
            <w:tcW w:w="851" w:type="dxa"/>
            <w:shd w:val="clear" w:color="auto" w:fill="auto"/>
            <w:vAlign w:val="center"/>
          </w:tcPr>
          <w:p w:rsidR="0085264B" w:rsidRPr="008F0932" w:rsidRDefault="0085264B" w:rsidP="00D41B57">
            <w:r>
              <w:t>OR9</w:t>
            </w:r>
          </w:p>
        </w:tc>
        <w:tc>
          <w:tcPr>
            <w:tcW w:w="3543" w:type="dxa"/>
            <w:shd w:val="clear" w:color="auto" w:fill="auto"/>
            <w:vAlign w:val="center"/>
          </w:tcPr>
          <w:p w:rsidR="0085264B" w:rsidRPr="00E9293B" w:rsidDel="00B129A5" w:rsidRDefault="0085264B" w:rsidP="00D41B57">
            <w:r>
              <w:t>Cluj / Targu Mures - Halmeu</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RDefault="0085264B" w:rsidP="00D41B57">
            <w:pPr>
              <w:jc w:val="center"/>
            </w:pPr>
            <w:r>
              <w:t>H30</w:t>
            </w:r>
          </w:p>
          <w:p w:rsidR="0085264B" w:rsidDel="00B129A5" w:rsidRDefault="0085264B" w:rsidP="00D41B57">
            <w:pPr>
              <w:jc w:val="center"/>
            </w:pPr>
            <w:r>
              <w:t>H31</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Improve travel speeds between Craiova and Lugoj</w:t>
            </w:r>
          </w:p>
        </w:tc>
        <w:tc>
          <w:tcPr>
            <w:tcW w:w="851" w:type="dxa"/>
            <w:shd w:val="clear" w:color="auto" w:fill="auto"/>
            <w:vAlign w:val="center"/>
          </w:tcPr>
          <w:p w:rsidR="0085264B" w:rsidRPr="008F0932" w:rsidRDefault="0085264B" w:rsidP="00D41B57">
            <w:r>
              <w:t>OR10</w:t>
            </w:r>
          </w:p>
        </w:tc>
        <w:tc>
          <w:tcPr>
            <w:tcW w:w="3543" w:type="dxa"/>
            <w:shd w:val="clear" w:color="auto" w:fill="auto"/>
            <w:vAlign w:val="center"/>
          </w:tcPr>
          <w:p w:rsidR="0085264B" w:rsidRPr="00E9293B" w:rsidDel="00B129A5" w:rsidRDefault="0085264B" w:rsidP="00D41B57">
            <w:r>
              <w:t>Craiova-Lugoj</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Del="00B129A5" w:rsidRDefault="0085264B" w:rsidP="00D41B57">
            <w:pPr>
              <w:jc w:val="center"/>
            </w:pPr>
            <w:r>
              <w:t>H28</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Default="0085264B" w:rsidP="00D41B57">
            <w:r>
              <w:t>Constanta-Tulcea-Braila/Galati</w:t>
            </w:r>
          </w:p>
        </w:tc>
        <w:tc>
          <w:tcPr>
            <w:tcW w:w="851" w:type="dxa"/>
            <w:shd w:val="clear" w:color="auto" w:fill="auto"/>
            <w:vAlign w:val="center"/>
          </w:tcPr>
          <w:p w:rsidR="0085264B" w:rsidRDefault="0085264B" w:rsidP="00D41B57">
            <w:r>
              <w:t>OR11</w:t>
            </w:r>
          </w:p>
        </w:tc>
        <w:tc>
          <w:tcPr>
            <w:tcW w:w="3543" w:type="dxa"/>
            <w:shd w:val="clear" w:color="auto" w:fill="auto"/>
            <w:vAlign w:val="center"/>
          </w:tcPr>
          <w:p w:rsidR="0085264B" w:rsidRDefault="0085264B" w:rsidP="00D41B57">
            <w:r>
              <w:t>Constanta-Tulcea-Braila/Galati</w:t>
            </w:r>
          </w:p>
        </w:tc>
        <w:tc>
          <w:tcPr>
            <w:tcW w:w="993" w:type="dxa"/>
            <w:shd w:val="clear" w:color="auto" w:fill="auto"/>
            <w:vAlign w:val="center"/>
          </w:tcPr>
          <w:p w:rsidR="0085264B" w:rsidRDefault="0085264B" w:rsidP="00D41B57">
            <w:pPr>
              <w:jc w:val="center"/>
            </w:pPr>
            <w: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Default="0085264B" w:rsidP="00D41B57">
            <w:pPr>
              <w:jc w:val="center"/>
            </w:pPr>
            <w:r>
              <w:t>Expressway</w:t>
            </w:r>
          </w:p>
        </w:tc>
        <w:tc>
          <w:tcPr>
            <w:tcW w:w="1701" w:type="dxa"/>
            <w:vAlign w:val="center"/>
          </w:tcPr>
          <w:p w:rsidR="0085264B" w:rsidRDefault="0085264B" w:rsidP="00D41B57">
            <w:pPr>
              <w:jc w:val="center"/>
            </w:pPr>
            <w:r>
              <w:t>Scheme versus Ref. Case plus L1</w:t>
            </w:r>
          </w:p>
        </w:tc>
        <w:tc>
          <w:tcPr>
            <w:tcW w:w="1134" w:type="dxa"/>
            <w:shd w:val="clear" w:color="auto" w:fill="auto"/>
            <w:vAlign w:val="center"/>
          </w:tcPr>
          <w:p w:rsidR="0085264B" w:rsidDel="00B129A5" w:rsidRDefault="0085264B" w:rsidP="00D41B57">
            <w:pPr>
              <w:jc w:val="center"/>
            </w:pPr>
            <w:r>
              <w:t>H36</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Pr="00C3477A" w:rsidRDefault="0085264B" w:rsidP="00D41B57">
            <w:pPr>
              <w:rPr>
                <w:i/>
              </w:rPr>
            </w:pPr>
            <w:r w:rsidRPr="00C3477A">
              <w:rPr>
                <w:i/>
              </w:rPr>
              <w:t>To be confirmed – remaining routes identified post L1 &amp; L2 testing</w:t>
            </w:r>
          </w:p>
        </w:tc>
        <w:tc>
          <w:tcPr>
            <w:tcW w:w="851" w:type="dxa"/>
            <w:shd w:val="clear" w:color="auto" w:fill="auto"/>
            <w:vAlign w:val="center"/>
          </w:tcPr>
          <w:p w:rsidR="0085264B" w:rsidRPr="00C3477A" w:rsidRDefault="0085264B" w:rsidP="00D41B57">
            <w:pPr>
              <w:rPr>
                <w:i/>
              </w:rPr>
            </w:pPr>
            <w:r w:rsidRPr="00C3477A">
              <w:rPr>
                <w:i/>
              </w:rPr>
              <w:t>OR12</w:t>
            </w:r>
          </w:p>
        </w:tc>
        <w:tc>
          <w:tcPr>
            <w:tcW w:w="3543" w:type="dxa"/>
            <w:shd w:val="clear" w:color="auto" w:fill="auto"/>
            <w:vAlign w:val="center"/>
          </w:tcPr>
          <w:p w:rsidR="0085264B" w:rsidRPr="00C3477A" w:rsidDel="00B129A5" w:rsidRDefault="0085264B" w:rsidP="00D41B57">
            <w:pPr>
              <w:rPr>
                <w:i/>
              </w:rPr>
            </w:pPr>
            <w:r w:rsidRPr="00C3477A">
              <w:rPr>
                <w:i/>
              </w:rPr>
              <w:t>TBC</w:t>
            </w:r>
          </w:p>
        </w:tc>
        <w:tc>
          <w:tcPr>
            <w:tcW w:w="993" w:type="dxa"/>
            <w:shd w:val="clear" w:color="auto" w:fill="auto"/>
            <w:vAlign w:val="center"/>
          </w:tcPr>
          <w:p w:rsidR="0085264B" w:rsidRPr="00C3477A" w:rsidRDefault="0085264B" w:rsidP="00D41B57">
            <w:pPr>
              <w:jc w:val="center"/>
              <w:rPr>
                <w:i/>
              </w:rPr>
            </w:pPr>
            <w:r w:rsidRPr="00C3477A">
              <w:rPr>
                <w:i/>
              </w:rPr>
              <w:t>Y</w:t>
            </w:r>
          </w:p>
        </w:tc>
        <w:tc>
          <w:tcPr>
            <w:tcW w:w="850" w:type="dxa"/>
            <w:shd w:val="clear" w:color="auto" w:fill="auto"/>
            <w:vAlign w:val="center"/>
          </w:tcPr>
          <w:p w:rsidR="0085264B" w:rsidRDefault="0085264B" w:rsidP="00D41B57">
            <w:pPr>
              <w:jc w:val="center"/>
            </w:pPr>
            <w:r>
              <w:t>TBC</w:t>
            </w:r>
          </w:p>
        </w:tc>
        <w:tc>
          <w:tcPr>
            <w:tcW w:w="1134" w:type="dxa"/>
            <w:shd w:val="clear" w:color="auto" w:fill="auto"/>
            <w:vAlign w:val="center"/>
          </w:tcPr>
          <w:p w:rsidR="0085264B" w:rsidRPr="00C3477A" w:rsidRDefault="0085264B" w:rsidP="00D41B57">
            <w:pPr>
              <w:jc w:val="center"/>
              <w:rPr>
                <w:i/>
              </w:rPr>
            </w:pPr>
            <w:r w:rsidRPr="00C3477A">
              <w:rPr>
                <w:i/>
              </w:rPr>
              <w:t>TBC</w:t>
            </w:r>
          </w:p>
        </w:tc>
        <w:tc>
          <w:tcPr>
            <w:tcW w:w="1701" w:type="dxa"/>
            <w:vAlign w:val="center"/>
          </w:tcPr>
          <w:p w:rsidR="0085264B" w:rsidRPr="00C3477A" w:rsidRDefault="0085264B" w:rsidP="00D41B57">
            <w:pPr>
              <w:jc w:val="center"/>
              <w:rPr>
                <w:i/>
              </w:rPr>
            </w:pPr>
            <w:r w:rsidRPr="00C3477A">
              <w:rPr>
                <w:i/>
              </w:rPr>
              <w:t>TBC</w:t>
            </w:r>
          </w:p>
        </w:tc>
        <w:tc>
          <w:tcPr>
            <w:tcW w:w="1134" w:type="dxa"/>
            <w:shd w:val="clear" w:color="auto" w:fill="auto"/>
            <w:vAlign w:val="center"/>
          </w:tcPr>
          <w:p w:rsidR="0085264B" w:rsidRPr="00C3477A" w:rsidDel="00B129A5" w:rsidRDefault="0085264B" w:rsidP="00D41B57">
            <w:pPr>
              <w:jc w:val="center"/>
              <w:rPr>
                <w:i/>
              </w:rPr>
            </w:pPr>
            <w:r w:rsidRPr="00C3477A">
              <w:rPr>
                <w:i/>
              </w:rPr>
              <w:t>TBC</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shd w:val="clear" w:color="auto" w:fill="auto"/>
            <w:vAlign w:val="center"/>
          </w:tcPr>
          <w:p w:rsidR="0085264B" w:rsidRDefault="0085264B" w:rsidP="00D41B57">
            <w:pPr>
              <w:jc w:val="center"/>
            </w:pPr>
            <w:r>
              <w:t>High travel times leading to uncompetitive service on remaining National Network links</w:t>
            </w:r>
          </w:p>
        </w:tc>
        <w:tc>
          <w:tcPr>
            <w:tcW w:w="3544" w:type="dxa"/>
            <w:shd w:val="clear" w:color="auto" w:fill="auto"/>
            <w:vAlign w:val="center"/>
          </w:tcPr>
          <w:p w:rsidR="0085264B" w:rsidRDefault="0085264B" w:rsidP="00D41B57">
            <w:r>
              <w:t>Schemes / locations identified by model analysis post Level 1, Level 2 and Bypass interventions.</w:t>
            </w:r>
          </w:p>
          <w:p w:rsidR="0085264B" w:rsidRDefault="0085264B" w:rsidP="00D41B57">
            <w:r>
              <w:t xml:space="preserve">Consider 2+1 options(solid barrier) </w:t>
            </w:r>
          </w:p>
        </w:tc>
        <w:tc>
          <w:tcPr>
            <w:tcW w:w="2268" w:type="dxa"/>
            <w:shd w:val="clear" w:color="auto" w:fill="auto"/>
            <w:vAlign w:val="center"/>
          </w:tcPr>
          <w:p w:rsidR="0085264B" w:rsidRDefault="0085264B" w:rsidP="00D41B57">
            <w:pPr>
              <w:rPr>
                <w:i/>
              </w:rPr>
            </w:pPr>
            <w:r w:rsidRPr="00C3477A">
              <w:rPr>
                <w:i/>
              </w:rPr>
              <w:t>To be confirmed – remain</w:t>
            </w:r>
            <w:r>
              <w:rPr>
                <w:i/>
              </w:rPr>
              <w:t xml:space="preserve">ing routes identified post L1, </w:t>
            </w:r>
            <w:r w:rsidRPr="00C3477A">
              <w:rPr>
                <w:i/>
              </w:rPr>
              <w:t xml:space="preserve">L2 </w:t>
            </w:r>
            <w:r>
              <w:rPr>
                <w:i/>
              </w:rPr>
              <w:t xml:space="preserve">and Bypass </w:t>
            </w:r>
            <w:r w:rsidRPr="00C3477A">
              <w:rPr>
                <w:i/>
              </w:rPr>
              <w:t>testing</w:t>
            </w:r>
          </w:p>
          <w:p w:rsidR="0085264B" w:rsidRPr="00C3477A" w:rsidRDefault="0085264B" w:rsidP="00D41B57">
            <w:pPr>
              <w:rPr>
                <w:i/>
              </w:rPr>
            </w:pPr>
          </w:p>
        </w:tc>
        <w:tc>
          <w:tcPr>
            <w:tcW w:w="851" w:type="dxa"/>
            <w:shd w:val="clear" w:color="auto" w:fill="auto"/>
            <w:vAlign w:val="center"/>
          </w:tcPr>
          <w:p w:rsidR="0085264B" w:rsidRPr="004B29CE" w:rsidRDefault="0085264B" w:rsidP="00D41B57">
            <w:pPr>
              <w:ind w:left="720"/>
              <w:contextualSpacing/>
              <w:rPr>
                <w:i/>
              </w:rPr>
            </w:pPr>
            <w:r w:rsidRPr="00ED2E6E">
              <w:rPr>
                <w:i/>
              </w:rPr>
              <w:t>OR13</w:t>
            </w:r>
          </w:p>
        </w:tc>
        <w:tc>
          <w:tcPr>
            <w:tcW w:w="3543" w:type="dxa"/>
            <w:shd w:val="clear" w:color="auto" w:fill="auto"/>
            <w:vAlign w:val="center"/>
          </w:tcPr>
          <w:p w:rsidR="0085264B" w:rsidRPr="00C3477A" w:rsidRDefault="0085264B" w:rsidP="00D41B57">
            <w:pPr>
              <w:rPr>
                <w:i/>
              </w:rPr>
            </w:pPr>
          </w:p>
        </w:tc>
        <w:tc>
          <w:tcPr>
            <w:tcW w:w="993" w:type="dxa"/>
            <w:shd w:val="clear" w:color="auto" w:fill="auto"/>
            <w:vAlign w:val="center"/>
          </w:tcPr>
          <w:p w:rsidR="0085264B" w:rsidRPr="00C3477A" w:rsidRDefault="0085264B" w:rsidP="00D41B57">
            <w:pPr>
              <w:jc w:val="center"/>
              <w:rPr>
                <w:i/>
              </w:rPr>
            </w:pPr>
          </w:p>
        </w:tc>
        <w:tc>
          <w:tcPr>
            <w:tcW w:w="850" w:type="dxa"/>
            <w:shd w:val="clear" w:color="auto" w:fill="auto"/>
            <w:vAlign w:val="center"/>
          </w:tcPr>
          <w:p w:rsidR="0085264B" w:rsidRDefault="0085264B" w:rsidP="00D41B57">
            <w:pPr>
              <w:jc w:val="center"/>
            </w:pPr>
          </w:p>
        </w:tc>
        <w:tc>
          <w:tcPr>
            <w:tcW w:w="1134" w:type="dxa"/>
            <w:shd w:val="clear" w:color="auto" w:fill="auto"/>
            <w:vAlign w:val="center"/>
          </w:tcPr>
          <w:p w:rsidR="0085264B" w:rsidRPr="00C3477A" w:rsidRDefault="0085264B" w:rsidP="00D41B57">
            <w:pPr>
              <w:jc w:val="center"/>
              <w:rPr>
                <w:i/>
              </w:rPr>
            </w:pPr>
          </w:p>
        </w:tc>
        <w:tc>
          <w:tcPr>
            <w:tcW w:w="1701" w:type="dxa"/>
            <w:vAlign w:val="center"/>
          </w:tcPr>
          <w:p w:rsidR="0085264B" w:rsidRPr="00C3477A" w:rsidRDefault="0085264B" w:rsidP="00D41B57">
            <w:pPr>
              <w:jc w:val="center"/>
              <w:rPr>
                <w:i/>
              </w:rPr>
            </w:pPr>
          </w:p>
        </w:tc>
        <w:tc>
          <w:tcPr>
            <w:tcW w:w="1134" w:type="dxa"/>
            <w:shd w:val="clear" w:color="auto" w:fill="auto"/>
            <w:vAlign w:val="center"/>
          </w:tcPr>
          <w:p w:rsidR="0085264B" w:rsidRPr="00C3477A" w:rsidRDefault="0085264B" w:rsidP="00D41B57">
            <w:pPr>
              <w:jc w:val="center"/>
              <w:rPr>
                <w:i/>
              </w:rPr>
            </w:pPr>
          </w:p>
        </w:tc>
      </w:tr>
      <w:tr w:rsidR="0085264B" w:rsidTr="00D41B57">
        <w:tc>
          <w:tcPr>
            <w:tcW w:w="1417" w:type="dxa"/>
            <w:vMerge/>
            <w:shd w:val="clear" w:color="auto" w:fill="auto"/>
            <w:vAlign w:val="center"/>
          </w:tcPr>
          <w:p w:rsidR="0085264B" w:rsidRDefault="0085264B" w:rsidP="00D41B57">
            <w:pPr>
              <w:jc w:val="center"/>
            </w:pPr>
          </w:p>
        </w:tc>
        <w:tc>
          <w:tcPr>
            <w:tcW w:w="676" w:type="dxa"/>
            <w:shd w:val="clear" w:color="auto" w:fill="auto"/>
            <w:vAlign w:val="center"/>
          </w:tcPr>
          <w:p w:rsidR="0085264B" w:rsidRDefault="0085264B" w:rsidP="00D41B57">
            <w:pPr>
              <w:jc w:val="center"/>
            </w:pPr>
            <w:r>
              <w:t>05</w:t>
            </w:r>
          </w:p>
        </w:tc>
        <w:tc>
          <w:tcPr>
            <w:tcW w:w="1417" w:type="dxa"/>
            <w:shd w:val="clear" w:color="auto" w:fill="auto"/>
            <w:vAlign w:val="center"/>
          </w:tcPr>
          <w:p w:rsidR="0085264B" w:rsidRDefault="0085264B" w:rsidP="00D41B57">
            <w:pPr>
              <w:jc w:val="center"/>
            </w:pPr>
            <w:r>
              <w:t>Management &amp; Operations</w:t>
            </w:r>
          </w:p>
        </w:tc>
        <w:tc>
          <w:tcPr>
            <w:tcW w:w="2268" w:type="dxa"/>
            <w:shd w:val="clear" w:color="auto" w:fill="auto"/>
            <w:vAlign w:val="center"/>
          </w:tcPr>
          <w:p w:rsidR="0085264B" w:rsidRPr="0048680D" w:rsidRDefault="0085264B" w:rsidP="00D41B57">
            <w:pPr>
              <w:jc w:val="center"/>
            </w:pPr>
            <w:r>
              <w:t>High administrative costs on local and national hauliers from complex and uncoordinated charging regimes</w:t>
            </w:r>
          </w:p>
        </w:tc>
        <w:tc>
          <w:tcPr>
            <w:tcW w:w="3544" w:type="dxa"/>
            <w:shd w:val="clear" w:color="auto" w:fill="auto"/>
            <w:vAlign w:val="center"/>
          </w:tcPr>
          <w:p w:rsidR="0085264B" w:rsidRDefault="0085264B" w:rsidP="00D41B57">
            <w:r w:rsidRPr="003548EC">
              <w:t xml:space="preserve">Lack of co-ordinated charging regime with county </w:t>
            </w:r>
            <w:r>
              <w:t>and municipal authorities charging</w:t>
            </w:r>
            <w:r w:rsidRPr="003548EC">
              <w:t xml:space="preserve"> additional fees over and above national vignette.</w:t>
            </w:r>
          </w:p>
          <w:p w:rsidR="0085264B" w:rsidRPr="0048680D" w:rsidRDefault="0085264B" w:rsidP="00D41B57">
            <w:r>
              <w:t>These vignettes are not co-ordinated or easily payable by international or regional hauliers.</w:t>
            </w:r>
          </w:p>
        </w:tc>
        <w:tc>
          <w:tcPr>
            <w:tcW w:w="2268" w:type="dxa"/>
            <w:shd w:val="clear" w:color="auto" w:fill="auto"/>
            <w:vAlign w:val="center"/>
          </w:tcPr>
          <w:p w:rsidR="0085264B" w:rsidRDefault="0085264B" w:rsidP="00D41B57">
            <w:r>
              <w:t>Minimise administrative burden on all aspects of government and haulage industry related to goods vehicle charging.</w:t>
            </w:r>
          </w:p>
        </w:tc>
        <w:tc>
          <w:tcPr>
            <w:tcW w:w="851" w:type="dxa"/>
            <w:shd w:val="clear" w:color="auto" w:fill="auto"/>
            <w:vAlign w:val="center"/>
          </w:tcPr>
          <w:p w:rsidR="0085264B" w:rsidRDefault="0085264B" w:rsidP="00D41B57">
            <w:r>
              <w:t>OR14</w:t>
            </w:r>
          </w:p>
        </w:tc>
        <w:tc>
          <w:tcPr>
            <w:tcW w:w="3543" w:type="dxa"/>
            <w:shd w:val="clear" w:color="auto" w:fill="auto"/>
            <w:vAlign w:val="center"/>
          </w:tcPr>
          <w:p w:rsidR="0085264B" w:rsidRDefault="0085264B" w:rsidP="00D41B57">
            <w:r>
              <w:t>Introduce single co-ordinated system for charging covering the entire road network. The system will be accessible to all potential users (national and international via an internet based system. This requires a legislative act. The Ministry to be responsible for dissemination of revenues.</w:t>
            </w:r>
          </w:p>
        </w:tc>
        <w:tc>
          <w:tcPr>
            <w:tcW w:w="993" w:type="dxa"/>
            <w:shd w:val="clear" w:color="auto" w:fill="auto"/>
            <w:vAlign w:val="center"/>
          </w:tcPr>
          <w:p w:rsidR="0085264B" w:rsidRPr="00744BF6" w:rsidRDefault="0085264B" w:rsidP="00D41B57">
            <w:pPr>
              <w:jc w:val="center"/>
            </w:pPr>
            <w:r>
              <w:t>N.A</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rsidRPr="00744BF6">
              <w:t>H</w:t>
            </w:r>
            <w:r>
              <w:t>63</w:t>
            </w:r>
          </w:p>
        </w:tc>
      </w:tr>
      <w:tr w:rsidR="0085264B" w:rsidTr="00D41B57">
        <w:tc>
          <w:tcPr>
            <w:tcW w:w="1417" w:type="dxa"/>
            <w:vMerge/>
            <w:shd w:val="clear" w:color="auto" w:fill="auto"/>
            <w:vAlign w:val="center"/>
          </w:tcPr>
          <w:p w:rsidR="0085264B" w:rsidRDefault="0085264B" w:rsidP="00D41B57">
            <w:pPr>
              <w:jc w:val="center"/>
            </w:pPr>
          </w:p>
        </w:tc>
        <w:tc>
          <w:tcPr>
            <w:tcW w:w="676" w:type="dxa"/>
            <w:shd w:val="clear" w:color="auto" w:fill="auto"/>
            <w:vAlign w:val="center"/>
          </w:tcPr>
          <w:p w:rsidR="0085264B" w:rsidRDefault="0085264B" w:rsidP="00D41B57">
            <w:pPr>
              <w:jc w:val="center"/>
            </w:pPr>
            <w:r>
              <w:t>06</w:t>
            </w:r>
          </w:p>
        </w:tc>
        <w:tc>
          <w:tcPr>
            <w:tcW w:w="1417" w:type="dxa"/>
            <w:shd w:val="clear" w:color="auto" w:fill="auto"/>
            <w:vAlign w:val="center"/>
          </w:tcPr>
          <w:p w:rsidR="0085264B" w:rsidRDefault="0085264B" w:rsidP="00D41B57">
            <w:pPr>
              <w:jc w:val="center"/>
            </w:pPr>
            <w:r>
              <w:t>Management &amp; Operations</w:t>
            </w:r>
          </w:p>
        </w:tc>
        <w:tc>
          <w:tcPr>
            <w:tcW w:w="2268" w:type="dxa"/>
            <w:shd w:val="clear" w:color="auto" w:fill="auto"/>
            <w:vAlign w:val="center"/>
          </w:tcPr>
          <w:p w:rsidR="0085264B" w:rsidRPr="0048680D" w:rsidRDefault="0085264B" w:rsidP="00D41B57">
            <w:pPr>
              <w:jc w:val="center"/>
            </w:pPr>
            <w:r w:rsidRPr="003548EC">
              <w:t xml:space="preserve">Excessive delays at </w:t>
            </w:r>
            <w:r>
              <w:t xml:space="preserve">certain </w:t>
            </w:r>
            <w:r w:rsidRPr="003548EC">
              <w:t>Border Crossings</w:t>
            </w:r>
          </w:p>
        </w:tc>
        <w:tc>
          <w:tcPr>
            <w:tcW w:w="3544" w:type="dxa"/>
            <w:shd w:val="clear" w:color="auto" w:fill="auto"/>
            <w:vAlign w:val="center"/>
          </w:tcPr>
          <w:p w:rsidR="0085264B" w:rsidRDefault="0085264B" w:rsidP="00D41B57">
            <w:r>
              <w:t>A</w:t>
            </w:r>
            <w:r w:rsidRPr="00A82F27">
              <w:t>dvice from Hu</w:t>
            </w:r>
            <w:r>
              <w:t xml:space="preserve">ngarian government </w:t>
            </w:r>
            <w:r w:rsidRPr="004D0409">
              <w:t>to avoid certain routes backed up by anecdotal evidence</w:t>
            </w:r>
            <w:r w:rsidRPr="00A82F27">
              <w:t xml:space="preserve"> from hauliers in respect of Nadlac: 7 kms queues and delays of up to 12 hours.</w:t>
            </w:r>
          </w:p>
          <w:p w:rsidR="0085264B" w:rsidRPr="0048680D" w:rsidRDefault="0085264B" w:rsidP="00D41B57">
            <w:r>
              <w:t>See also Appendix F for more detailed responses from haulier representatives.</w:t>
            </w:r>
            <w:r w:rsidRPr="00A82F27">
              <w:t xml:space="preserve"> </w:t>
            </w:r>
          </w:p>
        </w:tc>
        <w:tc>
          <w:tcPr>
            <w:tcW w:w="2268" w:type="dxa"/>
            <w:shd w:val="clear" w:color="auto" w:fill="auto"/>
            <w:vAlign w:val="center"/>
          </w:tcPr>
          <w:p w:rsidR="0085264B" w:rsidRDefault="0085264B" w:rsidP="00D41B57">
            <w:r w:rsidRPr="00C4323E">
              <w:t>Reduce delays at border crossing points such that the maximum waiting time for any vehicle is 40 minutes as set out in European Standards by the Trade and Transport Facilitation in Southeast Europe Program (TTFSE).</w:t>
            </w:r>
          </w:p>
          <w:p w:rsidR="0085264B" w:rsidRDefault="0085264B" w:rsidP="00D41B57"/>
        </w:tc>
        <w:tc>
          <w:tcPr>
            <w:tcW w:w="851" w:type="dxa"/>
            <w:shd w:val="clear" w:color="auto" w:fill="auto"/>
            <w:vAlign w:val="center"/>
          </w:tcPr>
          <w:p w:rsidR="0085264B" w:rsidRDefault="0085264B" w:rsidP="00D41B57">
            <w:r>
              <w:t>OR15</w:t>
            </w:r>
          </w:p>
        </w:tc>
        <w:tc>
          <w:tcPr>
            <w:tcW w:w="3543" w:type="dxa"/>
            <w:shd w:val="clear" w:color="auto" w:fill="auto"/>
            <w:vAlign w:val="center"/>
          </w:tcPr>
          <w:p w:rsidR="0085264B" w:rsidRDefault="0085264B" w:rsidP="00D41B57">
            <w:r w:rsidRPr="005B1A5B">
              <w:t>Use of ITS to provide alternative route information coupled with improved management of border crossing arrangements.</w:t>
            </w:r>
          </w:p>
        </w:tc>
        <w:tc>
          <w:tcPr>
            <w:tcW w:w="993" w:type="dxa"/>
            <w:shd w:val="clear" w:color="auto" w:fill="auto"/>
            <w:vAlign w:val="center"/>
          </w:tcPr>
          <w:p w:rsidR="0085264B" w:rsidRPr="00744BF6" w:rsidRDefault="0085264B" w:rsidP="00D41B57">
            <w:pPr>
              <w:jc w:val="center"/>
            </w:pPr>
          </w:p>
        </w:tc>
        <w:tc>
          <w:tcPr>
            <w:tcW w:w="850" w:type="dxa"/>
            <w:shd w:val="clear" w:color="auto" w:fill="auto"/>
            <w:vAlign w:val="center"/>
          </w:tcPr>
          <w:p w:rsidR="0085264B" w:rsidRPr="00744BF6" w:rsidRDefault="0085264B" w:rsidP="00D41B57">
            <w:pPr>
              <w:jc w:val="center"/>
            </w:pPr>
          </w:p>
        </w:tc>
        <w:tc>
          <w:tcPr>
            <w:tcW w:w="1134" w:type="dxa"/>
            <w:shd w:val="clear" w:color="auto" w:fill="auto"/>
            <w:vAlign w:val="center"/>
          </w:tcPr>
          <w:p w:rsidR="0085264B" w:rsidRPr="00744BF6" w:rsidRDefault="0085264B" w:rsidP="00D41B57">
            <w:pPr>
              <w:jc w:val="center"/>
            </w:pPr>
          </w:p>
        </w:tc>
        <w:tc>
          <w:tcPr>
            <w:tcW w:w="1701" w:type="dxa"/>
            <w:vAlign w:val="center"/>
          </w:tcPr>
          <w:p w:rsidR="0085264B" w:rsidRPr="00744BF6" w:rsidRDefault="0085264B" w:rsidP="00D41B57">
            <w:pPr>
              <w:jc w:val="center"/>
            </w:pPr>
          </w:p>
        </w:tc>
        <w:tc>
          <w:tcPr>
            <w:tcW w:w="1134" w:type="dxa"/>
            <w:shd w:val="clear" w:color="auto" w:fill="auto"/>
            <w:vAlign w:val="center"/>
          </w:tcPr>
          <w:p w:rsidR="0085264B" w:rsidRPr="00744BF6" w:rsidRDefault="0085264B" w:rsidP="00D41B57">
            <w:pPr>
              <w:jc w:val="center"/>
            </w:pPr>
            <w:r w:rsidRPr="00744BF6">
              <w:t>H</w:t>
            </w:r>
            <w:r>
              <w:t>64</w:t>
            </w:r>
          </w:p>
        </w:tc>
      </w:tr>
      <w:tr w:rsidR="0085264B" w:rsidTr="00D41B57">
        <w:tc>
          <w:tcPr>
            <w:tcW w:w="1417" w:type="dxa"/>
            <w:vMerge w:val="restart"/>
            <w:shd w:val="clear" w:color="auto" w:fill="auto"/>
            <w:vAlign w:val="center"/>
          </w:tcPr>
          <w:p w:rsidR="0085264B" w:rsidRDefault="0085264B" w:rsidP="00D41B57">
            <w:pPr>
              <w:jc w:val="center"/>
            </w:pPr>
            <w:r>
              <w:t>Economic Development (Accesibility)</w:t>
            </w:r>
          </w:p>
        </w:tc>
        <w:tc>
          <w:tcPr>
            <w:tcW w:w="676" w:type="dxa"/>
            <w:vMerge w:val="restart"/>
            <w:shd w:val="clear" w:color="auto" w:fill="auto"/>
            <w:vAlign w:val="center"/>
          </w:tcPr>
          <w:p w:rsidR="0085264B" w:rsidRDefault="0085264B" w:rsidP="00D41B57">
            <w:pPr>
              <w:jc w:val="both"/>
            </w:pPr>
            <w:r>
              <w:t>07</w:t>
            </w:r>
          </w:p>
        </w:tc>
        <w:tc>
          <w:tcPr>
            <w:tcW w:w="1417" w:type="dxa"/>
            <w:vMerge w:val="restart"/>
            <w:shd w:val="clear" w:color="auto" w:fill="auto"/>
            <w:vAlign w:val="center"/>
          </w:tcPr>
          <w:p w:rsidR="0085264B" w:rsidRPr="00463BBB" w:rsidRDefault="0085264B" w:rsidP="00D41B57">
            <w:pPr>
              <w:jc w:val="center"/>
            </w:pPr>
            <w:r w:rsidRPr="00D72710">
              <w:t>Infrastructure Deficit</w:t>
            </w:r>
          </w:p>
        </w:tc>
        <w:tc>
          <w:tcPr>
            <w:tcW w:w="2268" w:type="dxa"/>
            <w:vMerge w:val="restart"/>
            <w:shd w:val="clear" w:color="auto" w:fill="auto"/>
            <w:vAlign w:val="center"/>
          </w:tcPr>
          <w:p w:rsidR="0085264B" w:rsidRPr="00463BBB" w:rsidRDefault="0085264B" w:rsidP="00D41B57">
            <w:pPr>
              <w:jc w:val="center"/>
            </w:pPr>
            <w:r w:rsidRPr="00D72710">
              <w:t xml:space="preserve">Poor accessibility </w:t>
            </w:r>
            <w:r>
              <w:t xml:space="preserve">to international trade </w:t>
            </w:r>
            <w:r w:rsidRPr="00D72710">
              <w:t>of certain areas potentially hindering their economic development</w:t>
            </w:r>
          </w:p>
        </w:tc>
        <w:tc>
          <w:tcPr>
            <w:tcW w:w="3544" w:type="dxa"/>
            <w:vMerge w:val="restart"/>
            <w:shd w:val="clear" w:color="auto" w:fill="auto"/>
            <w:vAlign w:val="center"/>
          </w:tcPr>
          <w:p w:rsidR="0085264B" w:rsidRPr="00463BBB" w:rsidRDefault="0085264B" w:rsidP="00D41B57">
            <w:r>
              <w:t>International a</w:t>
            </w:r>
            <w:r w:rsidRPr="00D72710">
              <w:t>c</w:t>
            </w:r>
            <w:r>
              <w:t>cessibility analysis – Figure A6</w:t>
            </w:r>
          </w:p>
        </w:tc>
        <w:tc>
          <w:tcPr>
            <w:tcW w:w="2268" w:type="dxa"/>
            <w:shd w:val="clear" w:color="auto" w:fill="auto"/>
            <w:vAlign w:val="center"/>
          </w:tcPr>
          <w:p w:rsidR="0085264B" w:rsidRDefault="0085264B" w:rsidP="00D41B57">
            <w:r w:rsidRPr="00D72710">
              <w:t xml:space="preserve">Improve the accessibility </w:t>
            </w:r>
            <w:r>
              <w:t xml:space="preserve">to the Western markets </w:t>
            </w:r>
            <w:r w:rsidRPr="00D72710">
              <w:t xml:space="preserve">of the </w:t>
            </w:r>
          </w:p>
          <w:p w:rsidR="0085264B" w:rsidRPr="00D72710" w:rsidRDefault="0085264B" w:rsidP="00D41B57">
            <w:r>
              <w:t>North-East region (Iasi/Suceava/Bacau)</w:t>
            </w:r>
          </w:p>
        </w:tc>
        <w:tc>
          <w:tcPr>
            <w:tcW w:w="851" w:type="dxa"/>
            <w:shd w:val="clear" w:color="auto" w:fill="auto"/>
            <w:vAlign w:val="center"/>
          </w:tcPr>
          <w:p w:rsidR="0085264B" w:rsidRPr="00BD656A" w:rsidRDefault="0085264B" w:rsidP="00D41B57">
            <w:pPr>
              <w:jc w:val="center"/>
            </w:pPr>
            <w:r>
              <w:t>OR16</w:t>
            </w:r>
          </w:p>
        </w:tc>
        <w:tc>
          <w:tcPr>
            <w:tcW w:w="3543" w:type="dxa"/>
            <w:shd w:val="clear" w:color="auto" w:fill="auto"/>
            <w:vAlign w:val="center"/>
          </w:tcPr>
          <w:p w:rsidR="0085264B" w:rsidRPr="00BD656A" w:rsidRDefault="0085264B" w:rsidP="00D41B57">
            <w:pPr>
              <w:jc w:val="center"/>
            </w:pPr>
            <w:r w:rsidRPr="00BD656A">
              <w:t>Covered under the interventions for OR3</w:t>
            </w:r>
          </w:p>
        </w:tc>
        <w:tc>
          <w:tcPr>
            <w:tcW w:w="993" w:type="dxa"/>
            <w:shd w:val="clear" w:color="auto" w:fill="auto"/>
            <w:vAlign w:val="center"/>
          </w:tcPr>
          <w:p w:rsidR="0085264B" w:rsidRPr="00BD656A" w:rsidRDefault="0085264B" w:rsidP="00D41B57">
            <w:pPr>
              <w:jc w:val="center"/>
            </w:pPr>
            <w:r>
              <w:t>Covered under OR</w:t>
            </w:r>
            <w:r w:rsidRPr="00BD656A">
              <w:t>3</w:t>
            </w:r>
          </w:p>
        </w:tc>
        <w:tc>
          <w:tcPr>
            <w:tcW w:w="850" w:type="dxa"/>
            <w:shd w:val="clear" w:color="auto" w:fill="auto"/>
            <w:vAlign w:val="center"/>
          </w:tcPr>
          <w:p w:rsidR="0085264B" w:rsidRPr="005B1A5B" w:rsidRDefault="0085264B" w:rsidP="00D41B57">
            <w:pPr>
              <w:jc w:val="center"/>
            </w:pPr>
            <w:r w:rsidRPr="005B1A5B">
              <w:t>N.A</w:t>
            </w: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c>
          <w:tcPr>
            <w:tcW w:w="1701" w:type="dxa"/>
            <w:vAlign w:val="center"/>
          </w:tcPr>
          <w:p w:rsidR="0085264B" w:rsidRPr="00664D4E" w:rsidRDefault="0085264B" w:rsidP="00D41B57">
            <w:pPr>
              <w:spacing w:before="60" w:after="60"/>
              <w:jc w:val="both"/>
              <w:rPr>
                <w:rFonts w:cs="Arial"/>
                <w:sz w:val="20"/>
                <w:szCs w:val="20"/>
              </w:rPr>
            </w:pP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Pr="00D72710" w:rsidRDefault="0085264B" w:rsidP="00D41B57">
            <w:pPr>
              <w:jc w:val="center"/>
            </w:pPr>
          </w:p>
        </w:tc>
        <w:tc>
          <w:tcPr>
            <w:tcW w:w="1417" w:type="dxa"/>
            <w:vMerge/>
            <w:shd w:val="clear" w:color="auto" w:fill="auto"/>
            <w:vAlign w:val="center"/>
          </w:tcPr>
          <w:p w:rsidR="0085264B" w:rsidRPr="00D72710" w:rsidRDefault="0085264B" w:rsidP="00D41B57">
            <w:pPr>
              <w:jc w:val="center"/>
            </w:pPr>
          </w:p>
        </w:tc>
        <w:tc>
          <w:tcPr>
            <w:tcW w:w="2268" w:type="dxa"/>
            <w:vMerge/>
            <w:shd w:val="clear" w:color="auto" w:fill="auto"/>
            <w:vAlign w:val="center"/>
          </w:tcPr>
          <w:p w:rsidR="0085264B" w:rsidRPr="00D72710" w:rsidRDefault="0085264B" w:rsidP="00D41B57">
            <w:pPr>
              <w:jc w:val="center"/>
            </w:pPr>
          </w:p>
        </w:tc>
        <w:tc>
          <w:tcPr>
            <w:tcW w:w="3544" w:type="dxa"/>
            <w:vMerge/>
            <w:shd w:val="clear" w:color="auto" w:fill="auto"/>
            <w:vAlign w:val="center"/>
          </w:tcPr>
          <w:p w:rsidR="0085264B" w:rsidRDefault="0085264B" w:rsidP="00D41B57"/>
        </w:tc>
        <w:tc>
          <w:tcPr>
            <w:tcW w:w="2268" w:type="dxa"/>
            <w:shd w:val="clear" w:color="auto" w:fill="auto"/>
            <w:vAlign w:val="center"/>
          </w:tcPr>
          <w:p w:rsidR="0085264B" w:rsidRPr="00D72710" w:rsidRDefault="0085264B" w:rsidP="00D41B57">
            <w:r w:rsidRPr="00D72710">
              <w:t xml:space="preserve">Improve the accessibility </w:t>
            </w:r>
            <w:r>
              <w:t xml:space="preserve">to the Western markets </w:t>
            </w:r>
            <w:r w:rsidRPr="00D72710">
              <w:t xml:space="preserve">of </w:t>
            </w:r>
            <w:r>
              <w:t>area Braila – Galati</w:t>
            </w:r>
          </w:p>
        </w:tc>
        <w:tc>
          <w:tcPr>
            <w:tcW w:w="851" w:type="dxa"/>
            <w:shd w:val="clear" w:color="auto" w:fill="auto"/>
            <w:vAlign w:val="center"/>
          </w:tcPr>
          <w:p w:rsidR="0085264B" w:rsidRPr="00BD656A" w:rsidRDefault="0085264B" w:rsidP="00D41B57">
            <w:pPr>
              <w:jc w:val="center"/>
            </w:pPr>
            <w:r>
              <w:t>OR17</w:t>
            </w:r>
          </w:p>
        </w:tc>
        <w:tc>
          <w:tcPr>
            <w:tcW w:w="3543" w:type="dxa"/>
            <w:shd w:val="clear" w:color="auto" w:fill="auto"/>
            <w:vAlign w:val="center"/>
          </w:tcPr>
          <w:p w:rsidR="0085264B" w:rsidRPr="00BD656A" w:rsidRDefault="0085264B" w:rsidP="00D41B57">
            <w:pPr>
              <w:jc w:val="center"/>
            </w:pPr>
            <w:r w:rsidRPr="00BD656A">
              <w:t>Covered under the interventions for OR6</w:t>
            </w:r>
          </w:p>
        </w:tc>
        <w:tc>
          <w:tcPr>
            <w:tcW w:w="993" w:type="dxa"/>
            <w:shd w:val="clear" w:color="auto" w:fill="auto"/>
            <w:vAlign w:val="center"/>
          </w:tcPr>
          <w:p w:rsidR="0085264B" w:rsidRPr="00BD656A" w:rsidRDefault="0085264B" w:rsidP="00D41B57">
            <w:pPr>
              <w:jc w:val="center"/>
            </w:pPr>
            <w:r>
              <w:t>Covered under OR</w:t>
            </w:r>
            <w:r w:rsidRPr="00BD656A">
              <w:t>6</w:t>
            </w:r>
          </w:p>
        </w:tc>
        <w:tc>
          <w:tcPr>
            <w:tcW w:w="850" w:type="dxa"/>
            <w:shd w:val="clear" w:color="auto" w:fill="auto"/>
            <w:vAlign w:val="center"/>
          </w:tcPr>
          <w:p w:rsidR="0085264B" w:rsidRPr="005B1A5B" w:rsidRDefault="0085264B" w:rsidP="00D41B57">
            <w:pPr>
              <w:jc w:val="center"/>
            </w:pPr>
            <w:r w:rsidRPr="005B1A5B">
              <w:t>N.A</w:t>
            </w: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c>
          <w:tcPr>
            <w:tcW w:w="1701" w:type="dxa"/>
            <w:vAlign w:val="center"/>
          </w:tcPr>
          <w:p w:rsidR="0085264B" w:rsidRPr="00664D4E" w:rsidRDefault="0085264B" w:rsidP="00D41B57">
            <w:pPr>
              <w:spacing w:before="60" w:after="60"/>
              <w:jc w:val="both"/>
              <w:rPr>
                <w:rFonts w:cs="Arial"/>
                <w:sz w:val="20"/>
                <w:szCs w:val="20"/>
              </w:rPr>
            </w:pP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Pr="00D72710" w:rsidRDefault="0085264B" w:rsidP="00D41B57">
            <w:r w:rsidRPr="00D72710">
              <w:t xml:space="preserve">Improve the accessibility </w:t>
            </w:r>
            <w:r>
              <w:t xml:space="preserve">to the Western markets </w:t>
            </w:r>
            <w:r w:rsidRPr="00D72710">
              <w:t xml:space="preserve">of </w:t>
            </w:r>
            <w:r>
              <w:t>the South-East Region  (Constanta)</w:t>
            </w:r>
          </w:p>
        </w:tc>
        <w:tc>
          <w:tcPr>
            <w:tcW w:w="851" w:type="dxa"/>
            <w:shd w:val="clear" w:color="auto" w:fill="auto"/>
            <w:vAlign w:val="center"/>
          </w:tcPr>
          <w:p w:rsidR="0085264B" w:rsidRPr="00BD656A" w:rsidRDefault="0085264B" w:rsidP="00D41B57">
            <w:pPr>
              <w:jc w:val="center"/>
            </w:pPr>
            <w:r>
              <w:t>OR18</w:t>
            </w:r>
          </w:p>
        </w:tc>
        <w:tc>
          <w:tcPr>
            <w:tcW w:w="3543" w:type="dxa"/>
            <w:shd w:val="clear" w:color="auto" w:fill="auto"/>
            <w:vAlign w:val="center"/>
          </w:tcPr>
          <w:p w:rsidR="0085264B" w:rsidRPr="00BD656A" w:rsidRDefault="0085264B" w:rsidP="00D41B57">
            <w:pPr>
              <w:jc w:val="center"/>
            </w:pPr>
            <w:r w:rsidRPr="00BD656A">
              <w:t>Covered under the interventions for OR2</w:t>
            </w:r>
          </w:p>
        </w:tc>
        <w:tc>
          <w:tcPr>
            <w:tcW w:w="993" w:type="dxa"/>
            <w:shd w:val="clear" w:color="auto" w:fill="auto"/>
            <w:vAlign w:val="center"/>
          </w:tcPr>
          <w:p w:rsidR="0085264B" w:rsidRPr="00BD656A" w:rsidRDefault="0085264B" w:rsidP="00D41B57">
            <w:pPr>
              <w:jc w:val="center"/>
            </w:pPr>
            <w:r>
              <w:t>Covered under OR</w:t>
            </w:r>
            <w:r w:rsidRPr="00BD656A">
              <w:t>2</w:t>
            </w:r>
          </w:p>
        </w:tc>
        <w:tc>
          <w:tcPr>
            <w:tcW w:w="850" w:type="dxa"/>
            <w:shd w:val="clear" w:color="auto" w:fill="auto"/>
            <w:vAlign w:val="center"/>
          </w:tcPr>
          <w:p w:rsidR="0085264B" w:rsidRPr="005B1A5B" w:rsidRDefault="0085264B" w:rsidP="00D41B57">
            <w:pPr>
              <w:jc w:val="center"/>
            </w:pPr>
            <w:r w:rsidRPr="005B1A5B">
              <w:t>N.A</w:t>
            </w: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c>
          <w:tcPr>
            <w:tcW w:w="1701" w:type="dxa"/>
            <w:vAlign w:val="center"/>
          </w:tcPr>
          <w:p w:rsidR="0085264B" w:rsidRPr="00664D4E" w:rsidRDefault="0085264B" w:rsidP="00D41B57">
            <w:pPr>
              <w:spacing w:before="60" w:after="60"/>
              <w:jc w:val="both"/>
              <w:rPr>
                <w:rFonts w:cs="Arial"/>
                <w:sz w:val="20"/>
                <w:szCs w:val="20"/>
              </w:rPr>
            </w:pP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Pr="00463BBB" w:rsidRDefault="0085264B" w:rsidP="00D41B57">
            <w:pPr>
              <w:jc w:val="center"/>
            </w:pPr>
          </w:p>
        </w:tc>
        <w:tc>
          <w:tcPr>
            <w:tcW w:w="1417" w:type="dxa"/>
            <w:vMerge/>
            <w:shd w:val="clear" w:color="auto" w:fill="auto"/>
            <w:vAlign w:val="center"/>
          </w:tcPr>
          <w:p w:rsidR="0085264B" w:rsidRPr="00463BBB" w:rsidRDefault="0085264B" w:rsidP="00D41B57">
            <w:pPr>
              <w:jc w:val="center"/>
            </w:pPr>
          </w:p>
        </w:tc>
        <w:tc>
          <w:tcPr>
            <w:tcW w:w="2268" w:type="dxa"/>
            <w:vMerge/>
            <w:shd w:val="clear" w:color="auto" w:fill="auto"/>
            <w:vAlign w:val="center"/>
          </w:tcPr>
          <w:p w:rsidR="0085264B" w:rsidRPr="00463BBB" w:rsidRDefault="0085264B" w:rsidP="00D41B57">
            <w:pPr>
              <w:jc w:val="center"/>
            </w:pPr>
          </w:p>
        </w:tc>
        <w:tc>
          <w:tcPr>
            <w:tcW w:w="3544" w:type="dxa"/>
            <w:vMerge/>
            <w:shd w:val="clear" w:color="auto" w:fill="auto"/>
            <w:vAlign w:val="center"/>
          </w:tcPr>
          <w:p w:rsidR="0085264B" w:rsidRPr="00463BBB" w:rsidRDefault="0085264B" w:rsidP="00D41B57"/>
        </w:tc>
        <w:tc>
          <w:tcPr>
            <w:tcW w:w="2268" w:type="dxa"/>
            <w:shd w:val="clear" w:color="auto" w:fill="auto"/>
            <w:vAlign w:val="center"/>
          </w:tcPr>
          <w:p w:rsidR="0085264B" w:rsidRDefault="0085264B" w:rsidP="00D41B57">
            <w:r w:rsidRPr="00D72710">
              <w:t xml:space="preserve">Improve the accessibility </w:t>
            </w:r>
            <w:r>
              <w:t xml:space="preserve">to the Western markets </w:t>
            </w:r>
            <w:r w:rsidRPr="00D72710">
              <w:t xml:space="preserve">of </w:t>
            </w:r>
            <w:r>
              <w:t>the South Region (Craiova)</w:t>
            </w:r>
          </w:p>
          <w:p w:rsidR="0085264B" w:rsidRPr="00D72710" w:rsidRDefault="0085264B" w:rsidP="00D41B57"/>
        </w:tc>
        <w:tc>
          <w:tcPr>
            <w:tcW w:w="851" w:type="dxa"/>
            <w:shd w:val="clear" w:color="auto" w:fill="auto"/>
            <w:vAlign w:val="center"/>
          </w:tcPr>
          <w:p w:rsidR="0085264B" w:rsidRPr="00BD656A" w:rsidRDefault="0085264B" w:rsidP="00D41B57">
            <w:pPr>
              <w:jc w:val="center"/>
            </w:pPr>
            <w:r>
              <w:t>OR19</w:t>
            </w:r>
          </w:p>
        </w:tc>
        <w:tc>
          <w:tcPr>
            <w:tcW w:w="3543" w:type="dxa"/>
            <w:shd w:val="clear" w:color="auto" w:fill="auto"/>
            <w:vAlign w:val="center"/>
          </w:tcPr>
          <w:p w:rsidR="0085264B" w:rsidRPr="00BD656A" w:rsidRDefault="0085264B" w:rsidP="00D41B57">
            <w:pPr>
              <w:jc w:val="center"/>
            </w:pPr>
            <w:r w:rsidRPr="00BD656A">
              <w:t>Covered</w:t>
            </w:r>
            <w:r>
              <w:t xml:space="preserve"> under the interventions for OR10</w:t>
            </w:r>
          </w:p>
        </w:tc>
        <w:tc>
          <w:tcPr>
            <w:tcW w:w="993" w:type="dxa"/>
            <w:shd w:val="clear" w:color="auto" w:fill="auto"/>
            <w:vAlign w:val="center"/>
          </w:tcPr>
          <w:p w:rsidR="0085264B" w:rsidRPr="00BD656A" w:rsidRDefault="0085264B" w:rsidP="00D41B57">
            <w:pPr>
              <w:jc w:val="center"/>
            </w:pPr>
            <w:r>
              <w:t>Covered under OR10</w:t>
            </w:r>
          </w:p>
        </w:tc>
        <w:tc>
          <w:tcPr>
            <w:tcW w:w="850" w:type="dxa"/>
            <w:shd w:val="clear" w:color="auto" w:fill="auto"/>
            <w:vAlign w:val="center"/>
          </w:tcPr>
          <w:p w:rsidR="0085264B" w:rsidRPr="005B1A5B" w:rsidRDefault="0085264B" w:rsidP="00D41B57">
            <w:pPr>
              <w:jc w:val="center"/>
            </w:pPr>
            <w:r w:rsidRPr="005B1A5B">
              <w:t>N.A</w:t>
            </w: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c>
          <w:tcPr>
            <w:tcW w:w="1701" w:type="dxa"/>
            <w:vAlign w:val="center"/>
          </w:tcPr>
          <w:p w:rsidR="0085264B" w:rsidRPr="00664D4E" w:rsidRDefault="0085264B" w:rsidP="00D41B57">
            <w:pPr>
              <w:spacing w:before="60" w:after="60"/>
              <w:jc w:val="both"/>
              <w:rPr>
                <w:rFonts w:cs="Arial"/>
                <w:sz w:val="20"/>
                <w:szCs w:val="20"/>
              </w:rPr>
            </w:pPr>
          </w:p>
        </w:tc>
        <w:tc>
          <w:tcPr>
            <w:tcW w:w="1134" w:type="dxa"/>
            <w:shd w:val="clear" w:color="auto" w:fill="auto"/>
            <w:vAlign w:val="center"/>
          </w:tcPr>
          <w:p w:rsidR="0085264B" w:rsidRPr="00664D4E" w:rsidRDefault="0085264B" w:rsidP="00D41B57">
            <w:pPr>
              <w:spacing w:before="60" w:after="60"/>
              <w:jc w:val="both"/>
              <w:rPr>
                <w:rFonts w:cs="Arial"/>
                <w:sz w:val="20"/>
                <w:szCs w:val="20"/>
              </w:rPr>
            </w:pPr>
          </w:p>
        </w:tc>
      </w:tr>
      <w:tr w:rsidR="0085264B" w:rsidTr="00D41B57">
        <w:tc>
          <w:tcPr>
            <w:tcW w:w="1417" w:type="dxa"/>
            <w:shd w:val="clear" w:color="auto" w:fill="auto"/>
            <w:vAlign w:val="center"/>
          </w:tcPr>
          <w:p w:rsidR="0085264B" w:rsidRDefault="0085264B" w:rsidP="00D41B57">
            <w:pPr>
              <w:jc w:val="center"/>
            </w:pPr>
            <w:r>
              <w:t>Environmental Sustainability</w:t>
            </w:r>
          </w:p>
        </w:tc>
        <w:tc>
          <w:tcPr>
            <w:tcW w:w="676" w:type="dxa"/>
            <w:shd w:val="clear" w:color="auto" w:fill="auto"/>
            <w:vAlign w:val="center"/>
          </w:tcPr>
          <w:p w:rsidR="0085264B" w:rsidRDefault="0085264B" w:rsidP="00D41B57">
            <w:pPr>
              <w:jc w:val="center"/>
            </w:pPr>
            <w:r>
              <w:t>08</w:t>
            </w:r>
          </w:p>
        </w:tc>
        <w:tc>
          <w:tcPr>
            <w:tcW w:w="1417" w:type="dxa"/>
            <w:shd w:val="clear" w:color="auto" w:fill="auto"/>
            <w:vAlign w:val="center"/>
          </w:tcPr>
          <w:p w:rsidR="0085264B" w:rsidRDefault="0085264B" w:rsidP="00D41B57">
            <w:pPr>
              <w:jc w:val="center"/>
            </w:pPr>
            <w:r>
              <w:t>Infrastructure Deficit</w:t>
            </w:r>
          </w:p>
        </w:tc>
        <w:tc>
          <w:tcPr>
            <w:tcW w:w="2268" w:type="dxa"/>
            <w:shd w:val="clear" w:color="auto" w:fill="auto"/>
            <w:vAlign w:val="center"/>
          </w:tcPr>
          <w:p w:rsidR="0085264B" w:rsidRPr="0048680D" w:rsidRDefault="0085264B" w:rsidP="00D41B57">
            <w:pPr>
              <w:jc w:val="center"/>
            </w:pPr>
            <w:r>
              <w:t>Heavy traffic transiting localities leading to air pollution and noise affecting the communities</w:t>
            </w:r>
          </w:p>
        </w:tc>
        <w:tc>
          <w:tcPr>
            <w:tcW w:w="3544" w:type="dxa"/>
            <w:shd w:val="clear" w:color="auto" w:fill="auto"/>
            <w:vAlign w:val="center"/>
          </w:tcPr>
          <w:p w:rsidR="0085264B" w:rsidRPr="0048680D" w:rsidRDefault="0085264B" w:rsidP="00D41B57">
            <w:r>
              <w:t>A</w:t>
            </w:r>
            <w:r w:rsidRPr="00B1042A">
              <w:t xml:space="preserve">nalysis of the highest volumes of transit traffic (after the implementation </w:t>
            </w:r>
            <w:r>
              <w:t>of Reference Case, Level 1 and Level 2 schemes to determine if</w:t>
            </w:r>
            <w:r w:rsidRPr="00B1042A">
              <w:t xml:space="preserve"> potential by-pass projects</w:t>
            </w:r>
            <w:r>
              <w:t xml:space="preserve"> remain.</w:t>
            </w:r>
          </w:p>
        </w:tc>
        <w:tc>
          <w:tcPr>
            <w:tcW w:w="2268" w:type="dxa"/>
            <w:shd w:val="clear" w:color="auto" w:fill="auto"/>
            <w:vAlign w:val="center"/>
          </w:tcPr>
          <w:p w:rsidR="0085264B" w:rsidRPr="00744BF6" w:rsidRDefault="0085264B" w:rsidP="00D41B57">
            <w:r>
              <w:t>M</w:t>
            </w:r>
            <w:r w:rsidRPr="00B1042A">
              <w:t>inimize the local environmental impacts (noise, air quality) associated with the national transport infrastructure.</w:t>
            </w:r>
          </w:p>
        </w:tc>
        <w:tc>
          <w:tcPr>
            <w:tcW w:w="851" w:type="dxa"/>
            <w:shd w:val="clear" w:color="auto" w:fill="auto"/>
            <w:vAlign w:val="center"/>
          </w:tcPr>
          <w:p w:rsidR="0085264B" w:rsidRDefault="0085264B" w:rsidP="00D41B57">
            <w:r>
              <w:t>OR20</w:t>
            </w:r>
          </w:p>
        </w:tc>
        <w:tc>
          <w:tcPr>
            <w:tcW w:w="3543" w:type="dxa"/>
            <w:shd w:val="clear" w:color="auto" w:fill="auto"/>
            <w:vAlign w:val="center"/>
          </w:tcPr>
          <w:p w:rsidR="0085264B" w:rsidRPr="00744BF6" w:rsidRDefault="0085264B" w:rsidP="00D41B57">
            <w:r>
              <w:t>Focus on villages with significant volumes of through traffic post Level 1 testing and identify and test these though model.</w:t>
            </w:r>
          </w:p>
        </w:tc>
        <w:tc>
          <w:tcPr>
            <w:tcW w:w="993" w:type="dxa"/>
            <w:shd w:val="clear" w:color="auto" w:fill="auto"/>
            <w:vAlign w:val="center"/>
          </w:tcPr>
          <w:p w:rsidR="0085264B" w:rsidRPr="002621D3" w:rsidRDefault="0085264B" w:rsidP="00D41B57">
            <w:pPr>
              <w:jc w:val="center"/>
            </w:pPr>
            <w:r>
              <w:t>Y</w:t>
            </w:r>
          </w:p>
        </w:tc>
        <w:tc>
          <w:tcPr>
            <w:tcW w:w="850" w:type="dxa"/>
            <w:shd w:val="clear" w:color="auto" w:fill="auto"/>
            <w:vAlign w:val="center"/>
          </w:tcPr>
          <w:p w:rsidR="0085264B" w:rsidRPr="002621D3" w:rsidRDefault="0085264B" w:rsidP="00D41B57">
            <w:pPr>
              <w:jc w:val="center"/>
            </w:pPr>
            <w:r>
              <w:t>N.A.</w:t>
            </w:r>
          </w:p>
        </w:tc>
        <w:tc>
          <w:tcPr>
            <w:tcW w:w="1134" w:type="dxa"/>
            <w:shd w:val="clear" w:color="auto" w:fill="auto"/>
            <w:vAlign w:val="center"/>
          </w:tcPr>
          <w:p w:rsidR="0085264B" w:rsidRPr="002621D3" w:rsidRDefault="0085264B" w:rsidP="00D41B57">
            <w:pPr>
              <w:jc w:val="center"/>
            </w:pPr>
            <w:r w:rsidRPr="002621D3">
              <w:t>TBC</w:t>
            </w:r>
          </w:p>
        </w:tc>
        <w:tc>
          <w:tcPr>
            <w:tcW w:w="1701" w:type="dxa"/>
            <w:vAlign w:val="center"/>
          </w:tcPr>
          <w:p w:rsidR="0085264B" w:rsidRPr="002621D3" w:rsidRDefault="0085264B" w:rsidP="00D41B57">
            <w:pPr>
              <w:jc w:val="center"/>
            </w:pPr>
            <w:r>
              <w:t>Individual</w:t>
            </w:r>
          </w:p>
        </w:tc>
        <w:tc>
          <w:tcPr>
            <w:tcW w:w="1134" w:type="dxa"/>
            <w:shd w:val="clear" w:color="auto" w:fill="auto"/>
            <w:vAlign w:val="center"/>
          </w:tcPr>
          <w:p w:rsidR="0085264B" w:rsidRPr="002621D3" w:rsidRDefault="0085264B" w:rsidP="00D41B57">
            <w:pPr>
              <w:jc w:val="center"/>
            </w:pPr>
            <w:r>
              <w:t>H90</w:t>
            </w:r>
          </w:p>
        </w:tc>
      </w:tr>
      <w:tr w:rsidR="0085264B" w:rsidTr="00D41B57">
        <w:tc>
          <w:tcPr>
            <w:tcW w:w="1417" w:type="dxa"/>
            <w:vMerge w:val="restart"/>
            <w:shd w:val="clear" w:color="auto" w:fill="auto"/>
            <w:vAlign w:val="center"/>
          </w:tcPr>
          <w:p w:rsidR="0085264B" w:rsidRDefault="0085264B" w:rsidP="00D41B57">
            <w:pPr>
              <w:jc w:val="center"/>
            </w:pPr>
            <w:r>
              <w:t>Safety &amp; Security</w:t>
            </w:r>
          </w:p>
        </w:tc>
        <w:tc>
          <w:tcPr>
            <w:tcW w:w="676" w:type="dxa"/>
            <w:vMerge w:val="restart"/>
            <w:shd w:val="clear" w:color="auto" w:fill="auto"/>
            <w:vAlign w:val="center"/>
          </w:tcPr>
          <w:p w:rsidR="0085264B" w:rsidRDefault="0085264B" w:rsidP="00D41B57">
            <w:pPr>
              <w:jc w:val="center"/>
            </w:pPr>
            <w:r>
              <w:t>09</w:t>
            </w:r>
          </w:p>
          <w:p w:rsidR="0085264B" w:rsidRDefault="0085264B" w:rsidP="00D41B57">
            <w:pPr>
              <w:jc w:val="center"/>
            </w:pPr>
          </w:p>
        </w:tc>
        <w:tc>
          <w:tcPr>
            <w:tcW w:w="1417" w:type="dxa"/>
            <w:vMerge w:val="restart"/>
            <w:shd w:val="clear" w:color="auto" w:fill="auto"/>
            <w:vAlign w:val="center"/>
          </w:tcPr>
          <w:p w:rsidR="0085264B" w:rsidRDefault="0085264B" w:rsidP="00D41B57">
            <w:pPr>
              <w:jc w:val="center"/>
            </w:pPr>
            <w:r>
              <w:t>Safety</w:t>
            </w:r>
          </w:p>
          <w:p w:rsidR="0085264B" w:rsidRDefault="0085264B" w:rsidP="00D41B57">
            <w:pPr>
              <w:jc w:val="center"/>
            </w:pPr>
          </w:p>
        </w:tc>
        <w:tc>
          <w:tcPr>
            <w:tcW w:w="2268" w:type="dxa"/>
            <w:vMerge w:val="restart"/>
            <w:shd w:val="clear" w:color="auto" w:fill="auto"/>
            <w:vAlign w:val="center"/>
          </w:tcPr>
          <w:p w:rsidR="0085264B" w:rsidRDefault="0085264B" w:rsidP="00D41B57">
            <w:pPr>
              <w:jc w:val="center"/>
            </w:pPr>
            <w:r>
              <w:t>Very h</w:t>
            </w:r>
            <w:r w:rsidRPr="0048680D">
              <w:t>igh fatal accident rates on the road network compared to rest of the EU.</w:t>
            </w:r>
          </w:p>
          <w:p w:rsidR="0085264B" w:rsidRDefault="0085264B" w:rsidP="00D41B57">
            <w:pPr>
              <w:jc w:val="center"/>
            </w:pPr>
          </w:p>
        </w:tc>
        <w:tc>
          <w:tcPr>
            <w:tcW w:w="3544" w:type="dxa"/>
            <w:vMerge w:val="restart"/>
            <w:shd w:val="clear" w:color="auto" w:fill="auto"/>
            <w:vAlign w:val="center"/>
          </w:tcPr>
          <w:p w:rsidR="0085264B" w:rsidRDefault="0085264B" w:rsidP="00D41B57">
            <w:r w:rsidRPr="0048680D">
              <w:t>Romania has 259 fatalities per 10 billion pkm (against an EU average of 61) and 466 fatalities per million passenger cars (against an EU average of 126). It is the worst performing EU country for both indices. The national network accounts for 50% of all fatal accidents.</w:t>
            </w:r>
          </w:p>
          <w:p w:rsidR="0085264B" w:rsidRDefault="0085264B" w:rsidP="00D41B57"/>
          <w:p w:rsidR="0085264B" w:rsidRDefault="0085264B" w:rsidP="00D41B57">
            <w:r w:rsidRPr="00720389">
              <w:t>28% of all fatal accidents on the national network cited “pedestrians in the road” as a causation factor.</w:t>
            </w:r>
          </w:p>
          <w:p w:rsidR="0085264B" w:rsidRDefault="0085264B" w:rsidP="00D41B57"/>
          <w:p w:rsidR="0085264B" w:rsidRDefault="0085264B" w:rsidP="00D41B57">
            <w:r>
              <w:t>High proportion of accidents towards end of day suggest fatigue is a contributory factor in many cases.</w:t>
            </w:r>
          </w:p>
          <w:p w:rsidR="0085264B" w:rsidRDefault="0085264B" w:rsidP="00D41B57"/>
          <w:p w:rsidR="0085264B" w:rsidRDefault="0085264B" w:rsidP="00D41B57">
            <w:r>
              <w:t>See further analysis in Appendix C: Pedestrian Accidents and Appendix D: Road Accidents including blackspot identification in Figure C1.</w:t>
            </w:r>
          </w:p>
          <w:p w:rsidR="0085264B" w:rsidRDefault="0085264B" w:rsidP="00D41B57"/>
          <w:p w:rsidR="0085264B" w:rsidRDefault="0085264B" w:rsidP="00D41B57">
            <w:r>
              <w:t>Road Safety Audits (RSA) procedures not properly implemented and ineffective. The EU Directive 2008/96E/EC was transposed into RO legislation but its accompanying Methodological Norms were not issued.</w:t>
            </w:r>
          </w:p>
        </w:tc>
        <w:tc>
          <w:tcPr>
            <w:tcW w:w="2268" w:type="dxa"/>
            <w:vMerge w:val="restart"/>
            <w:shd w:val="clear" w:color="auto" w:fill="auto"/>
            <w:vAlign w:val="center"/>
          </w:tcPr>
          <w:p w:rsidR="0085264B" w:rsidRDefault="0085264B" w:rsidP="00D41B57">
            <w:r>
              <w:t>Decrease by half the accident rates by 2020 and down to EU average by 2030</w:t>
            </w:r>
          </w:p>
          <w:p w:rsidR="0085264B" w:rsidRDefault="0085264B" w:rsidP="00D41B57"/>
          <w:p w:rsidR="0085264B" w:rsidRDefault="0085264B" w:rsidP="00D41B57"/>
          <w:p w:rsidR="0085264B" w:rsidRDefault="0085264B" w:rsidP="00D41B57"/>
          <w:p w:rsidR="0085264B" w:rsidRDefault="0085264B" w:rsidP="00D41B57"/>
          <w:p w:rsidR="0085264B" w:rsidRDefault="0085264B" w:rsidP="00D41B57"/>
        </w:tc>
        <w:tc>
          <w:tcPr>
            <w:tcW w:w="851" w:type="dxa"/>
            <w:shd w:val="clear" w:color="auto" w:fill="auto"/>
            <w:vAlign w:val="center"/>
          </w:tcPr>
          <w:p w:rsidR="0085264B" w:rsidRDefault="0085264B" w:rsidP="00D41B57">
            <w:r>
              <w:t>OR21</w:t>
            </w:r>
          </w:p>
        </w:tc>
        <w:tc>
          <w:tcPr>
            <w:tcW w:w="3543" w:type="dxa"/>
            <w:shd w:val="clear" w:color="auto" w:fill="auto"/>
            <w:vAlign w:val="center"/>
          </w:tcPr>
          <w:p w:rsidR="0085264B" w:rsidRDefault="0085264B" w:rsidP="00D41B57">
            <w:r>
              <w:t xml:space="preserve">Infrastructure – linear villages (pack of e.g. constructing sidewalks, speed reduction e.g. entry mini roundabouts, lighting at pedestrian crossings) </w:t>
            </w:r>
            <w:r w:rsidRPr="00B1498E">
              <w:t xml:space="preserve">– to </w:t>
            </w:r>
            <w:r>
              <w:t xml:space="preserve">be provided for </w:t>
            </w:r>
            <w:r w:rsidRPr="00B1498E">
              <w:t xml:space="preserve">all linear villages with AADT &gt; </w:t>
            </w:r>
            <w:r>
              <w:t>15,000</w:t>
            </w:r>
            <w:r w:rsidRPr="00B1498E">
              <w:t xml:space="preserve"> in 2020 Reference</w:t>
            </w:r>
            <w:r>
              <w:t xml:space="preserve"> scenario.</w:t>
            </w:r>
          </w:p>
          <w:p w:rsidR="0085264B" w:rsidRPr="00744BF6" w:rsidRDefault="0085264B" w:rsidP="00D41B57"/>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H91</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680121"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OR22</w:t>
            </w:r>
          </w:p>
        </w:tc>
        <w:tc>
          <w:tcPr>
            <w:tcW w:w="3543" w:type="dxa"/>
            <w:shd w:val="clear" w:color="auto" w:fill="auto"/>
            <w:vAlign w:val="center"/>
          </w:tcPr>
          <w:p w:rsidR="0085264B" w:rsidRDefault="0085264B" w:rsidP="00D41B57">
            <w:r>
              <w:t xml:space="preserve">Infrastructure – building safety barriers (e.g. New Jersey) on all 2x2 roads – undertake separate feasibility study </w:t>
            </w:r>
            <w:r w:rsidRPr="00BF6388">
              <w:t>to identify + cost all the respective sections.</w:t>
            </w:r>
          </w:p>
          <w:p w:rsidR="0085264B" w:rsidRPr="00463BBB" w:rsidRDefault="0085264B" w:rsidP="00D41B57"/>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H92</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OR23</w:t>
            </w:r>
          </w:p>
        </w:tc>
        <w:tc>
          <w:tcPr>
            <w:tcW w:w="3543" w:type="dxa"/>
            <w:shd w:val="clear" w:color="auto" w:fill="auto"/>
            <w:vAlign w:val="center"/>
          </w:tcPr>
          <w:p w:rsidR="0085264B" w:rsidRDefault="0085264B" w:rsidP="00D41B57">
            <w:r>
              <w:t xml:space="preserve">Infrastructure – punctual specific problems: </w:t>
            </w:r>
            <w:r w:rsidRPr="00BF6388">
              <w:t xml:space="preserve">to define a blackspots action to study and design safety improvement measures for treating the blackspots identified in Figure C1 (excluding the spots expected to be solved with </w:t>
            </w:r>
            <w:r>
              <w:t>Level 1 or Level 2 schemes</w:t>
            </w:r>
            <w:r w:rsidRPr="00BF6388">
              <w:t>).</w:t>
            </w:r>
          </w:p>
          <w:p w:rsidR="0085264B" w:rsidRDefault="0085264B" w:rsidP="00D41B57"/>
        </w:tc>
        <w:tc>
          <w:tcPr>
            <w:tcW w:w="993" w:type="dxa"/>
            <w:shd w:val="clear" w:color="auto" w:fill="auto"/>
            <w:vAlign w:val="center"/>
          </w:tcPr>
          <w:p w:rsidR="0085264B" w:rsidRDefault="0085264B" w:rsidP="00D41B57">
            <w:pPr>
              <w:jc w:val="center"/>
            </w:pPr>
            <w:r>
              <w:t>N</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H93</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OR24</w:t>
            </w:r>
          </w:p>
        </w:tc>
        <w:tc>
          <w:tcPr>
            <w:tcW w:w="3543" w:type="dxa"/>
            <w:shd w:val="clear" w:color="auto" w:fill="auto"/>
            <w:vAlign w:val="center"/>
          </w:tcPr>
          <w:p w:rsidR="0085264B" w:rsidRDefault="0085264B" w:rsidP="00D41B57">
            <w:r>
              <w:t xml:space="preserve">Infrastructure: Provide adequate rest areas at appropriate points on national network based on maximum 2-hour drive time between locations. </w:t>
            </w:r>
          </w:p>
          <w:p w:rsidR="0085264B" w:rsidRDefault="0085264B" w:rsidP="00D41B57"/>
        </w:tc>
        <w:tc>
          <w:tcPr>
            <w:tcW w:w="993" w:type="dxa"/>
            <w:shd w:val="clear" w:color="auto" w:fill="auto"/>
            <w:vAlign w:val="center"/>
          </w:tcPr>
          <w:p w:rsidR="0085264B" w:rsidRDefault="0085264B" w:rsidP="00D41B57">
            <w:pPr>
              <w:jc w:val="center"/>
            </w:pPr>
            <w:r>
              <w:t>N</w:t>
            </w:r>
          </w:p>
        </w:tc>
        <w:tc>
          <w:tcPr>
            <w:tcW w:w="850" w:type="dxa"/>
            <w:shd w:val="clear" w:color="auto" w:fill="auto"/>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n/a</w:t>
            </w:r>
          </w:p>
        </w:tc>
        <w:tc>
          <w:tcPr>
            <w:tcW w:w="1701" w:type="dxa"/>
            <w:vAlign w:val="center"/>
          </w:tcPr>
          <w:p w:rsidR="0085264B" w:rsidRDefault="0085264B" w:rsidP="00D41B57">
            <w:pPr>
              <w:jc w:val="center"/>
            </w:pPr>
            <w:r>
              <w:t>n/a</w:t>
            </w:r>
          </w:p>
        </w:tc>
        <w:tc>
          <w:tcPr>
            <w:tcW w:w="1134" w:type="dxa"/>
            <w:shd w:val="clear" w:color="auto" w:fill="auto"/>
            <w:vAlign w:val="center"/>
          </w:tcPr>
          <w:p w:rsidR="0085264B" w:rsidRDefault="0085264B" w:rsidP="00D41B57">
            <w:pPr>
              <w:jc w:val="center"/>
            </w:pPr>
            <w:r>
              <w:t>H94</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RDefault="0085264B" w:rsidP="00D41B57">
            <w:r>
              <w:t>OR25</w:t>
            </w:r>
          </w:p>
        </w:tc>
        <w:tc>
          <w:tcPr>
            <w:tcW w:w="3543" w:type="dxa"/>
            <w:shd w:val="clear" w:color="auto" w:fill="auto"/>
            <w:vAlign w:val="center"/>
          </w:tcPr>
          <w:p w:rsidR="0085264B" w:rsidRDefault="0085264B" w:rsidP="00D41B57">
            <w:r w:rsidRPr="00C4323E">
              <w:t>Increase safety and security of HGV operations to levels consistent with the recommendations of Directive 2008/96/EC and Directive 2010/40/EU (Article 3) requiring the provision of information and reservation services for safe and secure parking places for trucks and commercial vehicles</w:t>
            </w:r>
            <w:r>
              <w:t>.</w:t>
            </w:r>
          </w:p>
          <w:p w:rsidR="0085264B" w:rsidRPr="00C4323E" w:rsidRDefault="0085264B" w:rsidP="00D41B57"/>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H95</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Del="008B41CE" w:rsidRDefault="0085264B" w:rsidP="00D41B57">
            <w:r>
              <w:t>OR26</w:t>
            </w:r>
          </w:p>
        </w:tc>
        <w:tc>
          <w:tcPr>
            <w:tcW w:w="3543" w:type="dxa"/>
            <w:shd w:val="clear" w:color="auto" w:fill="auto"/>
            <w:vAlign w:val="center"/>
          </w:tcPr>
          <w:p w:rsidR="0085264B" w:rsidRDefault="0085264B" w:rsidP="00D41B57">
            <w:r>
              <w:t>Ensure effective and efficient implementation of the RSA procedures by introducing accompanying Methodological Norms and their enforcement at all stages of project lifecycle.</w:t>
            </w:r>
          </w:p>
          <w:p w:rsidR="0085264B" w:rsidRPr="00C4323E" w:rsidRDefault="0085264B" w:rsidP="00D41B57"/>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H96</w:t>
            </w:r>
          </w:p>
        </w:tc>
      </w:tr>
      <w:tr w:rsidR="0085264B" w:rsidTr="00D41B57">
        <w:tc>
          <w:tcPr>
            <w:tcW w:w="1417" w:type="dxa"/>
            <w:vMerge/>
            <w:shd w:val="clear" w:color="auto" w:fill="auto"/>
            <w:vAlign w:val="center"/>
          </w:tcPr>
          <w:p w:rsidR="0085264B" w:rsidRDefault="0085264B" w:rsidP="00D41B57">
            <w:pPr>
              <w:jc w:val="center"/>
            </w:pPr>
          </w:p>
        </w:tc>
        <w:tc>
          <w:tcPr>
            <w:tcW w:w="676" w:type="dxa"/>
            <w:vMerge/>
            <w:shd w:val="clear" w:color="auto" w:fill="auto"/>
            <w:vAlign w:val="center"/>
          </w:tcPr>
          <w:p w:rsidR="0085264B" w:rsidRDefault="0085264B" w:rsidP="00D41B57">
            <w:pPr>
              <w:jc w:val="center"/>
            </w:pPr>
          </w:p>
        </w:tc>
        <w:tc>
          <w:tcPr>
            <w:tcW w:w="1417" w:type="dxa"/>
            <w:vMerge/>
            <w:shd w:val="clear" w:color="auto" w:fill="auto"/>
            <w:vAlign w:val="center"/>
          </w:tcPr>
          <w:p w:rsidR="0085264B" w:rsidRDefault="0085264B" w:rsidP="00D41B57">
            <w:pPr>
              <w:jc w:val="center"/>
            </w:pPr>
          </w:p>
        </w:tc>
        <w:tc>
          <w:tcPr>
            <w:tcW w:w="2268" w:type="dxa"/>
            <w:vMerge/>
            <w:shd w:val="clear" w:color="auto" w:fill="auto"/>
            <w:vAlign w:val="center"/>
          </w:tcPr>
          <w:p w:rsidR="0085264B" w:rsidRPr="0048680D" w:rsidRDefault="0085264B" w:rsidP="00D41B57">
            <w:pPr>
              <w:jc w:val="center"/>
            </w:pPr>
          </w:p>
        </w:tc>
        <w:tc>
          <w:tcPr>
            <w:tcW w:w="3544" w:type="dxa"/>
            <w:vMerge/>
            <w:shd w:val="clear" w:color="auto" w:fill="auto"/>
            <w:vAlign w:val="center"/>
          </w:tcPr>
          <w:p w:rsidR="0085264B" w:rsidRPr="0048680D" w:rsidRDefault="0085264B" w:rsidP="00D41B57"/>
        </w:tc>
        <w:tc>
          <w:tcPr>
            <w:tcW w:w="2268" w:type="dxa"/>
            <w:vMerge/>
            <w:shd w:val="clear" w:color="auto" w:fill="auto"/>
            <w:vAlign w:val="center"/>
          </w:tcPr>
          <w:p w:rsidR="0085264B" w:rsidRDefault="0085264B" w:rsidP="00D41B57"/>
        </w:tc>
        <w:tc>
          <w:tcPr>
            <w:tcW w:w="851" w:type="dxa"/>
            <w:shd w:val="clear" w:color="auto" w:fill="auto"/>
            <w:vAlign w:val="center"/>
          </w:tcPr>
          <w:p w:rsidR="0085264B" w:rsidDel="008B41CE" w:rsidRDefault="0085264B" w:rsidP="00D41B57">
            <w:r>
              <w:t>OR27</w:t>
            </w:r>
          </w:p>
        </w:tc>
        <w:tc>
          <w:tcPr>
            <w:tcW w:w="3543" w:type="dxa"/>
            <w:shd w:val="clear" w:color="auto" w:fill="auto"/>
            <w:vAlign w:val="center"/>
          </w:tcPr>
          <w:p w:rsidR="0085264B" w:rsidRDefault="0085264B" w:rsidP="00D41B57">
            <w:r>
              <w:t>Revise the institutional structure of the Inter-ministerial Council for Traffic Safety -  which is currently operationally managed (by the executive Secretariat) at a too low level (a unit of ARR) and as such unable to effectively act on either policy making, co-ordination between institutions (Road Police, NCMNR, RAR) or enforcement/ implementation level.</w:t>
            </w:r>
            <w:r w:rsidRPr="00C4323E">
              <w:t xml:space="preserve"> </w:t>
            </w:r>
          </w:p>
          <w:p w:rsidR="0085264B" w:rsidRDefault="0085264B" w:rsidP="00D41B57"/>
          <w:p w:rsidR="0085264B" w:rsidRDefault="0085264B" w:rsidP="00D41B57">
            <w:r>
              <w:t xml:space="preserve">To be effective the Secretariat should be given higher authority and visibility e.g. under the PM Office. </w:t>
            </w:r>
          </w:p>
          <w:p w:rsidR="0085264B" w:rsidRDefault="0085264B" w:rsidP="00D41B57"/>
          <w:p w:rsidR="0085264B" w:rsidRPr="00C4323E" w:rsidRDefault="0085264B" w:rsidP="00D41B57">
            <w:r>
              <w:t>At operational level the Secretariat should be supported with specialised TA for the diagnosis of the situation and defining a sound and comprehensive Road Safety Action Plan.</w:t>
            </w:r>
          </w:p>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H97</w:t>
            </w:r>
          </w:p>
        </w:tc>
      </w:tr>
      <w:tr w:rsidR="0085264B" w:rsidTr="00D41B57">
        <w:tc>
          <w:tcPr>
            <w:tcW w:w="1417" w:type="dxa"/>
            <w:shd w:val="clear" w:color="auto" w:fill="auto"/>
            <w:vAlign w:val="center"/>
          </w:tcPr>
          <w:p w:rsidR="0085264B" w:rsidRDefault="0085264B" w:rsidP="00D41B57">
            <w:pPr>
              <w:jc w:val="center"/>
            </w:pPr>
          </w:p>
        </w:tc>
        <w:tc>
          <w:tcPr>
            <w:tcW w:w="676" w:type="dxa"/>
            <w:shd w:val="clear" w:color="auto" w:fill="auto"/>
            <w:vAlign w:val="center"/>
          </w:tcPr>
          <w:p w:rsidR="0085264B" w:rsidRDefault="0085264B" w:rsidP="00D41B57">
            <w:pPr>
              <w:jc w:val="center"/>
            </w:pPr>
            <w:r>
              <w:t>10</w:t>
            </w:r>
          </w:p>
        </w:tc>
        <w:tc>
          <w:tcPr>
            <w:tcW w:w="1417" w:type="dxa"/>
            <w:shd w:val="clear" w:color="auto" w:fill="auto"/>
            <w:vAlign w:val="center"/>
          </w:tcPr>
          <w:p w:rsidR="0085264B" w:rsidRDefault="0085264B" w:rsidP="00D41B57">
            <w:pPr>
              <w:jc w:val="center"/>
            </w:pPr>
            <w:r>
              <w:t>Security</w:t>
            </w:r>
          </w:p>
        </w:tc>
        <w:tc>
          <w:tcPr>
            <w:tcW w:w="2268" w:type="dxa"/>
            <w:shd w:val="clear" w:color="auto" w:fill="auto"/>
            <w:vAlign w:val="center"/>
          </w:tcPr>
          <w:p w:rsidR="0085264B" w:rsidRDefault="0085264B" w:rsidP="00D41B57">
            <w:pPr>
              <w:jc w:val="center"/>
            </w:pPr>
            <w:r>
              <w:t>Lack of secure and safe parking for goods vehicles.</w:t>
            </w:r>
          </w:p>
        </w:tc>
        <w:tc>
          <w:tcPr>
            <w:tcW w:w="3544" w:type="dxa"/>
            <w:shd w:val="clear" w:color="auto" w:fill="auto"/>
            <w:vAlign w:val="center"/>
          </w:tcPr>
          <w:p w:rsidR="0085264B" w:rsidRDefault="0085264B" w:rsidP="00D41B57">
            <w:r w:rsidRPr="008516DB">
              <w:t xml:space="preserve">There is </w:t>
            </w:r>
            <w:r>
              <w:t xml:space="preserve">currently </w:t>
            </w:r>
            <w:r w:rsidRPr="008516DB">
              <w:t xml:space="preserve">no secure </w:t>
            </w:r>
            <w:r>
              <w:t xml:space="preserve">truck parking </w:t>
            </w:r>
            <w:r w:rsidRPr="008516DB">
              <w:t xml:space="preserve">provision at all, even on new highway schemes. This presents a security and safety problem for </w:t>
            </w:r>
            <w:r>
              <w:t>hauliers and other road users and imposes unnecessary costs on the system.</w:t>
            </w:r>
          </w:p>
          <w:p w:rsidR="0085264B" w:rsidRDefault="0085264B" w:rsidP="00D41B57"/>
          <w:p w:rsidR="0085264B" w:rsidRPr="008516DB" w:rsidRDefault="0085264B" w:rsidP="00D41B57">
            <w:r w:rsidRPr="00C4323E">
              <w:t>Directive 2008/96/EC and Directive 2010/40/EU (Article 3) requiring the provision of information and reservation services for safe and secure parking places for trucks and commercial vehicles</w:t>
            </w:r>
            <w:r>
              <w:t>.</w:t>
            </w:r>
          </w:p>
        </w:tc>
        <w:tc>
          <w:tcPr>
            <w:tcW w:w="2268" w:type="dxa"/>
            <w:shd w:val="clear" w:color="auto" w:fill="auto"/>
            <w:vAlign w:val="center"/>
          </w:tcPr>
          <w:p w:rsidR="0085264B" w:rsidRDefault="0085264B" w:rsidP="00D41B57">
            <w:r w:rsidRPr="00C4323E">
              <w:t xml:space="preserve">Increase safety and security of HGV operations to levels consistent with the </w:t>
            </w:r>
            <w:r>
              <w:t>EU requirement and practice.</w:t>
            </w:r>
          </w:p>
        </w:tc>
        <w:tc>
          <w:tcPr>
            <w:tcW w:w="851" w:type="dxa"/>
            <w:shd w:val="clear" w:color="auto" w:fill="auto"/>
            <w:vAlign w:val="center"/>
          </w:tcPr>
          <w:p w:rsidR="0085264B" w:rsidRDefault="0085264B" w:rsidP="00D41B57">
            <w:r>
              <w:t>OR28</w:t>
            </w:r>
          </w:p>
        </w:tc>
        <w:tc>
          <w:tcPr>
            <w:tcW w:w="3543" w:type="dxa"/>
            <w:shd w:val="clear" w:color="auto" w:fill="auto"/>
            <w:vAlign w:val="center"/>
          </w:tcPr>
          <w:p w:rsidR="0085264B" w:rsidRPr="00C4323E" w:rsidRDefault="0085264B" w:rsidP="00D41B57">
            <w:r w:rsidRPr="007B0A0F">
              <w:t>E.g. Regulation 1315/2013 requires for TEN-T appropriate parking areas every 100 km –</w:t>
            </w:r>
            <w:r>
              <w:t>As the entire TEN-T network (core and comprehensive) comprises approximately 4,900 km, this implies 49 such facilities or 27 for the core only. Unit costs for a service area are approximately €20M so the total cost would be €540M for the core and €980M for the core and comprehensive.</w:t>
            </w:r>
          </w:p>
        </w:tc>
        <w:tc>
          <w:tcPr>
            <w:tcW w:w="993" w:type="dxa"/>
            <w:shd w:val="clear" w:color="auto" w:fill="auto"/>
            <w:vAlign w:val="center"/>
          </w:tcPr>
          <w:p w:rsidR="0085264B" w:rsidRPr="00744BF6" w:rsidRDefault="0085264B" w:rsidP="00D41B57">
            <w:pPr>
              <w:jc w:val="center"/>
            </w:pPr>
            <w:r>
              <w:t>N</w:t>
            </w:r>
          </w:p>
        </w:tc>
        <w:tc>
          <w:tcPr>
            <w:tcW w:w="850" w:type="dxa"/>
            <w:shd w:val="clear" w:color="auto" w:fill="auto"/>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n/a</w:t>
            </w:r>
          </w:p>
        </w:tc>
        <w:tc>
          <w:tcPr>
            <w:tcW w:w="1701" w:type="dxa"/>
            <w:vAlign w:val="center"/>
          </w:tcPr>
          <w:p w:rsidR="0085264B" w:rsidRPr="00744BF6" w:rsidRDefault="0085264B" w:rsidP="00D41B57">
            <w:pPr>
              <w:jc w:val="center"/>
            </w:pPr>
            <w:r>
              <w:t>n/a</w:t>
            </w:r>
          </w:p>
        </w:tc>
        <w:tc>
          <w:tcPr>
            <w:tcW w:w="1134" w:type="dxa"/>
            <w:shd w:val="clear" w:color="auto" w:fill="auto"/>
            <w:vAlign w:val="center"/>
          </w:tcPr>
          <w:p w:rsidR="0085264B" w:rsidRPr="00744BF6" w:rsidRDefault="0085264B" w:rsidP="00D41B57">
            <w:pPr>
              <w:jc w:val="center"/>
            </w:pPr>
            <w:r>
              <w:t>H98</w:t>
            </w:r>
          </w:p>
        </w:tc>
      </w:tr>
    </w:tbl>
    <w:p w:rsidR="0085264B" w:rsidRDefault="0085264B" w:rsidP="0085264B"/>
    <w:p w:rsidR="0085264B" w:rsidRDefault="0085264B" w:rsidP="0085264B">
      <w:pPr>
        <w:rPr>
          <w:i/>
          <w:sz w:val="22"/>
          <w:szCs w:val="22"/>
        </w:rPr>
      </w:pPr>
      <w:r w:rsidRPr="0019173A">
        <w:rPr>
          <w:i/>
          <w:sz w:val="22"/>
          <w:szCs w:val="22"/>
        </w:rPr>
        <w:t>Source: AECOM analysis</w:t>
      </w:r>
    </w:p>
    <w:p w:rsidR="0085264B" w:rsidRDefault="0085264B" w:rsidP="0085264B">
      <w:pPr>
        <w:pStyle w:val="NumberedParas"/>
        <w:tabs>
          <w:tab w:val="clear" w:pos="2291"/>
          <w:tab w:val="left" w:pos="851"/>
          <w:tab w:val="left" w:pos="2268"/>
          <w:tab w:val="num" w:pos="2433"/>
        </w:tabs>
        <w:ind w:left="851" w:hanging="851"/>
        <w:sectPr w:rsidR="0085264B" w:rsidSect="00D41B57">
          <w:pgSz w:w="23814" w:h="16839" w:orient="landscape" w:code="8"/>
          <w:pgMar w:top="907" w:right="1418" w:bottom="709" w:left="1418" w:header="357" w:footer="567" w:gutter="0"/>
          <w:cols w:space="187"/>
          <w:docGrid w:linePitch="360"/>
        </w:sectPr>
      </w:pPr>
    </w:p>
    <w:p w:rsidR="0085264B" w:rsidRPr="0045095C" w:rsidRDefault="0085264B" w:rsidP="0085264B">
      <w:pPr>
        <w:pStyle w:val="Hdg3"/>
      </w:pPr>
      <w:r w:rsidRPr="0045095C">
        <w:t>Safety Measures</w:t>
      </w:r>
    </w:p>
    <w:p w:rsidR="0085264B" w:rsidRDefault="0085264B" w:rsidP="0085264B">
      <w:pPr>
        <w:pStyle w:val="NumberedParas"/>
        <w:tabs>
          <w:tab w:val="clear" w:pos="2291"/>
          <w:tab w:val="left" w:pos="851"/>
          <w:tab w:val="left" w:pos="2268"/>
          <w:tab w:val="num" w:pos="2433"/>
        </w:tabs>
        <w:ind w:left="851" w:hanging="851"/>
        <w:rPr>
          <w:lang w:eastAsia="en-GB"/>
        </w:rPr>
      </w:pPr>
      <w:r>
        <w:rPr>
          <w:lang w:eastAsia="en-GB"/>
        </w:rPr>
        <w:t>As highlighted previously, the safety record on the Romanian road network is extremely poor. Whilst the proposed major investment in the network, as set out later in this Chapter for Level 1 and Level 2, will bring significant road safety benefits, these will not be realised for some time due to the scale of investment required.</w:t>
      </w:r>
    </w:p>
    <w:p w:rsidR="0085264B" w:rsidRDefault="0085264B" w:rsidP="0085264B">
      <w:pPr>
        <w:pStyle w:val="NumberedParas"/>
        <w:tabs>
          <w:tab w:val="clear" w:pos="2291"/>
          <w:tab w:val="left" w:pos="851"/>
          <w:tab w:val="left" w:pos="2268"/>
          <w:tab w:val="num" w:pos="2433"/>
        </w:tabs>
        <w:ind w:left="851" w:hanging="851"/>
        <w:rPr>
          <w:lang w:eastAsia="en-GB"/>
        </w:rPr>
      </w:pPr>
      <w:r>
        <w:rPr>
          <w:lang w:eastAsia="en-GB"/>
        </w:rPr>
        <w:t xml:space="preserve">We have therefore adopted a process to identify particularly poor accident record locations, and identify measures that can be undertaken in the short to medium term. These ‘quick wins’ can then be undertaken with lower levels of investment required but with high returns in terms of road safety benefits. This is in keeping with the priority accorded to the </w:t>
      </w:r>
      <w:r w:rsidRPr="00E818B9">
        <w:rPr>
          <w:lang w:eastAsia="en-GB"/>
        </w:rPr>
        <w:t xml:space="preserve">improvement and promotion of road safety </w:t>
      </w:r>
      <w:r>
        <w:rPr>
          <w:lang w:eastAsia="en-GB"/>
        </w:rPr>
        <w:t>within Article 19 of EU Regulation No. 1315/2013.</w:t>
      </w:r>
    </w:p>
    <w:p w:rsidR="0085264B" w:rsidRDefault="0085264B" w:rsidP="0085264B">
      <w:pPr>
        <w:pStyle w:val="NumberedParas"/>
        <w:tabs>
          <w:tab w:val="clear" w:pos="2291"/>
          <w:tab w:val="left" w:pos="851"/>
          <w:tab w:val="left" w:pos="2268"/>
          <w:tab w:val="num" w:pos="2433"/>
        </w:tabs>
        <w:ind w:left="851" w:hanging="851"/>
        <w:rPr>
          <w:lang w:eastAsia="en-GB"/>
        </w:rPr>
      </w:pPr>
      <w:r>
        <w:rPr>
          <w:lang w:eastAsia="en-GB"/>
        </w:rPr>
        <w:t>The identification of safety interventions for the blackspot sites has been undertaken through the following process:</w:t>
      </w:r>
    </w:p>
    <w:p w:rsidR="0085264B" w:rsidRPr="00536EEB" w:rsidRDefault="0085264B" w:rsidP="00273D5E">
      <w:pPr>
        <w:pStyle w:val="BulletLevel1"/>
        <w:rPr>
          <w:lang w:eastAsia="en-GB"/>
        </w:rPr>
      </w:pPr>
      <w:r w:rsidRPr="00536EEB">
        <w:rPr>
          <w:lang w:eastAsia="en-GB"/>
        </w:rPr>
        <w:t xml:space="preserve">Collate the </w:t>
      </w:r>
      <w:r>
        <w:rPr>
          <w:lang w:eastAsia="en-GB"/>
        </w:rPr>
        <w:t xml:space="preserve">accident records for the </w:t>
      </w:r>
      <w:r w:rsidRPr="00536EEB">
        <w:rPr>
          <w:lang w:eastAsia="en-GB"/>
        </w:rPr>
        <w:t>fatal, serious and slight accidents by blackspot </w:t>
      </w:r>
      <w:r>
        <w:rPr>
          <w:lang w:eastAsia="en-GB"/>
        </w:rPr>
        <w:t>site;</w:t>
      </w:r>
    </w:p>
    <w:p w:rsidR="0085264B" w:rsidRPr="00536EEB" w:rsidRDefault="0085264B" w:rsidP="00273D5E">
      <w:pPr>
        <w:pStyle w:val="BulletLevel1"/>
        <w:rPr>
          <w:lang w:eastAsia="en-GB"/>
        </w:rPr>
      </w:pPr>
      <w:r w:rsidRPr="00536EEB">
        <w:rPr>
          <w:lang w:eastAsia="en-GB"/>
        </w:rPr>
        <w:t>Identify settlement type where the blackspot is - i.e. open country, city, town, village etc</w:t>
      </w:r>
      <w:r>
        <w:rPr>
          <w:lang w:eastAsia="en-GB"/>
        </w:rPr>
        <w:t>.;</w:t>
      </w:r>
    </w:p>
    <w:p w:rsidR="0085264B" w:rsidRPr="00536EEB" w:rsidRDefault="0085264B" w:rsidP="00273D5E">
      <w:pPr>
        <w:pStyle w:val="BulletLevel1"/>
        <w:rPr>
          <w:lang w:eastAsia="en-GB"/>
        </w:rPr>
      </w:pPr>
      <w:r w:rsidRPr="00536EEB">
        <w:rPr>
          <w:lang w:eastAsia="en-GB"/>
        </w:rPr>
        <w:t xml:space="preserve">Allocate </w:t>
      </w:r>
      <w:r>
        <w:rPr>
          <w:lang w:eastAsia="en-GB"/>
        </w:rPr>
        <w:t xml:space="preserve">each site </w:t>
      </w:r>
      <w:r w:rsidRPr="00536EEB">
        <w:rPr>
          <w:lang w:eastAsia="en-GB"/>
        </w:rPr>
        <w:t>to</w:t>
      </w:r>
      <w:r>
        <w:rPr>
          <w:lang w:eastAsia="en-GB"/>
        </w:rPr>
        <w:t xml:space="preserve"> an </w:t>
      </w:r>
      <w:r w:rsidRPr="00536EEB">
        <w:rPr>
          <w:lang w:eastAsia="en-GB"/>
        </w:rPr>
        <w:t>urban</w:t>
      </w:r>
      <w:r>
        <w:rPr>
          <w:lang w:eastAsia="en-GB"/>
        </w:rPr>
        <w:t xml:space="preserve"> or </w:t>
      </w:r>
      <w:r w:rsidRPr="00536EEB">
        <w:rPr>
          <w:lang w:eastAsia="en-GB"/>
        </w:rPr>
        <w:t>rural</w:t>
      </w:r>
      <w:r>
        <w:rPr>
          <w:lang w:eastAsia="en-GB"/>
        </w:rPr>
        <w:t xml:space="preserve"> category</w:t>
      </w:r>
      <w:r w:rsidRPr="00536EEB">
        <w:rPr>
          <w:lang w:eastAsia="en-GB"/>
        </w:rPr>
        <w:t xml:space="preserve"> and identify </w:t>
      </w:r>
      <w:r>
        <w:rPr>
          <w:lang w:eastAsia="en-GB"/>
        </w:rPr>
        <w:t>the number of lanes per direction;</w:t>
      </w:r>
    </w:p>
    <w:p w:rsidR="0085264B" w:rsidRDefault="0085264B" w:rsidP="00273D5E">
      <w:pPr>
        <w:pStyle w:val="BulletLevel1"/>
        <w:rPr>
          <w:lang w:eastAsia="en-GB"/>
        </w:rPr>
      </w:pPr>
      <w:r>
        <w:rPr>
          <w:lang w:eastAsia="en-GB"/>
        </w:rPr>
        <w:t>Examine the detailed accident records and g</w:t>
      </w:r>
      <w:r w:rsidRPr="00536EEB">
        <w:rPr>
          <w:lang w:eastAsia="en-GB"/>
        </w:rPr>
        <w:t>roup the accident descriptions and accident causes into categories that can be linked to specific interventions at each site</w:t>
      </w:r>
      <w:r>
        <w:rPr>
          <w:lang w:eastAsia="en-GB"/>
        </w:rPr>
        <w:t>;</w:t>
      </w:r>
    </w:p>
    <w:p w:rsidR="0085264B" w:rsidRDefault="0085264B" w:rsidP="00273D5E">
      <w:pPr>
        <w:pStyle w:val="BulletLevel1"/>
        <w:rPr>
          <w:lang w:eastAsia="en-GB"/>
        </w:rPr>
      </w:pPr>
      <w:r>
        <w:rPr>
          <w:lang w:eastAsia="en-GB"/>
        </w:rPr>
        <w:t>Based on the interventions to be implemented at each site derive the reduction in fatal and serious  accidents that would take place at each site; and</w:t>
      </w:r>
    </w:p>
    <w:p w:rsidR="0085264B" w:rsidRPr="00536EEB" w:rsidRDefault="0085264B" w:rsidP="00273D5E">
      <w:pPr>
        <w:pStyle w:val="BulletLevel1"/>
        <w:rPr>
          <w:lang w:eastAsia="en-GB"/>
        </w:rPr>
      </w:pPr>
      <w:r>
        <w:rPr>
          <w:lang w:eastAsia="en-GB"/>
        </w:rPr>
        <w:t xml:space="preserve">Determine the total costs of the intervention measures by site based on unit rates for the interventions identified. </w:t>
      </w:r>
    </w:p>
    <w:p w:rsidR="0085264B" w:rsidRDefault="0085264B" w:rsidP="0085264B">
      <w:pPr>
        <w:pStyle w:val="NumberedParas"/>
        <w:tabs>
          <w:tab w:val="clear" w:pos="2291"/>
          <w:tab w:val="left" w:pos="851"/>
          <w:tab w:val="left" w:pos="2268"/>
          <w:tab w:val="num" w:pos="2433"/>
        </w:tabs>
        <w:ind w:left="851" w:hanging="851"/>
        <w:rPr>
          <w:lang w:eastAsia="en-GB"/>
        </w:rPr>
      </w:pPr>
      <w:r>
        <w:rPr>
          <w:lang w:eastAsia="en-GB"/>
        </w:rPr>
        <w:t xml:space="preserve">The allocation of </w:t>
      </w:r>
      <w:r w:rsidRPr="00A91CBD">
        <w:rPr>
          <w:lang w:eastAsia="en-GB"/>
        </w:rPr>
        <w:t xml:space="preserve">interventions by site </w:t>
      </w:r>
      <w:r>
        <w:rPr>
          <w:lang w:eastAsia="en-GB"/>
        </w:rPr>
        <w:t xml:space="preserve">was </w:t>
      </w:r>
      <w:r w:rsidRPr="00A91CBD">
        <w:rPr>
          <w:lang w:eastAsia="en-GB"/>
        </w:rPr>
        <w:t xml:space="preserve">based on </w:t>
      </w:r>
      <w:r>
        <w:rPr>
          <w:lang w:eastAsia="en-GB"/>
        </w:rPr>
        <w:t xml:space="preserve">a </w:t>
      </w:r>
      <w:r w:rsidRPr="00A91CBD">
        <w:rPr>
          <w:lang w:eastAsia="en-GB"/>
        </w:rPr>
        <w:t xml:space="preserve">set of criteria linked to accident description, accident cause, location, </w:t>
      </w:r>
      <w:r>
        <w:rPr>
          <w:lang w:eastAsia="en-GB"/>
        </w:rPr>
        <w:t xml:space="preserve">and </w:t>
      </w:r>
      <w:r w:rsidRPr="00A91CBD">
        <w:rPr>
          <w:lang w:eastAsia="en-GB"/>
        </w:rPr>
        <w:t xml:space="preserve">carriageway type. </w:t>
      </w:r>
      <w:r>
        <w:rPr>
          <w:lang w:eastAsia="en-GB"/>
        </w:rPr>
        <w:t>This is summarised in Table 4.16. A separate paper has been prepared providing further details on this process.</w:t>
      </w:r>
    </w:p>
    <w:p w:rsidR="0085264B" w:rsidRDefault="0085264B" w:rsidP="0085264B">
      <w:pPr>
        <w:rPr>
          <w:rFonts w:cs="Arial"/>
          <w:sz w:val="20"/>
          <w:szCs w:val="20"/>
        </w:rPr>
      </w:pPr>
    </w:p>
    <w:p w:rsidR="0085264B" w:rsidRPr="0045095C" w:rsidRDefault="0085264B" w:rsidP="0085264B">
      <w:pPr>
        <w:tabs>
          <w:tab w:val="left" w:pos="993"/>
        </w:tabs>
        <w:spacing w:after="60"/>
        <w:ind w:firstLine="851"/>
        <w:rPr>
          <w:b/>
          <w:sz w:val="22"/>
          <w:szCs w:val="22"/>
        </w:rPr>
      </w:pPr>
      <w:r>
        <w:rPr>
          <w:b/>
          <w:sz w:val="22"/>
          <w:szCs w:val="22"/>
        </w:rPr>
        <w:t xml:space="preserve">Table 4.16 </w:t>
      </w:r>
      <w:r w:rsidRPr="0045095C">
        <w:rPr>
          <w:b/>
          <w:sz w:val="22"/>
          <w:szCs w:val="22"/>
        </w:rPr>
        <w:t>Identification of Safety Interventions for Blackspot Sites</w:t>
      </w:r>
    </w:p>
    <w:tbl>
      <w:tblPr>
        <w:tblStyle w:val="TableGrid"/>
        <w:tblW w:w="4544" w:type="pct"/>
        <w:tblInd w:w="959" w:type="dxa"/>
        <w:tblLook w:val="04A0" w:firstRow="1" w:lastRow="0" w:firstColumn="1" w:lastColumn="0" w:noHBand="0" w:noVBand="1"/>
      </w:tblPr>
      <w:tblGrid>
        <w:gridCol w:w="4295"/>
        <w:gridCol w:w="5254"/>
      </w:tblGrid>
      <w:tr w:rsidR="0085264B" w:rsidRPr="0045095C" w:rsidTr="00D41B57">
        <w:trPr>
          <w:trHeight w:val="530"/>
          <w:tblHeader/>
        </w:trPr>
        <w:tc>
          <w:tcPr>
            <w:tcW w:w="2249" w:type="pct"/>
            <w:shd w:val="clear" w:color="auto" w:fill="B8CCE4" w:themeFill="accent1" w:themeFillTint="66"/>
            <w:vAlign w:val="center"/>
          </w:tcPr>
          <w:p w:rsidR="0085264B" w:rsidRDefault="0085264B" w:rsidP="00D41B57">
            <w:pPr>
              <w:rPr>
                <w:rFonts w:cs="Arial"/>
                <w:b/>
                <w:sz w:val="22"/>
                <w:szCs w:val="22"/>
              </w:rPr>
            </w:pPr>
            <w:r w:rsidRPr="0045095C">
              <w:rPr>
                <w:rFonts w:cs="Arial"/>
                <w:b/>
                <w:sz w:val="22"/>
                <w:szCs w:val="22"/>
              </w:rPr>
              <w:t>Intervention Type</w:t>
            </w:r>
          </w:p>
        </w:tc>
        <w:tc>
          <w:tcPr>
            <w:tcW w:w="2751" w:type="pct"/>
            <w:shd w:val="clear" w:color="auto" w:fill="B8CCE4" w:themeFill="accent1" w:themeFillTint="66"/>
            <w:vAlign w:val="center"/>
          </w:tcPr>
          <w:p w:rsidR="0085264B" w:rsidRDefault="0085264B" w:rsidP="00D41B57">
            <w:pPr>
              <w:rPr>
                <w:rFonts w:cs="Arial"/>
                <w:b/>
                <w:sz w:val="22"/>
                <w:szCs w:val="22"/>
              </w:rPr>
            </w:pPr>
            <w:r>
              <w:rPr>
                <w:rFonts w:cs="Arial"/>
                <w:b/>
                <w:sz w:val="22"/>
                <w:szCs w:val="22"/>
              </w:rPr>
              <w:t>Suitable Locations</w:t>
            </w:r>
            <w:r w:rsidRPr="0045095C">
              <w:rPr>
                <w:rFonts w:cs="Arial"/>
                <w:b/>
                <w:sz w:val="22"/>
                <w:szCs w:val="22"/>
              </w:rPr>
              <w:t xml:space="preserve"> for Implementation</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Village entry treatment (Splitter island, signs, lines)</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 or commune</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4 lanes into 2 at village entrance (build-outs, lining)</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 or commune</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Rumble strips</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 or commune</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Continuous kerbed median strip</w:t>
            </w:r>
          </w:p>
        </w:tc>
        <w:tc>
          <w:tcPr>
            <w:tcW w:w="2751" w:type="pct"/>
            <w:vAlign w:val="center"/>
          </w:tcPr>
          <w:p w:rsidR="0085264B" w:rsidRPr="0045095C" w:rsidRDefault="0085264B" w:rsidP="00D41B57">
            <w:pPr>
              <w:rPr>
                <w:rFonts w:cs="Arial"/>
                <w:sz w:val="22"/>
                <w:szCs w:val="22"/>
              </w:rPr>
            </w:pPr>
            <w:r w:rsidRPr="0045095C">
              <w:rPr>
                <w:rFonts w:cs="Arial"/>
                <w:sz w:val="22"/>
                <w:szCs w:val="22"/>
              </w:rPr>
              <w:t>Urban areas and in rural areas where frontal impact accidents are prevalent</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Plastic median separation</w:t>
            </w:r>
          </w:p>
        </w:tc>
        <w:tc>
          <w:tcPr>
            <w:tcW w:w="2751" w:type="pct"/>
            <w:vAlign w:val="center"/>
          </w:tcPr>
          <w:p w:rsidR="0085264B" w:rsidRPr="0045095C" w:rsidRDefault="0085264B" w:rsidP="00D41B57">
            <w:pPr>
              <w:rPr>
                <w:rFonts w:cs="Arial"/>
                <w:sz w:val="22"/>
                <w:szCs w:val="22"/>
              </w:rPr>
            </w:pPr>
            <w:r w:rsidRPr="0045095C">
              <w:rPr>
                <w:rFonts w:cs="Arial"/>
                <w:sz w:val="22"/>
                <w:szCs w:val="22"/>
              </w:rPr>
              <w:t>Locations where neither New Jersey style barriers or continuous kerbed medians are installed.</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Pedestrian refuge</w:t>
            </w:r>
          </w:p>
        </w:tc>
        <w:tc>
          <w:tcPr>
            <w:tcW w:w="2751" w:type="pct"/>
            <w:vAlign w:val="center"/>
          </w:tcPr>
          <w:p w:rsidR="0085264B" w:rsidRPr="0045095C" w:rsidRDefault="0085264B" w:rsidP="00D41B57">
            <w:pPr>
              <w:rPr>
                <w:rFonts w:cs="Arial"/>
                <w:sz w:val="22"/>
                <w:szCs w:val="22"/>
              </w:rPr>
            </w:pPr>
            <w:r w:rsidRPr="0045095C">
              <w:rPr>
                <w:rFonts w:cs="Arial"/>
                <w:sz w:val="22"/>
                <w:szCs w:val="22"/>
              </w:rPr>
              <w:t xml:space="preserve">Where there are </w:t>
            </w:r>
            <w:r>
              <w:rPr>
                <w:rFonts w:cs="Arial"/>
                <w:sz w:val="22"/>
                <w:szCs w:val="22"/>
              </w:rPr>
              <w:t>high</w:t>
            </w:r>
            <w:r w:rsidRPr="0045095C">
              <w:rPr>
                <w:rFonts w:cs="Arial"/>
                <w:sz w:val="22"/>
                <w:szCs w:val="22"/>
              </w:rPr>
              <w:t xml:space="preserve"> levels of pedestrian accidents.</w:t>
            </w:r>
          </w:p>
        </w:tc>
      </w:tr>
      <w:tr w:rsidR="0085264B" w:rsidRPr="0045095C" w:rsidTr="00D41B57">
        <w:tc>
          <w:tcPr>
            <w:tcW w:w="2249" w:type="pct"/>
            <w:vAlign w:val="center"/>
          </w:tcPr>
          <w:p w:rsidR="0085264B" w:rsidRPr="0045095C" w:rsidRDefault="0085264B" w:rsidP="00D41B57">
            <w:pPr>
              <w:rPr>
                <w:rFonts w:cs="Arial"/>
                <w:sz w:val="22"/>
                <w:szCs w:val="22"/>
              </w:rPr>
            </w:pPr>
            <w:r w:rsidRPr="0045095C">
              <w:rPr>
                <w:rFonts w:cs="Arial"/>
                <w:color w:val="000000"/>
                <w:sz w:val="22"/>
                <w:szCs w:val="22"/>
                <w:lang w:eastAsia="en-GB"/>
              </w:rPr>
              <w:t>Plastic road humps</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Villages and communes on single carriageways</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Footpaths (2m wide)</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Villages and communes where not already in place.</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Signal controlled pedestrian crossing</w:t>
            </w:r>
          </w:p>
        </w:tc>
        <w:tc>
          <w:tcPr>
            <w:tcW w:w="2751" w:type="pct"/>
            <w:vAlign w:val="center"/>
          </w:tcPr>
          <w:p w:rsidR="0085264B" w:rsidRPr="0045095C" w:rsidRDefault="0085264B" w:rsidP="00D41B57">
            <w:pPr>
              <w:rPr>
                <w:rFonts w:cs="Arial"/>
                <w:sz w:val="22"/>
                <w:szCs w:val="22"/>
              </w:rPr>
            </w:pPr>
            <w:r w:rsidRPr="0045095C">
              <w:rPr>
                <w:rFonts w:cs="Arial"/>
                <w:sz w:val="22"/>
                <w:szCs w:val="22"/>
              </w:rPr>
              <w:t>Where there are high volumes of pedestrian accidents on single carriageways</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Dedicated left turn lane (lines + island)</w:t>
            </w:r>
          </w:p>
        </w:tc>
        <w:tc>
          <w:tcPr>
            <w:tcW w:w="2751" w:type="pct"/>
            <w:vAlign w:val="center"/>
          </w:tcPr>
          <w:p w:rsidR="0085264B" w:rsidRPr="0045095C" w:rsidRDefault="0085264B" w:rsidP="00D41B57">
            <w:pPr>
              <w:rPr>
                <w:rFonts w:cs="Arial"/>
                <w:sz w:val="22"/>
                <w:szCs w:val="22"/>
              </w:rPr>
            </w:pPr>
            <w:r w:rsidRPr="0045095C">
              <w:rPr>
                <w:rFonts w:cs="Arial"/>
                <w:sz w:val="22"/>
                <w:szCs w:val="22"/>
              </w:rPr>
              <w:t>Where there are high numbers of lateral collisions</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Lay-by for buses / local parking (for stalls, etc.)</w:t>
            </w:r>
          </w:p>
        </w:tc>
        <w:tc>
          <w:tcPr>
            <w:tcW w:w="2751" w:type="pct"/>
            <w:vAlign w:val="center"/>
          </w:tcPr>
          <w:p w:rsidR="0085264B" w:rsidRPr="0045095C" w:rsidRDefault="0085264B" w:rsidP="00D41B57">
            <w:pPr>
              <w:rPr>
                <w:rFonts w:cs="Arial"/>
                <w:sz w:val="22"/>
                <w:szCs w:val="22"/>
              </w:rPr>
            </w:pPr>
            <w:r w:rsidRPr="0045095C">
              <w:rPr>
                <w:rFonts w:cs="Arial"/>
                <w:sz w:val="22"/>
                <w:szCs w:val="22"/>
              </w:rPr>
              <w:t>Villages and communes</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Street lighting</w:t>
            </w:r>
          </w:p>
        </w:tc>
        <w:tc>
          <w:tcPr>
            <w:tcW w:w="2751" w:type="pct"/>
            <w:vAlign w:val="center"/>
          </w:tcPr>
          <w:p w:rsidR="0085264B" w:rsidRPr="0045095C" w:rsidRDefault="0085264B" w:rsidP="00D41B57">
            <w:pPr>
              <w:rPr>
                <w:rFonts w:cs="Arial"/>
                <w:sz w:val="22"/>
                <w:szCs w:val="22"/>
              </w:rPr>
            </w:pPr>
            <w:r w:rsidRPr="0045095C">
              <w:rPr>
                <w:rFonts w:cs="Arial"/>
                <w:sz w:val="22"/>
                <w:szCs w:val="22"/>
              </w:rPr>
              <w:t>Where there are high volumes of pedestrian accidents</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Speed cameras</w:t>
            </w:r>
          </w:p>
        </w:tc>
        <w:tc>
          <w:tcPr>
            <w:tcW w:w="2751" w:type="pct"/>
            <w:vAlign w:val="center"/>
          </w:tcPr>
          <w:p w:rsidR="0085264B" w:rsidRPr="0045095C" w:rsidRDefault="0085264B" w:rsidP="00D41B57">
            <w:pPr>
              <w:rPr>
                <w:rFonts w:cs="Arial"/>
                <w:sz w:val="22"/>
                <w:szCs w:val="22"/>
              </w:rPr>
            </w:pPr>
            <w:r w:rsidRPr="0045095C">
              <w:rPr>
                <w:rFonts w:cs="Arial"/>
                <w:sz w:val="22"/>
                <w:szCs w:val="22"/>
              </w:rPr>
              <w:t xml:space="preserve">Where there are high numbers of accidents caused by speed/reckless driving, and/or accidents involving shunts </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Interurban 2*2 Undivided Carriageway New Jersey Style Barriers</w:t>
            </w:r>
          </w:p>
        </w:tc>
        <w:tc>
          <w:tcPr>
            <w:tcW w:w="2751" w:type="pct"/>
            <w:vAlign w:val="center"/>
          </w:tcPr>
          <w:p w:rsidR="0085264B" w:rsidRPr="0045095C" w:rsidRDefault="0085264B" w:rsidP="00D41B57">
            <w:pPr>
              <w:rPr>
                <w:rFonts w:cs="Arial"/>
                <w:sz w:val="22"/>
                <w:szCs w:val="22"/>
              </w:rPr>
            </w:pPr>
            <w:r w:rsidRPr="0045095C">
              <w:rPr>
                <w:rFonts w:cs="Arial"/>
                <w:sz w:val="22"/>
                <w:szCs w:val="22"/>
              </w:rPr>
              <w:t>In rural areas where road is four lanes wide.</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Pedestrian footbridge/underpass</w:t>
            </w:r>
          </w:p>
        </w:tc>
        <w:tc>
          <w:tcPr>
            <w:tcW w:w="2751" w:type="pct"/>
            <w:vAlign w:val="center"/>
          </w:tcPr>
          <w:p w:rsidR="0085264B" w:rsidRPr="0045095C" w:rsidRDefault="0085264B" w:rsidP="00D41B57">
            <w:pPr>
              <w:rPr>
                <w:rFonts w:cs="Arial"/>
                <w:sz w:val="22"/>
                <w:szCs w:val="22"/>
              </w:rPr>
            </w:pPr>
            <w:r w:rsidRPr="0045095C">
              <w:rPr>
                <w:rFonts w:cs="Arial"/>
                <w:sz w:val="22"/>
                <w:szCs w:val="22"/>
              </w:rPr>
              <w:t>Where there are high numbers of pedestrian accidents and the road is 4 lanes wide, or dual carriageway</w:t>
            </w:r>
          </w:p>
        </w:tc>
      </w:tr>
      <w:tr w:rsidR="0085264B" w:rsidRPr="0045095C" w:rsidTr="00D41B57">
        <w:tc>
          <w:tcPr>
            <w:tcW w:w="2249" w:type="pct"/>
            <w:vAlign w:val="center"/>
          </w:tcPr>
          <w:p w:rsidR="0085264B" w:rsidRPr="0045095C" w:rsidRDefault="0085264B" w:rsidP="00D41B57">
            <w:pPr>
              <w:rPr>
                <w:rFonts w:cs="Arial"/>
                <w:color w:val="000000"/>
                <w:sz w:val="22"/>
                <w:szCs w:val="22"/>
                <w:lang w:eastAsia="en-GB"/>
              </w:rPr>
            </w:pPr>
            <w:r w:rsidRPr="0045095C">
              <w:rPr>
                <w:rFonts w:cs="Arial"/>
                <w:color w:val="000000"/>
                <w:sz w:val="22"/>
                <w:szCs w:val="22"/>
                <w:lang w:eastAsia="en-GB"/>
              </w:rPr>
              <w:t>Safety Barriers (Verge)</w:t>
            </w:r>
          </w:p>
        </w:tc>
        <w:tc>
          <w:tcPr>
            <w:tcW w:w="2751" w:type="pct"/>
            <w:vAlign w:val="center"/>
          </w:tcPr>
          <w:p w:rsidR="0085264B" w:rsidRPr="0045095C" w:rsidRDefault="0085264B" w:rsidP="00D41B57">
            <w:pPr>
              <w:rPr>
                <w:rFonts w:cs="Arial"/>
                <w:sz w:val="22"/>
                <w:szCs w:val="22"/>
              </w:rPr>
            </w:pPr>
            <w:r w:rsidRPr="0045095C">
              <w:rPr>
                <w:rFonts w:cs="Arial"/>
                <w:sz w:val="22"/>
                <w:szCs w:val="22"/>
              </w:rPr>
              <w:t>Where there are high numbers of accidents involving vehicles leaving the carriageway</w:t>
            </w:r>
          </w:p>
        </w:tc>
      </w:tr>
    </w:tbl>
    <w:p w:rsidR="0085264B" w:rsidRDefault="0085264B" w:rsidP="0085264B">
      <w:pPr>
        <w:ind w:left="567" w:firstLine="284"/>
      </w:pPr>
      <w:r w:rsidRPr="0019173A">
        <w:rPr>
          <w:i/>
          <w:sz w:val="22"/>
          <w:szCs w:val="22"/>
        </w:rPr>
        <w:t>Source: AECOM analysis</w:t>
      </w:r>
    </w:p>
    <w:p w:rsidR="0085264B" w:rsidRDefault="0085264B" w:rsidP="0085264B">
      <w:pPr>
        <w:pStyle w:val="Hdg3"/>
      </w:pPr>
      <w:r>
        <w:t>Telematic Applications</w:t>
      </w:r>
    </w:p>
    <w:p w:rsidR="0085264B" w:rsidRDefault="0085264B" w:rsidP="0085264B">
      <w:pPr>
        <w:pStyle w:val="NumberedParas"/>
        <w:tabs>
          <w:tab w:val="clear" w:pos="2291"/>
          <w:tab w:val="left" w:pos="851"/>
          <w:tab w:val="left" w:pos="2268"/>
          <w:tab w:val="num" w:pos="2433"/>
        </w:tabs>
        <w:ind w:left="851" w:hanging="851"/>
      </w:pPr>
      <w:r>
        <w:rPr>
          <w:lang w:eastAsia="en-GB"/>
        </w:rPr>
        <w:t xml:space="preserve">Articles 19 and 31 of EU Regulation No. 1315/2013 recognise the important contribution that telematic applications can make to </w:t>
      </w:r>
      <w:r w:rsidRPr="0005539C">
        <w:rPr>
          <w:lang w:eastAsia="en-GB"/>
        </w:rPr>
        <w:t xml:space="preserve">safety, security and environmental performance, </w:t>
      </w:r>
      <w:r>
        <w:rPr>
          <w:lang w:eastAsia="en-GB"/>
        </w:rPr>
        <w:t>as well as simplifying</w:t>
      </w:r>
      <w:r w:rsidRPr="0005539C">
        <w:rPr>
          <w:lang w:eastAsia="en-GB"/>
        </w:rPr>
        <w:t xml:space="preserve"> administrative procedures</w:t>
      </w:r>
      <w:r>
        <w:rPr>
          <w:lang w:eastAsia="en-GB"/>
        </w:rPr>
        <w:t>.</w:t>
      </w:r>
    </w:p>
    <w:p w:rsidR="0085264B" w:rsidRDefault="0085264B" w:rsidP="0085264B">
      <w:pPr>
        <w:pStyle w:val="NumberedParas"/>
        <w:tabs>
          <w:tab w:val="clear" w:pos="2291"/>
          <w:tab w:val="left" w:pos="851"/>
          <w:tab w:val="left" w:pos="2268"/>
          <w:tab w:val="num" w:pos="2433"/>
        </w:tabs>
        <w:ind w:left="851" w:hanging="851"/>
      </w:pPr>
      <w:r>
        <w:rPr>
          <w:lang w:val="ro-RO"/>
        </w:rPr>
        <w:t>Within the Roads sector, the Master Plan has identified a number of ITS, or telematics, improvements which should be made. These are summarised here.</w:t>
      </w:r>
    </w:p>
    <w:p w:rsidR="0085264B" w:rsidRDefault="0085264B" w:rsidP="0085264B">
      <w:pPr>
        <w:pStyle w:val="NumberedParas"/>
        <w:tabs>
          <w:tab w:val="clear" w:pos="2291"/>
          <w:tab w:val="left" w:pos="851"/>
          <w:tab w:val="left" w:pos="2268"/>
          <w:tab w:val="num" w:pos="2433"/>
        </w:tabs>
        <w:ind w:left="851" w:hanging="851"/>
      </w:pPr>
      <w:r w:rsidRPr="0005539C">
        <w:rPr>
          <w:lang w:val="ro-RO"/>
        </w:rPr>
        <w:t>There is the basis of an information centre for national highways, albeit with limited ITS coverage at present, but no interaction or information sharing with similar systems operated by the police. Incomplete or uncoordinated intelligence gathering on road network operating conditions limits the effectiveness of information provision to users. This results in a lack of accurate information to drivers regarding delays, so that drivers are unable to choose alternative routes when there are accidents for example</w:t>
      </w:r>
      <w:r>
        <w:rPr>
          <w:lang w:val="ro-RO"/>
        </w:rPr>
        <w:t>. A National Information / Control Centre should be developed, preferably incorporating shared resourcing by Ministry of Transport and Police staff, to collate data from across the road network and share this information in an intelligent manner with road users and other modes.</w:t>
      </w:r>
    </w:p>
    <w:p w:rsidR="0085264B" w:rsidRDefault="0085264B" w:rsidP="0085264B">
      <w:pPr>
        <w:pStyle w:val="NumberedParas"/>
        <w:tabs>
          <w:tab w:val="clear" w:pos="2291"/>
          <w:tab w:val="left" w:pos="851"/>
          <w:tab w:val="left" w:pos="2268"/>
          <w:tab w:val="num" w:pos="2433"/>
        </w:tabs>
        <w:ind w:left="851" w:hanging="851"/>
      </w:pPr>
      <w:r>
        <w:rPr>
          <w:lang w:val="ro-RO"/>
        </w:rPr>
        <w:t xml:space="preserve">All new road schemes should incorporate the </w:t>
      </w:r>
      <w:r w:rsidRPr="008F35BC">
        <w:rPr>
          <w:lang w:val="ro-RO"/>
        </w:rPr>
        <w:t>use of ITS, in particular multimodal information and traffic management systems, and integrated communication and payment systems</w:t>
      </w:r>
      <w:r>
        <w:rPr>
          <w:lang w:val="ro-RO"/>
        </w:rPr>
        <w:t xml:space="preserve"> where appropriate in line with Article 19. In particular the use of Variable Message Signs (VMS), to help disseminate timely information to road users should be encouraged. Weigh In Motion (WIM) installations should also be included to meet the operational objective of limiting damage to the road surface due to excessive overloading of trucks.</w:t>
      </w:r>
    </w:p>
    <w:p w:rsidR="0085264B" w:rsidRDefault="0085264B" w:rsidP="0085264B">
      <w:pPr>
        <w:pStyle w:val="NumberedParas"/>
        <w:tabs>
          <w:tab w:val="clear" w:pos="2291"/>
          <w:tab w:val="left" w:pos="851"/>
          <w:tab w:val="left" w:pos="2268"/>
          <w:tab w:val="num" w:pos="2433"/>
        </w:tabs>
        <w:ind w:left="851" w:hanging="851"/>
      </w:pPr>
      <w:r>
        <w:rPr>
          <w:lang w:val="ro-RO"/>
        </w:rPr>
        <w:t>Smart telematic applications should be used to support the introduction of a single co-ordinated national charging system for goods vehicles, to reduce the administrative burden on local authorities as well as national government and to provide an improved service offering to national and international hauliers considering using the Romanian network.</w:t>
      </w:r>
    </w:p>
    <w:p w:rsidR="0085264B" w:rsidRDefault="0085264B" w:rsidP="0085264B">
      <w:pPr>
        <w:pStyle w:val="NumberedParas"/>
        <w:tabs>
          <w:tab w:val="clear" w:pos="2291"/>
          <w:tab w:val="left" w:pos="851"/>
          <w:tab w:val="left" w:pos="2268"/>
          <w:tab w:val="num" w:pos="2433"/>
        </w:tabs>
        <w:ind w:left="851" w:hanging="851"/>
      </w:pPr>
      <w:r>
        <w:rPr>
          <w:lang w:val="ro-RO"/>
        </w:rPr>
        <w:t xml:space="preserve">The use of ITS will also help to provide alternative route information and thereby imporve the management of border crossing facilities with consequent reduction in delays. The goal would be to meet the European Standard, as set out in the Trade and Transportation Facilitation in Southeast Europe Programme (TTFSE), of a maximum waiting time for any vehicel of 40 minutes at border crossing points. </w:t>
      </w:r>
    </w:p>
    <w:p w:rsidR="0085264B" w:rsidRPr="008E03B0" w:rsidRDefault="0085264B" w:rsidP="0085264B">
      <w:pPr>
        <w:pStyle w:val="Hdg3"/>
      </w:pPr>
      <w:r>
        <w:t>Defining the Motorway Network</w:t>
      </w:r>
    </w:p>
    <w:p w:rsidR="0085264B" w:rsidRDefault="0085264B" w:rsidP="0085264B">
      <w:pPr>
        <w:pStyle w:val="NumberedParas"/>
        <w:tabs>
          <w:tab w:val="clear" w:pos="2291"/>
          <w:tab w:val="left" w:pos="851"/>
          <w:tab w:val="left" w:pos="2268"/>
          <w:tab w:val="num" w:pos="2433"/>
        </w:tabs>
        <w:ind w:left="851" w:hanging="851"/>
      </w:pPr>
      <w:r>
        <w:t>As previously identified, the proportion of motorway standard network in Romania is low. There are a number of Reference Case schemes which will improve the situation but there is forecast to remain a number of corridors where travel times will be poor even with this investment.</w:t>
      </w:r>
    </w:p>
    <w:p w:rsidR="0085264B" w:rsidRDefault="0085264B" w:rsidP="0085264B">
      <w:pPr>
        <w:pStyle w:val="NumberedParas"/>
        <w:tabs>
          <w:tab w:val="clear" w:pos="2291"/>
          <w:tab w:val="left" w:pos="851"/>
          <w:tab w:val="left" w:pos="2268"/>
          <w:tab w:val="num" w:pos="2433"/>
        </w:tabs>
        <w:ind w:left="851" w:hanging="851"/>
      </w:pPr>
      <w:r w:rsidRPr="009F538C">
        <w:t>The National transport model has been used to investigate the economic impact of the remaining delays on the road network in 2020 assuming all the Reference Case Schemes are constructed.</w:t>
      </w:r>
    </w:p>
    <w:p w:rsidR="0085264B" w:rsidRDefault="0085264B" w:rsidP="0085264B">
      <w:pPr>
        <w:spacing w:before="120" w:after="120"/>
        <w:ind w:left="851"/>
        <w:rPr>
          <w:sz w:val="22"/>
          <w:szCs w:val="22"/>
        </w:rPr>
      </w:pPr>
      <w:r w:rsidRPr="009F538C">
        <w:rPr>
          <w:sz w:val="22"/>
          <w:szCs w:val="22"/>
        </w:rPr>
        <w:t>The analysis took the following form</w:t>
      </w:r>
      <w:r>
        <w:rPr>
          <w:sz w:val="22"/>
          <w:szCs w:val="22"/>
        </w:rPr>
        <w:t xml:space="preserve"> and t</w:t>
      </w:r>
      <w:r w:rsidRPr="009F538C">
        <w:rPr>
          <w:sz w:val="22"/>
          <w:szCs w:val="22"/>
        </w:rPr>
        <w:t>he plot below shows the results of that computation:</w:t>
      </w:r>
    </w:p>
    <w:p w:rsidR="0085264B" w:rsidRPr="009F538C" w:rsidRDefault="0085264B" w:rsidP="0085264B">
      <w:pPr>
        <w:spacing w:before="120" w:after="120"/>
        <w:ind w:left="851"/>
        <w:rPr>
          <w:sz w:val="22"/>
          <w:szCs w:val="22"/>
        </w:rPr>
      </w:pPr>
      <m:oMathPara>
        <m:oMath>
          <m:r>
            <w:rPr>
              <w:rFonts w:ascii="Cambria Math" w:hAnsi="Cambria Math"/>
              <w:sz w:val="24"/>
              <w:szCs w:val="24"/>
            </w:rPr>
            <m:t xml:space="preserve">Lost Time= </m:t>
          </m:r>
          <m:nary>
            <m:naryPr>
              <m:chr m:val="∑"/>
              <m:limLoc m:val="undOvr"/>
              <m:ctrlPr>
                <w:rPr>
                  <w:rFonts w:ascii="Cambria Math" w:hAnsi="Cambria Math"/>
                  <w:i/>
                  <w:sz w:val="24"/>
                  <w:szCs w:val="24"/>
                </w:rPr>
              </m:ctrlPr>
            </m:naryPr>
            <m:sub>
              <m:r>
                <w:rPr>
                  <w:rFonts w:ascii="Cambria Math" w:hAnsi="Cambria Math"/>
                  <w:sz w:val="24"/>
                  <w:szCs w:val="24"/>
                </w:rPr>
                <m:t>i=0</m:t>
              </m:r>
            </m:sub>
            <m:sup>
              <m:r>
                <w:rPr>
                  <w:rFonts w:ascii="Cambria Math" w:hAnsi="Cambria Math"/>
                  <w:sz w:val="24"/>
                  <w:szCs w:val="24"/>
                </w:rPr>
                <m:t>n</m:t>
              </m:r>
            </m:sup>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Flow</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Target Time-Actual Time</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VoT</m:t>
                      </m:r>
                    </m:e>
                    <m:sub>
                      <m:r>
                        <w:rPr>
                          <w:rFonts w:ascii="Cambria Math" w:hAnsi="Cambria Math"/>
                          <w:sz w:val="24"/>
                          <w:szCs w:val="24"/>
                        </w:rPr>
                        <m:t>i</m:t>
                      </m:r>
                    </m:sub>
                  </m:sSub>
                </m:num>
                <m:den>
                  <m:r>
                    <w:rPr>
                      <w:rFonts w:ascii="Cambria Math" w:hAnsi="Cambria Math"/>
                      <w:sz w:val="24"/>
                      <w:szCs w:val="24"/>
                    </w:rPr>
                    <m:t>Length</m:t>
                  </m:r>
                </m:den>
              </m:f>
            </m:e>
          </m:nary>
        </m:oMath>
      </m:oMathPara>
    </w:p>
    <w:p w:rsidR="0085264B" w:rsidRPr="009F538C" w:rsidRDefault="0085264B" w:rsidP="0085264B">
      <w:pPr>
        <w:spacing w:before="120" w:after="120"/>
        <w:ind w:left="851"/>
        <w:rPr>
          <w:sz w:val="22"/>
          <w:szCs w:val="22"/>
        </w:rPr>
      </w:pPr>
      <w:r w:rsidRPr="009F538C">
        <w:rPr>
          <w:sz w:val="22"/>
          <w:szCs w:val="22"/>
        </w:rPr>
        <w:t>Where each model link was evaluated and:</w:t>
      </w:r>
    </w:p>
    <w:p w:rsidR="0085264B" w:rsidRPr="009F538C" w:rsidRDefault="0085264B" w:rsidP="0085264B">
      <w:pPr>
        <w:spacing w:before="120" w:after="120"/>
        <w:ind w:left="851"/>
        <w:rPr>
          <w:sz w:val="22"/>
          <w:szCs w:val="22"/>
        </w:rPr>
      </w:pPr>
      <w:r>
        <w:rPr>
          <w:sz w:val="22"/>
          <w:szCs w:val="22"/>
        </w:rPr>
        <w:t>Flow</w:t>
      </w:r>
      <w:r>
        <w:rPr>
          <w:sz w:val="22"/>
          <w:szCs w:val="22"/>
        </w:rPr>
        <w:tab/>
      </w:r>
      <w:r w:rsidRPr="009F538C">
        <w:rPr>
          <w:sz w:val="22"/>
          <w:szCs w:val="22"/>
        </w:rPr>
        <w:t>= AADT;</w:t>
      </w:r>
    </w:p>
    <w:p w:rsidR="0085264B" w:rsidRPr="009F538C" w:rsidRDefault="0085264B" w:rsidP="0085264B">
      <w:pPr>
        <w:spacing w:before="120" w:after="120"/>
        <w:ind w:left="851"/>
        <w:rPr>
          <w:sz w:val="22"/>
          <w:szCs w:val="22"/>
        </w:rPr>
      </w:pPr>
      <w:r>
        <w:rPr>
          <w:sz w:val="22"/>
          <w:szCs w:val="22"/>
        </w:rPr>
        <w:t>i</w:t>
      </w:r>
      <w:r>
        <w:rPr>
          <w:sz w:val="22"/>
          <w:szCs w:val="22"/>
        </w:rPr>
        <w:tab/>
      </w:r>
      <w:r>
        <w:rPr>
          <w:sz w:val="22"/>
          <w:szCs w:val="22"/>
        </w:rPr>
        <w:tab/>
      </w:r>
      <w:r w:rsidRPr="009F538C">
        <w:rPr>
          <w:sz w:val="22"/>
          <w:szCs w:val="22"/>
        </w:rPr>
        <w:t>= vehicle purpose (e.g. commuting, business etc.); and</w:t>
      </w:r>
    </w:p>
    <w:p w:rsidR="0085264B" w:rsidRPr="009F538C" w:rsidRDefault="0085264B" w:rsidP="0085264B">
      <w:pPr>
        <w:spacing w:before="120" w:after="120"/>
        <w:ind w:left="851"/>
        <w:rPr>
          <w:sz w:val="22"/>
          <w:szCs w:val="22"/>
        </w:rPr>
      </w:pPr>
      <w:r>
        <w:rPr>
          <w:sz w:val="22"/>
          <w:szCs w:val="22"/>
        </w:rPr>
        <w:t>VoT</w:t>
      </w:r>
      <w:r>
        <w:rPr>
          <w:sz w:val="22"/>
          <w:szCs w:val="22"/>
        </w:rPr>
        <w:tab/>
      </w:r>
      <w:r w:rsidRPr="009F538C">
        <w:rPr>
          <w:sz w:val="22"/>
          <w:szCs w:val="22"/>
        </w:rPr>
        <w:t>= Value of Time.</w:t>
      </w:r>
    </w:p>
    <w:p w:rsidR="0085264B" w:rsidRPr="005026B8" w:rsidRDefault="0085264B" w:rsidP="0085264B">
      <w:pPr>
        <w:keepNext/>
        <w:spacing w:before="120" w:after="120"/>
        <w:ind w:left="851"/>
        <w:rPr>
          <w:b/>
          <w:sz w:val="22"/>
          <w:szCs w:val="22"/>
        </w:rPr>
      </w:pPr>
      <w:r w:rsidRPr="005026B8">
        <w:rPr>
          <w:b/>
          <w:sz w:val="22"/>
          <w:szCs w:val="22"/>
        </w:rPr>
        <w:t xml:space="preserve">Figure </w:t>
      </w:r>
      <w:r>
        <w:rPr>
          <w:b/>
          <w:sz w:val="22"/>
          <w:szCs w:val="22"/>
        </w:rPr>
        <w:t>4</w:t>
      </w:r>
      <w:r w:rsidRPr="005026B8">
        <w:rPr>
          <w:b/>
          <w:sz w:val="22"/>
          <w:szCs w:val="22"/>
        </w:rPr>
        <w:t>.</w:t>
      </w:r>
      <w:r>
        <w:rPr>
          <w:b/>
          <w:sz w:val="22"/>
          <w:szCs w:val="22"/>
        </w:rPr>
        <w:t>15</w:t>
      </w:r>
      <w:r w:rsidRPr="005026B8">
        <w:rPr>
          <w:b/>
          <w:sz w:val="22"/>
          <w:szCs w:val="22"/>
        </w:rPr>
        <w:tab/>
        <w:t>Analysis of Lost Time by Corridor</w:t>
      </w:r>
    </w:p>
    <w:p w:rsidR="0085264B" w:rsidRDefault="0085264B" w:rsidP="0085264B">
      <w:pPr>
        <w:pStyle w:val="NumberedParas"/>
        <w:tabs>
          <w:tab w:val="clear" w:pos="2291"/>
          <w:tab w:val="left" w:pos="851"/>
          <w:tab w:val="left" w:pos="2268"/>
          <w:tab w:val="num" w:pos="2433"/>
        </w:tabs>
        <w:ind w:left="851" w:hanging="851"/>
      </w:pPr>
      <w:r w:rsidRPr="00442966">
        <w:rPr>
          <w:noProof/>
          <w:lang w:val="ro-RO" w:eastAsia="ro-RO"/>
        </w:rPr>
        <w:drawing>
          <wp:inline distT="0" distB="0" distL="0" distR="0" wp14:anchorId="2D32B4C3" wp14:editId="0D4D61DA">
            <wp:extent cx="5476875" cy="4555014"/>
            <wp:effectExtent l="19050" t="19050" r="28575" b="16986"/>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76874" cy="4555013"/>
                    </a:xfrm>
                    <a:prstGeom prst="rect">
                      <a:avLst/>
                    </a:prstGeom>
                    <a:noFill/>
                    <a:ln w="9525">
                      <a:solidFill>
                        <a:schemeClr val="accent1"/>
                      </a:solidFill>
                      <a:miter lim="800000"/>
                      <a:headEnd/>
                      <a:tailEnd/>
                    </a:ln>
                  </pic:spPr>
                </pic:pic>
              </a:graphicData>
            </a:graphic>
          </wp:inline>
        </w:drawing>
      </w:r>
    </w:p>
    <w:p w:rsidR="0085264B" w:rsidRDefault="0085264B" w:rsidP="0085264B">
      <w:pPr>
        <w:ind w:left="284" w:firstLine="567"/>
        <w:rPr>
          <w:i/>
        </w:rPr>
      </w:pPr>
      <w:r w:rsidRPr="0019173A">
        <w:rPr>
          <w:i/>
          <w:sz w:val="22"/>
          <w:szCs w:val="22"/>
        </w:rPr>
        <w:t>Source: AECOM National Transport Model</w:t>
      </w:r>
    </w:p>
    <w:p w:rsidR="0085264B" w:rsidRPr="00A83752" w:rsidRDefault="0085264B" w:rsidP="0085264B">
      <w:pPr>
        <w:pStyle w:val="NumberedParas"/>
        <w:tabs>
          <w:tab w:val="clear" w:pos="2291"/>
          <w:tab w:val="left" w:pos="851"/>
          <w:tab w:val="left" w:pos="2268"/>
          <w:tab w:val="num" w:pos="2433"/>
        </w:tabs>
        <w:ind w:left="851" w:hanging="851"/>
        <w:rPr>
          <w:i/>
        </w:rPr>
      </w:pPr>
      <w:r>
        <w:t>The plot highlights five main corridors or areas of movement which still require improvement. The image in Figure 4.16 translates these into key corridors of movement and relates them to the main border crossings and the TEN-T Core and Comprehensive networks.</w:t>
      </w:r>
    </w:p>
    <w:p w:rsidR="0085264B" w:rsidRDefault="0085264B" w:rsidP="0085264B">
      <w:pPr>
        <w:pStyle w:val="ListParagraph"/>
        <w:keepNext/>
        <w:spacing w:before="120" w:after="120"/>
        <w:ind w:left="680"/>
        <w:rPr>
          <w:b/>
          <w:sz w:val="22"/>
          <w:szCs w:val="22"/>
        </w:rPr>
      </w:pPr>
      <w:r w:rsidRPr="005125D1">
        <w:rPr>
          <w:b/>
          <w:sz w:val="22"/>
          <w:szCs w:val="22"/>
        </w:rPr>
        <w:t>Figure 4.1</w:t>
      </w:r>
      <w:r>
        <w:rPr>
          <w:b/>
          <w:sz w:val="22"/>
          <w:szCs w:val="22"/>
        </w:rPr>
        <w:t>6</w:t>
      </w:r>
      <w:r w:rsidRPr="005125D1">
        <w:rPr>
          <w:b/>
          <w:sz w:val="22"/>
          <w:szCs w:val="22"/>
        </w:rPr>
        <w:tab/>
      </w:r>
      <w:r>
        <w:rPr>
          <w:b/>
          <w:sz w:val="22"/>
          <w:szCs w:val="22"/>
        </w:rPr>
        <w:t>Key</w:t>
      </w:r>
      <w:r w:rsidRPr="005125D1">
        <w:rPr>
          <w:b/>
          <w:sz w:val="22"/>
          <w:szCs w:val="22"/>
        </w:rPr>
        <w:t xml:space="preserve"> Corridor</w:t>
      </w:r>
      <w:r>
        <w:rPr>
          <w:b/>
          <w:sz w:val="22"/>
          <w:szCs w:val="22"/>
        </w:rPr>
        <w:t>s</w:t>
      </w:r>
    </w:p>
    <w:p w:rsidR="0085264B" w:rsidRDefault="0085264B" w:rsidP="0085264B">
      <w:pPr>
        <w:pStyle w:val="NumberedParas"/>
        <w:tabs>
          <w:tab w:val="clear" w:pos="2291"/>
          <w:tab w:val="left" w:pos="851"/>
          <w:tab w:val="left" w:pos="2268"/>
          <w:tab w:val="num" w:pos="2433"/>
        </w:tabs>
        <w:ind w:left="851" w:hanging="851"/>
      </w:pPr>
      <w:r w:rsidRPr="00A83752">
        <w:rPr>
          <w:noProof/>
          <w:lang w:val="ro-RO" w:eastAsia="ro-RO"/>
        </w:rPr>
        <w:drawing>
          <wp:inline distT="0" distB="0" distL="0" distR="0" wp14:anchorId="6CAFA6D5" wp14:editId="29A033E3">
            <wp:extent cx="5994000" cy="4145562"/>
            <wp:effectExtent l="19050" t="0" r="675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srcRect/>
                    <a:stretch>
                      <a:fillRect/>
                    </a:stretch>
                  </pic:blipFill>
                  <pic:spPr bwMode="auto">
                    <a:xfrm>
                      <a:off x="0" y="0"/>
                      <a:ext cx="5994000" cy="4145562"/>
                    </a:xfrm>
                    <a:prstGeom prst="rect">
                      <a:avLst/>
                    </a:prstGeom>
                    <a:noFill/>
                    <a:ln w="9525">
                      <a:noFill/>
                      <a:miter lim="800000"/>
                      <a:headEnd/>
                      <a:tailEnd/>
                    </a:ln>
                  </pic:spPr>
                </pic:pic>
              </a:graphicData>
            </a:graphic>
          </wp:inline>
        </w:drawing>
      </w:r>
    </w:p>
    <w:p w:rsidR="0085264B" w:rsidRDefault="0085264B" w:rsidP="0085264B">
      <w:pPr>
        <w:ind w:left="284" w:firstLine="567"/>
        <w:rPr>
          <w:i/>
        </w:rPr>
      </w:pPr>
      <w:r w:rsidRPr="0019173A">
        <w:rPr>
          <w:i/>
          <w:sz w:val="22"/>
          <w:szCs w:val="22"/>
        </w:rPr>
        <w:t xml:space="preserve">Source: AECOM </w:t>
      </w:r>
      <w:r>
        <w:rPr>
          <w:i/>
          <w:sz w:val="22"/>
          <w:szCs w:val="22"/>
        </w:rPr>
        <w:t>Analysis</w:t>
      </w:r>
    </w:p>
    <w:p w:rsidR="0085264B" w:rsidRDefault="0085264B" w:rsidP="0085264B">
      <w:pPr>
        <w:pStyle w:val="NumberedParas"/>
        <w:tabs>
          <w:tab w:val="clear" w:pos="2291"/>
          <w:tab w:val="left" w:pos="851"/>
          <w:tab w:val="left" w:pos="2268"/>
          <w:tab w:val="num" w:pos="2433"/>
        </w:tabs>
        <w:ind w:left="851" w:hanging="851"/>
        <w:rPr>
          <w:i/>
        </w:rPr>
      </w:pPr>
      <w:r>
        <w:t>Analysis was also undertaken of the main county and regional level movements. These are illustrated in the following figures.</w:t>
      </w:r>
    </w:p>
    <w:p w:rsidR="0085264B" w:rsidRDefault="0085264B" w:rsidP="0085264B">
      <w:pPr>
        <w:pStyle w:val="Body"/>
        <w:sectPr w:rsidR="0085264B" w:rsidSect="00933C17">
          <w:headerReference w:type="default" r:id="rId105"/>
          <w:pgSz w:w="11907" w:h="16840" w:code="9"/>
          <w:pgMar w:top="1418" w:right="709" w:bottom="1418" w:left="907" w:header="357" w:footer="567" w:gutter="0"/>
          <w:cols w:space="187"/>
          <w:docGrid w:linePitch="360"/>
        </w:sectPr>
      </w:pPr>
    </w:p>
    <w:p w:rsidR="0085264B" w:rsidRDefault="0085264B" w:rsidP="0085264B">
      <w:pPr>
        <w:pStyle w:val="Body"/>
      </w:pPr>
    </w:p>
    <w:p w:rsidR="0085264B" w:rsidRPr="005026B8" w:rsidRDefault="0085264B" w:rsidP="0085264B">
      <w:pPr>
        <w:keepNext/>
        <w:rPr>
          <w:b/>
          <w:sz w:val="22"/>
          <w:szCs w:val="22"/>
        </w:rPr>
      </w:pPr>
      <w:r>
        <w:rPr>
          <w:b/>
          <w:sz w:val="22"/>
          <w:szCs w:val="22"/>
        </w:rPr>
        <w:t xml:space="preserve">Figure 4.17 </w:t>
      </w:r>
      <w:r w:rsidRPr="005026B8">
        <w:rPr>
          <w:b/>
          <w:sz w:val="22"/>
          <w:szCs w:val="22"/>
        </w:rPr>
        <w:t>County Level Analysis of Road Demand – 2020 Reference Case (Vehicles)</w:t>
      </w:r>
    </w:p>
    <w:p w:rsidR="0085264B" w:rsidRDefault="0085264B" w:rsidP="0085264B">
      <w:pPr>
        <w:pStyle w:val="Body"/>
        <w:spacing w:before="0" w:after="0"/>
        <w:ind w:left="0"/>
      </w:pPr>
      <w:r w:rsidRPr="003126BB">
        <w:t>Note:</w:t>
      </w:r>
      <w:r w:rsidRPr="003126BB">
        <w:tab/>
      </w:r>
      <w:r w:rsidRPr="003126BB">
        <w:tab/>
        <w:t>Excludes international trips</w:t>
      </w:r>
    </w:p>
    <w:p w:rsidR="0085264B" w:rsidRDefault="0085264B" w:rsidP="0085264B">
      <w:pPr>
        <w:pStyle w:val="Body"/>
      </w:pPr>
      <w:r>
        <w:rPr>
          <w:noProof/>
          <w:lang w:val="ro-RO" w:eastAsia="ro-RO"/>
        </w:rPr>
        <w:drawing>
          <wp:inline distT="0" distB="0" distL="0" distR="0" wp14:anchorId="01F364B5" wp14:editId="716B340A">
            <wp:extent cx="7486650" cy="4838700"/>
            <wp:effectExtent l="0" t="0" r="0" b="0"/>
            <wp:docPr id="14" name="Picture 10" descr="Desire_line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v2.jpg"/>
                    <pic:cNvPicPr/>
                  </pic:nvPicPr>
                  <pic:blipFill>
                    <a:blip r:embed="rId106" cstate="email">
                      <a:extLst>
                        <a:ext uri="{28A0092B-C50C-407E-A947-70E740481C1C}">
                          <a14:useLocalDpi xmlns:a14="http://schemas.microsoft.com/office/drawing/2010/main"/>
                        </a:ext>
                      </a:extLst>
                    </a:blip>
                    <a:srcRect/>
                    <a:stretch>
                      <a:fillRect/>
                    </a:stretch>
                  </pic:blipFill>
                  <pic:spPr>
                    <a:xfrm>
                      <a:off x="0" y="0"/>
                      <a:ext cx="7486650" cy="4838700"/>
                    </a:xfrm>
                    <a:prstGeom prst="rect">
                      <a:avLst/>
                    </a:prstGeom>
                  </pic:spPr>
                </pic:pic>
              </a:graphicData>
            </a:graphic>
          </wp:inline>
        </w:drawing>
      </w:r>
    </w:p>
    <w:p w:rsidR="0085264B" w:rsidRDefault="0085264B" w:rsidP="0085264B">
      <w:pPr>
        <w:ind w:left="567" w:firstLine="284"/>
        <w:rPr>
          <w:i/>
        </w:rPr>
      </w:pPr>
      <w:r w:rsidRPr="0019173A">
        <w:rPr>
          <w:i/>
          <w:sz w:val="22"/>
          <w:szCs w:val="22"/>
        </w:rPr>
        <w:t>Source: AECOM National Transport Model</w:t>
      </w:r>
    </w:p>
    <w:p w:rsidR="0085264B" w:rsidRDefault="0085264B" w:rsidP="0085264B">
      <w:pPr>
        <w:rPr>
          <w:i/>
          <w:sz w:val="22"/>
          <w:szCs w:val="22"/>
        </w:rPr>
      </w:pPr>
      <w:r>
        <w:br w:type="page"/>
      </w:r>
    </w:p>
    <w:p w:rsidR="0085264B" w:rsidRDefault="0085264B" w:rsidP="0085264B">
      <w:pPr>
        <w:pStyle w:val="Body"/>
      </w:pPr>
    </w:p>
    <w:p w:rsidR="0085264B" w:rsidRPr="005026B8" w:rsidRDefault="0085264B" w:rsidP="0085264B">
      <w:pPr>
        <w:keepNext/>
        <w:rPr>
          <w:b/>
          <w:sz w:val="22"/>
          <w:szCs w:val="22"/>
        </w:rPr>
      </w:pPr>
      <w:r>
        <w:rPr>
          <w:b/>
          <w:sz w:val="22"/>
          <w:szCs w:val="22"/>
        </w:rPr>
        <w:t xml:space="preserve">Figure 4.18 </w:t>
      </w:r>
      <w:r w:rsidRPr="005026B8">
        <w:rPr>
          <w:b/>
          <w:sz w:val="22"/>
          <w:szCs w:val="22"/>
        </w:rPr>
        <w:t>Regional Level Analysis of Road Demand – 2020 Reference Case (Vehicles)</w:t>
      </w:r>
    </w:p>
    <w:p w:rsidR="0085264B" w:rsidRDefault="0085264B" w:rsidP="0085264B">
      <w:pPr>
        <w:pStyle w:val="Body"/>
        <w:spacing w:before="0" w:after="0"/>
        <w:ind w:left="0"/>
      </w:pPr>
      <w:r w:rsidRPr="003126BB">
        <w:t>Note:</w:t>
      </w:r>
      <w:r w:rsidRPr="003126BB">
        <w:tab/>
      </w:r>
      <w:r w:rsidRPr="003126BB">
        <w:tab/>
        <w:t>Excludes international trips</w:t>
      </w:r>
    </w:p>
    <w:p w:rsidR="0085264B" w:rsidRDefault="0085264B" w:rsidP="0085264B">
      <w:pPr>
        <w:pStyle w:val="Body"/>
      </w:pPr>
      <w:r>
        <w:rPr>
          <w:noProof/>
          <w:lang w:val="ro-RO" w:eastAsia="ro-RO"/>
        </w:rPr>
        <w:drawing>
          <wp:inline distT="0" distB="0" distL="0" distR="0" wp14:anchorId="38B85DFE" wp14:editId="13FABB82">
            <wp:extent cx="7419975" cy="5039655"/>
            <wp:effectExtent l="19050" t="0" r="9525" b="0"/>
            <wp:docPr id="16" name="Picture 11" descr="Desire_lines_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regions.jpg"/>
                    <pic:cNvPicPr/>
                  </pic:nvPicPr>
                  <pic:blipFill>
                    <a:blip r:embed="rId107" cstate="email">
                      <a:extLst>
                        <a:ext uri="{28A0092B-C50C-407E-A947-70E740481C1C}">
                          <a14:useLocalDpi xmlns:a14="http://schemas.microsoft.com/office/drawing/2010/main"/>
                        </a:ext>
                      </a:extLst>
                    </a:blip>
                    <a:srcRect/>
                    <a:stretch>
                      <a:fillRect/>
                    </a:stretch>
                  </pic:blipFill>
                  <pic:spPr>
                    <a:xfrm>
                      <a:off x="0" y="0"/>
                      <a:ext cx="7421171" cy="5040467"/>
                    </a:xfrm>
                    <a:prstGeom prst="rect">
                      <a:avLst/>
                    </a:prstGeom>
                  </pic:spPr>
                </pic:pic>
              </a:graphicData>
            </a:graphic>
          </wp:inline>
        </w:drawing>
      </w:r>
    </w:p>
    <w:p w:rsidR="0085264B" w:rsidRDefault="0085264B" w:rsidP="0085264B">
      <w:pPr>
        <w:ind w:left="284" w:firstLine="567"/>
        <w:rPr>
          <w:i/>
        </w:rPr>
      </w:pPr>
      <w:r w:rsidRPr="0019173A">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19173A">
        <w:t>Figure 4.1</w:t>
      </w:r>
      <w:r>
        <w:t>9</w:t>
      </w:r>
      <w:r w:rsidRPr="0019173A">
        <w:t xml:space="preserve"> Regional Level Analysis of Road Demand – 2020 Reference Case (Vehicles)</w:t>
      </w:r>
    </w:p>
    <w:p w:rsidR="0085264B" w:rsidRDefault="0085264B" w:rsidP="0085264B">
      <w:pPr>
        <w:pStyle w:val="Body"/>
        <w:spacing w:before="0" w:after="0"/>
        <w:ind w:left="0"/>
      </w:pPr>
      <w:r w:rsidRPr="003126BB">
        <w:t>Note:</w:t>
      </w:r>
      <w:r w:rsidRPr="003126BB">
        <w:tab/>
      </w:r>
      <w:r w:rsidRPr="003126BB">
        <w:tab/>
        <w:t>Includes international trips over 500 vehicles</w:t>
      </w:r>
    </w:p>
    <w:p w:rsidR="0085264B" w:rsidRDefault="0085264B" w:rsidP="0085264B">
      <w:pPr>
        <w:pStyle w:val="Body"/>
      </w:pPr>
      <w:r>
        <w:rPr>
          <w:noProof/>
          <w:lang w:val="ro-RO" w:eastAsia="ro-RO"/>
        </w:rPr>
        <w:drawing>
          <wp:inline distT="0" distB="0" distL="0" distR="0" wp14:anchorId="14F822BA" wp14:editId="0E58EB67">
            <wp:extent cx="7667625" cy="5212390"/>
            <wp:effectExtent l="19050" t="0" r="9525" b="0"/>
            <wp:docPr id="80" name="Picture 16" descr="Desire_lines_regions_and_ex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regions_and_external.jpg"/>
                    <pic:cNvPicPr/>
                  </pic:nvPicPr>
                  <pic:blipFill>
                    <a:blip r:embed="rId108" cstate="email">
                      <a:extLst>
                        <a:ext uri="{28A0092B-C50C-407E-A947-70E740481C1C}">
                          <a14:useLocalDpi xmlns:a14="http://schemas.microsoft.com/office/drawing/2010/main"/>
                        </a:ext>
                      </a:extLst>
                    </a:blip>
                    <a:srcRect/>
                    <a:stretch>
                      <a:fillRect/>
                    </a:stretch>
                  </pic:blipFill>
                  <pic:spPr>
                    <a:xfrm>
                      <a:off x="0" y="0"/>
                      <a:ext cx="7667625" cy="5212390"/>
                    </a:xfrm>
                    <a:prstGeom prst="rect">
                      <a:avLst/>
                    </a:prstGeom>
                  </pic:spPr>
                </pic:pic>
              </a:graphicData>
            </a:graphic>
          </wp:inline>
        </w:drawing>
      </w:r>
    </w:p>
    <w:p w:rsidR="0085264B" w:rsidRDefault="0085264B" w:rsidP="0085264B">
      <w:pPr>
        <w:ind w:firstLine="851"/>
        <w:rPr>
          <w:i/>
        </w:rPr>
      </w:pPr>
      <w:r w:rsidRPr="0019173A">
        <w:rPr>
          <w:i/>
          <w:sz w:val="22"/>
          <w:szCs w:val="22"/>
        </w:rPr>
        <w:t>Source: AECOM National Transport Model</w:t>
      </w:r>
    </w:p>
    <w:p w:rsidR="0085264B" w:rsidRDefault="0085264B" w:rsidP="0085264B">
      <w:pPr>
        <w:rPr>
          <w:i/>
          <w:sz w:val="22"/>
          <w:szCs w:val="22"/>
        </w:rPr>
        <w:sectPr w:rsidR="0085264B" w:rsidSect="006601AB">
          <w:pgSz w:w="16840" w:h="11907" w:orient="landscape" w:code="9"/>
          <w:pgMar w:top="907" w:right="1418" w:bottom="709" w:left="1418" w:header="357" w:footer="567" w:gutter="0"/>
          <w:cols w:space="187"/>
          <w:docGrid w:linePitch="360"/>
        </w:sectPr>
      </w:pPr>
    </w:p>
    <w:p w:rsidR="0085264B" w:rsidRDefault="0085264B" w:rsidP="0085264B">
      <w:pPr>
        <w:pStyle w:val="NumberedParas"/>
        <w:tabs>
          <w:tab w:val="clear" w:pos="2291"/>
          <w:tab w:val="left" w:pos="851"/>
          <w:tab w:val="left" w:pos="2268"/>
          <w:tab w:val="num" w:pos="2433"/>
        </w:tabs>
        <w:ind w:left="851" w:hanging="851"/>
      </w:pPr>
      <w:r>
        <w:t>Within each corridor or area, a number of options were identified which would meet the strategic and operational objectives and address the particular lost time issues.</w:t>
      </w:r>
    </w:p>
    <w:p w:rsidR="0085264B" w:rsidRDefault="0085264B" w:rsidP="0085264B">
      <w:pPr>
        <w:pStyle w:val="NumberedParas"/>
        <w:tabs>
          <w:tab w:val="clear" w:pos="2291"/>
          <w:tab w:val="left" w:pos="851"/>
          <w:tab w:val="left" w:pos="2268"/>
          <w:tab w:val="num" w:pos="2433"/>
        </w:tabs>
        <w:ind w:left="851" w:hanging="851"/>
      </w:pPr>
      <w:r>
        <w:t>Each option was coded into the National Model and then subjected to an appraisal process which included a full run of the NTM, economic and multi-criteria analysis in accordance with the procedures described in the Masterplan Guidance Document</w:t>
      </w:r>
      <w:r>
        <w:rPr>
          <w:rStyle w:val="FootnoteReference"/>
        </w:rPr>
        <w:footnoteReference w:id="24"/>
      </w:r>
      <w:r>
        <w:t>, in order to objectively determine the most appropriate scheme to take forward in each area.</w:t>
      </w:r>
    </w:p>
    <w:p w:rsidR="0085264B" w:rsidRDefault="0085264B" w:rsidP="0085264B">
      <w:pPr>
        <w:pStyle w:val="NumberedParas"/>
        <w:tabs>
          <w:tab w:val="clear" w:pos="2291"/>
          <w:tab w:val="left" w:pos="851"/>
          <w:tab w:val="left" w:pos="2268"/>
          <w:tab w:val="num" w:pos="2433"/>
        </w:tabs>
        <w:ind w:left="851" w:hanging="851"/>
      </w:pPr>
      <w:r>
        <w:t>The results of these tests, referred to as the Level 1 tests, are summarised in the following table.</w:t>
      </w:r>
    </w:p>
    <w:p w:rsidR="0085264B" w:rsidRPr="00ED1059" w:rsidRDefault="0085264B" w:rsidP="0085264B">
      <w:pPr>
        <w:keepNext/>
        <w:spacing w:before="120" w:after="120"/>
        <w:ind w:left="851"/>
        <w:rPr>
          <w:b/>
          <w:sz w:val="22"/>
          <w:szCs w:val="22"/>
        </w:rPr>
      </w:pPr>
      <w:r w:rsidRPr="00A83752">
        <w:rPr>
          <w:b/>
          <w:sz w:val="22"/>
          <w:szCs w:val="22"/>
        </w:rPr>
        <w:t>Table 4.17 Summary of Level 1 Testing Results (CBA)</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3119"/>
        <w:gridCol w:w="1886"/>
        <w:gridCol w:w="979"/>
        <w:gridCol w:w="980"/>
        <w:gridCol w:w="980"/>
      </w:tblGrid>
      <w:tr w:rsidR="0085264B" w:rsidRPr="006B7BF0" w:rsidTr="00D41B57">
        <w:trPr>
          <w:trHeight w:val="1067"/>
          <w:tblHeader/>
        </w:trPr>
        <w:tc>
          <w:tcPr>
            <w:tcW w:w="1667" w:type="dxa"/>
            <w:shd w:val="clear" w:color="auto" w:fill="B8CCE4" w:themeFill="accent1" w:themeFillTint="66"/>
            <w:noWrap/>
            <w:vAlign w:val="center"/>
            <w:hideMark/>
          </w:tcPr>
          <w:p w:rsidR="0085264B" w:rsidRPr="00ED1059" w:rsidRDefault="0085264B" w:rsidP="00D41B57">
            <w:pPr>
              <w:keepNext/>
              <w:jc w:val="center"/>
              <w:rPr>
                <w:rFonts w:cs="Arial"/>
                <w:b/>
                <w:sz w:val="22"/>
                <w:szCs w:val="22"/>
                <w:lang w:eastAsia="en-GB"/>
              </w:rPr>
            </w:pPr>
            <w:r w:rsidRPr="00ED1059">
              <w:rPr>
                <w:rFonts w:cs="Arial"/>
                <w:b/>
                <w:sz w:val="22"/>
                <w:szCs w:val="22"/>
                <w:lang w:eastAsia="en-GB"/>
              </w:rPr>
              <w:t>Ref.</w:t>
            </w:r>
          </w:p>
        </w:tc>
        <w:tc>
          <w:tcPr>
            <w:tcW w:w="3119" w:type="dxa"/>
            <w:shd w:val="clear" w:color="auto" w:fill="B8CCE4" w:themeFill="accent1" w:themeFillTint="66"/>
            <w:noWrap/>
            <w:vAlign w:val="center"/>
            <w:hideMark/>
          </w:tcPr>
          <w:p w:rsidR="0085264B" w:rsidRDefault="0085264B" w:rsidP="00D41B57">
            <w:pPr>
              <w:keepNext/>
              <w:rPr>
                <w:rFonts w:cs="Arial"/>
                <w:b/>
                <w:sz w:val="22"/>
                <w:szCs w:val="22"/>
                <w:lang w:eastAsia="en-GB"/>
              </w:rPr>
            </w:pPr>
            <w:r w:rsidRPr="00ED1059">
              <w:rPr>
                <w:rFonts w:cs="Arial"/>
                <w:b/>
                <w:sz w:val="22"/>
                <w:szCs w:val="22"/>
                <w:lang w:eastAsia="en-GB"/>
              </w:rPr>
              <w:t>Project</w:t>
            </w:r>
          </w:p>
        </w:tc>
        <w:tc>
          <w:tcPr>
            <w:tcW w:w="1886" w:type="dxa"/>
            <w:shd w:val="clear" w:color="auto" w:fill="B8CCE4" w:themeFill="accent1" w:themeFillTint="66"/>
            <w:noWrap/>
            <w:vAlign w:val="center"/>
            <w:hideMark/>
          </w:tcPr>
          <w:p w:rsidR="0085264B" w:rsidRPr="00ED1059" w:rsidRDefault="0085264B" w:rsidP="00D41B57">
            <w:pPr>
              <w:keepNext/>
              <w:jc w:val="center"/>
              <w:rPr>
                <w:rFonts w:cs="Arial"/>
                <w:b/>
                <w:color w:val="000000"/>
                <w:sz w:val="22"/>
                <w:szCs w:val="22"/>
                <w:lang w:eastAsia="en-GB"/>
              </w:rPr>
            </w:pPr>
            <w:r w:rsidRPr="00ED1059">
              <w:rPr>
                <w:rFonts w:cs="Arial"/>
                <w:b/>
                <w:color w:val="000000"/>
                <w:sz w:val="22"/>
                <w:szCs w:val="22"/>
              </w:rPr>
              <w:t>Investment cost          (undiscounted)</w:t>
            </w:r>
          </w:p>
          <w:p w:rsidR="0085264B" w:rsidRPr="00ED1059" w:rsidRDefault="0085264B" w:rsidP="00D41B57">
            <w:pPr>
              <w:keepNext/>
              <w:jc w:val="center"/>
              <w:rPr>
                <w:rFonts w:cs="Arial"/>
                <w:b/>
                <w:color w:val="000000"/>
                <w:sz w:val="22"/>
                <w:szCs w:val="22"/>
                <w:lang w:eastAsia="en-GB"/>
              </w:rPr>
            </w:pPr>
            <w:r w:rsidRPr="00ED1059">
              <w:rPr>
                <w:rFonts w:cs="Arial"/>
                <w:b/>
                <w:i/>
                <w:iCs/>
                <w:color w:val="000000"/>
                <w:sz w:val="22"/>
                <w:szCs w:val="22"/>
              </w:rPr>
              <w:t>€M</w:t>
            </w:r>
          </w:p>
        </w:tc>
        <w:tc>
          <w:tcPr>
            <w:tcW w:w="979" w:type="dxa"/>
            <w:shd w:val="clear" w:color="auto" w:fill="B8CCE4" w:themeFill="accent1" w:themeFillTint="66"/>
            <w:noWrap/>
            <w:vAlign w:val="center"/>
            <w:hideMark/>
          </w:tcPr>
          <w:p w:rsidR="0085264B" w:rsidRPr="00ED1059" w:rsidRDefault="0085264B" w:rsidP="00D41B57">
            <w:pPr>
              <w:keepNext/>
              <w:jc w:val="center"/>
              <w:rPr>
                <w:rFonts w:cs="Arial"/>
                <w:b/>
                <w:color w:val="000000"/>
                <w:sz w:val="22"/>
                <w:szCs w:val="22"/>
                <w:lang w:eastAsia="en-GB"/>
              </w:rPr>
            </w:pPr>
            <w:r w:rsidRPr="00ED1059">
              <w:rPr>
                <w:rFonts w:cs="Arial"/>
                <w:b/>
                <w:color w:val="000000"/>
                <w:sz w:val="22"/>
                <w:szCs w:val="22"/>
              </w:rPr>
              <w:t>NPV</w:t>
            </w:r>
          </w:p>
          <w:p w:rsidR="0085264B" w:rsidRPr="00ED1059" w:rsidRDefault="0085264B" w:rsidP="00D41B57">
            <w:pPr>
              <w:keepNext/>
              <w:jc w:val="center"/>
              <w:rPr>
                <w:rFonts w:cs="Arial"/>
                <w:b/>
                <w:color w:val="000000"/>
                <w:sz w:val="22"/>
                <w:szCs w:val="22"/>
                <w:lang w:eastAsia="en-GB"/>
              </w:rPr>
            </w:pPr>
            <w:r w:rsidRPr="00ED1059">
              <w:rPr>
                <w:rFonts w:cs="Arial"/>
                <w:b/>
                <w:i/>
                <w:iCs/>
                <w:color w:val="000000"/>
                <w:sz w:val="22"/>
                <w:szCs w:val="22"/>
              </w:rPr>
              <w:t>€M</w:t>
            </w:r>
          </w:p>
        </w:tc>
        <w:tc>
          <w:tcPr>
            <w:tcW w:w="980" w:type="dxa"/>
            <w:shd w:val="clear" w:color="auto" w:fill="B8CCE4" w:themeFill="accent1" w:themeFillTint="66"/>
            <w:noWrap/>
            <w:vAlign w:val="center"/>
            <w:hideMark/>
          </w:tcPr>
          <w:p w:rsidR="0085264B" w:rsidRPr="00ED1059" w:rsidRDefault="0085264B" w:rsidP="00D41B57">
            <w:pPr>
              <w:keepNext/>
              <w:jc w:val="center"/>
              <w:rPr>
                <w:rFonts w:cs="Arial"/>
                <w:b/>
                <w:color w:val="000000"/>
                <w:sz w:val="22"/>
                <w:szCs w:val="22"/>
                <w:lang w:eastAsia="en-GB"/>
              </w:rPr>
            </w:pPr>
            <w:r w:rsidRPr="00ED1059">
              <w:rPr>
                <w:rFonts w:cs="Arial"/>
                <w:b/>
                <w:color w:val="000000"/>
                <w:sz w:val="22"/>
                <w:szCs w:val="22"/>
              </w:rPr>
              <w:t>BCR</w:t>
            </w:r>
          </w:p>
          <w:p w:rsidR="0085264B" w:rsidRPr="00ED1059" w:rsidRDefault="0085264B" w:rsidP="00D41B57">
            <w:pPr>
              <w:keepNext/>
              <w:jc w:val="center"/>
              <w:rPr>
                <w:rFonts w:cs="Arial"/>
                <w:b/>
                <w:color w:val="000000"/>
                <w:sz w:val="22"/>
                <w:szCs w:val="22"/>
                <w:lang w:eastAsia="en-GB"/>
              </w:rPr>
            </w:pPr>
          </w:p>
        </w:tc>
        <w:tc>
          <w:tcPr>
            <w:tcW w:w="980" w:type="dxa"/>
            <w:shd w:val="clear" w:color="auto" w:fill="B8CCE4" w:themeFill="accent1" w:themeFillTint="66"/>
            <w:noWrap/>
            <w:vAlign w:val="center"/>
            <w:hideMark/>
          </w:tcPr>
          <w:p w:rsidR="0085264B" w:rsidRPr="00ED1059" w:rsidRDefault="0085264B" w:rsidP="00D41B57">
            <w:pPr>
              <w:keepNext/>
              <w:jc w:val="center"/>
              <w:rPr>
                <w:rFonts w:cs="Arial"/>
                <w:b/>
                <w:color w:val="000000"/>
                <w:sz w:val="22"/>
                <w:szCs w:val="22"/>
                <w:lang w:eastAsia="en-GB"/>
              </w:rPr>
            </w:pPr>
            <w:r w:rsidRPr="00ED1059">
              <w:rPr>
                <w:rFonts w:cs="Arial"/>
                <w:b/>
                <w:color w:val="000000"/>
                <w:sz w:val="22"/>
                <w:szCs w:val="22"/>
              </w:rPr>
              <w:t>EIRR</w:t>
            </w:r>
          </w:p>
          <w:p w:rsidR="0085264B" w:rsidRPr="00ED1059" w:rsidRDefault="0085264B" w:rsidP="00D41B57">
            <w:pPr>
              <w:keepNext/>
              <w:jc w:val="center"/>
              <w:rPr>
                <w:rFonts w:cs="Arial"/>
                <w:b/>
                <w:color w:val="000000"/>
                <w:sz w:val="22"/>
                <w:szCs w:val="22"/>
                <w:lang w:eastAsia="en-GB"/>
              </w:rPr>
            </w:pPr>
            <w:r w:rsidRPr="00ED1059">
              <w:rPr>
                <w:rFonts w:cs="Arial"/>
                <w:b/>
                <w:i/>
                <w:iCs/>
                <w:color w:val="000000"/>
                <w:sz w:val="22"/>
                <w:szCs w:val="22"/>
              </w:rPr>
              <w:t>%</w:t>
            </w:r>
          </w:p>
        </w:tc>
      </w:tr>
      <w:tr w:rsidR="0085264B" w:rsidRPr="006B7BF0" w:rsidTr="00D41B57">
        <w:trPr>
          <w:trHeight w:val="285"/>
        </w:trPr>
        <w:tc>
          <w:tcPr>
            <w:tcW w:w="1667" w:type="dxa"/>
            <w:shd w:val="clear" w:color="auto" w:fill="auto"/>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OR1</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Ploiesti-Brasov Motorway</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1,427</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2,495</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3.55</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13.7%</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OR2, Option A</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Pitesti-Sibiu</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2,471</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3,301</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2.96</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12.1%</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OR2, Option B</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 xml:space="preserve">Ploiesti-Brasov-Sibiu </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2,117</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6,895</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5.70</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18.1%</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OR3, Option A</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Ploiesti-Buzau-Bacau-Iasi</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2,524</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3,232</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2.81</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11.5%</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OR3, Option B</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Ploiesti-Brasov-Bacau-Iasi</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4,428</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3,440</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w:t>
            </w:r>
            <w:r w:rsidRPr="006B7BF0">
              <w:rPr>
                <w:rFonts w:cs="Arial"/>
                <w:color w:val="000000"/>
                <w:sz w:val="22"/>
                <w:szCs w:val="22"/>
                <w:lang w:eastAsia="en-GB"/>
              </w:rPr>
              <w:t>1</w:t>
            </w:r>
            <w:r>
              <w:rPr>
                <w:rFonts w:cs="Arial"/>
                <w:color w:val="000000"/>
                <w:sz w:val="22"/>
                <w:szCs w:val="22"/>
                <w:lang w:eastAsia="en-GB"/>
              </w:rPr>
              <w:t>3</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9.9%</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OR3, Option C</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Ploiesti-Brasov-Bacau-Iasi (via Pacsani spur)</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4,561</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943</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1.30</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6.8%</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OR4, Option A</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 xml:space="preserve">Pitesti-Craiova </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870</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1,242</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3.03</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12.2%</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OR4, Option B</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Bucharest-Alexandria-Craiova</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1,190</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329</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1.43</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7.2%</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OR5, Option A</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Iasi-Turda-Nadaselu-Bors</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5,026</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5,625</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2.62</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11.4%</w:t>
            </w:r>
          </w:p>
        </w:tc>
      </w:tr>
      <w:tr w:rsidR="0085264B" w:rsidRPr="006B7BF0" w:rsidTr="00D41B57">
        <w:trPr>
          <w:trHeight w:val="285"/>
        </w:trPr>
        <w:tc>
          <w:tcPr>
            <w:tcW w:w="1667"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OR5, Option B</w:t>
            </w:r>
          </w:p>
        </w:tc>
        <w:tc>
          <w:tcPr>
            <w:tcW w:w="3119" w:type="dxa"/>
            <w:shd w:val="clear" w:color="000000" w:fill="FFFFFF"/>
            <w:noWrap/>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Iasi-Bacau-Brasov-Sibiu</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3,691</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3,851</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2.5</w:t>
            </w:r>
            <w:r w:rsidRPr="006B7BF0">
              <w:rPr>
                <w:rFonts w:cs="Arial"/>
                <w:color w:val="000000"/>
                <w:sz w:val="22"/>
                <w:szCs w:val="22"/>
                <w:lang w:eastAsia="en-GB"/>
              </w:rPr>
              <w:t>0</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11.0%</w:t>
            </w:r>
          </w:p>
        </w:tc>
      </w:tr>
      <w:tr w:rsidR="0085264B" w:rsidRPr="006B7BF0" w:rsidTr="00D41B57">
        <w:trPr>
          <w:trHeight w:val="810"/>
        </w:trPr>
        <w:tc>
          <w:tcPr>
            <w:tcW w:w="1667" w:type="dxa"/>
            <w:shd w:val="clear" w:color="auto" w:fill="auto"/>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Preferred L1 Highway Network</w:t>
            </w:r>
          </w:p>
        </w:tc>
        <w:tc>
          <w:tcPr>
            <w:tcW w:w="3119" w:type="dxa"/>
            <w:shd w:val="clear" w:color="000000" w:fill="FFFFFF"/>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Comprising OR1,OR2B, OR3B, OR4A and OR5B</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5,988</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9,835</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3.36</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13.2%</w:t>
            </w:r>
          </w:p>
        </w:tc>
      </w:tr>
      <w:tr w:rsidR="0085264B" w:rsidRPr="006B7BF0" w:rsidTr="00D41B57">
        <w:trPr>
          <w:trHeight w:val="810"/>
        </w:trPr>
        <w:tc>
          <w:tcPr>
            <w:tcW w:w="1667" w:type="dxa"/>
            <w:shd w:val="clear" w:color="auto" w:fill="auto"/>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Alternative L1 Highway Network</w:t>
            </w:r>
          </w:p>
        </w:tc>
        <w:tc>
          <w:tcPr>
            <w:tcW w:w="3119" w:type="dxa"/>
            <w:shd w:val="clear" w:color="000000" w:fill="FFFFFF"/>
            <w:vAlign w:val="center"/>
            <w:hideMark/>
          </w:tcPr>
          <w:p w:rsidR="0085264B" w:rsidRPr="006B7BF0" w:rsidRDefault="0085264B" w:rsidP="00D41B57">
            <w:pPr>
              <w:keepNext/>
              <w:rPr>
                <w:rFonts w:cs="Arial"/>
                <w:sz w:val="22"/>
                <w:szCs w:val="22"/>
                <w:lang w:eastAsia="en-GB"/>
              </w:rPr>
            </w:pPr>
            <w:r w:rsidRPr="006B7BF0">
              <w:rPr>
                <w:rFonts w:cs="Arial"/>
                <w:sz w:val="22"/>
                <w:szCs w:val="22"/>
                <w:lang w:eastAsia="en-GB"/>
              </w:rPr>
              <w:t>Comprising OR1, OR2A, OR3A, OR4B and OR5A</w:t>
            </w:r>
          </w:p>
        </w:tc>
        <w:tc>
          <w:tcPr>
            <w:tcW w:w="1886"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rPr>
              <w:t>17,080</w:t>
            </w:r>
          </w:p>
        </w:tc>
        <w:tc>
          <w:tcPr>
            <w:tcW w:w="979"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9,470</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Pr>
                <w:rFonts w:cs="Arial"/>
                <w:color w:val="000000"/>
                <w:sz w:val="22"/>
                <w:szCs w:val="22"/>
                <w:lang w:eastAsia="en-GB"/>
              </w:rPr>
              <w:t>2.06</w:t>
            </w:r>
          </w:p>
        </w:tc>
        <w:tc>
          <w:tcPr>
            <w:tcW w:w="980" w:type="dxa"/>
            <w:shd w:val="clear" w:color="000000" w:fill="EEECE1"/>
            <w:noWrap/>
            <w:vAlign w:val="center"/>
            <w:hideMark/>
          </w:tcPr>
          <w:p w:rsidR="0085264B" w:rsidRPr="006B7BF0" w:rsidRDefault="0085264B" w:rsidP="00D41B57">
            <w:pPr>
              <w:keepNext/>
              <w:jc w:val="center"/>
              <w:rPr>
                <w:rFonts w:cs="Arial"/>
                <w:color w:val="000000"/>
                <w:sz w:val="22"/>
                <w:szCs w:val="22"/>
                <w:lang w:eastAsia="en-GB"/>
              </w:rPr>
            </w:pPr>
            <w:r w:rsidRPr="006B7BF0">
              <w:rPr>
                <w:rFonts w:cs="Arial"/>
                <w:color w:val="000000"/>
                <w:sz w:val="22"/>
                <w:szCs w:val="22"/>
                <w:lang w:eastAsia="en-GB"/>
              </w:rPr>
              <w:t>8.6%</w:t>
            </w:r>
          </w:p>
        </w:tc>
      </w:tr>
    </w:tbl>
    <w:p w:rsidR="0085264B" w:rsidRDefault="0085264B" w:rsidP="0085264B">
      <w:pPr>
        <w:spacing w:before="120" w:after="120"/>
        <w:ind w:left="851"/>
        <w:rPr>
          <w:sz w:val="22"/>
          <w:szCs w:val="22"/>
        </w:rPr>
      </w:pPr>
      <w:r>
        <w:rPr>
          <w:i/>
          <w:sz w:val="22"/>
          <w:szCs w:val="22"/>
        </w:rPr>
        <w:t>Source: AECOM National Transport Model</w:t>
      </w:r>
    </w:p>
    <w:p w:rsidR="0085264B" w:rsidRDefault="0085264B" w:rsidP="0085264B">
      <w:pPr>
        <w:pStyle w:val="NumberedParas"/>
        <w:tabs>
          <w:tab w:val="clear" w:pos="2291"/>
          <w:tab w:val="left" w:pos="851"/>
          <w:tab w:val="left" w:pos="2268"/>
          <w:tab w:val="num" w:pos="2433"/>
        </w:tabs>
        <w:ind w:left="851" w:hanging="851"/>
      </w:pPr>
      <w:r w:rsidRPr="00382532">
        <w:t>The composition of the Preferred Level 1 network was done primarily based on the performance of the individual component schemes but also taking into consideration the connectivity of the combined network and ensuring that it provided a logical structure.</w:t>
      </w:r>
      <w:r>
        <w:t xml:space="preserve"> It is important to recognise that this is not purely a mechanistic process as the resultant network needs to be cohesive and logical in its extent and the connections which are made. It is not possible to achieve this purely by selecting the most economically advantageous schemes and combining them as they do not necessarily form a cohesive network.</w:t>
      </w:r>
    </w:p>
    <w:p w:rsidR="0085264B" w:rsidRDefault="0085264B" w:rsidP="0085264B">
      <w:pPr>
        <w:pStyle w:val="NumberedParas"/>
        <w:tabs>
          <w:tab w:val="clear" w:pos="2291"/>
          <w:tab w:val="left" w:pos="851"/>
          <w:tab w:val="left" w:pos="2268"/>
          <w:tab w:val="num" w:pos="2433"/>
        </w:tabs>
        <w:ind w:left="851" w:hanging="851"/>
      </w:pPr>
      <w:r w:rsidRPr="00E97ED4">
        <w:t xml:space="preserve">Figure </w:t>
      </w:r>
      <w:r>
        <w:t>4.20</w:t>
      </w:r>
      <w:r w:rsidRPr="00E97ED4">
        <w:t xml:space="preserve"> shows the comparison of the two alternative strategies in terms of investment cost and Net Present Value (i.e. total benefits minus total costs over the full appraisal period).</w:t>
      </w:r>
      <w:r>
        <w:t xml:space="preserve"> The indicators all combine to provide a very strong argument in favour of the preferred ‘Level 1’ network. In summary:</w:t>
      </w:r>
    </w:p>
    <w:p w:rsidR="0085264B" w:rsidRPr="009B77D8" w:rsidRDefault="0085264B" w:rsidP="00273D5E">
      <w:pPr>
        <w:pStyle w:val="BulletLevel1"/>
      </w:pPr>
      <w:r w:rsidRPr="009B77D8">
        <w:t xml:space="preserve">The preferred Level 1 network provides </w:t>
      </w:r>
      <w:r>
        <w:t xml:space="preserve">much </w:t>
      </w:r>
      <w:r w:rsidRPr="009B77D8">
        <w:t>better value for money as indicated by the higher BCR</w:t>
      </w:r>
      <w:r>
        <w:t xml:space="preserve"> (3.36 compared to 2.06)</w:t>
      </w:r>
      <w:r w:rsidRPr="009B77D8">
        <w:t>;</w:t>
      </w:r>
    </w:p>
    <w:p w:rsidR="0085264B" w:rsidRPr="009B77D8" w:rsidRDefault="0085264B" w:rsidP="00273D5E">
      <w:pPr>
        <w:pStyle w:val="BulletLevel1"/>
      </w:pPr>
      <w:r w:rsidRPr="009B77D8">
        <w:t>The preferred Level 1 network has a much lower investment cost (</w:t>
      </w:r>
      <w:r w:rsidRPr="009B77D8">
        <w:rPr>
          <w:rFonts w:cs="Arial"/>
        </w:rPr>
        <w:t>€</w:t>
      </w:r>
      <w:r w:rsidRPr="009B77D8">
        <w:t xml:space="preserve">5.5M compared to </w:t>
      </w:r>
      <w:r w:rsidRPr="009B77D8">
        <w:rPr>
          <w:rFonts w:cs="Arial"/>
        </w:rPr>
        <w:t>€</w:t>
      </w:r>
      <w:r w:rsidRPr="009B77D8">
        <w:t>1</w:t>
      </w:r>
      <w:r>
        <w:t>3.8</w:t>
      </w:r>
      <w:r w:rsidRPr="009B77D8">
        <w:t>M); and</w:t>
      </w:r>
    </w:p>
    <w:p w:rsidR="0085264B" w:rsidRPr="009B77D8" w:rsidRDefault="0085264B" w:rsidP="00273D5E">
      <w:pPr>
        <w:pStyle w:val="BulletLevel1"/>
      </w:pPr>
      <w:r w:rsidRPr="009B77D8">
        <w:t>The preferred Level 1 network provides a higher Net Present Value (i.e. sum of all benefits minus sum of all costs).</w:t>
      </w:r>
    </w:p>
    <w:p w:rsidR="0085264B" w:rsidRDefault="0085264B" w:rsidP="0085264B">
      <w:pPr>
        <w:pStyle w:val="NumberedParas"/>
        <w:tabs>
          <w:tab w:val="clear" w:pos="2291"/>
          <w:tab w:val="left" w:pos="851"/>
          <w:tab w:val="left" w:pos="2268"/>
          <w:tab w:val="num" w:pos="2433"/>
        </w:tabs>
        <w:ind w:left="851" w:hanging="851"/>
      </w:pPr>
      <w:r w:rsidRPr="009B77D8">
        <w:t>Figure 4.</w:t>
      </w:r>
      <w:r>
        <w:t>20</w:t>
      </w:r>
      <w:r w:rsidRPr="009B77D8">
        <w:t xml:space="preserve"> Comparison of Preferred and Alternative Level 1 Strategies</w:t>
      </w:r>
    </w:p>
    <w:p w:rsidR="0085264B" w:rsidRDefault="0085264B" w:rsidP="0085264B">
      <w:pPr>
        <w:spacing w:before="120" w:after="120"/>
        <w:ind w:left="680" w:firstLine="171"/>
        <w:rPr>
          <w:sz w:val="22"/>
          <w:szCs w:val="22"/>
        </w:rPr>
      </w:pPr>
      <w:r w:rsidRPr="00A83752">
        <w:rPr>
          <w:noProof/>
          <w:sz w:val="22"/>
          <w:szCs w:val="22"/>
          <w:lang w:val="ro-RO" w:eastAsia="ro-RO"/>
        </w:rPr>
        <w:drawing>
          <wp:inline distT="0" distB="0" distL="0" distR="0" wp14:anchorId="044B79E1" wp14:editId="5E8F6DB3">
            <wp:extent cx="5943600" cy="3882390"/>
            <wp:effectExtent l="19050" t="0" r="19050" b="3810"/>
            <wp:docPr id="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85264B" w:rsidRDefault="0085264B" w:rsidP="0085264B">
      <w:pPr>
        <w:ind w:firstLine="851"/>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5E553A">
        <w:t xml:space="preserve">The Preferred Level 1 Network and the Alternative Level 1 Network are illustrated in Figure </w:t>
      </w:r>
      <w:r w:rsidRPr="004030C7">
        <w:t>4.2</w:t>
      </w:r>
      <w:r>
        <w:t>1</w:t>
      </w:r>
      <w:r w:rsidRPr="00927463">
        <w:t xml:space="preserve"> and Figure </w:t>
      </w:r>
      <w:r w:rsidRPr="00C91BCD">
        <w:t>4.2</w:t>
      </w:r>
      <w:r>
        <w:t>2</w:t>
      </w:r>
      <w:r w:rsidRPr="00555685">
        <w:t xml:space="preserve">. Visual inspection of </w:t>
      </w:r>
      <w:r>
        <w:t xml:space="preserve">these Figures </w:t>
      </w:r>
      <w:r w:rsidRPr="005E553A">
        <w:t xml:space="preserve">also highlights that the Preferred Network provides a more cohesive and efficient means of </w:t>
      </w:r>
      <w:r w:rsidRPr="004030C7">
        <w:t>connecting the country</w:t>
      </w:r>
      <w:r w:rsidRPr="009B77D8">
        <w:t>.</w:t>
      </w:r>
    </w:p>
    <w:p w:rsidR="0085264B" w:rsidRDefault="0085264B" w:rsidP="0085264B">
      <w:pPr>
        <w:pStyle w:val="NumberedParas"/>
        <w:tabs>
          <w:tab w:val="clear" w:pos="2291"/>
          <w:tab w:val="left" w:pos="851"/>
          <w:tab w:val="left" w:pos="2268"/>
          <w:tab w:val="num" w:pos="2433"/>
        </w:tabs>
        <w:ind w:left="851" w:hanging="851"/>
      </w:pPr>
      <w:r>
        <w:t>T</w:t>
      </w:r>
      <w:r w:rsidRPr="001A2772">
        <w:t xml:space="preserve">he </w:t>
      </w:r>
      <w:r>
        <w:t>P</w:t>
      </w:r>
      <w:r w:rsidRPr="001A2772">
        <w:t xml:space="preserve">referred L1 </w:t>
      </w:r>
      <w:r>
        <w:t xml:space="preserve">network </w:t>
      </w:r>
      <w:r w:rsidRPr="001A2772">
        <w:t xml:space="preserve">represents the best strategy for connecting the regions of Romania with a high-quality motorway network in an economically efficient way.  Following the selection of this Preferred Strategy, some modifications were made to </w:t>
      </w:r>
      <w:r>
        <w:t xml:space="preserve">individual </w:t>
      </w:r>
      <w:r w:rsidRPr="001A2772">
        <w:t xml:space="preserve">projects.  This included the direct connection between Bacau and Iasi.  Since there would be </w:t>
      </w:r>
      <w:r>
        <w:t xml:space="preserve">a </w:t>
      </w:r>
      <w:r w:rsidRPr="001A2772">
        <w:t>mot</w:t>
      </w:r>
      <w:r>
        <w:t>o</w:t>
      </w:r>
      <w:r w:rsidRPr="001A2772">
        <w:t>rway connection between Bacau and Iasi as part of the Bacau – Suceava project, and Pascani and Iasi are connected as part of the Tg Mures – Iasi project, thereby providing a high quality connection between Bacau and Iasi via Pascani.  Together with the difficult geological conditions on the direct route, the Bacau – Iasi route via Pascani is the best option for connecting these two important cities.</w:t>
      </w:r>
      <w:r>
        <w:t xml:space="preserve"> This is reflected in subsequent illustrations of the Preferred Networks.</w:t>
      </w:r>
    </w:p>
    <w:p w:rsidR="0085264B" w:rsidRPr="00E97ED4" w:rsidRDefault="0085264B" w:rsidP="0085264B"/>
    <w:p w:rsidR="0085264B" w:rsidRPr="00A12AB3" w:rsidRDefault="0085264B" w:rsidP="0085264B">
      <w:pPr>
        <w:keepNext/>
        <w:tabs>
          <w:tab w:val="left" w:pos="993"/>
        </w:tabs>
        <w:spacing w:after="60"/>
        <w:ind w:firstLine="851"/>
        <w:rPr>
          <w:b/>
          <w:sz w:val="22"/>
          <w:szCs w:val="22"/>
        </w:rPr>
      </w:pPr>
      <w:r w:rsidRPr="00A12AB3">
        <w:rPr>
          <w:b/>
          <w:sz w:val="22"/>
          <w:szCs w:val="22"/>
        </w:rPr>
        <w:t xml:space="preserve">Figure </w:t>
      </w:r>
      <w:r>
        <w:rPr>
          <w:b/>
          <w:sz w:val="22"/>
          <w:szCs w:val="22"/>
        </w:rPr>
        <w:t xml:space="preserve">4.21 </w:t>
      </w:r>
      <w:r w:rsidRPr="00A12AB3">
        <w:rPr>
          <w:b/>
          <w:sz w:val="22"/>
          <w:szCs w:val="22"/>
        </w:rPr>
        <w:t>Level 1 Preferred Network</w:t>
      </w:r>
    </w:p>
    <w:p w:rsidR="0085264B" w:rsidRDefault="0085264B" w:rsidP="0085264B">
      <w:pPr>
        <w:ind w:firstLine="851"/>
      </w:pPr>
      <w:r w:rsidRPr="00A83752">
        <w:rPr>
          <w:noProof/>
          <w:lang w:val="ro-RO" w:eastAsia="ro-RO"/>
        </w:rPr>
        <w:drawing>
          <wp:inline distT="0" distB="0" distL="0" distR="0" wp14:anchorId="3F705860" wp14:editId="53FB2760">
            <wp:extent cx="6101715" cy="3102861"/>
            <wp:effectExtent l="19050" t="19050" r="13335" b="21339"/>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srcRect/>
                    <a:stretch>
                      <a:fillRect/>
                    </a:stretch>
                  </pic:blipFill>
                  <pic:spPr bwMode="auto">
                    <a:xfrm>
                      <a:off x="0" y="0"/>
                      <a:ext cx="6101715" cy="3102861"/>
                    </a:xfrm>
                    <a:prstGeom prst="rect">
                      <a:avLst/>
                    </a:prstGeom>
                    <a:ln w="19050">
                      <a:solidFill>
                        <a:srgbClr val="9E0880"/>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Pr="00ED1059" w:rsidRDefault="0085264B" w:rsidP="0085264B">
      <w:pPr>
        <w:keepNext/>
        <w:tabs>
          <w:tab w:val="left" w:pos="993"/>
        </w:tabs>
        <w:spacing w:after="60"/>
        <w:ind w:firstLine="851"/>
        <w:rPr>
          <w:b/>
          <w:sz w:val="22"/>
          <w:szCs w:val="22"/>
        </w:rPr>
      </w:pPr>
      <w:r w:rsidRPr="00ED1059">
        <w:rPr>
          <w:b/>
          <w:sz w:val="22"/>
          <w:szCs w:val="22"/>
        </w:rPr>
        <w:t xml:space="preserve">Figure </w:t>
      </w:r>
      <w:r>
        <w:rPr>
          <w:b/>
          <w:sz w:val="22"/>
          <w:szCs w:val="22"/>
        </w:rPr>
        <w:t xml:space="preserve">4.22 </w:t>
      </w:r>
      <w:r w:rsidRPr="00ED1059">
        <w:rPr>
          <w:b/>
          <w:sz w:val="22"/>
          <w:szCs w:val="22"/>
        </w:rPr>
        <w:tab/>
        <w:t>Level 1 Alternative Network</w:t>
      </w:r>
    </w:p>
    <w:p w:rsidR="0085264B" w:rsidRDefault="0085264B" w:rsidP="0085264B">
      <w:pPr>
        <w:ind w:firstLine="851"/>
      </w:pPr>
      <w:r w:rsidRPr="00A83752">
        <w:rPr>
          <w:noProof/>
          <w:lang w:val="ro-RO" w:eastAsia="ro-RO"/>
        </w:rPr>
        <w:drawing>
          <wp:inline distT="0" distB="0" distL="0" distR="0" wp14:anchorId="6522792C" wp14:editId="768F6B04">
            <wp:extent cx="6102000" cy="3279031"/>
            <wp:effectExtent l="19050" t="19050" r="13335" b="17145"/>
            <wp:docPr id="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1_Alternative_Network_Plot.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02000" cy="3279031"/>
                    </a:xfrm>
                    <a:prstGeom prst="rect">
                      <a:avLst/>
                    </a:prstGeom>
                    <a:ln w="19050">
                      <a:solidFill>
                        <a:srgbClr val="9E0880"/>
                      </a:solidFill>
                    </a:ln>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 w:rsidR="0085264B" w:rsidRDefault="0085264B" w:rsidP="0085264B">
      <w:pPr>
        <w:pStyle w:val="NumberedParas"/>
        <w:tabs>
          <w:tab w:val="clear" w:pos="2291"/>
          <w:tab w:val="left" w:pos="851"/>
          <w:tab w:val="left" w:pos="2268"/>
          <w:tab w:val="num" w:pos="2433"/>
        </w:tabs>
        <w:ind w:left="851" w:hanging="851"/>
      </w:pPr>
      <w:r w:rsidRPr="00E61AA9">
        <w:t>The impact of the preferred Level</w:t>
      </w:r>
      <w:r>
        <w:t xml:space="preserve"> 1 Strategy is shown in </w:t>
      </w:r>
      <w:r w:rsidRPr="00E97ED4">
        <w:t xml:space="preserve">Figure </w:t>
      </w:r>
      <w:r>
        <w:t>4.23</w:t>
      </w:r>
      <w:r w:rsidRPr="00E97ED4">
        <w:t xml:space="preserve"> in</w:t>
      </w:r>
      <w:r w:rsidRPr="00E61AA9">
        <w:t xml:space="preserve"> terms of the change in total flow compared to the Reference Case Situation. Increases are shown in red and reductions in green. Flows are in AADT.</w:t>
      </w:r>
      <w:r>
        <w:t xml:space="preserve"> </w:t>
      </w:r>
      <w:r w:rsidRPr="00E97ED4">
        <w:t xml:space="preserve">For comparative purposes, the equivalent changes in flow were the Alternative Level 1 network to be adopted, are shown in Figure </w:t>
      </w:r>
      <w:r>
        <w:t>4.24</w:t>
      </w:r>
      <w:r w:rsidRPr="00E97ED4">
        <w:t>.</w:t>
      </w:r>
    </w:p>
    <w:p w:rsidR="0085264B" w:rsidRDefault="0085264B" w:rsidP="0085264B">
      <w:pPr>
        <w:pStyle w:val="NumberedParas"/>
        <w:tabs>
          <w:tab w:val="clear" w:pos="2291"/>
          <w:tab w:val="left" w:pos="851"/>
          <w:tab w:val="left" w:pos="2268"/>
          <w:tab w:val="num" w:pos="2433"/>
        </w:tabs>
        <w:ind w:left="851" w:hanging="851"/>
      </w:pPr>
      <w:r>
        <w:t>Note that the Preferred Level 1 Network provides considerable relief to the Sibiu – Pitesti corridor. The converse effect is not true with the Alternative Level 1 network where the Ploiesti – Brasov corridor continues to experience an incarese in traffic even with improvements to the Sibiu – Pitesti corridor. This indicates that this latter improvement is not the most efficient way of dealing with demand in this NW – SE corridor.</w:t>
      </w:r>
    </w:p>
    <w:p w:rsidR="0085264B" w:rsidRPr="00A12AB3" w:rsidRDefault="0085264B" w:rsidP="0085264B">
      <w:pPr>
        <w:keepNext/>
        <w:tabs>
          <w:tab w:val="left" w:pos="993"/>
        </w:tabs>
        <w:spacing w:after="60"/>
        <w:ind w:firstLine="851"/>
        <w:rPr>
          <w:b/>
          <w:sz w:val="22"/>
          <w:szCs w:val="22"/>
        </w:rPr>
      </w:pPr>
      <w:r w:rsidRPr="00A12AB3">
        <w:rPr>
          <w:b/>
          <w:sz w:val="22"/>
          <w:szCs w:val="22"/>
        </w:rPr>
        <w:t xml:space="preserve">Figure </w:t>
      </w:r>
      <w:r>
        <w:rPr>
          <w:b/>
          <w:sz w:val="22"/>
          <w:szCs w:val="22"/>
        </w:rPr>
        <w:t>4.23</w:t>
      </w:r>
      <w:r w:rsidRPr="00A12AB3">
        <w:rPr>
          <w:b/>
          <w:sz w:val="22"/>
          <w:szCs w:val="22"/>
        </w:rPr>
        <w:tab/>
        <w:t>Change in Total Flow for Level 1 Preferred Relative to Reference Case</w:t>
      </w:r>
    </w:p>
    <w:p w:rsidR="0085264B" w:rsidRDefault="0085264B" w:rsidP="0085264B">
      <w:pPr>
        <w:ind w:firstLine="851"/>
      </w:pPr>
      <w:r w:rsidRPr="00A83752">
        <w:rPr>
          <w:noProof/>
          <w:lang w:val="ro-RO" w:eastAsia="ro-RO"/>
        </w:rPr>
        <w:drawing>
          <wp:inline distT="0" distB="0" distL="0" distR="0" wp14:anchorId="77097714" wp14:editId="412A396B">
            <wp:extent cx="5475565" cy="3714750"/>
            <wp:effectExtent l="19050" t="19050" r="10835" b="1905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5476883" cy="3715644"/>
                    </a:xfrm>
                    <a:prstGeom prst="rect">
                      <a:avLst/>
                    </a:prstGeom>
                    <a:ln w="19050">
                      <a:solidFill>
                        <a:srgbClr val="9E0880"/>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Pr="00E61AA9" w:rsidRDefault="0085264B" w:rsidP="0085264B">
      <w:pPr>
        <w:ind w:left="680"/>
        <w:rPr>
          <w:sz w:val="22"/>
          <w:szCs w:val="22"/>
        </w:rPr>
      </w:pPr>
    </w:p>
    <w:p w:rsidR="0085264B" w:rsidRPr="00A12AB3" w:rsidRDefault="0085264B" w:rsidP="0085264B">
      <w:pPr>
        <w:keepNext/>
        <w:tabs>
          <w:tab w:val="left" w:pos="993"/>
        </w:tabs>
        <w:spacing w:after="60"/>
        <w:ind w:firstLine="851"/>
        <w:rPr>
          <w:b/>
          <w:sz w:val="22"/>
          <w:szCs w:val="22"/>
        </w:rPr>
      </w:pPr>
      <w:r w:rsidRPr="00A12AB3">
        <w:rPr>
          <w:b/>
          <w:sz w:val="22"/>
          <w:szCs w:val="22"/>
        </w:rPr>
        <w:t xml:space="preserve">Figure </w:t>
      </w:r>
      <w:r>
        <w:rPr>
          <w:b/>
          <w:sz w:val="22"/>
          <w:szCs w:val="22"/>
        </w:rPr>
        <w:t xml:space="preserve">4.24 </w:t>
      </w:r>
      <w:r w:rsidRPr="00A12AB3">
        <w:rPr>
          <w:b/>
          <w:sz w:val="22"/>
          <w:szCs w:val="22"/>
        </w:rPr>
        <w:t>Change in Total Flow for Level 1 Alternative Relative to Reference Case</w:t>
      </w:r>
    </w:p>
    <w:p w:rsidR="0085264B" w:rsidRPr="00E61AA9" w:rsidRDefault="0085264B" w:rsidP="0085264B">
      <w:pPr>
        <w:ind w:firstLine="851"/>
        <w:rPr>
          <w:sz w:val="22"/>
          <w:szCs w:val="22"/>
        </w:rPr>
      </w:pPr>
      <w:r w:rsidRPr="00A83752">
        <w:rPr>
          <w:noProof/>
          <w:sz w:val="22"/>
          <w:szCs w:val="22"/>
          <w:lang w:val="ro-RO" w:eastAsia="ro-RO"/>
        </w:rPr>
        <w:drawing>
          <wp:inline distT="0" distB="0" distL="0" distR="0" wp14:anchorId="0BE9A128" wp14:editId="1CD8227F">
            <wp:extent cx="5467350" cy="3719191"/>
            <wp:effectExtent l="19050" t="19050" r="19050" b="14609"/>
            <wp:docPr id="87" name="Picture 20" descr="L1R Difference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R Difference Plot.png"/>
                    <pic:cNvPicPr/>
                  </pic:nvPicPr>
                  <pic:blipFill>
                    <a:blip r:embed="rId113" cstate="email">
                      <a:extLst>
                        <a:ext uri="{28A0092B-C50C-407E-A947-70E740481C1C}">
                          <a14:useLocalDpi xmlns:a14="http://schemas.microsoft.com/office/drawing/2010/main"/>
                        </a:ext>
                      </a:extLst>
                    </a:blip>
                    <a:srcRect/>
                    <a:stretch>
                      <a:fillRect/>
                    </a:stretch>
                  </pic:blipFill>
                  <pic:spPr>
                    <a:xfrm>
                      <a:off x="0" y="0"/>
                      <a:ext cx="5467245" cy="3719119"/>
                    </a:xfrm>
                    <a:prstGeom prst="rect">
                      <a:avLst/>
                    </a:prstGeom>
                    <a:ln w="19050">
                      <a:solidFill>
                        <a:srgbClr val="9E0880"/>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Pr="00963A37" w:rsidRDefault="0085264B" w:rsidP="0085264B">
      <w:pPr>
        <w:pStyle w:val="Hdg3"/>
      </w:pPr>
      <w:r w:rsidRPr="00963A37">
        <w:t>Defining the Expressway Network</w:t>
      </w:r>
    </w:p>
    <w:p w:rsidR="0085264B" w:rsidRDefault="0085264B" w:rsidP="0085264B">
      <w:pPr>
        <w:pStyle w:val="NumberedParas"/>
        <w:tabs>
          <w:tab w:val="clear" w:pos="2291"/>
          <w:tab w:val="left" w:pos="851"/>
          <w:tab w:val="left" w:pos="2268"/>
          <w:tab w:val="num" w:pos="2433"/>
        </w:tabs>
        <w:ind w:left="851" w:hanging="851"/>
      </w:pPr>
      <w:r>
        <w:t>The Level 1 testing determined those parts of the network which were most in need of significant improvement, and for which a motorway standard project was appropriate. However there remain a number of corridors which still require enhancement in order to ensure the road network meets the strategic objectives as previously defined.</w:t>
      </w:r>
    </w:p>
    <w:p w:rsidR="0085264B" w:rsidRDefault="0085264B" w:rsidP="0085264B">
      <w:pPr>
        <w:pStyle w:val="NumberedParas"/>
        <w:tabs>
          <w:tab w:val="clear" w:pos="2291"/>
          <w:tab w:val="left" w:pos="851"/>
          <w:tab w:val="left" w:pos="2268"/>
          <w:tab w:val="num" w:pos="2433"/>
        </w:tabs>
        <w:ind w:left="851" w:hanging="851"/>
      </w:pPr>
      <w:r>
        <w:t>The lost time analysis was therefore repeated using the National Model but in this scenario all of the Level 1 Motorway schemes, as well as the agreed Reference Case schemes, were assumed to be complete.</w:t>
      </w:r>
    </w:p>
    <w:p w:rsidR="0085264B" w:rsidRDefault="0085264B" w:rsidP="0085264B">
      <w:pPr>
        <w:pStyle w:val="NumberedParas"/>
        <w:tabs>
          <w:tab w:val="clear" w:pos="2291"/>
          <w:tab w:val="left" w:pos="851"/>
          <w:tab w:val="left" w:pos="2268"/>
          <w:tab w:val="num" w:pos="2433"/>
        </w:tabs>
        <w:ind w:left="851" w:hanging="851"/>
      </w:pPr>
      <w:r>
        <w:t>The output from the analysis is shown in Figure 4.25 overleaf.</w:t>
      </w:r>
    </w:p>
    <w:p w:rsidR="0085264B" w:rsidRPr="00A12AB3" w:rsidRDefault="0085264B" w:rsidP="0085264B">
      <w:pPr>
        <w:keepNext/>
        <w:spacing w:before="120" w:after="120"/>
        <w:ind w:left="851"/>
        <w:rPr>
          <w:b/>
          <w:sz w:val="22"/>
          <w:szCs w:val="22"/>
        </w:rPr>
      </w:pPr>
      <w:r w:rsidRPr="00A12AB3">
        <w:rPr>
          <w:b/>
          <w:sz w:val="22"/>
          <w:szCs w:val="22"/>
        </w:rPr>
        <w:t xml:space="preserve">Figure </w:t>
      </w:r>
      <w:r>
        <w:rPr>
          <w:b/>
          <w:sz w:val="22"/>
          <w:szCs w:val="22"/>
        </w:rPr>
        <w:t xml:space="preserve">4.25 </w:t>
      </w:r>
      <w:r w:rsidRPr="00A12AB3">
        <w:rPr>
          <w:b/>
          <w:sz w:val="22"/>
          <w:szCs w:val="22"/>
        </w:rPr>
        <w:t>Analysis of Lost Time by Corridor Post Level 1</w:t>
      </w:r>
    </w:p>
    <w:p w:rsidR="0085264B" w:rsidRDefault="0085264B" w:rsidP="0085264B">
      <w:pPr>
        <w:spacing w:before="120" w:after="120"/>
        <w:ind w:left="680" w:firstLine="171"/>
        <w:rPr>
          <w:sz w:val="22"/>
          <w:szCs w:val="22"/>
        </w:rPr>
      </w:pPr>
      <w:r>
        <w:rPr>
          <w:noProof/>
          <w:sz w:val="22"/>
          <w:szCs w:val="22"/>
          <w:lang w:val="ro-RO" w:eastAsia="ro-RO"/>
        </w:rPr>
        <w:drawing>
          <wp:inline distT="0" distB="0" distL="0" distR="0" wp14:anchorId="2AB026FF" wp14:editId="42D4DBB4">
            <wp:extent cx="5704115" cy="4482039"/>
            <wp:effectExtent l="19050" t="19050" r="0" b="0"/>
            <wp:docPr id="13" name="Picture 3" descr="2020_FSRd1_Cost_Due_To_Lost_Time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_FSRd1_Cost_Due_To_Lost_Time_Plot.png"/>
                    <pic:cNvPicPr/>
                  </pic:nvPicPr>
                  <pic:blipFill>
                    <a:blip r:embed="rId114" cstate="email">
                      <a:extLst>
                        <a:ext uri="{28A0092B-C50C-407E-A947-70E740481C1C}">
                          <a14:useLocalDpi xmlns:a14="http://schemas.microsoft.com/office/drawing/2010/main"/>
                        </a:ext>
                      </a:extLst>
                    </a:blip>
                    <a:srcRect/>
                    <a:stretch>
                      <a:fillRect/>
                    </a:stretch>
                  </pic:blipFill>
                  <pic:spPr>
                    <a:xfrm>
                      <a:off x="0" y="0"/>
                      <a:ext cx="5710028" cy="4486685"/>
                    </a:xfrm>
                    <a:prstGeom prst="rect">
                      <a:avLst/>
                    </a:prstGeom>
                    <a:ln>
                      <a:solidFill>
                        <a:schemeClr val="accent1"/>
                      </a:solidFill>
                    </a:ln>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candidate projects were then identified and e</w:t>
      </w:r>
      <w:r w:rsidRPr="007C345A">
        <w:t>ach option coded into the National Model</w:t>
      </w:r>
      <w:r>
        <w:t xml:space="preserve">. All schemes were </w:t>
      </w:r>
      <w:r w:rsidRPr="007C345A">
        <w:t>then subjected to a full model run, economic and multi-criteria analysis in order to objectively determine the most appropriate scheme to take forward in each area.</w:t>
      </w:r>
    </w:p>
    <w:p w:rsidR="0085264B" w:rsidRDefault="0085264B" w:rsidP="0085264B">
      <w:pPr>
        <w:pStyle w:val="NumberedParas"/>
        <w:tabs>
          <w:tab w:val="clear" w:pos="2291"/>
          <w:tab w:val="left" w:pos="851"/>
          <w:tab w:val="left" w:pos="2268"/>
          <w:tab w:val="num" w:pos="2433"/>
        </w:tabs>
        <w:ind w:left="851" w:hanging="851"/>
      </w:pPr>
      <w:r w:rsidRPr="007C345A">
        <w:t xml:space="preserve">The results of these tests, referred to as the Level </w:t>
      </w:r>
      <w:r>
        <w:t>2</w:t>
      </w:r>
      <w:r w:rsidRPr="007C345A">
        <w:t xml:space="preserve"> tests, are summarised in the </w:t>
      </w:r>
      <w:r>
        <w:t>T</w:t>
      </w:r>
      <w:r w:rsidRPr="007C345A">
        <w:t>able</w:t>
      </w:r>
      <w:r>
        <w:t xml:space="preserve"> 4.18 overleaf.</w:t>
      </w:r>
    </w:p>
    <w:p w:rsidR="0085264B" w:rsidRDefault="0085264B" w:rsidP="0085264B">
      <w:pPr>
        <w:pStyle w:val="NumberedParas"/>
        <w:tabs>
          <w:tab w:val="clear" w:pos="2291"/>
          <w:tab w:val="left" w:pos="851"/>
          <w:tab w:val="left" w:pos="2268"/>
          <w:tab w:val="num" w:pos="2433"/>
        </w:tabs>
        <w:ind w:left="851" w:hanging="851"/>
      </w:pPr>
      <w:r>
        <w:t>The selected Level 2 schemes are illustrated in Figure 4.26 overleaf, in order to show the linkage and connectivity with the Reference Case and Level 1 schemes.</w:t>
      </w:r>
    </w:p>
    <w:p w:rsidR="0085264B" w:rsidRPr="00A12AB3" w:rsidRDefault="0085264B" w:rsidP="0085264B">
      <w:pPr>
        <w:keepNext/>
        <w:spacing w:before="120" w:after="120"/>
        <w:ind w:left="851"/>
        <w:rPr>
          <w:b/>
          <w:sz w:val="22"/>
          <w:szCs w:val="22"/>
        </w:rPr>
      </w:pPr>
      <w:r w:rsidRPr="00A12AB3">
        <w:rPr>
          <w:b/>
          <w:sz w:val="22"/>
          <w:szCs w:val="22"/>
        </w:rPr>
        <w:t xml:space="preserve">Table </w:t>
      </w:r>
      <w:r>
        <w:rPr>
          <w:b/>
          <w:sz w:val="22"/>
          <w:szCs w:val="22"/>
        </w:rPr>
        <w:t xml:space="preserve">4.18 </w:t>
      </w:r>
      <w:r w:rsidRPr="00A12AB3">
        <w:rPr>
          <w:b/>
          <w:sz w:val="22"/>
          <w:szCs w:val="22"/>
        </w:rPr>
        <w:t>Summary of Level 2 Testing Results (CBA)</w:t>
      </w:r>
    </w:p>
    <w:tbl>
      <w:tblPr>
        <w:tblW w:w="950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8"/>
        <w:gridCol w:w="3080"/>
        <w:gridCol w:w="1866"/>
        <w:gridCol w:w="969"/>
        <w:gridCol w:w="970"/>
        <w:gridCol w:w="970"/>
      </w:tblGrid>
      <w:tr w:rsidR="0085264B" w:rsidRPr="00E44163" w:rsidTr="00D41B57">
        <w:trPr>
          <w:trHeight w:val="1067"/>
          <w:tblHeader/>
        </w:trPr>
        <w:tc>
          <w:tcPr>
            <w:tcW w:w="1667" w:type="dxa"/>
            <w:shd w:val="clear" w:color="auto" w:fill="B8CCE4" w:themeFill="accent1" w:themeFillTint="66"/>
            <w:noWrap/>
            <w:vAlign w:val="center"/>
            <w:hideMark/>
          </w:tcPr>
          <w:p w:rsidR="0085264B" w:rsidRPr="00E44163" w:rsidRDefault="0085264B" w:rsidP="00D41B57">
            <w:pPr>
              <w:rPr>
                <w:b/>
                <w:sz w:val="22"/>
                <w:szCs w:val="22"/>
                <w:lang w:eastAsia="en-GB"/>
              </w:rPr>
            </w:pPr>
            <w:r w:rsidRPr="00E44163">
              <w:rPr>
                <w:b/>
                <w:sz w:val="22"/>
                <w:szCs w:val="22"/>
                <w:lang w:eastAsia="en-GB"/>
              </w:rPr>
              <w:t>Ref.</w:t>
            </w:r>
          </w:p>
        </w:tc>
        <w:tc>
          <w:tcPr>
            <w:tcW w:w="3119" w:type="dxa"/>
            <w:shd w:val="clear" w:color="auto" w:fill="B8CCE4" w:themeFill="accent1" w:themeFillTint="66"/>
            <w:noWrap/>
            <w:vAlign w:val="center"/>
            <w:hideMark/>
          </w:tcPr>
          <w:p w:rsidR="0085264B" w:rsidRPr="00E44163" w:rsidRDefault="0085264B" w:rsidP="00D41B57">
            <w:pPr>
              <w:rPr>
                <w:b/>
                <w:sz w:val="22"/>
                <w:szCs w:val="22"/>
                <w:lang w:eastAsia="en-GB"/>
              </w:rPr>
            </w:pPr>
            <w:r w:rsidRPr="00E44163">
              <w:rPr>
                <w:b/>
                <w:sz w:val="22"/>
                <w:szCs w:val="22"/>
                <w:lang w:eastAsia="en-GB"/>
              </w:rPr>
              <w:t>Project</w:t>
            </w:r>
          </w:p>
        </w:tc>
        <w:tc>
          <w:tcPr>
            <w:tcW w:w="1888" w:type="dxa"/>
            <w:shd w:val="clear" w:color="auto" w:fill="B8CCE4" w:themeFill="accent1" w:themeFillTint="66"/>
            <w:noWrap/>
            <w:vAlign w:val="center"/>
            <w:hideMark/>
          </w:tcPr>
          <w:p w:rsidR="0085264B" w:rsidRDefault="0085264B" w:rsidP="00D41B57">
            <w:pPr>
              <w:jc w:val="center"/>
              <w:rPr>
                <w:rFonts w:cs="Tahoma"/>
                <w:b/>
                <w:color w:val="000000"/>
                <w:sz w:val="22"/>
                <w:szCs w:val="22"/>
                <w:lang w:eastAsia="en-GB"/>
              </w:rPr>
            </w:pPr>
            <w:r w:rsidRPr="00E44163">
              <w:rPr>
                <w:b/>
                <w:color w:val="000000"/>
                <w:sz w:val="22"/>
                <w:szCs w:val="22"/>
              </w:rPr>
              <w:t>Investment cost          (undiscounted)</w:t>
            </w:r>
          </w:p>
          <w:p w:rsidR="0085264B" w:rsidRDefault="0085264B" w:rsidP="00D41B57">
            <w:pPr>
              <w:jc w:val="center"/>
              <w:rPr>
                <w:rFonts w:cs="Tahoma"/>
                <w:b/>
                <w:color w:val="000000"/>
                <w:sz w:val="22"/>
                <w:szCs w:val="22"/>
                <w:lang w:eastAsia="en-GB"/>
              </w:rPr>
            </w:pPr>
            <w:r w:rsidRPr="00E44163">
              <w:rPr>
                <w:b/>
                <w:i/>
                <w:iCs/>
                <w:color w:val="000000"/>
                <w:sz w:val="22"/>
                <w:szCs w:val="22"/>
              </w:rPr>
              <w:t>€M</w:t>
            </w:r>
          </w:p>
        </w:tc>
        <w:tc>
          <w:tcPr>
            <w:tcW w:w="979" w:type="dxa"/>
            <w:shd w:val="clear" w:color="auto" w:fill="B8CCE4" w:themeFill="accent1" w:themeFillTint="66"/>
            <w:noWrap/>
            <w:vAlign w:val="center"/>
            <w:hideMark/>
          </w:tcPr>
          <w:p w:rsidR="0085264B" w:rsidRDefault="0085264B" w:rsidP="00D41B57">
            <w:pPr>
              <w:jc w:val="center"/>
              <w:rPr>
                <w:rFonts w:cs="Tahoma"/>
                <w:b/>
                <w:color w:val="000000"/>
                <w:sz w:val="22"/>
                <w:szCs w:val="22"/>
                <w:lang w:eastAsia="en-GB"/>
              </w:rPr>
            </w:pPr>
            <w:r w:rsidRPr="00E44163">
              <w:rPr>
                <w:b/>
                <w:color w:val="000000"/>
                <w:sz w:val="22"/>
                <w:szCs w:val="22"/>
              </w:rPr>
              <w:t>NPV</w:t>
            </w:r>
          </w:p>
          <w:p w:rsidR="0085264B" w:rsidRDefault="0085264B" w:rsidP="00D41B57">
            <w:pPr>
              <w:jc w:val="center"/>
              <w:rPr>
                <w:rFonts w:cs="Tahoma"/>
                <w:b/>
                <w:color w:val="000000"/>
                <w:sz w:val="22"/>
                <w:szCs w:val="22"/>
                <w:lang w:eastAsia="en-GB"/>
              </w:rPr>
            </w:pPr>
            <w:r w:rsidRPr="00E44163">
              <w:rPr>
                <w:b/>
                <w:i/>
                <w:iCs/>
                <w:color w:val="000000"/>
                <w:sz w:val="22"/>
                <w:szCs w:val="22"/>
              </w:rPr>
              <w:t>€M</w:t>
            </w:r>
          </w:p>
        </w:tc>
        <w:tc>
          <w:tcPr>
            <w:tcW w:w="980" w:type="dxa"/>
            <w:shd w:val="clear" w:color="auto" w:fill="B8CCE4" w:themeFill="accent1" w:themeFillTint="66"/>
            <w:noWrap/>
            <w:vAlign w:val="center"/>
            <w:hideMark/>
          </w:tcPr>
          <w:p w:rsidR="0085264B" w:rsidRDefault="0085264B" w:rsidP="00D41B57">
            <w:pPr>
              <w:jc w:val="center"/>
              <w:rPr>
                <w:rFonts w:cs="Tahoma"/>
                <w:b/>
                <w:color w:val="000000"/>
                <w:sz w:val="22"/>
                <w:szCs w:val="22"/>
                <w:lang w:eastAsia="en-GB"/>
              </w:rPr>
            </w:pPr>
            <w:r w:rsidRPr="00E44163">
              <w:rPr>
                <w:b/>
                <w:color w:val="000000"/>
                <w:sz w:val="22"/>
                <w:szCs w:val="22"/>
              </w:rPr>
              <w:t>BCR</w:t>
            </w:r>
          </w:p>
        </w:tc>
        <w:tc>
          <w:tcPr>
            <w:tcW w:w="980" w:type="dxa"/>
            <w:shd w:val="clear" w:color="auto" w:fill="B8CCE4" w:themeFill="accent1" w:themeFillTint="66"/>
            <w:noWrap/>
            <w:vAlign w:val="center"/>
            <w:hideMark/>
          </w:tcPr>
          <w:p w:rsidR="0085264B" w:rsidRDefault="0085264B" w:rsidP="00D41B57">
            <w:pPr>
              <w:jc w:val="center"/>
              <w:rPr>
                <w:rFonts w:cs="Tahoma"/>
                <w:b/>
                <w:color w:val="000000"/>
                <w:sz w:val="22"/>
                <w:szCs w:val="22"/>
                <w:lang w:eastAsia="en-GB"/>
              </w:rPr>
            </w:pPr>
            <w:r w:rsidRPr="00E44163">
              <w:rPr>
                <w:b/>
                <w:color w:val="000000"/>
                <w:sz w:val="22"/>
                <w:szCs w:val="22"/>
              </w:rPr>
              <w:t>EIRR</w:t>
            </w:r>
          </w:p>
          <w:p w:rsidR="0085264B" w:rsidRDefault="0085264B" w:rsidP="00D41B57">
            <w:pPr>
              <w:jc w:val="center"/>
              <w:rPr>
                <w:rFonts w:cs="Tahoma"/>
                <w:b/>
                <w:color w:val="000000"/>
                <w:sz w:val="22"/>
                <w:szCs w:val="22"/>
                <w:lang w:eastAsia="en-GB"/>
              </w:rPr>
            </w:pPr>
            <w:r w:rsidRPr="00E44163">
              <w:rPr>
                <w:b/>
                <w:i/>
                <w:iCs/>
                <w:color w:val="000000"/>
                <w:sz w:val="22"/>
                <w:szCs w:val="22"/>
              </w:rPr>
              <w:t>%</w:t>
            </w:r>
          </w:p>
        </w:tc>
      </w:tr>
      <w:tr w:rsidR="0085264B" w:rsidRPr="00A12AB3" w:rsidTr="00D41B57">
        <w:trPr>
          <w:trHeight w:val="285"/>
        </w:trPr>
        <w:tc>
          <w:tcPr>
            <w:tcW w:w="1667" w:type="dxa"/>
            <w:shd w:val="clear" w:color="auto" w:fill="auto"/>
            <w:noWrap/>
            <w:vAlign w:val="center"/>
            <w:hideMark/>
          </w:tcPr>
          <w:p w:rsidR="0085264B" w:rsidRPr="00A12AB3" w:rsidRDefault="0085264B" w:rsidP="00D41B57">
            <w:pPr>
              <w:rPr>
                <w:sz w:val="22"/>
                <w:szCs w:val="22"/>
              </w:rPr>
            </w:pPr>
            <w:r>
              <w:rPr>
                <w:rFonts w:cs="Arial"/>
                <w:color w:val="000000"/>
                <w:sz w:val="22"/>
                <w:szCs w:val="22"/>
              </w:rPr>
              <w:t>OR19</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Bucharest-Alexandria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370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486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2.35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11.8%</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OR6B</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Bacau-Focsani-Braila-Galati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1,024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1,268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2.63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11.2%</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OR7A</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Bacau-Suceava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645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1,107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12.6%</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OR7B</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Suceava-Siret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1,172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11.7%</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OR7C</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Suceava-Botosani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8.9%</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OR8</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Bacau-Piatra Neamt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335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350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10.6%</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OR9</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Fagaras - Tg Mures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1,158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1,461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2.73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11.5%</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OR9B</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Turda-Halmeu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975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1,766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3.29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13.5%</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OR10</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Lugoj- Craiova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1,811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1,546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10.0%</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OR11</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Constanta-Tulcea-Braila Expressway (including Braila Bridge)</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1,369</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5.4%</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OR12</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Nadaselu - Suplacu de Barcau Motorway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550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1,219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9.2%</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OR13</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Targu Mures-Targu Neamt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3,400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2,213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8.4%</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OR13C</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Buzau-Focsani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1,350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12.0%</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OR14</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Brasov-Pitesti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1,843</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1,222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9.1%</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OR15</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Sibiu-Pitesti Motorway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2,471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3,301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2.96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12.1%</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OR13D</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Targu Neamt-Iasi-Ungheni Motorway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700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490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10.8%</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OR17</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Gaesti-Ploiesti-Buzau-Braila Expressway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1,280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1,754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11.9%</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OR18A</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Bucharest Ring Road Motorway</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1,684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5.7%</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OR19A</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Henri Coanda Airport connection to A3</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9.3%</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OR21</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A1 Widening Bucharest-Pitesti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7.6%</w:t>
            </w:r>
          </w:p>
        </w:tc>
      </w:tr>
      <w:tr w:rsidR="0085264B" w:rsidRPr="00A12AB3" w:rsidTr="00D41B57">
        <w:trPr>
          <w:trHeight w:val="285"/>
        </w:trPr>
        <w:tc>
          <w:tcPr>
            <w:tcW w:w="1667"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OR18B</w:t>
            </w:r>
          </w:p>
        </w:tc>
        <w:tc>
          <w:tcPr>
            <w:tcW w:w="3119" w:type="dxa"/>
            <w:shd w:val="clear" w:color="000000" w:fill="FFFFFF"/>
            <w:noWrap/>
            <w:vAlign w:val="center"/>
            <w:hideMark/>
          </w:tcPr>
          <w:p w:rsidR="0085264B" w:rsidRPr="00A12AB3" w:rsidRDefault="0085264B" w:rsidP="00D41B57">
            <w:pPr>
              <w:rPr>
                <w:sz w:val="22"/>
                <w:szCs w:val="22"/>
              </w:rPr>
            </w:pPr>
            <w:r>
              <w:rPr>
                <w:rFonts w:cs="Arial"/>
                <w:color w:val="000000"/>
                <w:sz w:val="22"/>
                <w:szCs w:val="22"/>
              </w:rPr>
              <w:t>Bucharest Southern Ring Road Upgrade</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380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14.5%</w:t>
            </w:r>
          </w:p>
        </w:tc>
      </w:tr>
    </w:tbl>
    <w:p w:rsidR="0085264B" w:rsidRDefault="0085264B" w:rsidP="0085264B">
      <w:pPr>
        <w:ind w:left="284" w:firstLine="567"/>
      </w:pPr>
      <w:r w:rsidRPr="00C16CCB">
        <w:rPr>
          <w:i/>
          <w:sz w:val="22"/>
          <w:szCs w:val="22"/>
        </w:rPr>
        <w:t>Source: AECOM analysis</w:t>
      </w:r>
    </w:p>
    <w:p w:rsidR="0085264B" w:rsidRPr="00A12AB3" w:rsidRDefault="0085264B" w:rsidP="0085264B">
      <w:pPr>
        <w:keepNext/>
        <w:tabs>
          <w:tab w:val="left" w:pos="993"/>
        </w:tabs>
        <w:spacing w:after="60"/>
        <w:ind w:firstLine="851"/>
        <w:rPr>
          <w:b/>
          <w:sz w:val="22"/>
          <w:szCs w:val="22"/>
        </w:rPr>
      </w:pPr>
      <w:r w:rsidRPr="00A12AB3">
        <w:rPr>
          <w:b/>
          <w:sz w:val="22"/>
          <w:szCs w:val="22"/>
        </w:rPr>
        <w:t xml:space="preserve">Figure </w:t>
      </w:r>
      <w:r>
        <w:rPr>
          <w:b/>
          <w:sz w:val="22"/>
          <w:szCs w:val="22"/>
        </w:rPr>
        <w:t xml:space="preserve">4.26 </w:t>
      </w:r>
      <w:r w:rsidRPr="00A12AB3">
        <w:rPr>
          <w:b/>
          <w:sz w:val="22"/>
          <w:szCs w:val="22"/>
        </w:rPr>
        <w:t>Level 2 Network in Relation to Level 1 &amp; Reference Case Schemes</w:t>
      </w:r>
    </w:p>
    <w:p w:rsidR="0085264B" w:rsidRDefault="0085264B" w:rsidP="0085264B">
      <w:pPr>
        <w:keepNext/>
        <w:tabs>
          <w:tab w:val="left" w:pos="993"/>
        </w:tabs>
        <w:spacing w:after="60"/>
        <w:ind w:firstLine="851"/>
        <w:rPr>
          <w:sz w:val="22"/>
          <w:szCs w:val="22"/>
        </w:rPr>
      </w:pPr>
      <w:r w:rsidRPr="00A83752">
        <w:rPr>
          <w:noProof/>
          <w:sz w:val="22"/>
          <w:szCs w:val="22"/>
          <w:lang w:val="ro-RO" w:eastAsia="ro-RO"/>
        </w:rPr>
        <w:drawing>
          <wp:inline distT="0" distB="0" distL="0" distR="0" wp14:anchorId="7AFD64C6" wp14:editId="660FFEB5">
            <wp:extent cx="5633085" cy="3334957"/>
            <wp:effectExtent l="19050" t="19050" r="24765" b="17843"/>
            <wp:docPr id="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a:stretch>
                      <a:fillRect/>
                    </a:stretch>
                  </pic:blipFill>
                  <pic:spPr bwMode="auto">
                    <a:xfrm>
                      <a:off x="0" y="0"/>
                      <a:ext cx="5633085" cy="3334957"/>
                    </a:xfrm>
                    <a:prstGeom prst="rect">
                      <a:avLst/>
                    </a:prstGeom>
                    <a:ln>
                      <a:solidFill>
                        <a:schemeClr val="accent1"/>
                      </a:solidFill>
                    </a:ln>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Pr="00963A37" w:rsidRDefault="0085264B" w:rsidP="0085264B">
      <w:pPr>
        <w:pStyle w:val="Hdg3"/>
      </w:pPr>
      <w:r w:rsidRPr="00963A37">
        <w:t>National Road Network</w:t>
      </w:r>
    </w:p>
    <w:p w:rsidR="0085264B" w:rsidRDefault="0085264B" w:rsidP="0085264B">
      <w:pPr>
        <w:pStyle w:val="NumberedParas"/>
        <w:tabs>
          <w:tab w:val="clear" w:pos="2291"/>
          <w:tab w:val="left" w:pos="851"/>
          <w:tab w:val="left" w:pos="2268"/>
          <w:tab w:val="num" w:pos="2433"/>
        </w:tabs>
        <w:ind w:left="851" w:hanging="851"/>
      </w:pPr>
      <w:r>
        <w:t>Following the selection of the Level 1 and Level 2 projects, there remain some sections of the National Network which, although not meriting an improvement scheme, perform an important function as they provide linkages to county towns and/or the Core TEN-T network.</w:t>
      </w:r>
    </w:p>
    <w:p w:rsidR="0085264B" w:rsidRDefault="0085264B" w:rsidP="0085264B">
      <w:pPr>
        <w:pStyle w:val="NumberedParas"/>
        <w:tabs>
          <w:tab w:val="clear" w:pos="2291"/>
          <w:tab w:val="left" w:pos="851"/>
          <w:tab w:val="left" w:pos="2268"/>
          <w:tab w:val="num" w:pos="2433"/>
        </w:tabs>
        <w:ind w:left="851" w:hanging="851"/>
      </w:pPr>
      <w:r>
        <w:t>An approach was developed to prioritise these sections of the network</w:t>
      </w:r>
      <w:r w:rsidR="001737EE">
        <w:t>, considering the level of demand and road condition</w:t>
      </w:r>
      <w:r>
        <w:t>.</w:t>
      </w:r>
    </w:p>
    <w:p w:rsidR="0085264B" w:rsidRDefault="0085264B" w:rsidP="0085264B">
      <w:pPr>
        <w:pStyle w:val="NumberedParas"/>
        <w:tabs>
          <w:tab w:val="clear" w:pos="2291"/>
          <w:tab w:val="left" w:pos="851"/>
          <w:tab w:val="left" w:pos="2268"/>
          <w:tab w:val="num" w:pos="2433"/>
        </w:tabs>
        <w:ind w:left="851" w:hanging="851"/>
      </w:pPr>
      <w:r>
        <w:t xml:space="preserve">The results of the methodology are presented in Table 4.19. </w:t>
      </w:r>
    </w:p>
    <w:p w:rsidR="0085264B" w:rsidRPr="00A12AB3" w:rsidRDefault="0085264B" w:rsidP="0085264B">
      <w:pPr>
        <w:spacing w:before="120" w:after="120" w:line="276" w:lineRule="auto"/>
        <w:ind w:left="851"/>
        <w:rPr>
          <w:b/>
          <w:sz w:val="22"/>
          <w:szCs w:val="22"/>
        </w:rPr>
      </w:pPr>
      <w:r w:rsidRPr="00A12AB3">
        <w:rPr>
          <w:b/>
          <w:sz w:val="22"/>
          <w:szCs w:val="22"/>
        </w:rPr>
        <w:t xml:space="preserve">Table </w:t>
      </w:r>
      <w:r>
        <w:rPr>
          <w:b/>
          <w:sz w:val="22"/>
          <w:szCs w:val="22"/>
        </w:rPr>
        <w:t xml:space="preserve">4.19 </w:t>
      </w:r>
      <w:r w:rsidRPr="00A12AB3">
        <w:rPr>
          <w:b/>
          <w:sz w:val="22"/>
          <w:szCs w:val="22"/>
        </w:rPr>
        <w:t>National Network Rehabilitation Schemes (Ranked)</w:t>
      </w:r>
    </w:p>
    <w:tbl>
      <w:tblPr>
        <w:tblW w:w="5000" w:type="pct"/>
        <w:tblLook w:val="04A0" w:firstRow="1" w:lastRow="0" w:firstColumn="1" w:lastColumn="0" w:noHBand="0" w:noVBand="1"/>
      </w:tblPr>
      <w:tblGrid>
        <w:gridCol w:w="494"/>
        <w:gridCol w:w="3903"/>
        <w:gridCol w:w="883"/>
        <w:gridCol w:w="1206"/>
        <w:gridCol w:w="1695"/>
        <w:gridCol w:w="1176"/>
        <w:gridCol w:w="1150"/>
      </w:tblGrid>
      <w:tr w:rsidR="001737EE" w:rsidRPr="001737EE" w:rsidTr="001737EE">
        <w:trPr>
          <w:trHeight w:val="1365"/>
          <w:tblHeader/>
        </w:trPr>
        <w:tc>
          <w:tcPr>
            <w:tcW w:w="17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Nr.</w:t>
            </w:r>
          </w:p>
        </w:tc>
        <w:tc>
          <w:tcPr>
            <w:tcW w:w="1889"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Project Description</w:t>
            </w:r>
          </w:p>
        </w:tc>
        <w:tc>
          <w:tcPr>
            <w:tcW w:w="426"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Length (km)</w:t>
            </w:r>
          </w:p>
        </w:tc>
        <w:tc>
          <w:tcPr>
            <w:tcW w:w="632"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Estimated Cost (2014 prices, mill EUR, VAT excluded)</w:t>
            </w:r>
          </w:p>
        </w:tc>
        <w:tc>
          <w:tcPr>
            <w:tcW w:w="838"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Route classification</w:t>
            </w:r>
          </w:p>
        </w:tc>
        <w:tc>
          <w:tcPr>
            <w:tcW w:w="591"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Demand</w:t>
            </w:r>
            <w:r w:rsidRPr="001737EE">
              <w:rPr>
                <w:rFonts w:cs="Arial"/>
                <w:b/>
                <w:bCs/>
                <w:color w:val="000000"/>
                <w:sz w:val="20"/>
                <w:szCs w:val="20"/>
                <w:lang w:val="en-US"/>
              </w:rPr>
              <w:br/>
              <w:t>AADT+ 2xHGV</w:t>
            </w:r>
          </w:p>
        </w:tc>
        <w:tc>
          <w:tcPr>
            <w:tcW w:w="446" w:type="pct"/>
            <w:tcBorders>
              <w:top w:val="single" w:sz="4" w:space="0" w:color="auto"/>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Condition</w:t>
            </w:r>
          </w:p>
        </w:tc>
      </w:tr>
      <w:tr w:rsidR="001737EE" w:rsidRPr="001737EE" w:rsidTr="001737EE">
        <w:trPr>
          <w:trHeight w:val="255"/>
        </w:trPr>
        <w:tc>
          <w:tcPr>
            <w:tcW w:w="5000" w:type="pct"/>
            <w:gridSpan w:val="7"/>
            <w:tcBorders>
              <w:top w:val="single" w:sz="4" w:space="0" w:color="auto"/>
              <w:left w:val="single" w:sz="4" w:space="0" w:color="auto"/>
              <w:bottom w:val="single" w:sz="4" w:space="0" w:color="auto"/>
              <w:right w:val="single" w:sz="4" w:space="0" w:color="auto"/>
            </w:tcBorders>
            <w:shd w:val="clear" w:color="000000" w:fill="D8E4BC"/>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ROAD SECTOR - Transregio Roads</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Brasov - Sighisoara - Tg Mures (DX 3)</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161</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102.1</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16,391</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2.64</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Braila - Slobozia - Dranjna (A2) - Calarasi - Chiciu (BG)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142</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71.0</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16,032</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2.33</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Constanta - Vama Veche (BG)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49</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36.8</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15,727</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1.04</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xml:space="preserve">A1 - Arad - Salonta - Oradea </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121</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60.5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14,303</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1.15</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5</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xml:space="preserve">Dr.Tr.Severin – Tg. Jiu – Rm.Valcea – Pitesti </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246</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134.8</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13,553</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1.35</w:t>
            </w:r>
          </w:p>
        </w:tc>
      </w:tr>
      <w:tr w:rsidR="001737EE" w:rsidRPr="001737EE" w:rsidTr="001737EE">
        <w:trPr>
          <w:trHeight w:val="51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Vaslui - Barlad - Tecuci - Galati</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179</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89.5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Partial</w:t>
            </w:r>
            <w:r w:rsidRPr="001737EE">
              <w:rPr>
                <w:rFonts w:cs="Arial"/>
                <w:color w:val="000000"/>
                <w:sz w:val="20"/>
                <w:szCs w:val="20"/>
                <w:lang w:val="en-US"/>
              </w:rPr>
              <w:b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13,397</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2.36</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Filiasi - Tg. Jiu - Petrosani - Hateg - Deva - A1</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226</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136.5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13,227</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1.08</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Botosani - Targul Frumos</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73</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36.5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12,540</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2.78</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9</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xml:space="preserve">Suceava - Vatra Dornei - Bistrita - Saratel -Dej </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178</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124.9</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11,554</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2.03</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Saratel - Reghin - Tg Mures</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78</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44.0</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10,670</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1.00</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11</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A3 (Oradea) - Carei - Satu Mare - DX 4</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137</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68.5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10,600</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2.88</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12</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A1 (Deva) - Brad - Stei - Oradea - A3</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197</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124.3</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8,366</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1.00</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13</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Corabia - Caracal - Dragasani - Rm. Valcea - DX 2</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199</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112.4</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7,708</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2.61</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14</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Zalau - Satu Mare</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95</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49.3</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7,571</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1.04</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15</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A5 - Sf. Gheorghe - B. Tusnad - Miercurea Ciuc - Ditrau (DX 3)</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147</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79.1</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6,708</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3.32</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16</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xml:space="preserve">Iasi - Vaslui - Bacau </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151</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99.5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6,675</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3.38</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17</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Targu Neamt - Piatra Neamt</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35</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19.1</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6,063</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2.36</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18</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Iacobeni - Borsa - S.Marmatiei - Negresti Oas - DX 4</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235</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159.1</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4,461</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2.03</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19</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Caransebes - Resita - Bocsa - Voiteg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104</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62.6</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3,668</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1.83</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20</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Focsani - A5 - Tg. Secuiesc</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114</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80.3</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3,529</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2.37</w:t>
            </w:r>
          </w:p>
        </w:tc>
      </w:tr>
      <w:tr w:rsidR="001737EE" w:rsidRPr="001737EE" w:rsidTr="001737EE">
        <w:trPr>
          <w:trHeight w:val="799"/>
        </w:trPr>
        <w:tc>
          <w:tcPr>
            <w:tcW w:w="179" w:type="pct"/>
            <w:tcBorders>
              <w:top w:val="nil"/>
              <w:left w:val="single" w:sz="4" w:space="0" w:color="auto"/>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1889"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b/>
                <w:bCs/>
                <w:color w:val="000000"/>
                <w:sz w:val="20"/>
                <w:szCs w:val="20"/>
                <w:lang w:val="en-US"/>
              </w:rPr>
            </w:pPr>
            <w:r w:rsidRPr="001737EE">
              <w:rPr>
                <w:rFonts w:cs="Arial"/>
                <w:b/>
                <w:bCs/>
                <w:color w:val="000000"/>
                <w:sz w:val="20"/>
                <w:szCs w:val="20"/>
                <w:lang w:val="en-US"/>
              </w:rPr>
              <w:t>Subtotal Drumuri Transregio</w:t>
            </w:r>
          </w:p>
        </w:tc>
        <w:tc>
          <w:tcPr>
            <w:tcW w:w="426"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2,867</w:t>
            </w:r>
          </w:p>
        </w:tc>
        <w:tc>
          <w:tcPr>
            <w:tcW w:w="632"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1,690.8</w:t>
            </w:r>
          </w:p>
        </w:tc>
        <w:tc>
          <w:tcPr>
            <w:tcW w:w="838"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591"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446"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r>
      <w:tr w:rsidR="001737EE" w:rsidRPr="001737EE" w:rsidTr="001737EE">
        <w:trPr>
          <w:trHeight w:val="1365"/>
        </w:trPr>
        <w:tc>
          <w:tcPr>
            <w:tcW w:w="179" w:type="pct"/>
            <w:tcBorders>
              <w:top w:val="nil"/>
              <w:left w:val="single" w:sz="4" w:space="0" w:color="auto"/>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Nr.</w:t>
            </w:r>
          </w:p>
        </w:tc>
        <w:tc>
          <w:tcPr>
            <w:tcW w:w="1889"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Project Description</w:t>
            </w:r>
          </w:p>
        </w:tc>
        <w:tc>
          <w:tcPr>
            <w:tcW w:w="426"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Length (km)</w:t>
            </w:r>
          </w:p>
        </w:tc>
        <w:tc>
          <w:tcPr>
            <w:tcW w:w="632"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Estimated Cost (2014 prices, mill EUR, VAT excluded)</w:t>
            </w:r>
          </w:p>
        </w:tc>
        <w:tc>
          <w:tcPr>
            <w:tcW w:w="838"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Route classification</w:t>
            </w:r>
          </w:p>
        </w:tc>
        <w:tc>
          <w:tcPr>
            <w:tcW w:w="591"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Demand</w:t>
            </w:r>
            <w:r w:rsidRPr="001737EE">
              <w:rPr>
                <w:rFonts w:cs="Arial"/>
                <w:b/>
                <w:bCs/>
                <w:color w:val="000000"/>
                <w:sz w:val="20"/>
                <w:szCs w:val="20"/>
                <w:lang w:val="en-US"/>
              </w:rPr>
              <w:br/>
              <w:t>AADT+ 2xHGV</w:t>
            </w:r>
          </w:p>
        </w:tc>
        <w:tc>
          <w:tcPr>
            <w:tcW w:w="446" w:type="pct"/>
            <w:tcBorders>
              <w:top w:val="nil"/>
              <w:left w:val="nil"/>
              <w:bottom w:val="single" w:sz="4" w:space="0" w:color="auto"/>
              <w:right w:val="single" w:sz="4" w:space="0" w:color="auto"/>
            </w:tcBorders>
            <w:shd w:val="clear" w:color="000000" w:fill="B8CCE4"/>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Condition</w:t>
            </w:r>
          </w:p>
        </w:tc>
      </w:tr>
      <w:tr w:rsidR="001737EE" w:rsidRPr="001737EE" w:rsidTr="001737EE">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D8E4BC"/>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ROAD SECTOR - Eurotrans Roads</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Bucuresti - Giurgiu (BG)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49</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41.3</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21,148</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2.02</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A1 - Timisoara - Moravita (SRB)</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59</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29.5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10,990</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3.90</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3</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Craiova - Calafat (BG)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83</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41.5</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6,513</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1.00</w:t>
            </w:r>
          </w:p>
        </w:tc>
      </w:tr>
      <w:tr w:rsidR="001737EE" w:rsidRPr="001737EE" w:rsidTr="001737EE">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4</w:t>
            </w:r>
          </w:p>
        </w:tc>
        <w:tc>
          <w:tcPr>
            <w:tcW w:w="1889"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Drobeta Tr. Severin - Calafat (BG)</w:t>
            </w:r>
          </w:p>
        </w:tc>
        <w:tc>
          <w:tcPr>
            <w:tcW w:w="42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82</w:t>
            </w:r>
          </w:p>
        </w:tc>
        <w:tc>
          <w:tcPr>
            <w:tcW w:w="632"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50.8</w:t>
            </w:r>
          </w:p>
        </w:tc>
        <w:tc>
          <w:tcPr>
            <w:tcW w:w="838"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5,721</w:t>
            </w:r>
          </w:p>
        </w:tc>
        <w:tc>
          <w:tcPr>
            <w:tcW w:w="446" w:type="pct"/>
            <w:tcBorders>
              <w:top w:val="nil"/>
              <w:left w:val="nil"/>
              <w:bottom w:val="single" w:sz="4" w:space="0" w:color="auto"/>
              <w:right w:val="single" w:sz="4" w:space="0" w:color="auto"/>
            </w:tcBorders>
            <w:shd w:val="clear" w:color="auto" w:fill="auto"/>
            <w:vAlign w:val="center"/>
            <w:hideMark/>
          </w:tcPr>
          <w:p w:rsidR="001737EE" w:rsidRPr="001737EE" w:rsidRDefault="001737EE" w:rsidP="001737EE">
            <w:pPr>
              <w:jc w:val="center"/>
              <w:rPr>
                <w:rFonts w:cs="Arial"/>
                <w:color w:val="000000"/>
                <w:sz w:val="20"/>
                <w:szCs w:val="20"/>
                <w:lang w:val="en-US"/>
              </w:rPr>
            </w:pPr>
            <w:r w:rsidRPr="001737EE">
              <w:rPr>
                <w:rFonts w:cs="Arial"/>
                <w:color w:val="000000"/>
                <w:sz w:val="20"/>
                <w:szCs w:val="20"/>
                <w:lang w:val="en-US"/>
              </w:rPr>
              <w:t>2.22</w:t>
            </w:r>
          </w:p>
        </w:tc>
      </w:tr>
      <w:tr w:rsidR="001737EE" w:rsidRPr="001737EE" w:rsidTr="001737EE">
        <w:trPr>
          <w:trHeight w:val="799"/>
        </w:trPr>
        <w:tc>
          <w:tcPr>
            <w:tcW w:w="179" w:type="pct"/>
            <w:tcBorders>
              <w:top w:val="nil"/>
              <w:left w:val="single" w:sz="4" w:space="0" w:color="auto"/>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1889"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b/>
                <w:bCs/>
                <w:color w:val="000000"/>
                <w:sz w:val="20"/>
                <w:szCs w:val="20"/>
                <w:lang w:val="en-US"/>
              </w:rPr>
            </w:pPr>
            <w:r w:rsidRPr="001737EE">
              <w:rPr>
                <w:rFonts w:cs="Arial"/>
                <w:b/>
                <w:bCs/>
                <w:color w:val="000000"/>
                <w:sz w:val="20"/>
                <w:szCs w:val="20"/>
                <w:lang w:val="en-US"/>
              </w:rPr>
              <w:t>Subtotal Drumuri Eurotrans</w:t>
            </w:r>
          </w:p>
        </w:tc>
        <w:tc>
          <w:tcPr>
            <w:tcW w:w="426"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273</w:t>
            </w:r>
          </w:p>
        </w:tc>
        <w:tc>
          <w:tcPr>
            <w:tcW w:w="632"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jc w:val="center"/>
              <w:rPr>
                <w:rFonts w:cs="Arial"/>
                <w:b/>
                <w:bCs/>
                <w:color w:val="000000"/>
                <w:sz w:val="20"/>
                <w:szCs w:val="20"/>
                <w:lang w:val="en-US"/>
              </w:rPr>
            </w:pPr>
            <w:r w:rsidRPr="001737EE">
              <w:rPr>
                <w:rFonts w:cs="Arial"/>
                <w:b/>
                <w:bCs/>
                <w:color w:val="000000"/>
                <w:sz w:val="20"/>
                <w:szCs w:val="20"/>
                <w:lang w:val="en-US"/>
              </w:rPr>
              <w:t>163.1</w:t>
            </w:r>
          </w:p>
        </w:tc>
        <w:tc>
          <w:tcPr>
            <w:tcW w:w="838"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591"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c>
          <w:tcPr>
            <w:tcW w:w="446" w:type="pct"/>
            <w:tcBorders>
              <w:top w:val="nil"/>
              <w:left w:val="nil"/>
              <w:bottom w:val="single" w:sz="4" w:space="0" w:color="auto"/>
              <w:right w:val="single" w:sz="4" w:space="0" w:color="auto"/>
            </w:tcBorders>
            <w:shd w:val="clear" w:color="000000" w:fill="FDE9D9"/>
            <w:vAlign w:val="center"/>
            <w:hideMark/>
          </w:tcPr>
          <w:p w:rsidR="001737EE" w:rsidRPr="001737EE" w:rsidRDefault="001737EE" w:rsidP="001737EE">
            <w:pPr>
              <w:rPr>
                <w:rFonts w:cs="Arial"/>
                <w:color w:val="000000"/>
                <w:sz w:val="20"/>
                <w:szCs w:val="20"/>
                <w:lang w:val="en-US"/>
              </w:rPr>
            </w:pPr>
            <w:r w:rsidRPr="001737EE">
              <w:rPr>
                <w:rFonts w:cs="Arial"/>
                <w:color w:val="000000"/>
                <w:sz w:val="20"/>
                <w:szCs w:val="20"/>
                <w:lang w:val="en-US"/>
              </w:rPr>
              <w:t> </w:t>
            </w:r>
          </w:p>
        </w:tc>
      </w:tr>
    </w:tbl>
    <w:p w:rsidR="0085264B" w:rsidRDefault="0085264B" w:rsidP="0085264B">
      <w:pPr>
        <w:ind w:left="567" w:firstLine="142"/>
        <w:rPr>
          <w:i/>
        </w:rPr>
      </w:pPr>
      <w:r w:rsidRPr="0019173A">
        <w:rPr>
          <w:i/>
          <w:sz w:val="22"/>
          <w:szCs w:val="22"/>
        </w:rPr>
        <w:t>Source: AECOM analysis</w:t>
      </w:r>
    </w:p>
    <w:p w:rsidR="0085264B" w:rsidRPr="00963A37" w:rsidRDefault="0085264B" w:rsidP="0085264B">
      <w:pPr>
        <w:pStyle w:val="Hdg3"/>
      </w:pPr>
      <w:r w:rsidRPr="00963A37">
        <w:t>Priorities for Bypasses</w:t>
      </w:r>
    </w:p>
    <w:p w:rsidR="0085264B" w:rsidRDefault="0085264B" w:rsidP="0085264B">
      <w:pPr>
        <w:pStyle w:val="NumberedParas"/>
        <w:tabs>
          <w:tab w:val="clear" w:pos="2291"/>
          <w:tab w:val="left" w:pos="851"/>
          <w:tab w:val="left" w:pos="2268"/>
          <w:tab w:val="num" w:pos="2433"/>
        </w:tabs>
        <w:ind w:left="851" w:hanging="851"/>
      </w:pPr>
      <w:r>
        <w:t>The National Transport Model was developed primarily for assessing strategic issues on the transport network. This means that the representation and forecasts of local traffic around smaller settlements may be less robust than that for major inter-urban movements.</w:t>
      </w:r>
    </w:p>
    <w:p w:rsidR="0085264B" w:rsidRDefault="0085264B" w:rsidP="0085264B">
      <w:pPr>
        <w:pStyle w:val="NumberedParas"/>
        <w:tabs>
          <w:tab w:val="clear" w:pos="2291"/>
          <w:tab w:val="left" w:pos="851"/>
          <w:tab w:val="left" w:pos="2268"/>
          <w:tab w:val="num" w:pos="2433"/>
        </w:tabs>
        <w:ind w:left="851" w:hanging="851"/>
      </w:pPr>
      <w:r>
        <w:t>The model assignment proess would also be less likely to reflect the relatively small scale journey time improvements which may arise from localised small scale bypass schemes.</w:t>
      </w:r>
    </w:p>
    <w:p w:rsidR="0085264B" w:rsidRDefault="0085264B" w:rsidP="0085264B">
      <w:pPr>
        <w:pStyle w:val="NumberedParas"/>
        <w:tabs>
          <w:tab w:val="clear" w:pos="2291"/>
          <w:tab w:val="left" w:pos="851"/>
          <w:tab w:val="left" w:pos="2268"/>
          <w:tab w:val="num" w:pos="2433"/>
        </w:tabs>
        <w:ind w:left="851" w:hanging="851"/>
      </w:pPr>
      <w:r>
        <w:t>In order to ensure that these valuable, albeit smaller scale schemes, were not overlooked, an additional analysis was undertaken. The starting point for this was a road network containing all of the Reference Case, Level 1 and Level 2 schemes.</w:t>
      </w:r>
    </w:p>
    <w:p w:rsidR="0085264B" w:rsidRDefault="0085264B" w:rsidP="0085264B">
      <w:pPr>
        <w:pStyle w:val="NumberedParas"/>
        <w:tabs>
          <w:tab w:val="clear" w:pos="2291"/>
          <w:tab w:val="left" w:pos="851"/>
          <w:tab w:val="left" w:pos="2268"/>
          <w:tab w:val="num" w:pos="2433"/>
        </w:tabs>
        <w:ind w:left="851" w:hanging="851"/>
      </w:pPr>
      <w:r>
        <w:t xml:space="preserve">As a first stage, </w:t>
      </w:r>
      <w:r w:rsidRPr="00C344A4">
        <w:t>all towns/cities that the National road network passes through</w:t>
      </w:r>
      <w:r>
        <w:t>,</w:t>
      </w:r>
      <w:r w:rsidRPr="00C344A4">
        <w:t xml:space="preserve"> and which are not already to be by-passe</w:t>
      </w:r>
      <w:r>
        <w:t>d by Level 1 and Level 2, projects were identified. For each of these centres, those with a population of greater than 10,000 were selected. It is unlikely that a population smaller than this would justify a bypass.</w:t>
      </w:r>
    </w:p>
    <w:p w:rsidR="0085264B" w:rsidRDefault="0085264B" w:rsidP="0085264B">
      <w:pPr>
        <w:pStyle w:val="NumberedParas"/>
        <w:tabs>
          <w:tab w:val="clear" w:pos="2291"/>
          <w:tab w:val="left" w:pos="851"/>
          <w:tab w:val="left" w:pos="2268"/>
          <w:tab w:val="num" w:pos="2433"/>
        </w:tabs>
        <w:ind w:left="851" w:hanging="851"/>
      </w:pPr>
      <w:r>
        <w:t>Based on analysis undertaken when developing the National Model, the volume of ‘through’ traffic (i.e. trips not starting or finishing in the area in question) was then derived. Thresholds were then set separately for cars and goods traffic (25% and 50%) respectively. Locations where these thresholds were exceeded were then taken forward for full testing in through the modelling and appraisal process.</w:t>
      </w:r>
    </w:p>
    <w:p w:rsidR="0085264B" w:rsidRDefault="0085264B" w:rsidP="0085264B">
      <w:pPr>
        <w:pStyle w:val="NumberedParas"/>
        <w:tabs>
          <w:tab w:val="clear" w:pos="2291"/>
          <w:tab w:val="left" w:pos="851"/>
          <w:tab w:val="left" w:pos="2268"/>
          <w:tab w:val="num" w:pos="2433"/>
        </w:tabs>
        <w:ind w:left="851" w:hanging="851"/>
      </w:pPr>
      <w:r>
        <w:t>The Bypasses which were taken forward for testing, and their performance, is summarised in Table 4.20.</w:t>
      </w:r>
    </w:p>
    <w:p w:rsidR="0085264B" w:rsidRPr="00A12AB3" w:rsidRDefault="0085264B" w:rsidP="0085264B">
      <w:pPr>
        <w:keepNext/>
        <w:spacing w:before="120" w:after="120"/>
        <w:ind w:left="851"/>
        <w:rPr>
          <w:b/>
          <w:sz w:val="22"/>
          <w:szCs w:val="22"/>
        </w:rPr>
      </w:pPr>
      <w:r w:rsidRPr="00A12AB3">
        <w:rPr>
          <w:b/>
          <w:sz w:val="22"/>
          <w:szCs w:val="22"/>
        </w:rPr>
        <w:t xml:space="preserve">Table </w:t>
      </w:r>
      <w:r>
        <w:rPr>
          <w:b/>
          <w:sz w:val="22"/>
          <w:szCs w:val="22"/>
        </w:rPr>
        <w:t xml:space="preserve">4.20 </w:t>
      </w:r>
      <w:r w:rsidRPr="00A12AB3">
        <w:rPr>
          <w:b/>
          <w:sz w:val="22"/>
          <w:szCs w:val="22"/>
        </w:rPr>
        <w:t>Summary of Bypass Testing Results (CBA)</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3118"/>
        <w:gridCol w:w="1888"/>
        <w:gridCol w:w="979"/>
        <w:gridCol w:w="980"/>
        <w:gridCol w:w="980"/>
      </w:tblGrid>
      <w:tr w:rsidR="0085264B" w:rsidRPr="0045095C" w:rsidTr="00D41B57">
        <w:trPr>
          <w:trHeight w:val="1067"/>
          <w:tblHeader/>
        </w:trPr>
        <w:tc>
          <w:tcPr>
            <w:tcW w:w="1666" w:type="dxa"/>
            <w:shd w:val="clear" w:color="auto" w:fill="B8CCE4" w:themeFill="accent1" w:themeFillTint="66"/>
            <w:noWrap/>
            <w:vAlign w:val="center"/>
            <w:hideMark/>
          </w:tcPr>
          <w:p w:rsidR="0085264B" w:rsidRPr="001737EE" w:rsidRDefault="0085264B" w:rsidP="00D41B57">
            <w:pPr>
              <w:rPr>
                <w:b/>
                <w:sz w:val="22"/>
                <w:szCs w:val="22"/>
                <w:lang w:eastAsia="en-GB"/>
              </w:rPr>
            </w:pPr>
            <w:r w:rsidRPr="001737EE">
              <w:rPr>
                <w:b/>
                <w:sz w:val="22"/>
                <w:szCs w:val="22"/>
                <w:lang w:eastAsia="en-GB"/>
              </w:rPr>
              <w:t>Ref.</w:t>
            </w:r>
          </w:p>
        </w:tc>
        <w:tc>
          <w:tcPr>
            <w:tcW w:w="3118" w:type="dxa"/>
            <w:shd w:val="clear" w:color="auto" w:fill="B8CCE4" w:themeFill="accent1" w:themeFillTint="66"/>
            <w:noWrap/>
            <w:vAlign w:val="center"/>
            <w:hideMark/>
          </w:tcPr>
          <w:p w:rsidR="0085264B" w:rsidRPr="001737EE" w:rsidRDefault="0085264B" w:rsidP="00D41B57">
            <w:pPr>
              <w:rPr>
                <w:b/>
                <w:sz w:val="22"/>
                <w:szCs w:val="22"/>
                <w:lang w:eastAsia="en-GB"/>
              </w:rPr>
            </w:pPr>
            <w:r w:rsidRPr="001737EE">
              <w:rPr>
                <w:b/>
                <w:sz w:val="22"/>
                <w:szCs w:val="22"/>
                <w:lang w:eastAsia="en-GB"/>
              </w:rPr>
              <w:t>Project</w:t>
            </w:r>
          </w:p>
        </w:tc>
        <w:tc>
          <w:tcPr>
            <w:tcW w:w="1888" w:type="dxa"/>
            <w:shd w:val="clear" w:color="auto" w:fill="B8CCE4" w:themeFill="accent1" w:themeFillTint="66"/>
            <w:noWrap/>
            <w:vAlign w:val="center"/>
            <w:hideMark/>
          </w:tcPr>
          <w:p w:rsidR="0085264B" w:rsidRPr="001737EE" w:rsidRDefault="0085264B" w:rsidP="00D41B57">
            <w:pPr>
              <w:jc w:val="center"/>
              <w:rPr>
                <w:b/>
                <w:color w:val="000000"/>
                <w:sz w:val="22"/>
                <w:szCs w:val="22"/>
                <w:lang w:eastAsia="en-GB"/>
              </w:rPr>
            </w:pPr>
            <w:r w:rsidRPr="001737EE">
              <w:rPr>
                <w:b/>
                <w:color w:val="000000"/>
                <w:sz w:val="22"/>
                <w:szCs w:val="22"/>
              </w:rPr>
              <w:t>Investment cost          (undiscounted)</w:t>
            </w:r>
          </w:p>
          <w:p w:rsidR="0085264B" w:rsidRPr="001737EE" w:rsidRDefault="0085264B" w:rsidP="00D41B57">
            <w:pPr>
              <w:jc w:val="center"/>
              <w:rPr>
                <w:b/>
                <w:color w:val="000000"/>
                <w:sz w:val="22"/>
                <w:szCs w:val="22"/>
                <w:lang w:eastAsia="en-GB"/>
              </w:rPr>
            </w:pPr>
            <w:r w:rsidRPr="001737EE">
              <w:rPr>
                <w:b/>
                <w:i/>
                <w:iCs/>
                <w:color w:val="000000"/>
                <w:sz w:val="22"/>
                <w:szCs w:val="22"/>
              </w:rPr>
              <w:t>€M</w:t>
            </w:r>
          </w:p>
        </w:tc>
        <w:tc>
          <w:tcPr>
            <w:tcW w:w="979" w:type="dxa"/>
            <w:shd w:val="clear" w:color="auto" w:fill="B8CCE4" w:themeFill="accent1" w:themeFillTint="66"/>
            <w:noWrap/>
            <w:vAlign w:val="center"/>
            <w:hideMark/>
          </w:tcPr>
          <w:p w:rsidR="0085264B" w:rsidRPr="001737EE" w:rsidRDefault="0085264B" w:rsidP="00D41B57">
            <w:pPr>
              <w:jc w:val="center"/>
              <w:rPr>
                <w:b/>
                <w:color w:val="000000"/>
                <w:sz w:val="22"/>
                <w:szCs w:val="22"/>
                <w:lang w:eastAsia="en-GB"/>
              </w:rPr>
            </w:pPr>
            <w:r w:rsidRPr="001737EE">
              <w:rPr>
                <w:b/>
                <w:color w:val="000000"/>
                <w:sz w:val="22"/>
                <w:szCs w:val="22"/>
              </w:rPr>
              <w:t>NPV</w:t>
            </w:r>
          </w:p>
          <w:p w:rsidR="0085264B" w:rsidRPr="001737EE" w:rsidRDefault="0085264B" w:rsidP="00D41B57">
            <w:pPr>
              <w:jc w:val="center"/>
              <w:rPr>
                <w:b/>
                <w:color w:val="000000"/>
                <w:sz w:val="22"/>
                <w:szCs w:val="22"/>
                <w:lang w:eastAsia="en-GB"/>
              </w:rPr>
            </w:pPr>
            <w:r w:rsidRPr="001737EE">
              <w:rPr>
                <w:b/>
                <w:i/>
                <w:iCs/>
                <w:color w:val="000000"/>
                <w:sz w:val="22"/>
                <w:szCs w:val="22"/>
              </w:rPr>
              <w:t>€M</w:t>
            </w:r>
          </w:p>
        </w:tc>
        <w:tc>
          <w:tcPr>
            <w:tcW w:w="980" w:type="dxa"/>
            <w:shd w:val="clear" w:color="auto" w:fill="B8CCE4" w:themeFill="accent1" w:themeFillTint="66"/>
            <w:noWrap/>
            <w:vAlign w:val="center"/>
            <w:hideMark/>
          </w:tcPr>
          <w:p w:rsidR="0085264B" w:rsidRPr="001737EE" w:rsidRDefault="0085264B" w:rsidP="00D41B57">
            <w:pPr>
              <w:jc w:val="center"/>
              <w:rPr>
                <w:b/>
                <w:color w:val="000000"/>
                <w:sz w:val="22"/>
                <w:szCs w:val="22"/>
                <w:lang w:eastAsia="en-GB"/>
              </w:rPr>
            </w:pPr>
            <w:r w:rsidRPr="001737EE">
              <w:rPr>
                <w:b/>
                <w:color w:val="000000"/>
                <w:sz w:val="22"/>
                <w:szCs w:val="22"/>
              </w:rPr>
              <w:t>BCR</w:t>
            </w:r>
          </w:p>
        </w:tc>
        <w:tc>
          <w:tcPr>
            <w:tcW w:w="980" w:type="dxa"/>
            <w:shd w:val="clear" w:color="auto" w:fill="B8CCE4" w:themeFill="accent1" w:themeFillTint="66"/>
            <w:noWrap/>
            <w:vAlign w:val="center"/>
            <w:hideMark/>
          </w:tcPr>
          <w:p w:rsidR="0085264B" w:rsidRPr="001737EE" w:rsidRDefault="0085264B" w:rsidP="00D41B57">
            <w:pPr>
              <w:jc w:val="center"/>
              <w:rPr>
                <w:b/>
                <w:color w:val="000000"/>
                <w:sz w:val="22"/>
                <w:szCs w:val="22"/>
                <w:lang w:eastAsia="en-GB"/>
              </w:rPr>
            </w:pPr>
            <w:r w:rsidRPr="001737EE">
              <w:rPr>
                <w:b/>
                <w:color w:val="000000"/>
                <w:sz w:val="22"/>
                <w:szCs w:val="22"/>
              </w:rPr>
              <w:t>EIRR</w:t>
            </w:r>
          </w:p>
          <w:p w:rsidR="0085264B" w:rsidRPr="001737EE" w:rsidRDefault="0085264B" w:rsidP="00D41B57">
            <w:pPr>
              <w:jc w:val="center"/>
              <w:rPr>
                <w:b/>
                <w:color w:val="000000"/>
                <w:sz w:val="22"/>
                <w:szCs w:val="22"/>
                <w:lang w:eastAsia="en-GB"/>
              </w:rPr>
            </w:pPr>
            <w:r w:rsidRPr="001737EE">
              <w:rPr>
                <w:b/>
                <w:i/>
                <w:iCs/>
                <w:color w:val="000000"/>
                <w:sz w:val="22"/>
                <w:szCs w:val="22"/>
              </w:rPr>
              <w:t>%</w:t>
            </w:r>
          </w:p>
        </w:tc>
      </w:tr>
      <w:tr w:rsidR="0085264B" w:rsidRPr="0045095C" w:rsidTr="00D41B57">
        <w:trPr>
          <w:trHeight w:val="285"/>
        </w:trPr>
        <w:tc>
          <w:tcPr>
            <w:tcW w:w="1666" w:type="dxa"/>
            <w:shd w:val="clear" w:color="auto" w:fill="auto"/>
            <w:noWrap/>
            <w:vAlign w:val="center"/>
            <w:hideMark/>
          </w:tcPr>
          <w:p w:rsidR="0085264B" w:rsidRPr="0045095C" w:rsidRDefault="0085264B" w:rsidP="00D41B57">
            <w:pPr>
              <w:rPr>
                <w:sz w:val="22"/>
                <w:szCs w:val="22"/>
              </w:rPr>
            </w:pPr>
            <w:r>
              <w:rPr>
                <w:rFonts w:cs="Arial"/>
                <w:color w:val="000000"/>
                <w:sz w:val="22"/>
                <w:szCs w:val="22"/>
              </w:rPr>
              <w:t>BP1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Oradea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Dej</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5.91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Sighisoara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3.84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Roman</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Focsani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Ramnicu Sarat</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Buzau</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Alexandria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0.53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BP9</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Ramnicu Valcea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BP10</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Targoviste</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358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7.83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Filiasi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Adjud</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5.96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19.0%</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Mizil</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Ludus</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Falticeni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3.34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Caransebes</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Beclean</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Bistriţa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BP19</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Miercurea Ciuc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0.95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BP20</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Sfântu Gheorghe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Giurgiu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Vaslui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73</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Bârlad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11.1%</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Slobozia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23</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2.06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Vatra Dornei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5.65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Câmpulung Moldovenesc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99</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0.65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Mangalia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Timisoara South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9.7%</w:t>
            </w:r>
          </w:p>
        </w:tc>
      </w:tr>
    </w:tbl>
    <w:p w:rsidR="0085264B" w:rsidRDefault="0085264B" w:rsidP="0085264B">
      <w:pPr>
        <w:ind w:left="284" w:firstLine="425"/>
        <w:rPr>
          <w:i/>
        </w:rPr>
      </w:pPr>
      <w:r w:rsidRPr="0019173A">
        <w:rPr>
          <w:i/>
          <w:sz w:val="22"/>
          <w:szCs w:val="22"/>
        </w:rPr>
        <w:t>Source: AECOM analysis</w:t>
      </w:r>
    </w:p>
    <w:p w:rsidR="0085264B" w:rsidRDefault="0085264B" w:rsidP="0085264B">
      <w:pPr>
        <w:pStyle w:val="NumberedParas"/>
        <w:tabs>
          <w:tab w:val="clear" w:pos="2291"/>
          <w:tab w:val="left" w:pos="851"/>
          <w:tab w:val="left" w:pos="2268"/>
          <w:tab w:val="num" w:pos="2433"/>
        </w:tabs>
        <w:ind w:left="851" w:hanging="851"/>
      </w:pPr>
      <w:r>
        <w:t>The location of the selected bypass schemes, with reference to the Reference Case, Level 1 and Level 2 schemes, is shown in Figure 4.27.</w:t>
      </w:r>
    </w:p>
    <w:p w:rsidR="0085264B" w:rsidRPr="0045095C" w:rsidRDefault="0085264B" w:rsidP="0085264B">
      <w:pPr>
        <w:keepNext/>
        <w:tabs>
          <w:tab w:val="left" w:pos="993"/>
        </w:tabs>
        <w:spacing w:after="60"/>
        <w:ind w:firstLine="851"/>
        <w:rPr>
          <w:b/>
          <w:sz w:val="22"/>
          <w:szCs w:val="22"/>
        </w:rPr>
      </w:pPr>
      <w:r w:rsidRPr="0045095C">
        <w:rPr>
          <w:b/>
          <w:sz w:val="22"/>
          <w:szCs w:val="22"/>
        </w:rPr>
        <w:t xml:space="preserve">Figure </w:t>
      </w:r>
      <w:r>
        <w:rPr>
          <w:b/>
          <w:sz w:val="22"/>
          <w:szCs w:val="22"/>
        </w:rPr>
        <w:t>4.27</w:t>
      </w:r>
      <w:r w:rsidRPr="0045095C">
        <w:rPr>
          <w:b/>
          <w:sz w:val="22"/>
          <w:szCs w:val="22"/>
        </w:rPr>
        <w:tab/>
        <w:t>Bypass Schemes in Relation to Level 1, Level 2 &amp; Reference Case Schemes</w:t>
      </w:r>
    </w:p>
    <w:p w:rsidR="0085264B" w:rsidRPr="00C344A4" w:rsidRDefault="0085264B" w:rsidP="0085264B">
      <w:pPr>
        <w:spacing w:before="120" w:after="120" w:line="276" w:lineRule="auto"/>
        <w:ind w:left="851"/>
        <w:rPr>
          <w:sz w:val="22"/>
          <w:szCs w:val="22"/>
        </w:rPr>
      </w:pPr>
      <w:r w:rsidRPr="00A83752">
        <w:rPr>
          <w:noProof/>
          <w:sz w:val="22"/>
          <w:szCs w:val="22"/>
          <w:lang w:val="ro-RO" w:eastAsia="ro-RO"/>
        </w:rPr>
        <w:drawing>
          <wp:inline distT="0" distB="0" distL="0" distR="0" wp14:anchorId="0EAB4C7C" wp14:editId="5CA1E5A5">
            <wp:extent cx="5278120" cy="4223496"/>
            <wp:effectExtent l="19050" t="19050" r="17780" b="24654"/>
            <wp:docPr id="1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srcRect/>
                    <a:stretch>
                      <a:fillRect/>
                    </a:stretch>
                  </pic:blipFill>
                  <pic:spPr bwMode="auto">
                    <a:xfrm>
                      <a:off x="0" y="0"/>
                      <a:ext cx="5278120" cy="4223496"/>
                    </a:xfrm>
                    <a:prstGeom prst="rect">
                      <a:avLst/>
                    </a:prstGeom>
                    <a:ln>
                      <a:solidFill>
                        <a:schemeClr val="accent1"/>
                      </a:solidFill>
                    </a:ln>
                  </pic:spPr>
                </pic:pic>
              </a:graphicData>
            </a:graphic>
          </wp:inline>
        </w:drawing>
      </w:r>
    </w:p>
    <w:p w:rsidR="0085264B" w:rsidRDefault="0085264B" w:rsidP="0085264B">
      <w:pPr>
        <w:ind w:firstLine="851"/>
      </w:pPr>
      <w:r w:rsidRPr="0019173A">
        <w:rPr>
          <w:i/>
          <w:sz w:val="22"/>
          <w:szCs w:val="22"/>
        </w:rPr>
        <w:t>Source: AECOM analysis of Romanian National Transport Model</w:t>
      </w:r>
    </w:p>
    <w:p w:rsidR="0085264B" w:rsidRPr="008E03B0" w:rsidRDefault="0085264B" w:rsidP="0085264B">
      <w:pPr>
        <w:pStyle w:val="Hdg2"/>
        <w:tabs>
          <w:tab w:val="clear" w:pos="2138"/>
          <w:tab w:val="num" w:pos="1430"/>
        </w:tabs>
        <w:ind w:left="851" w:hanging="851"/>
      </w:pPr>
      <w:bookmarkStart w:id="78" w:name="_Toc397020189"/>
      <w:bookmarkStart w:id="79" w:name="_Toc397065255"/>
      <w:bookmarkStart w:id="80" w:name="_Toc410648985"/>
      <w:bookmarkStart w:id="81" w:name="_Toc413056047"/>
      <w:r w:rsidRPr="00DD636E">
        <w:t>Cost-Benefit Analysis</w:t>
      </w:r>
      <w:bookmarkEnd w:id="78"/>
      <w:bookmarkEnd w:id="79"/>
      <w:bookmarkEnd w:id="80"/>
      <w:bookmarkEnd w:id="81"/>
    </w:p>
    <w:p w:rsidR="0085264B" w:rsidRDefault="0085264B" w:rsidP="0085264B">
      <w:pPr>
        <w:pStyle w:val="NumberedParas"/>
        <w:tabs>
          <w:tab w:val="clear" w:pos="2291"/>
          <w:tab w:val="left" w:pos="851"/>
          <w:tab w:val="left" w:pos="2268"/>
          <w:tab w:val="num" w:pos="2433"/>
        </w:tabs>
        <w:ind w:left="851" w:hanging="851"/>
      </w:pPr>
      <w:r>
        <w:t>Within this section we provide details of all of the road infrastructure schemes taken through the model testing and appraisal process and which have been selected to form part of the overall strategy.</w:t>
      </w:r>
    </w:p>
    <w:p w:rsidR="0085264B" w:rsidRDefault="0085264B" w:rsidP="0085264B">
      <w:pPr>
        <w:pStyle w:val="NumberedParas"/>
        <w:tabs>
          <w:tab w:val="clear" w:pos="2291"/>
          <w:tab w:val="left" w:pos="851"/>
          <w:tab w:val="left" w:pos="2268"/>
          <w:tab w:val="num" w:pos="2433"/>
        </w:tabs>
        <w:ind w:left="851" w:hanging="851"/>
      </w:pPr>
      <w:r>
        <w:t>For each scheme, we provide information as follows:</w:t>
      </w:r>
    </w:p>
    <w:p w:rsidR="0085264B" w:rsidRDefault="0085264B" w:rsidP="00273D5E">
      <w:pPr>
        <w:pStyle w:val="BulletLevel1"/>
      </w:pPr>
      <w:r>
        <w:t>Brief description of proposal;</w:t>
      </w:r>
    </w:p>
    <w:p w:rsidR="0085264B" w:rsidRDefault="0085264B" w:rsidP="00273D5E">
      <w:pPr>
        <w:pStyle w:val="BulletLevel1"/>
      </w:pPr>
      <w:r w:rsidRPr="00513DD2">
        <w:t>Brief Description of Problem(s) Addressed</w:t>
      </w:r>
      <w:r>
        <w:t>;</w:t>
      </w:r>
    </w:p>
    <w:p w:rsidR="0085264B" w:rsidRDefault="0085264B" w:rsidP="00273D5E">
      <w:pPr>
        <w:pStyle w:val="BulletLevel1"/>
      </w:pPr>
      <w:r w:rsidRPr="00513DD2">
        <w:t>Undiscounted Costs</w:t>
      </w:r>
      <w:r>
        <w:t>;</w:t>
      </w:r>
    </w:p>
    <w:p w:rsidR="0085264B" w:rsidRDefault="0085264B" w:rsidP="00273D5E">
      <w:pPr>
        <w:pStyle w:val="BulletLevel1"/>
      </w:pPr>
      <w:r w:rsidRPr="00513DD2">
        <w:t>Outcome(s)</w:t>
      </w:r>
      <w:r>
        <w:t>;</w:t>
      </w:r>
    </w:p>
    <w:p w:rsidR="0085264B" w:rsidRPr="00513DD2" w:rsidRDefault="0085264B" w:rsidP="00273D5E">
      <w:pPr>
        <w:pStyle w:val="BulletLevel1"/>
      </w:pPr>
      <w:r w:rsidRPr="00513DD2">
        <w:t>Implementing Organisation</w:t>
      </w:r>
      <w:r w:rsidRPr="00513DD2">
        <w:tab/>
      </w:r>
      <w:r>
        <w:t>; and</w:t>
      </w:r>
    </w:p>
    <w:p w:rsidR="0085264B" w:rsidRDefault="0085264B" w:rsidP="00273D5E">
      <w:pPr>
        <w:pStyle w:val="BulletLevel1"/>
      </w:pPr>
      <w:r w:rsidRPr="00513DD2">
        <w:t>Implementation Year(s</w:t>
      </w:r>
      <w:r>
        <w:t>).</w:t>
      </w:r>
    </w:p>
    <w:p w:rsidR="0085264B" w:rsidRDefault="0085264B" w:rsidP="0085264B">
      <w:pPr>
        <w:pStyle w:val="NumberedParas"/>
        <w:tabs>
          <w:tab w:val="clear" w:pos="2291"/>
          <w:tab w:val="left" w:pos="851"/>
          <w:tab w:val="left" w:pos="2268"/>
          <w:tab w:val="num" w:pos="2433"/>
        </w:tabs>
        <w:ind w:left="851" w:hanging="851"/>
      </w:pPr>
      <w:r w:rsidRPr="00E9660A">
        <w:t>We have considered two implementation scenarios, ‘ES’ and ‘EES’ and implementation years are provided for both cases. We present the information in the order of Level 1 schemes first, then Level 2 and finally Bypass</w:t>
      </w:r>
      <w:r>
        <w:t xml:space="preserve"> schemes.</w:t>
      </w:r>
    </w:p>
    <w:p w:rsidR="0085264B" w:rsidRDefault="0085264B" w:rsidP="0085264B">
      <w:pPr>
        <w:pStyle w:val="NumberedParas"/>
        <w:tabs>
          <w:tab w:val="clear" w:pos="2291"/>
          <w:tab w:val="left" w:pos="851"/>
          <w:tab w:val="left" w:pos="2268"/>
          <w:tab w:val="num" w:pos="2433"/>
        </w:tabs>
        <w:ind w:left="851" w:hanging="851"/>
      </w:pPr>
      <w:r>
        <w:t xml:space="preserve">The Level 1 and Level 2 schemes would be developed in accordance with Article 17 of EU </w:t>
      </w:r>
      <w:r w:rsidRPr="00404D79">
        <w:t>R</w:t>
      </w:r>
      <w:r>
        <w:t>egulation</w:t>
      </w:r>
      <w:r w:rsidRPr="00404D79">
        <w:t xml:space="preserve"> No</w:t>
      </w:r>
      <w:r>
        <w:t>.</w:t>
      </w:r>
      <w:r w:rsidRPr="00404D79">
        <w:t xml:space="preserve"> 1315/2013</w:t>
      </w:r>
      <w:r>
        <w:t xml:space="preserve"> in that they would incorporate:</w:t>
      </w:r>
    </w:p>
    <w:p w:rsidR="0085264B" w:rsidRDefault="0085264B" w:rsidP="00273D5E">
      <w:pPr>
        <w:pStyle w:val="BulletLevel1"/>
      </w:pPr>
      <w:r>
        <w:t>Suitable parking and rest areas; and</w:t>
      </w:r>
    </w:p>
    <w:p w:rsidR="0085264B" w:rsidRDefault="0085264B" w:rsidP="00273D5E">
      <w:pPr>
        <w:pStyle w:val="BulletLevel1"/>
      </w:pPr>
      <w:r>
        <w:t>Relevant telematic applications such as VMS.</w:t>
      </w:r>
    </w:p>
    <w:p w:rsidR="0085264B" w:rsidRDefault="0085264B" w:rsidP="0085264B">
      <w:pPr>
        <w:pStyle w:val="NumberedParas"/>
        <w:tabs>
          <w:tab w:val="clear" w:pos="2291"/>
          <w:tab w:val="left" w:pos="851"/>
          <w:tab w:val="left" w:pos="2268"/>
          <w:tab w:val="num" w:pos="2433"/>
        </w:tabs>
        <w:ind w:left="851" w:hanging="851"/>
      </w:pPr>
      <w:r>
        <w:t xml:space="preserve">Also, as per Article 17, they must be adequately maintained. The regulations do not stipulate whether infrastructure on the comprehensive network should be motorway, express road or conventional strategic road. As set out in the notes at the beginning of this document, the </w:t>
      </w:r>
      <w:r w:rsidRPr="006455E8">
        <w:t xml:space="preserve">technical solutions </w:t>
      </w:r>
      <w:r>
        <w:t xml:space="preserve">for each intervention </w:t>
      </w:r>
      <w:r w:rsidRPr="006455E8">
        <w:t>will need to be reconfirmed at the level of each particular project within the FS on the basis of a detailed options analysis including more detailed cost, capacity, economic and environmental impact analyses.</w:t>
      </w:r>
    </w:p>
    <w:p w:rsidR="0085264B" w:rsidRDefault="0085264B" w:rsidP="0085264B">
      <w:pPr>
        <w:pStyle w:val="NumberedParas"/>
        <w:tabs>
          <w:tab w:val="clear" w:pos="2291"/>
          <w:tab w:val="left" w:pos="851"/>
          <w:tab w:val="left" w:pos="2268"/>
          <w:tab w:val="num" w:pos="2433"/>
        </w:tabs>
        <w:ind w:left="851" w:hanging="851"/>
      </w:pPr>
      <w:r>
        <w:t>Finally it is important to note that, for the purposes of this element of the project, each of the schemes that are reported on in the following sections have been tested in isolation. The changes in flow forecast by the model need to be seen in that context. It is inevitable that schemes which are relatively close to one another or which cater for similar traffic patterns, e.g. longer distance East-West movements, will produce different effects if considered in combination.</w:t>
      </w:r>
    </w:p>
    <w:p w:rsidR="0085264B" w:rsidRDefault="0085264B" w:rsidP="0085264B">
      <w:pPr>
        <w:pStyle w:val="NumberedParas"/>
        <w:tabs>
          <w:tab w:val="clear" w:pos="2291"/>
          <w:tab w:val="left" w:pos="851"/>
          <w:tab w:val="left" w:pos="2268"/>
          <w:tab w:val="num" w:pos="2433"/>
        </w:tabs>
        <w:ind w:left="851" w:hanging="851"/>
      </w:pPr>
      <w:r>
        <w:t>This is particularly relevant when considering scenarios which are comprised of multiple schemes; it is not possible to simply sum the constituent model results in order to forecast the combined effect. The flow difference plots which are used to illustrate the impacts of each scheme are for an opening year of 2020.</w:t>
      </w:r>
    </w:p>
    <w:p w:rsidR="0085264B" w:rsidRDefault="0085264B" w:rsidP="0085264B">
      <w:pPr>
        <w:rPr>
          <w:b/>
          <w:i/>
          <w:color w:val="9E0880"/>
          <w:sz w:val="22"/>
          <w:szCs w:val="22"/>
          <w:lang w:val="ro-RO"/>
        </w:rPr>
      </w:pPr>
      <w:r>
        <w:br w:type="page"/>
      </w:r>
    </w:p>
    <w:p w:rsidR="0085264B" w:rsidRPr="00E9660A" w:rsidRDefault="0085264B" w:rsidP="0085264B">
      <w:pPr>
        <w:pStyle w:val="Hdg3"/>
        <w:ind w:left="851"/>
      </w:pPr>
      <w:r w:rsidRPr="00E9660A">
        <w:t>Level 1 Schemes - OR1 - Ploiesti-Brasov Motorway</w:t>
      </w:r>
    </w:p>
    <w:p w:rsidR="0085264B" w:rsidRPr="00C74D75" w:rsidRDefault="0085264B" w:rsidP="0085264B">
      <w:pPr>
        <w:spacing w:before="120" w:after="120"/>
        <w:ind w:left="851"/>
        <w:rPr>
          <w:sz w:val="22"/>
          <w:szCs w:val="22"/>
        </w:rPr>
      </w:pPr>
      <w:r w:rsidRPr="00E9660A">
        <w:rPr>
          <w:b/>
          <w:sz w:val="22"/>
          <w:szCs w:val="22"/>
        </w:rPr>
        <w:t>Brief Description of Proposal</w:t>
      </w:r>
      <w:r>
        <w:rPr>
          <w:sz w:val="22"/>
          <w:szCs w:val="22"/>
        </w:rPr>
        <w:t>:</w:t>
      </w:r>
    </w:p>
    <w:p w:rsidR="0085264B" w:rsidRDefault="0085264B" w:rsidP="0085264B">
      <w:pPr>
        <w:pStyle w:val="NumberedParas"/>
        <w:tabs>
          <w:tab w:val="clear" w:pos="2291"/>
          <w:tab w:val="left" w:pos="851"/>
          <w:tab w:val="left" w:pos="2268"/>
          <w:tab w:val="num" w:pos="2433"/>
        </w:tabs>
        <w:ind w:left="851" w:hanging="851"/>
      </w:pPr>
      <w:r w:rsidRPr="00C74D75">
        <w:t>The proposal will provide a new motorway link between Ploiesti and Brasov to link with the existing Bucharest to Ploiesti motorway. The combination will provide a motorway standard route between Bucharest and Brasov.</w:t>
      </w:r>
      <w:r>
        <w:t xml:space="preserve"> It fulfils operational objectives set out in Table 4.15 for OR1 (Bucharest- Brasov) and contributes to improved regional and national connectivity for East-West traffic through the country. It therefore also has European added value as it is a key link along the corridor that ultimately provides access from Romania’s Western borders to the Black Sea. </w:t>
      </w:r>
    </w:p>
    <w:p w:rsidR="0085264B" w:rsidRDefault="0085264B" w:rsidP="0085264B">
      <w:pPr>
        <w:pStyle w:val="NumberedParas"/>
        <w:tabs>
          <w:tab w:val="clear" w:pos="2291"/>
          <w:tab w:val="left" w:pos="851"/>
          <w:tab w:val="left" w:pos="2268"/>
          <w:tab w:val="num" w:pos="2433"/>
        </w:tabs>
        <w:ind w:left="851" w:hanging="851"/>
      </w:pPr>
      <w:r w:rsidRPr="00C74D75">
        <w:t>The alignment of the route and its linkage to the exist</w:t>
      </w:r>
      <w:r>
        <w:t>ing network is shown in Figure 4.28</w:t>
      </w:r>
      <w:r w:rsidRPr="00C74D75">
        <w:t xml:space="preserve"> below. </w:t>
      </w:r>
    </w:p>
    <w:p w:rsidR="0085264B" w:rsidRPr="0045095C" w:rsidRDefault="0085264B" w:rsidP="0085264B">
      <w:pPr>
        <w:spacing w:before="120" w:after="120"/>
        <w:ind w:left="851"/>
        <w:rPr>
          <w:b/>
          <w:sz w:val="22"/>
          <w:szCs w:val="22"/>
        </w:rPr>
      </w:pPr>
      <w:r w:rsidRPr="0045095C">
        <w:rPr>
          <w:b/>
          <w:sz w:val="22"/>
          <w:szCs w:val="22"/>
        </w:rPr>
        <w:t xml:space="preserve">Figure </w:t>
      </w:r>
      <w:r>
        <w:rPr>
          <w:b/>
          <w:sz w:val="22"/>
          <w:szCs w:val="22"/>
        </w:rPr>
        <w:t>4.28</w:t>
      </w:r>
      <w:r w:rsidRPr="0045095C">
        <w:rPr>
          <w:b/>
          <w:sz w:val="22"/>
          <w:szCs w:val="22"/>
        </w:rPr>
        <w:tab/>
        <w:t>Ploiesti-Braso</w:t>
      </w:r>
      <w:r>
        <w:rPr>
          <w:b/>
          <w:sz w:val="22"/>
          <w:szCs w:val="22"/>
        </w:rPr>
        <w:t>v Motorway Indicative Alignment</w:t>
      </w:r>
    </w:p>
    <w:p w:rsidR="0085264B" w:rsidRDefault="0085264B" w:rsidP="0085264B">
      <w:pPr>
        <w:spacing w:before="120" w:after="120"/>
        <w:ind w:left="680" w:firstLine="171"/>
        <w:rPr>
          <w:sz w:val="22"/>
          <w:szCs w:val="22"/>
        </w:rPr>
      </w:pPr>
      <w:r>
        <w:rPr>
          <w:noProof/>
          <w:lang w:val="ro-RO" w:eastAsia="ro-RO"/>
        </w:rPr>
        <w:drawing>
          <wp:inline distT="0" distB="0" distL="0" distR="0" wp14:anchorId="49F3D869" wp14:editId="2AC21C72">
            <wp:extent cx="5068800" cy="3430800"/>
            <wp:effectExtent l="19050" t="19050" r="17780" b="1778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1 Alignment Plot"/>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7902" b="11437"/>
                    <a:stretch/>
                  </pic:blipFill>
                  <pic:spPr bwMode="auto">
                    <a:xfrm>
                      <a:off x="0" y="0"/>
                      <a:ext cx="5068800" cy="3430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C74D75">
        <w:rPr>
          <w:sz w:val="22"/>
          <w:szCs w:val="22"/>
        </w:rPr>
        <w:t xml:space="preserve"> </w:t>
      </w:r>
    </w:p>
    <w:p w:rsidR="0085264B" w:rsidRDefault="0085264B" w:rsidP="0085264B">
      <w:pPr>
        <w:ind w:left="284" w:firstLine="567"/>
        <w:rPr>
          <w:i/>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C74D75">
        <w:t>The route forms part of the corridor that will provide</w:t>
      </w:r>
      <w:r>
        <w:t xml:space="preserve"> a</w:t>
      </w:r>
      <w:r w:rsidRPr="00C74D75">
        <w:t xml:space="preserve"> </w:t>
      </w:r>
      <w:r>
        <w:t xml:space="preserve">part of the </w:t>
      </w:r>
      <w:r w:rsidRPr="00C74D75">
        <w:t>link between the two TEN-T core nodes of Bucharest and Timisoara. It also directly links Brasov, which is a TEN-T node to Bucharest.</w:t>
      </w:r>
    </w:p>
    <w:p w:rsidR="0085264B" w:rsidRPr="00E9660A" w:rsidRDefault="0085264B" w:rsidP="0085264B">
      <w:pPr>
        <w:spacing w:before="120" w:after="120"/>
        <w:ind w:left="851"/>
        <w:rPr>
          <w:b/>
          <w:sz w:val="22"/>
          <w:szCs w:val="22"/>
        </w:rPr>
      </w:pPr>
      <w:r w:rsidRPr="00E9660A">
        <w:rPr>
          <w:b/>
          <w:sz w:val="22"/>
          <w:szCs w:val="22"/>
        </w:rPr>
        <w:t>Brief Desc</w:t>
      </w:r>
      <w:r>
        <w:rPr>
          <w:b/>
          <w:sz w:val="22"/>
          <w:szCs w:val="22"/>
        </w:rPr>
        <w:t>ription of Problem(s) Addressed</w:t>
      </w:r>
    </w:p>
    <w:p w:rsidR="0085264B" w:rsidRDefault="0085264B" w:rsidP="0085264B">
      <w:pPr>
        <w:pStyle w:val="NumberedParas"/>
        <w:tabs>
          <w:tab w:val="clear" w:pos="2291"/>
          <w:tab w:val="left" w:pos="851"/>
          <w:tab w:val="left" w:pos="2268"/>
          <w:tab w:val="num" w:pos="2433"/>
        </w:tabs>
        <w:ind w:left="851" w:hanging="851"/>
      </w:pPr>
      <w:r w:rsidRPr="00BC41FB">
        <w:t>The high level objective for the project is to increase the economic efficiency of the transport network in Romania. The particular operational objective is to improve travel speeds in the Bucharest to Brasov corridor.</w:t>
      </w:r>
    </w:p>
    <w:p w:rsidR="0085264B" w:rsidRDefault="0085264B" w:rsidP="0085264B">
      <w:pPr>
        <w:pStyle w:val="NumberedParas"/>
        <w:tabs>
          <w:tab w:val="clear" w:pos="2291"/>
          <w:tab w:val="left" w:pos="851"/>
          <w:tab w:val="left" w:pos="2268"/>
          <w:tab w:val="num" w:pos="2433"/>
        </w:tabs>
        <w:ind w:left="851" w:hanging="851"/>
      </w:pPr>
      <w:r w:rsidRPr="00BC41FB">
        <w:t xml:space="preserve">There are poor average travel times between Bucharest and Brasov; </w:t>
      </w:r>
      <w:r w:rsidRPr="00C819CE">
        <w:t xml:space="preserve">the </w:t>
      </w:r>
      <w:r>
        <w:t xml:space="preserve">transport </w:t>
      </w:r>
      <w:r w:rsidRPr="00C819CE">
        <w:t xml:space="preserve">model </w:t>
      </w:r>
      <w:r>
        <w:t>forecasts</w:t>
      </w:r>
      <w:r w:rsidRPr="00C819CE">
        <w:t xml:space="preserve"> typical average peak speeds for this route of </w:t>
      </w:r>
      <w:r>
        <w:t>less than 70</w:t>
      </w:r>
      <w:r w:rsidRPr="00C819CE">
        <w:t xml:space="preserve"> kph</w:t>
      </w:r>
      <w:r>
        <w:t xml:space="preserve"> for 2020</w:t>
      </w:r>
      <w:r w:rsidRPr="00C819CE">
        <w:t>. Bucharest</w:t>
      </w:r>
      <w:r w:rsidRPr="00BC41FB">
        <w:t xml:space="preserve"> and Brasov are the first and seventh most populace cities in Romania</w:t>
      </w:r>
      <w:r>
        <w:t xml:space="preserve">, </w:t>
      </w:r>
      <w:r w:rsidRPr="00BC41FB">
        <w:t>and this is a key transport corridor as it also provides a link, via Sibiu, to the committed A1 motorway and out to the Hungarian border.</w:t>
      </w:r>
    </w:p>
    <w:p w:rsidR="0085264B" w:rsidRDefault="0085264B" w:rsidP="0085264B">
      <w:pPr>
        <w:pStyle w:val="NumberedParas"/>
        <w:tabs>
          <w:tab w:val="clear" w:pos="2291"/>
          <w:tab w:val="left" w:pos="851"/>
          <w:tab w:val="left" w:pos="2268"/>
          <w:tab w:val="num" w:pos="2433"/>
        </w:tabs>
        <w:ind w:left="851" w:hanging="851"/>
      </w:pPr>
      <w:r w:rsidRPr="00BC41FB">
        <w:t>Th</w:t>
      </w:r>
      <w:r>
        <w:t>is</w:t>
      </w:r>
      <w:r w:rsidRPr="00BC41FB">
        <w:t xml:space="preserve"> corridor was identified as part of an analysis of the economic impact of delays </w:t>
      </w:r>
      <w:r>
        <w:t>in addition to the presence of</w:t>
      </w:r>
      <w:r w:rsidRPr="00BC41FB">
        <w:t xml:space="preserve"> multiple accident blackspot locations in the corridor.</w:t>
      </w:r>
    </w:p>
    <w:p w:rsidR="0085264B" w:rsidRDefault="0085264B" w:rsidP="0085264B">
      <w:pPr>
        <w:pStyle w:val="NumberedParas"/>
        <w:tabs>
          <w:tab w:val="clear" w:pos="2291"/>
          <w:tab w:val="left" w:pos="851"/>
          <w:tab w:val="left" w:pos="2268"/>
          <w:tab w:val="num" w:pos="2433"/>
        </w:tabs>
        <w:ind w:left="851" w:hanging="851"/>
      </w:pPr>
      <w:r w:rsidRPr="00BC41FB">
        <w:t>Domestically, accessibility to Brasov is poorer than cities such as Pitesti</w:t>
      </w:r>
      <w:r>
        <w:t>,</w:t>
      </w:r>
      <w:r w:rsidRPr="00BC41FB">
        <w:t xml:space="preserve"> which do have a high quality link to Bucharest.</w:t>
      </w:r>
    </w:p>
    <w:p w:rsidR="0085264B" w:rsidRDefault="0085264B" w:rsidP="0085264B">
      <w:pPr>
        <w:pStyle w:val="NumberedParas"/>
        <w:tabs>
          <w:tab w:val="clear" w:pos="2291"/>
          <w:tab w:val="left" w:pos="851"/>
          <w:tab w:val="left" w:pos="2268"/>
          <w:tab w:val="num" w:pos="2433"/>
        </w:tabs>
        <w:ind w:left="851" w:hanging="851"/>
      </w:pPr>
      <w:r w:rsidRPr="00BC41FB">
        <w:t>Whilst there is a good quality route from Bucharest to south of Ploiesti</w:t>
      </w:r>
      <w:r>
        <w:t xml:space="preserve"> via the A3</w:t>
      </w:r>
      <w:r w:rsidRPr="00BC41FB">
        <w:t>, the remainder of the infrastructure provision in the corridor is poor – 44 % of the remainder of the route is only single carriageway standard.</w:t>
      </w:r>
    </w:p>
    <w:p w:rsidR="0085264B" w:rsidRPr="00BC41FB" w:rsidRDefault="0085264B" w:rsidP="0085264B">
      <w:pPr>
        <w:spacing w:before="120" w:after="120"/>
        <w:ind w:left="851"/>
        <w:rPr>
          <w:sz w:val="22"/>
          <w:szCs w:val="22"/>
        </w:rPr>
      </w:pPr>
      <w:r w:rsidRPr="008376DD">
        <w:rPr>
          <w:b/>
          <w:sz w:val="22"/>
          <w:szCs w:val="22"/>
        </w:rPr>
        <w:t>Undiscounted costs (Million €, 2014 prices</w:t>
      </w:r>
      <w:r w:rsidRPr="00BC41FB">
        <w:rPr>
          <w:sz w:val="22"/>
          <w:szCs w:val="22"/>
        </w:rPr>
        <w:t>)</w:t>
      </w:r>
      <w:r>
        <w:rPr>
          <w:sz w:val="22"/>
          <w:szCs w:val="22"/>
        </w:rPr>
        <w:t>:</w:t>
      </w:r>
    </w:p>
    <w:p w:rsidR="0085264B" w:rsidRPr="00BC41FB"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€1,427</w:t>
      </w:r>
      <w:r w:rsidRPr="00BC41FB">
        <w:rPr>
          <w:sz w:val="22"/>
          <w:szCs w:val="22"/>
        </w:rPr>
        <w:t>M</w:t>
      </w:r>
    </w:p>
    <w:p w:rsidR="0085264B" w:rsidRPr="008376DD" w:rsidRDefault="0085264B" w:rsidP="0085264B">
      <w:pPr>
        <w:spacing w:before="120" w:after="120"/>
        <w:ind w:left="851"/>
        <w:rPr>
          <w:b/>
          <w:sz w:val="22"/>
          <w:szCs w:val="22"/>
        </w:rPr>
      </w:pPr>
      <w:r w:rsidRPr="008376DD">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C41FB">
        <w:t xml:space="preserve">This project returns </w:t>
      </w:r>
      <w:r>
        <w:t xml:space="preserve">a very positive </w:t>
      </w:r>
      <w:r w:rsidRPr="00BC41FB">
        <w:t xml:space="preserve">BCR value of </w:t>
      </w:r>
      <w:r>
        <w:t>3.55</w:t>
      </w:r>
      <w:r w:rsidRPr="00BC41FB">
        <w:t xml:space="preserve"> and </w:t>
      </w:r>
      <w:r>
        <w:t xml:space="preserve">is forecast to </w:t>
      </w:r>
      <w:r w:rsidRPr="00BC41FB">
        <w:t>carr</w:t>
      </w:r>
      <w:r>
        <w:t>y</w:t>
      </w:r>
      <w:r w:rsidRPr="00BC41FB">
        <w:t xml:space="preserve"> around </w:t>
      </w:r>
      <w:r>
        <w:t>50</w:t>
      </w:r>
      <w:r w:rsidRPr="00BC41FB">
        <w:t xml:space="preserve">,000 vehicles </w:t>
      </w:r>
      <w:r>
        <w:t xml:space="preserve">two-way </w:t>
      </w:r>
      <w:r w:rsidRPr="00BC41FB">
        <w:t>(AADT)</w:t>
      </w:r>
      <w:r>
        <w:t xml:space="preserve"> in 2020</w:t>
      </w:r>
      <w:r w:rsidRPr="00BC41FB">
        <w:t>. The impact on the other modes is small</w:t>
      </w:r>
      <w:r>
        <w:t>,</w:t>
      </w:r>
      <w:r w:rsidRPr="00BC41FB">
        <w:t xml:space="preserve"> with rail experiencing some reduction in passengers and freight.</w:t>
      </w:r>
    </w:p>
    <w:p w:rsidR="0085264B" w:rsidRDefault="0085264B" w:rsidP="0085264B">
      <w:pPr>
        <w:pStyle w:val="NumberedParas"/>
        <w:tabs>
          <w:tab w:val="clear" w:pos="2291"/>
          <w:tab w:val="left" w:pos="851"/>
          <w:tab w:val="left" w:pos="2268"/>
          <w:tab w:val="num" w:pos="2433"/>
        </w:tabs>
        <w:ind w:left="851" w:hanging="851"/>
      </w:pPr>
      <w:r w:rsidRPr="00BC41FB">
        <w:t xml:space="preserve">Almost all of the existing traffic in the immediate corridor switches to the new route. A significant amount of traffic is </w:t>
      </w:r>
      <w:r>
        <w:t xml:space="preserve">also </w:t>
      </w:r>
      <w:r w:rsidRPr="00BC41FB">
        <w:t xml:space="preserve">attracted from the route between Bucharest and Sibiu (via Pitesti) and Buzau - Brasov. The flow changes are illustrated in Figure </w:t>
      </w:r>
      <w:r>
        <w:t>4.29</w:t>
      </w:r>
      <w:r w:rsidRPr="00BC41FB">
        <w:t>.</w:t>
      </w:r>
    </w:p>
    <w:p w:rsidR="0085264B" w:rsidRPr="00A12AB3" w:rsidRDefault="0085264B" w:rsidP="0085264B">
      <w:pPr>
        <w:spacing w:before="120" w:after="120"/>
        <w:ind w:left="851"/>
        <w:rPr>
          <w:b/>
          <w:sz w:val="22"/>
          <w:szCs w:val="22"/>
        </w:rPr>
      </w:pPr>
      <w:r w:rsidRPr="00A12AB3">
        <w:rPr>
          <w:b/>
          <w:sz w:val="22"/>
          <w:szCs w:val="22"/>
        </w:rPr>
        <w:t xml:space="preserve">Figure </w:t>
      </w:r>
      <w:r>
        <w:rPr>
          <w:b/>
          <w:sz w:val="22"/>
          <w:szCs w:val="22"/>
        </w:rPr>
        <w:t>4.29</w:t>
      </w:r>
      <w:r w:rsidRPr="00A12AB3">
        <w:rPr>
          <w:b/>
          <w:sz w:val="22"/>
          <w:szCs w:val="22"/>
        </w:rPr>
        <w:tab/>
        <w:t>Flow Changes Due to Ploiesti-Brasov Motorway Project</w:t>
      </w:r>
    </w:p>
    <w:p w:rsidR="0085264B" w:rsidRDefault="0085264B" w:rsidP="0085264B">
      <w:pPr>
        <w:spacing w:before="120" w:after="120"/>
        <w:ind w:left="680" w:firstLine="171"/>
        <w:rPr>
          <w:sz w:val="22"/>
          <w:szCs w:val="22"/>
        </w:rPr>
      </w:pPr>
      <w:r>
        <w:rPr>
          <w:noProof/>
          <w:lang w:val="ro-RO" w:eastAsia="ro-RO"/>
        </w:rPr>
        <w:drawing>
          <wp:inline distT="0" distB="0" distL="0" distR="0" wp14:anchorId="73CA1542" wp14:editId="2A9E68A2">
            <wp:extent cx="5108400" cy="3438000"/>
            <wp:effectExtent l="19050" t="19050" r="16510" b="10160"/>
            <wp:docPr id="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1 Difference Plo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7594" b="12182"/>
                    <a:stretch/>
                  </pic:blipFill>
                  <pic:spPr bwMode="auto">
                    <a:xfrm>
                      <a:off x="0" y="0"/>
                      <a:ext cx="5108400" cy="3438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C41FB">
        <w:t xml:space="preserve">Average speeds between Bucharest and Brasov increase to 88 kph as a consequence of the scheme. Peak time journey times are reduced by 25%. </w:t>
      </w:r>
    </w:p>
    <w:p w:rsidR="0085264B" w:rsidRDefault="0085264B" w:rsidP="0085264B">
      <w:pPr>
        <w:pStyle w:val="NumberedParas"/>
        <w:tabs>
          <w:tab w:val="clear" w:pos="2291"/>
          <w:tab w:val="left" w:pos="851"/>
          <w:tab w:val="left" w:pos="2268"/>
          <w:tab w:val="num" w:pos="2433"/>
        </w:tabs>
        <w:ind w:left="851" w:hanging="851"/>
      </w:pPr>
      <w:r w:rsidRPr="00BC41FB">
        <w:t>The primary economic indicators for the project are as follows:</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NPV</w:t>
      </w:r>
      <w:r w:rsidRPr="00BC41FB">
        <w:rPr>
          <w:sz w:val="22"/>
          <w:szCs w:val="22"/>
        </w:rPr>
        <w:tab/>
        <w:t>=</w:t>
      </w:r>
      <w:r w:rsidRPr="00BC41FB">
        <w:rPr>
          <w:sz w:val="22"/>
          <w:szCs w:val="22"/>
        </w:rPr>
        <w:tab/>
        <w:t>€</w:t>
      </w:r>
      <w:r>
        <w:rPr>
          <w:sz w:val="22"/>
          <w:szCs w:val="22"/>
        </w:rPr>
        <w:t>2,495</w:t>
      </w:r>
      <w:r w:rsidRPr="00BC41FB">
        <w:rPr>
          <w:sz w:val="22"/>
          <w:szCs w:val="22"/>
        </w:rPr>
        <w:t>M;</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BCR</w:t>
      </w:r>
      <w:r w:rsidRPr="00BC41FB">
        <w:rPr>
          <w:sz w:val="22"/>
          <w:szCs w:val="22"/>
        </w:rPr>
        <w:tab/>
        <w:t>=</w:t>
      </w:r>
      <w:r w:rsidRPr="00BC41FB">
        <w:rPr>
          <w:sz w:val="22"/>
          <w:szCs w:val="22"/>
        </w:rPr>
        <w:tab/>
      </w:r>
      <w:r>
        <w:rPr>
          <w:sz w:val="22"/>
          <w:szCs w:val="22"/>
        </w:rPr>
        <w:t>3.55</w:t>
      </w:r>
      <w:r w:rsidRPr="00BC41FB">
        <w:rPr>
          <w:sz w:val="22"/>
          <w:szCs w:val="22"/>
        </w:rPr>
        <w:t>; and</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EIRR</w:t>
      </w:r>
      <w:r w:rsidRPr="00BC41FB">
        <w:rPr>
          <w:sz w:val="22"/>
          <w:szCs w:val="22"/>
        </w:rPr>
        <w:tab/>
        <w:t>=</w:t>
      </w:r>
      <w:r w:rsidRPr="00BC41FB">
        <w:rPr>
          <w:sz w:val="22"/>
          <w:szCs w:val="22"/>
        </w:rPr>
        <w:tab/>
        <w:t>1</w:t>
      </w:r>
      <w:r>
        <w:rPr>
          <w:sz w:val="22"/>
          <w:szCs w:val="22"/>
        </w:rPr>
        <w:t>3.7</w:t>
      </w:r>
      <w:r w:rsidRPr="00BC41FB">
        <w:rPr>
          <w:sz w:val="22"/>
          <w:szCs w:val="22"/>
        </w:rPr>
        <w:t>%.</w:t>
      </w:r>
    </w:p>
    <w:p w:rsidR="0085264B" w:rsidRDefault="0085264B" w:rsidP="0085264B">
      <w:pPr>
        <w:pStyle w:val="Hdg3"/>
        <w:ind w:firstLine="851"/>
      </w:pPr>
      <w:r>
        <w:t>Level 1 Schemes – OR2</w:t>
      </w:r>
      <w:r w:rsidRPr="00C74D75">
        <w:t xml:space="preserve"> </w:t>
      </w:r>
      <w:r w:rsidRPr="00AB1689">
        <w:t>- Brasov-Sibiu</w:t>
      </w:r>
      <w:r w:rsidRPr="0016722C">
        <w:t xml:space="preserve"> </w:t>
      </w:r>
      <w:r w:rsidRPr="00C74D75">
        <w:t>Motorway</w:t>
      </w:r>
    </w:p>
    <w:p w:rsidR="0085264B" w:rsidRPr="00E9660A" w:rsidRDefault="0085264B" w:rsidP="0085264B">
      <w:pPr>
        <w:spacing w:before="120" w:after="120"/>
        <w:ind w:left="851"/>
        <w:rPr>
          <w:b/>
          <w:sz w:val="22"/>
          <w:szCs w:val="22"/>
        </w:rPr>
      </w:pPr>
      <w:r w:rsidRPr="00E9660A">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16722C">
        <w:t>The high level objective for the project is to increase the economic efficiency of the transport network in Romania. The particular operational objective is to improve travel speeds in the west corridor from Bucharest to Sibiu.</w:t>
      </w:r>
    </w:p>
    <w:p w:rsidR="0085264B" w:rsidRDefault="0085264B" w:rsidP="0085264B">
      <w:pPr>
        <w:pStyle w:val="NumberedParas"/>
        <w:tabs>
          <w:tab w:val="clear" w:pos="2291"/>
          <w:tab w:val="left" w:pos="851"/>
          <w:tab w:val="left" w:pos="2268"/>
          <w:tab w:val="num" w:pos="2433"/>
        </w:tabs>
        <w:ind w:left="851" w:hanging="851"/>
      </w:pPr>
      <w:r w:rsidRPr="0016722C">
        <w:t>The proposal will provide a new motorway link between Brasov and Sibiu. In combination with OR1, this will provide a motorway standard route between Bucharest and Sibiu and thereafter, via the committed A1 improvements, to the Hungarian border.</w:t>
      </w:r>
      <w:r>
        <w:t xml:space="preserve"> It therefore also fulfils operational objectives set out in Table 4.15 for OR1 (Bucharest- Brasov) and contributes to improved regional and national connectivity for East-West traffic through the country. Similarly it has European added value as it is a key link along the corridor that ultimately provides access from Romania’s Western borders to the Black Sea.</w:t>
      </w:r>
    </w:p>
    <w:p w:rsidR="0085264B" w:rsidRDefault="0085264B" w:rsidP="0085264B">
      <w:pPr>
        <w:pStyle w:val="NumberedParas"/>
        <w:tabs>
          <w:tab w:val="clear" w:pos="2291"/>
          <w:tab w:val="left" w:pos="851"/>
          <w:tab w:val="left" w:pos="2268"/>
          <w:tab w:val="num" w:pos="2433"/>
        </w:tabs>
        <w:ind w:left="851" w:hanging="851"/>
      </w:pPr>
      <w:r w:rsidRPr="0016722C">
        <w:t xml:space="preserve">The alignment of the route and its linkage to the existing network is shown in Figure </w:t>
      </w:r>
      <w:r>
        <w:t>4.30</w:t>
      </w:r>
      <w:r w:rsidRPr="0016722C">
        <w:t xml:space="preserve"> below.</w:t>
      </w:r>
    </w:p>
    <w:p w:rsidR="0085264B" w:rsidRPr="00A12AB3" w:rsidRDefault="0085264B" w:rsidP="0085264B">
      <w:pPr>
        <w:spacing w:before="120" w:after="120" w:line="276" w:lineRule="auto"/>
        <w:ind w:firstLine="851"/>
        <w:rPr>
          <w:b/>
          <w:sz w:val="22"/>
          <w:szCs w:val="22"/>
        </w:rPr>
      </w:pPr>
      <w:r w:rsidRPr="00A12AB3">
        <w:rPr>
          <w:b/>
          <w:sz w:val="22"/>
          <w:szCs w:val="22"/>
        </w:rPr>
        <w:t xml:space="preserve">Figure </w:t>
      </w:r>
      <w:r>
        <w:rPr>
          <w:b/>
          <w:sz w:val="22"/>
          <w:szCs w:val="22"/>
        </w:rPr>
        <w:t>4.30</w:t>
      </w:r>
      <w:r w:rsidRPr="00A12AB3">
        <w:rPr>
          <w:b/>
          <w:sz w:val="22"/>
          <w:szCs w:val="22"/>
        </w:rPr>
        <w:tab/>
        <w:t>Brasov-Sibiu Motorway Indicative Alignment</w:t>
      </w:r>
    </w:p>
    <w:p w:rsidR="0085264B" w:rsidRDefault="0085264B" w:rsidP="0085264B">
      <w:pPr>
        <w:spacing w:before="120" w:after="120" w:line="276" w:lineRule="auto"/>
        <w:ind w:firstLine="851"/>
        <w:rPr>
          <w:sz w:val="22"/>
          <w:szCs w:val="22"/>
        </w:rPr>
      </w:pPr>
      <w:r>
        <w:rPr>
          <w:noProof/>
          <w:lang w:val="ro-RO" w:eastAsia="ro-RO"/>
        </w:rPr>
        <w:drawing>
          <wp:inline distT="0" distB="0" distL="0" distR="0" wp14:anchorId="1A20D8A9" wp14:editId="79247BA5">
            <wp:extent cx="5079600" cy="3430800"/>
            <wp:effectExtent l="19050" t="19050" r="26035" b="17780"/>
            <wp:docPr id="2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2B Alignment Plo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7947" b="11589"/>
                    <a:stretch/>
                  </pic:blipFill>
                  <pic:spPr bwMode="auto">
                    <a:xfrm>
                      <a:off x="0" y="0"/>
                      <a:ext cx="5079600" cy="3430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B1689">
        <w:t>The route forms part of the corridor that will provide a link from the TEN-T core node of Bucharest. It also directly links Brasov and Sibiu; both TEN-T nodes.</w:t>
      </w:r>
    </w:p>
    <w:p w:rsidR="0085264B" w:rsidRPr="008376DD" w:rsidRDefault="0085264B" w:rsidP="0085264B">
      <w:pPr>
        <w:spacing w:before="120" w:after="120" w:line="276" w:lineRule="auto"/>
        <w:ind w:left="851"/>
        <w:rPr>
          <w:b/>
          <w:sz w:val="22"/>
          <w:szCs w:val="22"/>
        </w:rPr>
      </w:pPr>
      <w:r w:rsidRPr="008376DD">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AB1689">
        <w:t xml:space="preserve">The corridor was identified as part of an analysis of the economic impact of delays and there are multiple accident blackspot locations </w:t>
      </w:r>
      <w:r>
        <w:t>in the corridor</w:t>
      </w:r>
      <w:r w:rsidRPr="00AB1689">
        <w:t>.</w:t>
      </w:r>
    </w:p>
    <w:p w:rsidR="0085264B" w:rsidRDefault="0085264B" w:rsidP="0085264B">
      <w:pPr>
        <w:pStyle w:val="NumberedParas"/>
        <w:tabs>
          <w:tab w:val="clear" w:pos="2291"/>
          <w:tab w:val="left" w:pos="851"/>
          <w:tab w:val="left" w:pos="2268"/>
          <w:tab w:val="num" w:pos="2433"/>
        </w:tabs>
        <w:ind w:left="851" w:hanging="851"/>
      </w:pPr>
      <w:r w:rsidRPr="00AB1689">
        <w:t>Domestically, accessibility is poorer than in cities which do have a high quality link to Bucharest.</w:t>
      </w:r>
      <w:r w:rsidRPr="005F63C6">
        <w:t xml:space="preserve"> </w:t>
      </w:r>
      <w:r>
        <w:t>Presently, t</w:t>
      </w:r>
      <w:r w:rsidRPr="00AB1689">
        <w:t>he bulk of the infrastructure pr</w:t>
      </w:r>
      <w:r>
        <w:t xml:space="preserve">ovision in the corridor is poor as nearly </w:t>
      </w:r>
      <w:r w:rsidRPr="00AB1689">
        <w:t>72% of the route is only single carriageway standard.</w:t>
      </w:r>
    </w:p>
    <w:p w:rsidR="0085264B" w:rsidRDefault="0085264B" w:rsidP="0085264B">
      <w:pPr>
        <w:pStyle w:val="NumberedParas"/>
        <w:tabs>
          <w:tab w:val="clear" w:pos="2291"/>
          <w:tab w:val="left" w:pos="851"/>
          <w:tab w:val="left" w:pos="2268"/>
          <w:tab w:val="num" w:pos="2433"/>
        </w:tabs>
        <w:ind w:left="851" w:hanging="851"/>
      </w:pPr>
      <w:r>
        <w:t>Analysis of the base year model shows</w:t>
      </w:r>
      <w:r w:rsidRPr="00AB1689">
        <w:t xml:space="preserve"> poor average travel times between Brasov and Sibiu; </w:t>
      </w:r>
      <w:r>
        <w:t xml:space="preserve">with </w:t>
      </w:r>
      <w:r w:rsidRPr="00AB1689">
        <w:t xml:space="preserve">typical average speeds for this route around 68kph. </w:t>
      </w:r>
    </w:p>
    <w:p w:rsidR="0085264B" w:rsidRPr="008376DD" w:rsidRDefault="0085264B" w:rsidP="0085264B">
      <w:pPr>
        <w:spacing w:before="120" w:after="120" w:line="276" w:lineRule="auto"/>
        <w:ind w:left="851"/>
        <w:rPr>
          <w:b/>
          <w:sz w:val="22"/>
          <w:szCs w:val="22"/>
        </w:rPr>
      </w:pPr>
      <w:r w:rsidRPr="008376DD">
        <w:rPr>
          <w:b/>
          <w:sz w:val="22"/>
          <w:szCs w:val="22"/>
        </w:rPr>
        <w:t>Undiscounted costs (Million €, 2014 prices):</w:t>
      </w:r>
    </w:p>
    <w:p w:rsidR="0085264B" w:rsidRPr="00AB1689" w:rsidRDefault="0085264B" w:rsidP="0085264B">
      <w:pPr>
        <w:pStyle w:val="ListParagraph"/>
        <w:numPr>
          <w:ilvl w:val="0"/>
          <w:numId w:val="53"/>
        </w:numPr>
        <w:spacing w:before="120" w:after="120" w:line="276" w:lineRule="auto"/>
        <w:contextualSpacing/>
        <w:rPr>
          <w:sz w:val="22"/>
          <w:szCs w:val="22"/>
        </w:rPr>
      </w:pPr>
      <w:r w:rsidRPr="00AB1689">
        <w:rPr>
          <w:sz w:val="22"/>
          <w:szCs w:val="22"/>
        </w:rPr>
        <w:t xml:space="preserve">CAPEX </w:t>
      </w:r>
      <w:r w:rsidRPr="00AB1689">
        <w:rPr>
          <w:sz w:val="22"/>
          <w:szCs w:val="22"/>
        </w:rPr>
        <w:tab/>
        <w:t>€</w:t>
      </w:r>
      <w:r>
        <w:rPr>
          <w:sz w:val="22"/>
          <w:szCs w:val="22"/>
        </w:rPr>
        <w:t>2,117</w:t>
      </w:r>
      <w:r w:rsidRPr="00AB1689">
        <w:rPr>
          <w:sz w:val="22"/>
          <w:szCs w:val="22"/>
        </w:rPr>
        <w:t>M</w:t>
      </w:r>
    </w:p>
    <w:p w:rsidR="0085264B" w:rsidRPr="008376DD" w:rsidRDefault="0085264B" w:rsidP="0085264B">
      <w:pPr>
        <w:spacing w:before="120" w:after="120" w:line="276" w:lineRule="auto"/>
        <w:ind w:left="851"/>
        <w:rPr>
          <w:b/>
          <w:sz w:val="22"/>
          <w:szCs w:val="22"/>
        </w:rPr>
      </w:pPr>
      <w:r w:rsidRPr="008376DD">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AB1689">
        <w:t>This project returns excellent value for money (BCR of 5.</w:t>
      </w:r>
      <w:r>
        <w:t>70</w:t>
      </w:r>
      <w:r w:rsidRPr="00AB1689">
        <w:t xml:space="preserve">), and carries around </w:t>
      </w:r>
      <w:r>
        <w:t>50</w:t>
      </w:r>
      <w:r w:rsidRPr="00AB1689">
        <w:t>,000 vehicles (AADT). Almost all of the existing traffic in the immediate corridor switches to the new route.</w:t>
      </w:r>
      <w:r>
        <w:t xml:space="preserve"> </w:t>
      </w:r>
      <w:r w:rsidRPr="00AB1689">
        <w:t>The flow cha</w:t>
      </w:r>
      <w:r>
        <w:t>nges are illustrated in Figure 4.31 below</w:t>
      </w:r>
      <w:r w:rsidRPr="00AB1689">
        <w:t>.</w:t>
      </w:r>
      <w:r>
        <w:t xml:space="preserve"> This shows there is also a significant transfer of traffic from the Bucharest-Pitesti-Sibiu corridor.</w:t>
      </w:r>
    </w:p>
    <w:p w:rsidR="0085264B" w:rsidRPr="00A12AB3" w:rsidRDefault="0085264B" w:rsidP="0085264B">
      <w:pPr>
        <w:keepNext/>
        <w:spacing w:before="120" w:after="120" w:line="276" w:lineRule="auto"/>
        <w:ind w:left="680"/>
        <w:rPr>
          <w:b/>
          <w:sz w:val="22"/>
          <w:szCs w:val="22"/>
        </w:rPr>
      </w:pPr>
      <w:r w:rsidRPr="00A12AB3">
        <w:rPr>
          <w:b/>
          <w:sz w:val="22"/>
          <w:szCs w:val="22"/>
        </w:rPr>
        <w:t xml:space="preserve">Figure </w:t>
      </w:r>
      <w:r>
        <w:rPr>
          <w:b/>
          <w:sz w:val="22"/>
          <w:szCs w:val="22"/>
        </w:rPr>
        <w:t xml:space="preserve">4.31 </w:t>
      </w:r>
      <w:r w:rsidRPr="00A12AB3">
        <w:rPr>
          <w:b/>
          <w:sz w:val="22"/>
          <w:szCs w:val="22"/>
        </w:rPr>
        <w:t>Flow Changes Due to Brasov-Sibiu Project</w:t>
      </w:r>
    </w:p>
    <w:p w:rsidR="0085264B" w:rsidRDefault="0085264B" w:rsidP="0085264B">
      <w:pPr>
        <w:spacing w:before="120" w:after="120" w:line="276" w:lineRule="auto"/>
        <w:ind w:left="680"/>
        <w:rPr>
          <w:sz w:val="22"/>
          <w:szCs w:val="22"/>
        </w:rPr>
      </w:pPr>
      <w:r>
        <w:rPr>
          <w:noProof/>
          <w:lang w:val="ro-RO" w:eastAsia="ro-RO"/>
        </w:rPr>
        <w:drawing>
          <wp:inline distT="0" distB="0" distL="0" distR="0" wp14:anchorId="07A86840" wp14:editId="62B403BD">
            <wp:extent cx="5140800" cy="3499200"/>
            <wp:effectExtent l="19050" t="19050" r="22225" b="25400"/>
            <wp:docPr id="2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R2B Difference Plot"/>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7285" b="11589"/>
                    <a:stretch/>
                  </pic:blipFill>
                  <pic:spPr bwMode="auto">
                    <a:xfrm>
                      <a:off x="0" y="0"/>
                      <a:ext cx="5140800" cy="3499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B1689">
        <w:t xml:space="preserve">Average speeds between Bucharest and Sibiu </w:t>
      </w:r>
      <w:r>
        <w:t xml:space="preserve">are forecast to </w:t>
      </w:r>
      <w:r w:rsidRPr="00AB1689">
        <w:t xml:space="preserve">increase to </w:t>
      </w:r>
      <w:r>
        <w:t>nearly 90</w:t>
      </w:r>
      <w:r w:rsidRPr="00AB1689">
        <w:t xml:space="preserve"> kph as a consequence of the scheme</w:t>
      </w:r>
      <w:r>
        <w:t xml:space="preserve"> implementation</w:t>
      </w:r>
      <w:r w:rsidRPr="00AB1689">
        <w:t xml:space="preserve">. </w:t>
      </w:r>
      <w:r>
        <w:t>Meanwhile, p</w:t>
      </w:r>
      <w:r w:rsidRPr="00AB1689">
        <w:t>eak time journey times are reduced by 29%.</w:t>
      </w:r>
    </w:p>
    <w:p w:rsidR="0085264B" w:rsidRDefault="0085264B" w:rsidP="0085264B">
      <w:pPr>
        <w:pStyle w:val="NumberedParas"/>
        <w:tabs>
          <w:tab w:val="clear" w:pos="2291"/>
          <w:tab w:val="left" w:pos="851"/>
          <w:tab w:val="left" w:pos="2268"/>
          <w:tab w:val="num" w:pos="2433"/>
        </w:tabs>
        <w:ind w:left="851" w:hanging="851"/>
      </w:pPr>
      <w:r w:rsidRPr="00AB1689">
        <w:t>The primary economic indicators for the project are as follows:</w:t>
      </w:r>
    </w:p>
    <w:p w:rsidR="0085264B" w:rsidRPr="00AB1689" w:rsidRDefault="0085264B" w:rsidP="0085264B">
      <w:pPr>
        <w:pStyle w:val="ListParagraph"/>
        <w:numPr>
          <w:ilvl w:val="0"/>
          <w:numId w:val="53"/>
        </w:numPr>
        <w:spacing w:before="120" w:after="120" w:line="276" w:lineRule="auto"/>
        <w:contextualSpacing/>
        <w:rPr>
          <w:sz w:val="22"/>
          <w:szCs w:val="22"/>
        </w:rPr>
      </w:pPr>
      <w:r>
        <w:rPr>
          <w:sz w:val="22"/>
          <w:szCs w:val="22"/>
        </w:rPr>
        <w:t>NPV</w:t>
      </w:r>
      <w:r>
        <w:rPr>
          <w:sz w:val="22"/>
          <w:szCs w:val="22"/>
        </w:rPr>
        <w:tab/>
        <w:t>= €6,895</w:t>
      </w:r>
      <w:r w:rsidRPr="00AB1689">
        <w:rPr>
          <w:sz w:val="22"/>
          <w:szCs w:val="22"/>
        </w:rPr>
        <w:t>M</w:t>
      </w:r>
      <w:r>
        <w:rPr>
          <w:sz w:val="22"/>
          <w:szCs w:val="22"/>
        </w:rPr>
        <w:t>;</w:t>
      </w:r>
    </w:p>
    <w:p w:rsidR="0085264B" w:rsidRPr="00AB1689" w:rsidRDefault="0085264B" w:rsidP="0085264B">
      <w:pPr>
        <w:pStyle w:val="ListParagraph"/>
        <w:numPr>
          <w:ilvl w:val="0"/>
          <w:numId w:val="53"/>
        </w:numPr>
        <w:spacing w:before="120" w:after="120" w:line="276" w:lineRule="auto"/>
        <w:contextualSpacing/>
        <w:rPr>
          <w:sz w:val="22"/>
          <w:szCs w:val="22"/>
        </w:rPr>
      </w:pPr>
      <w:r>
        <w:rPr>
          <w:sz w:val="22"/>
          <w:szCs w:val="22"/>
        </w:rPr>
        <w:t>BCR</w:t>
      </w:r>
      <w:r>
        <w:rPr>
          <w:sz w:val="22"/>
          <w:szCs w:val="22"/>
        </w:rPr>
        <w:tab/>
        <w:t>= 5.70</w:t>
      </w:r>
      <w:r w:rsidRPr="00AB1689">
        <w:rPr>
          <w:sz w:val="22"/>
          <w:szCs w:val="22"/>
        </w:rPr>
        <w:t>; and</w:t>
      </w:r>
    </w:p>
    <w:p w:rsidR="0085264B" w:rsidRPr="00AB1689"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18.1</w:t>
      </w:r>
      <w:r w:rsidRPr="00AB1689">
        <w:rPr>
          <w:sz w:val="22"/>
          <w:szCs w:val="22"/>
        </w:rPr>
        <w:t xml:space="preserve">%. </w:t>
      </w:r>
      <w:r w:rsidRPr="00AB1689">
        <w:rPr>
          <w:sz w:val="22"/>
          <w:szCs w:val="22"/>
        </w:rPr>
        <w:tab/>
      </w:r>
    </w:p>
    <w:p w:rsidR="0085264B" w:rsidRDefault="0085264B" w:rsidP="0085264B">
      <w:pPr>
        <w:pStyle w:val="Body"/>
      </w:pPr>
    </w:p>
    <w:p w:rsidR="0085264B" w:rsidRDefault="0085264B" w:rsidP="0085264B">
      <w:pPr>
        <w:spacing w:before="120" w:after="120" w:line="276" w:lineRule="auto"/>
        <w:ind w:left="680"/>
        <w:rPr>
          <w:sz w:val="22"/>
          <w:szCs w:val="22"/>
        </w:rPr>
      </w:pPr>
    </w:p>
    <w:p w:rsidR="0085264B" w:rsidRDefault="0085264B" w:rsidP="0085264B">
      <w:pPr>
        <w:pStyle w:val="Hdg3"/>
      </w:pPr>
      <w:r>
        <w:br w:type="page"/>
      </w:r>
    </w:p>
    <w:p w:rsidR="0085264B" w:rsidRDefault="0085264B" w:rsidP="0085264B">
      <w:pPr>
        <w:pStyle w:val="Hdg3"/>
        <w:ind w:left="851"/>
      </w:pPr>
      <w:r>
        <w:t xml:space="preserve">Level 1 Schemes – </w:t>
      </w:r>
      <w:r w:rsidRPr="00AB1689">
        <w:t>OR3 - Brasov-Bacau-Ias</w:t>
      </w:r>
      <w:r>
        <w:t>i</w:t>
      </w:r>
      <w:r w:rsidRPr="00AB1689">
        <w:t xml:space="preserve"> Motorway</w:t>
      </w:r>
    </w:p>
    <w:p w:rsidR="0085264B" w:rsidRPr="008376DD" w:rsidRDefault="0085264B" w:rsidP="0085264B">
      <w:pPr>
        <w:spacing w:before="120" w:after="120" w:line="276" w:lineRule="auto"/>
        <w:ind w:left="851"/>
        <w:rPr>
          <w:b/>
          <w:sz w:val="22"/>
          <w:szCs w:val="22"/>
        </w:rPr>
      </w:pPr>
      <w:r w:rsidRPr="008376DD">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AB1689">
        <w:t>The high level objective for the project is to increase the economic efficiency of the transport network in Romania. The particular operational objective is to improve travel speeds in the corridor from Bucharest to the North East</w:t>
      </w:r>
      <w:r>
        <w:t xml:space="preserve"> as set out in Table 4.15</w:t>
      </w:r>
      <w:r w:rsidRPr="00AB1689">
        <w:t xml:space="preserve">. </w:t>
      </w:r>
    </w:p>
    <w:p w:rsidR="0085264B" w:rsidRDefault="0085264B" w:rsidP="0085264B">
      <w:pPr>
        <w:pStyle w:val="NumberedParas"/>
        <w:tabs>
          <w:tab w:val="clear" w:pos="2291"/>
          <w:tab w:val="left" w:pos="851"/>
          <w:tab w:val="left" w:pos="2268"/>
          <w:tab w:val="num" w:pos="2433"/>
        </w:tabs>
        <w:ind w:left="851" w:hanging="851"/>
      </w:pPr>
      <w:r w:rsidRPr="00AB1689">
        <w:t>The proposal will provide a new motorway link between Brasov and Iasi near the Moldovan Border.</w:t>
      </w:r>
      <w:r>
        <w:t xml:space="preserve"> </w:t>
      </w:r>
      <w:r w:rsidRPr="00AB1689">
        <w:t>The alignment of the route and its linkage to the exist</w:t>
      </w:r>
      <w:r>
        <w:t>ing network is shown in Figure 4.32</w:t>
      </w:r>
      <w:r w:rsidRPr="00AB1689">
        <w:t xml:space="preserve"> below. </w:t>
      </w:r>
      <w:r>
        <w:t>This illustrates how the route connects with the route north from Bucharest via Ploiesti to Brasov to provide a strong regional link for the North East to the capital. In combination with other routes, it also enhances links across Romania to Moldova thereby adding European value.</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4.32</w:t>
      </w:r>
      <w:r w:rsidRPr="0045095C">
        <w:rPr>
          <w:b/>
          <w:sz w:val="22"/>
          <w:szCs w:val="22"/>
        </w:rPr>
        <w:tab/>
        <w:t>Brasov-Bacau-Iasi Motorway Indicative Alignment</w:t>
      </w:r>
    </w:p>
    <w:p w:rsidR="0085264B" w:rsidRDefault="0085264B" w:rsidP="0085264B">
      <w:pPr>
        <w:spacing w:before="120" w:after="120" w:line="276" w:lineRule="auto"/>
        <w:ind w:left="680" w:firstLine="171"/>
        <w:rPr>
          <w:sz w:val="22"/>
          <w:szCs w:val="22"/>
        </w:rPr>
      </w:pPr>
      <w:r w:rsidRPr="00A83752">
        <w:rPr>
          <w:noProof/>
          <w:sz w:val="22"/>
          <w:szCs w:val="22"/>
          <w:lang w:val="ro-RO" w:eastAsia="ro-RO"/>
        </w:rPr>
        <w:drawing>
          <wp:inline distT="0" distB="0" distL="0" distR="0" wp14:anchorId="2F00551C" wp14:editId="3ACDD8C8">
            <wp:extent cx="5278120" cy="4127367"/>
            <wp:effectExtent l="19050" t="19050" r="17780" b="25533"/>
            <wp:docPr id="1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srcRect/>
                    <a:stretch>
                      <a:fillRect/>
                    </a:stretch>
                  </pic:blipFill>
                  <pic:spPr bwMode="auto">
                    <a:xfrm>
                      <a:off x="0" y="0"/>
                      <a:ext cx="5278120" cy="4127367"/>
                    </a:xfrm>
                    <a:prstGeom prst="rect">
                      <a:avLst/>
                    </a:prstGeom>
                    <a:noFill/>
                    <a:ln w="6350" cap="flat" cmpd="sng" algn="ctr">
                      <a:solidFill>
                        <a:sysClr val="windowText" lastClr="000000"/>
                      </a:solidFill>
                      <a:prstDash val="solid"/>
                      <a:miter lim="800000"/>
                      <a:headEnd type="none" w="med" len="med"/>
                      <a:tailEnd type="none" w="med" len="me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063D06">
        <w:t>The route forms part of the corridor that will provide a link from the TEN-T core node of Bucharest. It also directly links Brasov and Bacau; both TEN-T nodes</w:t>
      </w:r>
      <w:r>
        <w:t>.</w:t>
      </w:r>
    </w:p>
    <w:p w:rsidR="0085264B" w:rsidRPr="00063D06" w:rsidRDefault="0085264B" w:rsidP="0085264B">
      <w:pPr>
        <w:spacing w:before="120" w:after="120" w:line="276" w:lineRule="auto"/>
        <w:ind w:left="851"/>
        <w:rPr>
          <w:sz w:val="22"/>
          <w:szCs w:val="22"/>
        </w:rPr>
      </w:pPr>
      <w:r w:rsidRPr="00B12074">
        <w:rPr>
          <w:b/>
          <w:sz w:val="22"/>
          <w:szCs w:val="22"/>
        </w:rPr>
        <w:t>Brief Description of Problem(s) Addressed</w:t>
      </w:r>
      <w:r>
        <w:rPr>
          <w:sz w:val="22"/>
          <w:szCs w:val="22"/>
        </w:rPr>
        <w:t>:</w:t>
      </w:r>
    </w:p>
    <w:p w:rsidR="0085264B" w:rsidRDefault="0085264B" w:rsidP="0085264B">
      <w:pPr>
        <w:pStyle w:val="NumberedParas"/>
        <w:tabs>
          <w:tab w:val="clear" w:pos="2291"/>
          <w:tab w:val="left" w:pos="851"/>
          <w:tab w:val="left" w:pos="2268"/>
          <w:tab w:val="num" w:pos="2433"/>
        </w:tabs>
        <w:ind w:left="851" w:hanging="851"/>
      </w:pPr>
      <w:r w:rsidRPr="00063D06">
        <w:t>The corridor was identified as part of an analysis of the economic impact of delays and there are multiple accident blackspot locations in the corridor.</w:t>
      </w:r>
    </w:p>
    <w:p w:rsidR="0085264B" w:rsidRDefault="0085264B" w:rsidP="0085264B">
      <w:pPr>
        <w:pStyle w:val="NumberedParas"/>
        <w:tabs>
          <w:tab w:val="clear" w:pos="2291"/>
          <w:tab w:val="left" w:pos="851"/>
          <w:tab w:val="left" w:pos="2268"/>
          <w:tab w:val="num" w:pos="2433"/>
        </w:tabs>
        <w:ind w:left="851" w:hanging="851"/>
      </w:pPr>
      <w:r w:rsidRPr="00063D06">
        <w:t>Domestically, accessibility is poorer from cities which do not have a high quality link to Bucharest.</w:t>
      </w:r>
    </w:p>
    <w:p w:rsidR="0085264B" w:rsidRDefault="0085264B" w:rsidP="0085264B">
      <w:pPr>
        <w:pStyle w:val="NumberedParas"/>
        <w:tabs>
          <w:tab w:val="clear" w:pos="2291"/>
          <w:tab w:val="left" w:pos="851"/>
          <w:tab w:val="left" w:pos="2268"/>
          <w:tab w:val="num" w:pos="2433"/>
        </w:tabs>
        <w:ind w:left="851" w:hanging="851"/>
      </w:pPr>
      <w:r w:rsidRPr="00063D06">
        <w:t xml:space="preserve">There are poor average travel times between Brasov and Iasi; </w:t>
      </w:r>
      <w:r>
        <w:t xml:space="preserve">with the base year model estimating </w:t>
      </w:r>
      <w:r w:rsidRPr="00063D06">
        <w:t xml:space="preserve">average speeds for this route </w:t>
      </w:r>
      <w:r>
        <w:t>to be</w:t>
      </w:r>
      <w:r w:rsidRPr="00063D06">
        <w:t xml:space="preserve"> around 64 kph.</w:t>
      </w:r>
    </w:p>
    <w:p w:rsidR="0085264B" w:rsidRDefault="0085264B" w:rsidP="0085264B">
      <w:pPr>
        <w:pStyle w:val="NumberedParas"/>
        <w:tabs>
          <w:tab w:val="clear" w:pos="2291"/>
          <w:tab w:val="left" w:pos="851"/>
          <w:tab w:val="left" w:pos="2268"/>
          <w:tab w:val="num" w:pos="2433"/>
        </w:tabs>
        <w:ind w:left="851" w:hanging="851"/>
      </w:pPr>
      <w:r>
        <w:t>Currently, t</w:t>
      </w:r>
      <w:r w:rsidRPr="00063D06">
        <w:t xml:space="preserve">he bulk of the infrastructure provision in the corridor is poor </w:t>
      </w:r>
      <w:r>
        <w:t>with nearly</w:t>
      </w:r>
      <w:r w:rsidRPr="00063D06">
        <w:t xml:space="preserve"> 82% of the route </w:t>
      </w:r>
      <w:r>
        <w:t xml:space="preserve">classified as </w:t>
      </w:r>
      <w:r w:rsidRPr="00063D06">
        <w:t xml:space="preserve">only single carriageway standard. </w:t>
      </w:r>
    </w:p>
    <w:p w:rsidR="0085264B" w:rsidRPr="00B12074" w:rsidRDefault="0085264B" w:rsidP="0085264B">
      <w:pPr>
        <w:spacing w:before="120" w:after="120" w:line="276" w:lineRule="auto"/>
        <w:ind w:left="851"/>
        <w:rPr>
          <w:b/>
          <w:sz w:val="22"/>
          <w:szCs w:val="22"/>
        </w:rPr>
      </w:pPr>
      <w:r w:rsidRPr="00B12074">
        <w:rPr>
          <w:b/>
          <w:sz w:val="22"/>
          <w:szCs w:val="22"/>
        </w:rPr>
        <w:t>Undiscounted costs (Million €, 2014 prices):</w:t>
      </w:r>
    </w:p>
    <w:p w:rsidR="0085264B" w:rsidRPr="00063D06"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€4,561</w:t>
      </w:r>
      <w:r w:rsidRPr="00063D06">
        <w:rPr>
          <w:sz w:val="22"/>
          <w:szCs w:val="22"/>
        </w:rPr>
        <w:t>M</w:t>
      </w:r>
    </w:p>
    <w:p w:rsidR="0085264B" w:rsidRPr="00B12074" w:rsidRDefault="0085264B" w:rsidP="0085264B">
      <w:pPr>
        <w:spacing w:before="120" w:after="120" w:line="276" w:lineRule="auto"/>
        <w:ind w:left="851"/>
        <w:rPr>
          <w:b/>
          <w:sz w:val="22"/>
          <w:szCs w:val="22"/>
        </w:rPr>
      </w:pPr>
      <w:r w:rsidRPr="00B12074">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063D06">
        <w:t xml:space="preserve">This project returns </w:t>
      </w:r>
      <w:r>
        <w:t>a value for money figure of 1.3</w:t>
      </w:r>
      <w:r w:rsidRPr="00063D06">
        <w:t xml:space="preserve">, and </w:t>
      </w:r>
      <w:r>
        <w:t xml:space="preserve">is forecast to </w:t>
      </w:r>
      <w:r w:rsidRPr="00063D06">
        <w:t>carr</w:t>
      </w:r>
      <w:r>
        <w:t>y</w:t>
      </w:r>
      <w:r w:rsidRPr="00A83752">
        <w:rPr>
          <w:b/>
        </w:rPr>
        <w:t xml:space="preserve"> </w:t>
      </w:r>
      <w:r w:rsidRPr="008B385C">
        <w:t>a</w:t>
      </w:r>
      <w:r w:rsidRPr="00063D06">
        <w:t xml:space="preserve">round </w:t>
      </w:r>
      <w:r>
        <w:t>35,000</w:t>
      </w:r>
      <w:r w:rsidRPr="00063D06">
        <w:t xml:space="preserve"> vehicles (AADT)</w:t>
      </w:r>
      <w:r>
        <w:t xml:space="preserve"> between Brasov and Bacau and as far north as Roman. The eastbound link towards Iasi is forecasted to carry on average around 20,000 vehicles (AADT).</w:t>
      </w:r>
      <w:r w:rsidRPr="00063D06">
        <w:t xml:space="preserve"> </w:t>
      </w:r>
      <w:r>
        <w:t>Following the implementation of OR 3, a</w:t>
      </w:r>
      <w:r w:rsidRPr="00063D06">
        <w:t>lmost all of the existing traffic in the immediate corridor switches to the new route.</w:t>
      </w:r>
      <w:r>
        <w:t xml:space="preserve"> It also provides relief to the Bucharest-Buzau-Bacau corridor and Figure 4.33 below provides an illustration of t</w:t>
      </w:r>
      <w:r w:rsidRPr="00063D06">
        <w:t>he flow change</w:t>
      </w:r>
      <w:r>
        <w:t>s described</w:t>
      </w:r>
      <w:r w:rsidRPr="00063D06">
        <w:t>.</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 xml:space="preserve">4.33 </w:t>
      </w:r>
      <w:r w:rsidRPr="0045095C">
        <w:rPr>
          <w:b/>
          <w:sz w:val="22"/>
          <w:szCs w:val="22"/>
        </w:rPr>
        <w:t>Flow Changes Due to Brasov-Bacau-Iasi Motorway Project</w:t>
      </w:r>
    </w:p>
    <w:p w:rsidR="0085264B" w:rsidRDefault="0085264B" w:rsidP="0085264B">
      <w:pPr>
        <w:spacing w:before="120" w:after="120" w:line="276" w:lineRule="auto"/>
        <w:ind w:left="680" w:firstLine="171"/>
        <w:rPr>
          <w:sz w:val="22"/>
          <w:szCs w:val="22"/>
        </w:rPr>
      </w:pPr>
      <w:r w:rsidRPr="00A83752">
        <w:rPr>
          <w:noProof/>
          <w:sz w:val="22"/>
          <w:szCs w:val="22"/>
          <w:lang w:val="ro-RO" w:eastAsia="ro-RO"/>
        </w:rPr>
        <w:drawing>
          <wp:inline distT="0" distB="0" distL="0" distR="0" wp14:anchorId="060240AF" wp14:editId="1F782CC1">
            <wp:extent cx="4915831" cy="3020060"/>
            <wp:effectExtent l="19050" t="19050" r="18119" b="27940"/>
            <wp:docPr id="1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4915831" cy="3020060"/>
                    </a:xfrm>
                    <a:prstGeom prst="rect">
                      <a:avLst/>
                    </a:prstGeom>
                    <a:noFill/>
                    <a:ln w="6350" cap="flat" cmpd="sng" algn="ctr">
                      <a:solidFill>
                        <a:sysClr val="windowText" lastClr="000000"/>
                      </a:solidFill>
                      <a:prstDash val="solid"/>
                      <a:miter lim="800000"/>
                      <a:headEnd type="none" w="med" len="med"/>
                      <a:tailEnd type="none" w="med" len="me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forecast model estimates an increase in a</w:t>
      </w:r>
      <w:r w:rsidRPr="00063D06">
        <w:t>verage speeds between Bucharest and Brasov to 95 kph as a consequence of the scheme</w:t>
      </w:r>
      <w:r>
        <w:t xml:space="preserve"> implementation</w:t>
      </w:r>
      <w:r w:rsidRPr="00063D06">
        <w:t xml:space="preserve">. </w:t>
      </w:r>
      <w:r>
        <w:t xml:space="preserve">Meanwhile, </w:t>
      </w:r>
      <w:r w:rsidRPr="00063D06">
        <w:t xml:space="preserve">journey times </w:t>
      </w:r>
      <w:r>
        <w:t xml:space="preserve">during the peak period </w:t>
      </w:r>
      <w:r w:rsidRPr="00063D06">
        <w:t>are reduced by 34%.</w:t>
      </w:r>
    </w:p>
    <w:p w:rsidR="0085264B" w:rsidRDefault="0085264B" w:rsidP="0085264B">
      <w:pPr>
        <w:pStyle w:val="NumberedParas"/>
        <w:tabs>
          <w:tab w:val="clear" w:pos="2291"/>
          <w:tab w:val="left" w:pos="851"/>
          <w:tab w:val="left" w:pos="2268"/>
          <w:tab w:val="num" w:pos="2433"/>
        </w:tabs>
        <w:ind w:left="851" w:hanging="851"/>
      </w:pPr>
      <w:r w:rsidRPr="00063D06">
        <w:t>The primary economic indicators for the project are as follows:</w:t>
      </w:r>
    </w:p>
    <w:p w:rsidR="0085264B" w:rsidRPr="00063D06" w:rsidRDefault="0085264B" w:rsidP="0085264B">
      <w:pPr>
        <w:pStyle w:val="ListParagraph"/>
        <w:numPr>
          <w:ilvl w:val="0"/>
          <w:numId w:val="53"/>
        </w:numPr>
        <w:spacing w:before="120" w:after="120" w:line="276" w:lineRule="auto"/>
        <w:contextualSpacing/>
        <w:rPr>
          <w:sz w:val="22"/>
          <w:szCs w:val="22"/>
        </w:rPr>
      </w:pPr>
      <w:r>
        <w:rPr>
          <w:sz w:val="22"/>
          <w:szCs w:val="22"/>
        </w:rPr>
        <w:t>NPV</w:t>
      </w:r>
      <w:r>
        <w:rPr>
          <w:sz w:val="22"/>
          <w:szCs w:val="22"/>
        </w:rPr>
        <w:tab/>
        <w:t>= €943</w:t>
      </w:r>
      <w:r w:rsidRPr="00063D06">
        <w:rPr>
          <w:sz w:val="22"/>
          <w:szCs w:val="22"/>
        </w:rPr>
        <w:t>M</w:t>
      </w:r>
      <w:r>
        <w:rPr>
          <w:sz w:val="22"/>
          <w:szCs w:val="22"/>
        </w:rPr>
        <w:t>;</w:t>
      </w:r>
    </w:p>
    <w:p w:rsidR="0085264B" w:rsidRPr="00063D06" w:rsidRDefault="0085264B" w:rsidP="0085264B">
      <w:pPr>
        <w:pStyle w:val="ListParagraph"/>
        <w:numPr>
          <w:ilvl w:val="0"/>
          <w:numId w:val="53"/>
        </w:numPr>
        <w:spacing w:before="120" w:after="120" w:line="276" w:lineRule="auto"/>
        <w:contextualSpacing/>
        <w:rPr>
          <w:sz w:val="22"/>
          <w:szCs w:val="22"/>
        </w:rPr>
      </w:pPr>
      <w:r>
        <w:rPr>
          <w:sz w:val="22"/>
          <w:szCs w:val="22"/>
        </w:rPr>
        <w:t>BCR</w:t>
      </w:r>
      <w:r>
        <w:rPr>
          <w:sz w:val="22"/>
          <w:szCs w:val="22"/>
        </w:rPr>
        <w:tab/>
        <w:t>= 1.3</w:t>
      </w:r>
      <w:r w:rsidRPr="00063D06">
        <w:rPr>
          <w:sz w:val="22"/>
          <w:szCs w:val="22"/>
        </w:rPr>
        <w:t>; and</w:t>
      </w:r>
    </w:p>
    <w:p w:rsidR="0085264B" w:rsidRPr="00063D06"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6.8</w:t>
      </w:r>
      <w:r w:rsidRPr="00063D06">
        <w:rPr>
          <w:sz w:val="22"/>
          <w:szCs w:val="22"/>
        </w:rPr>
        <w:t>%</w:t>
      </w:r>
      <w:r w:rsidRPr="00063D06">
        <w:rPr>
          <w:sz w:val="22"/>
          <w:szCs w:val="22"/>
        </w:rPr>
        <w:tab/>
      </w:r>
    </w:p>
    <w:p w:rsidR="0085264B" w:rsidRDefault="0085264B" w:rsidP="0085264B">
      <w:pPr>
        <w:pStyle w:val="Hdg3"/>
        <w:ind w:left="851"/>
        <w:sectPr w:rsidR="0085264B" w:rsidSect="00933C17">
          <w:pgSz w:w="11907" w:h="16840" w:code="9"/>
          <w:pgMar w:top="1418" w:right="709" w:bottom="1418" w:left="907" w:header="357" w:footer="567" w:gutter="0"/>
          <w:cols w:space="187"/>
          <w:docGrid w:linePitch="360"/>
        </w:sectPr>
      </w:pPr>
    </w:p>
    <w:p w:rsidR="0085264B" w:rsidRPr="00C74D75" w:rsidRDefault="0085264B" w:rsidP="0085264B">
      <w:pPr>
        <w:pStyle w:val="Hdg3"/>
        <w:ind w:left="851"/>
      </w:pPr>
      <w:r>
        <w:t>Level 1 Schemes – OR4</w:t>
      </w:r>
      <w:r w:rsidRPr="00AB1689">
        <w:t xml:space="preserve"> - </w:t>
      </w:r>
      <w:r w:rsidRPr="00BC6814">
        <w:t xml:space="preserve">Pitesti-Craiova </w:t>
      </w:r>
      <w:r w:rsidRPr="00AB1689">
        <w:t>Motorway</w:t>
      </w:r>
    </w:p>
    <w:p w:rsidR="0085264B" w:rsidRPr="00620318" w:rsidRDefault="0085264B" w:rsidP="0085264B">
      <w:pPr>
        <w:spacing w:before="120" w:after="120" w:line="276" w:lineRule="auto"/>
        <w:ind w:left="851"/>
        <w:rPr>
          <w:b/>
          <w:sz w:val="22"/>
          <w:szCs w:val="22"/>
        </w:rPr>
      </w:pPr>
      <w:r w:rsidRPr="00620318">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BC6814">
        <w:t>The high level objective for the project is to increase the economic efficiency of the transport network in Romania. The particular operational objective is to improve travel speeds in the corridor from Bucharest to the South West</w:t>
      </w:r>
      <w:r>
        <w:t xml:space="preserve"> as set out in Table 4.15. The corridor is significant as shown in Figure 4.16 which highlights the TEN-T corridor in the vicinity.</w:t>
      </w:r>
    </w:p>
    <w:p w:rsidR="0085264B" w:rsidRDefault="0085264B" w:rsidP="0085264B">
      <w:pPr>
        <w:pStyle w:val="NumberedParas"/>
        <w:tabs>
          <w:tab w:val="clear" w:pos="2291"/>
          <w:tab w:val="left" w:pos="851"/>
          <w:tab w:val="left" w:pos="2268"/>
          <w:tab w:val="num" w:pos="2433"/>
        </w:tabs>
        <w:ind w:left="851" w:hanging="851"/>
      </w:pPr>
      <w:r w:rsidRPr="00BC6814">
        <w:t>The proposal will provide a new motorway link between Pitesti and Craiova.  In combination with the existing A1 Motorway, this will provide a motorway standard route between Bucharest and Craiova</w:t>
      </w:r>
      <w:r>
        <w:t>, meeting regional connectivity objectives.</w:t>
      </w:r>
      <w:r w:rsidRPr="00BC6814">
        <w:t xml:space="preserve"> </w:t>
      </w:r>
      <w:r>
        <w:t xml:space="preserve">In conjunction with OR3, the proposal </w:t>
      </w:r>
      <w:r w:rsidRPr="008175CE">
        <w:t xml:space="preserve">connects the industrial city of Craiova with Brasov, Bacau </w:t>
      </w:r>
      <w:r>
        <w:t>and Iasi providing wider economic benefits as access to wider markets is enhanced</w:t>
      </w:r>
      <w:r w:rsidRPr="008175CE">
        <w:t>.</w:t>
      </w:r>
    </w:p>
    <w:p w:rsidR="0085264B" w:rsidRDefault="0085264B" w:rsidP="0085264B">
      <w:pPr>
        <w:pStyle w:val="NumberedParas"/>
        <w:tabs>
          <w:tab w:val="clear" w:pos="2291"/>
          <w:tab w:val="left" w:pos="851"/>
          <w:tab w:val="left" w:pos="2268"/>
          <w:tab w:val="num" w:pos="2433"/>
        </w:tabs>
        <w:ind w:left="851" w:hanging="851"/>
      </w:pPr>
      <w:r w:rsidRPr="00BC6814">
        <w:t>The alignment of the route and its linkage to the existi</w:t>
      </w:r>
      <w:r>
        <w:t>ng network is shown in Figure 4.34</w:t>
      </w:r>
      <w:r w:rsidRPr="00BC6814">
        <w:t xml:space="preserve"> below.  </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4.34</w:t>
      </w:r>
      <w:r w:rsidRPr="0045095C">
        <w:rPr>
          <w:b/>
          <w:sz w:val="22"/>
          <w:szCs w:val="22"/>
        </w:rPr>
        <w:tab/>
        <w:t>Pitesti-Craiova Motorway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60599DE9" wp14:editId="690BDD84">
            <wp:extent cx="5079600" cy="3402000"/>
            <wp:effectExtent l="19050" t="19050" r="26035" b="27305"/>
            <wp:docPr id="2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4A Alignment Plo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8278" b="11920"/>
                    <a:stretch/>
                  </pic:blipFill>
                  <pic:spPr bwMode="auto">
                    <a:xfrm>
                      <a:off x="0" y="0"/>
                      <a:ext cx="5079600" cy="3402000"/>
                    </a:xfrm>
                    <a:prstGeom prst="rect">
                      <a:avLst/>
                    </a:prstGeom>
                    <a:noFill/>
                    <a:ln w="6350"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C6814">
        <w:t>The route forms part of the corridor that will provide a link from the TEN-T core node of Bucharest. It also directly links to Craiova, a TEN-T node.</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BC6814">
        <w:t>The corridor was identified as part of an analysis of the economic impact of delays and there are multiple accident blac</w:t>
      </w:r>
      <w:r>
        <w:t>kspot locations in the corridor.</w:t>
      </w:r>
    </w:p>
    <w:p w:rsidR="0085264B" w:rsidRDefault="0085264B" w:rsidP="0085264B">
      <w:pPr>
        <w:pStyle w:val="NumberedParas"/>
        <w:tabs>
          <w:tab w:val="clear" w:pos="2291"/>
          <w:tab w:val="left" w:pos="851"/>
          <w:tab w:val="left" w:pos="2268"/>
          <w:tab w:val="num" w:pos="2433"/>
        </w:tabs>
        <w:ind w:left="851" w:hanging="851"/>
      </w:pPr>
      <w:r w:rsidRPr="00BC6814">
        <w:t>Domestically, accessibility is poorer from cities</w:t>
      </w:r>
      <w:r>
        <w:t>,</w:t>
      </w:r>
      <w:r w:rsidRPr="00BC6814">
        <w:t xml:space="preserve"> which do not have a</w:t>
      </w:r>
      <w:r>
        <w:t xml:space="preserve"> high quality link to Bucharest.</w:t>
      </w:r>
      <w:r w:rsidRPr="00474B80">
        <w:t xml:space="preserve"> </w:t>
      </w:r>
      <w:r>
        <w:t>Currently, t</w:t>
      </w:r>
      <w:r w:rsidRPr="00BC6814">
        <w:t>he bulk of the infrastructure provision in the corridor is poor – 92% of the route is on</w:t>
      </w:r>
      <w:r>
        <w:t>ly single carriageway standard.</w:t>
      </w:r>
    </w:p>
    <w:p w:rsidR="0085264B" w:rsidRDefault="0085264B" w:rsidP="0085264B">
      <w:pPr>
        <w:pStyle w:val="NumberedParas"/>
        <w:tabs>
          <w:tab w:val="clear" w:pos="2291"/>
          <w:tab w:val="left" w:pos="851"/>
          <w:tab w:val="left" w:pos="2268"/>
          <w:tab w:val="num" w:pos="2433"/>
        </w:tabs>
        <w:ind w:left="851" w:hanging="851"/>
      </w:pPr>
      <w:r w:rsidRPr="00BC6814">
        <w:t xml:space="preserve">There are poor average travel times between Pitesti-Craiova; </w:t>
      </w:r>
      <w:r w:rsidRPr="0019173A">
        <w:t>the base year model estimates</w:t>
      </w:r>
      <w:r w:rsidRPr="00BC6814">
        <w:t xml:space="preserve"> typical average speeds for this route </w:t>
      </w:r>
      <w:r>
        <w:t xml:space="preserve">to be </w:t>
      </w:r>
      <w:r w:rsidRPr="00BC6814">
        <w:t>around 82 kph.</w:t>
      </w:r>
    </w:p>
    <w:p w:rsidR="0085264B" w:rsidRPr="00D04BD9" w:rsidRDefault="0085264B" w:rsidP="0085264B">
      <w:pPr>
        <w:spacing w:before="120" w:after="120" w:line="276" w:lineRule="auto"/>
        <w:ind w:left="851"/>
        <w:rPr>
          <w:b/>
          <w:sz w:val="22"/>
          <w:szCs w:val="22"/>
        </w:rPr>
      </w:pPr>
      <w:r w:rsidRPr="00D04BD9">
        <w:rPr>
          <w:b/>
          <w:sz w:val="22"/>
          <w:szCs w:val="22"/>
        </w:rPr>
        <w:t>Undiscounted costs (Million €, 2014 prices):</w:t>
      </w:r>
    </w:p>
    <w:p w:rsidR="0085264B" w:rsidRPr="00BC6814"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€ 87</w:t>
      </w:r>
      <w:r w:rsidRPr="00BC6814">
        <w:rPr>
          <w:sz w:val="22"/>
          <w:szCs w:val="22"/>
        </w:rPr>
        <w:t>0M</w:t>
      </w:r>
    </w:p>
    <w:p w:rsidR="0085264B" w:rsidRPr="0031304F" w:rsidRDefault="0085264B" w:rsidP="0085264B">
      <w:pPr>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C6814">
        <w:t xml:space="preserve">This project returns excellent value for money (BCR of 3.03), and </w:t>
      </w:r>
      <w:r>
        <w:t>is foreca</w:t>
      </w:r>
      <w:r w:rsidRPr="00A83752">
        <w:rPr>
          <w:b/>
        </w:rPr>
        <w:t>st</w:t>
      </w:r>
      <w:r>
        <w:t xml:space="preserve">ed to </w:t>
      </w:r>
      <w:r w:rsidRPr="00BC6814">
        <w:t>carr</w:t>
      </w:r>
      <w:r>
        <w:t>y</w:t>
      </w:r>
      <w:r w:rsidRPr="00BC6814">
        <w:t xml:space="preserve"> around </w:t>
      </w:r>
      <w:r>
        <w:t>30,000</w:t>
      </w:r>
      <w:r w:rsidRPr="00BC6814">
        <w:t xml:space="preserve"> vehicles (AADT).</w:t>
      </w:r>
      <w:r>
        <w:t xml:space="preserve"> Following the implementation of the scheme, the model forecasts that a</w:t>
      </w:r>
      <w:r w:rsidRPr="00BC6814">
        <w:t>lmost all of the existing traffic in the immediate corridor switches to the new route.</w:t>
      </w:r>
      <w:r>
        <w:t xml:space="preserve"> There are limited wider impacts from the scheme. </w:t>
      </w:r>
      <w:r w:rsidRPr="00BC6814">
        <w:t>The flow chan</w:t>
      </w:r>
      <w:r>
        <w:t>ges are illustrated in Figure 4.35 below</w:t>
      </w:r>
      <w:r w:rsidRPr="00BC6814">
        <w:t>.</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4.35</w:t>
      </w:r>
      <w:r w:rsidRPr="0045095C">
        <w:rPr>
          <w:b/>
          <w:sz w:val="22"/>
          <w:szCs w:val="22"/>
        </w:rPr>
        <w:tab/>
        <w:t>Flow Changes Due to Pitesti-Craiova Motorway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073E040C" wp14:editId="712DF3D5">
            <wp:extent cx="5079600" cy="3402000"/>
            <wp:effectExtent l="19050" t="19050" r="26035" b="27305"/>
            <wp:docPr id="2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4A Difference Plo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7616" b="12583"/>
                    <a:stretch/>
                  </pic:blipFill>
                  <pic:spPr bwMode="auto">
                    <a:xfrm>
                      <a:off x="0" y="0"/>
                      <a:ext cx="5079600" cy="3402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C6814">
        <w:t>Average speeds between Bucharest and Craiova increase to 110 kph as a consequence of the scheme</w:t>
      </w:r>
      <w:r>
        <w:t xml:space="preserve"> implementation</w:t>
      </w:r>
      <w:r w:rsidRPr="00BC6814">
        <w:t xml:space="preserve">. </w:t>
      </w:r>
      <w:r>
        <w:t>Meanwhile, p</w:t>
      </w:r>
      <w:r w:rsidRPr="00BC6814">
        <w:t>eak time journey times are reduced by 27%.</w:t>
      </w:r>
    </w:p>
    <w:p w:rsidR="0085264B" w:rsidRDefault="0085264B" w:rsidP="0085264B">
      <w:pPr>
        <w:pStyle w:val="NumberedParas"/>
        <w:tabs>
          <w:tab w:val="clear" w:pos="2291"/>
          <w:tab w:val="left" w:pos="851"/>
          <w:tab w:val="left" w:pos="2268"/>
          <w:tab w:val="num" w:pos="2433"/>
        </w:tabs>
        <w:ind w:left="851" w:hanging="851"/>
      </w:pPr>
      <w:r w:rsidRPr="00BC6814">
        <w:t>The primary economic indicators for the project are as follows:</w:t>
      </w:r>
    </w:p>
    <w:p w:rsidR="0085264B" w:rsidRPr="00BC6814" w:rsidRDefault="0085264B" w:rsidP="0085264B">
      <w:pPr>
        <w:pStyle w:val="ListParagraph"/>
        <w:numPr>
          <w:ilvl w:val="0"/>
          <w:numId w:val="53"/>
        </w:numPr>
        <w:spacing w:before="120" w:after="120" w:line="276" w:lineRule="auto"/>
        <w:contextualSpacing/>
        <w:rPr>
          <w:sz w:val="22"/>
          <w:szCs w:val="22"/>
        </w:rPr>
      </w:pPr>
      <w:r w:rsidRPr="00BC6814">
        <w:rPr>
          <w:sz w:val="22"/>
          <w:szCs w:val="22"/>
        </w:rPr>
        <w:t>NPV</w:t>
      </w:r>
      <w:r w:rsidRPr="00BC6814">
        <w:rPr>
          <w:sz w:val="22"/>
          <w:szCs w:val="22"/>
        </w:rPr>
        <w:tab/>
        <w:t>= €1,242M</w:t>
      </w:r>
      <w:r>
        <w:rPr>
          <w:sz w:val="22"/>
          <w:szCs w:val="22"/>
        </w:rPr>
        <w:t>;</w:t>
      </w:r>
    </w:p>
    <w:p w:rsidR="0085264B" w:rsidRPr="00BC6814" w:rsidRDefault="0085264B" w:rsidP="0085264B">
      <w:pPr>
        <w:pStyle w:val="ListParagraph"/>
        <w:numPr>
          <w:ilvl w:val="0"/>
          <w:numId w:val="53"/>
        </w:numPr>
        <w:spacing w:before="120" w:after="120" w:line="276" w:lineRule="auto"/>
        <w:contextualSpacing/>
        <w:rPr>
          <w:sz w:val="22"/>
          <w:szCs w:val="22"/>
        </w:rPr>
      </w:pPr>
      <w:r w:rsidRPr="00BC6814">
        <w:rPr>
          <w:sz w:val="22"/>
          <w:szCs w:val="22"/>
        </w:rPr>
        <w:t>BCR</w:t>
      </w:r>
      <w:r w:rsidRPr="00BC6814">
        <w:rPr>
          <w:sz w:val="22"/>
          <w:szCs w:val="22"/>
        </w:rPr>
        <w:tab/>
        <w:t>= 3.03; and</w:t>
      </w:r>
    </w:p>
    <w:p w:rsidR="0085264B" w:rsidRPr="00BC6814" w:rsidRDefault="0085264B" w:rsidP="0085264B">
      <w:pPr>
        <w:pStyle w:val="ListParagraph"/>
        <w:numPr>
          <w:ilvl w:val="0"/>
          <w:numId w:val="53"/>
        </w:numPr>
        <w:spacing w:before="120" w:after="120" w:line="276" w:lineRule="auto"/>
        <w:contextualSpacing/>
        <w:rPr>
          <w:sz w:val="22"/>
          <w:szCs w:val="22"/>
        </w:rPr>
      </w:pPr>
      <w:r w:rsidRPr="00BC6814">
        <w:rPr>
          <w:sz w:val="22"/>
          <w:szCs w:val="22"/>
        </w:rPr>
        <w:t>EIRR</w:t>
      </w:r>
      <w:r w:rsidRPr="00BC6814">
        <w:rPr>
          <w:sz w:val="22"/>
          <w:szCs w:val="22"/>
        </w:rPr>
        <w:tab/>
        <w:t>= 12.2%</w:t>
      </w:r>
      <w:r>
        <w:rPr>
          <w:sz w:val="22"/>
          <w:szCs w:val="22"/>
        </w:rPr>
        <w:t>.</w:t>
      </w:r>
    </w:p>
    <w:p w:rsidR="0085264B" w:rsidRDefault="0085264B" w:rsidP="0085264B">
      <w:pPr>
        <w:spacing w:before="120" w:after="120" w:line="276" w:lineRule="auto"/>
        <w:ind w:left="680"/>
        <w:rPr>
          <w:sz w:val="22"/>
          <w:szCs w:val="22"/>
        </w:rPr>
      </w:pPr>
    </w:p>
    <w:p w:rsidR="0085264B" w:rsidRDefault="0085264B" w:rsidP="0085264B">
      <w:pPr>
        <w:pStyle w:val="Hdg3"/>
        <w:ind w:left="851"/>
        <w:sectPr w:rsidR="0085264B" w:rsidSect="00933C17">
          <w:pgSz w:w="11907" w:h="16840" w:code="9"/>
          <w:pgMar w:top="1418" w:right="709" w:bottom="1418" w:left="907" w:header="357" w:footer="567" w:gutter="0"/>
          <w:cols w:space="187"/>
          <w:docGrid w:linePitch="360"/>
        </w:sectPr>
      </w:pPr>
    </w:p>
    <w:p w:rsidR="0085264B" w:rsidRPr="00C74D75" w:rsidRDefault="0085264B" w:rsidP="0085264B">
      <w:pPr>
        <w:pStyle w:val="Hdg3"/>
        <w:ind w:left="851"/>
      </w:pPr>
      <w:r w:rsidRPr="006B515A">
        <w:t>Level 1 Schemes – OR5 – Iasi-Bacau-Brasov-Sibiu Motorway</w:t>
      </w:r>
    </w:p>
    <w:p w:rsidR="0085264B" w:rsidRPr="0031304F" w:rsidRDefault="0085264B" w:rsidP="0085264B">
      <w:pPr>
        <w:spacing w:before="120" w:after="120"/>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C74D75">
        <w:t xml:space="preserve">The proposal will provide a new motorway link between </w:t>
      </w:r>
      <w:r>
        <w:t>Sibiu</w:t>
      </w:r>
      <w:r w:rsidRPr="00C74D75">
        <w:t xml:space="preserve"> and </w:t>
      </w:r>
      <w:r>
        <w:t xml:space="preserve">Iasi. </w:t>
      </w:r>
      <w:r w:rsidRPr="00C74D75">
        <w:t xml:space="preserve"> </w:t>
      </w:r>
    </w:p>
    <w:p w:rsidR="0085264B" w:rsidRDefault="0085264B" w:rsidP="0085264B">
      <w:pPr>
        <w:pStyle w:val="NumberedParas"/>
        <w:tabs>
          <w:tab w:val="clear" w:pos="2291"/>
          <w:tab w:val="left" w:pos="851"/>
          <w:tab w:val="left" w:pos="2268"/>
          <w:tab w:val="num" w:pos="2433"/>
        </w:tabs>
        <w:ind w:left="851" w:hanging="851"/>
      </w:pPr>
      <w:r w:rsidRPr="00C74D75">
        <w:t>The alignment of the route and its linkage to the exist</w:t>
      </w:r>
      <w:r>
        <w:t>ing network is shown in Figure 4.36</w:t>
      </w:r>
      <w:r w:rsidRPr="00C74D75">
        <w:t xml:space="preserve"> below. </w:t>
      </w:r>
    </w:p>
    <w:p w:rsidR="0085264B" w:rsidRPr="0045095C" w:rsidRDefault="0085264B" w:rsidP="0085264B">
      <w:pPr>
        <w:keepNext/>
        <w:spacing w:before="120" w:after="120"/>
        <w:ind w:left="851"/>
        <w:rPr>
          <w:b/>
          <w:sz w:val="22"/>
          <w:szCs w:val="22"/>
        </w:rPr>
      </w:pPr>
      <w:r w:rsidRPr="0045095C">
        <w:rPr>
          <w:b/>
          <w:sz w:val="22"/>
          <w:szCs w:val="22"/>
        </w:rPr>
        <w:t xml:space="preserve">Figure </w:t>
      </w:r>
      <w:r>
        <w:rPr>
          <w:b/>
          <w:sz w:val="22"/>
          <w:szCs w:val="22"/>
        </w:rPr>
        <w:t>4.36</w:t>
      </w:r>
      <w:r w:rsidRPr="0045095C">
        <w:rPr>
          <w:b/>
          <w:sz w:val="22"/>
          <w:szCs w:val="22"/>
        </w:rPr>
        <w:tab/>
      </w:r>
      <w:r w:rsidRPr="0045095C">
        <w:rPr>
          <w:b/>
          <w:color w:val="000000"/>
          <w:sz w:val="22"/>
          <w:szCs w:val="22"/>
          <w:lang w:eastAsia="en-GB"/>
        </w:rPr>
        <w:t>Iasi-Bacau-Brasov-Sibiu Motorway</w:t>
      </w:r>
      <w:r w:rsidRPr="0045095C">
        <w:rPr>
          <w:b/>
          <w:sz w:val="22"/>
          <w:szCs w:val="22"/>
        </w:rPr>
        <w:t xml:space="preserve"> Indicative Alignment </w:t>
      </w:r>
    </w:p>
    <w:p w:rsidR="0085264B" w:rsidRDefault="0085264B" w:rsidP="0085264B">
      <w:pPr>
        <w:spacing w:before="120" w:after="120"/>
        <w:ind w:left="680" w:firstLine="171"/>
        <w:rPr>
          <w:sz w:val="22"/>
          <w:szCs w:val="22"/>
        </w:rPr>
      </w:pPr>
      <w:r>
        <w:rPr>
          <w:noProof/>
          <w:lang w:val="ro-RO" w:eastAsia="ro-RO"/>
        </w:rPr>
        <w:drawing>
          <wp:inline distT="0" distB="0" distL="0" distR="0" wp14:anchorId="0AF02A6B" wp14:editId="3A97FDE6">
            <wp:extent cx="5140800" cy="3441600"/>
            <wp:effectExtent l="19050" t="19050" r="22225" b="26035"/>
            <wp:docPr id="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yr\AppData\Local\Microsoft\Windows\Temporary Internet Files\Content.Word\OR5B Alignment Plot.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7947" b="12252"/>
                    <a:stretch/>
                  </pic:blipFill>
                  <pic:spPr bwMode="auto">
                    <a:xfrm>
                      <a:off x="0" y="0"/>
                      <a:ext cx="5140800" cy="344160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C74D75">
        <w:rPr>
          <w:sz w:val="22"/>
          <w:szCs w:val="22"/>
        </w:rPr>
        <w:t xml:space="preserve"> </w:t>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C74D75">
        <w:t xml:space="preserve">The route forms </w:t>
      </w:r>
      <w:r>
        <w:t>a</w:t>
      </w:r>
      <w:r w:rsidRPr="00C74D75">
        <w:t xml:space="preserve"> corridor that will provide a link between the </w:t>
      </w:r>
      <w:r>
        <w:t>four</w:t>
      </w:r>
      <w:r w:rsidRPr="00C74D75">
        <w:t xml:space="preserve"> TEN-T nodes</w:t>
      </w:r>
      <w:r>
        <w:t>. T</w:t>
      </w:r>
      <w:r w:rsidRPr="00BC41FB">
        <w:t>his is a key transport corridor as it also provides a link, via Sibiu, to the committed A1 motorway and out to the Hungarian border.</w:t>
      </w:r>
    </w:p>
    <w:p w:rsidR="0085264B" w:rsidRPr="0031304F" w:rsidRDefault="0085264B" w:rsidP="0085264B">
      <w:pPr>
        <w:spacing w:before="120" w:after="120"/>
        <w:ind w:left="851"/>
        <w:rPr>
          <w:b/>
          <w:sz w:val="22"/>
          <w:szCs w:val="22"/>
        </w:rPr>
      </w:pPr>
      <w:r w:rsidRPr="0031304F">
        <w:rPr>
          <w:b/>
          <w:sz w:val="22"/>
          <w:szCs w:val="22"/>
        </w:rPr>
        <w:t>Brief Description of Problem(s) Addressed</w:t>
      </w:r>
      <w:r w:rsidRPr="0031304F">
        <w:rPr>
          <w:b/>
          <w:sz w:val="22"/>
          <w:szCs w:val="22"/>
        </w:rPr>
        <w:tab/>
      </w:r>
    </w:p>
    <w:p w:rsidR="0085264B" w:rsidRDefault="0085264B" w:rsidP="0085264B">
      <w:pPr>
        <w:pStyle w:val="NumberedParas"/>
        <w:tabs>
          <w:tab w:val="clear" w:pos="2291"/>
          <w:tab w:val="left" w:pos="851"/>
          <w:tab w:val="left" w:pos="2268"/>
          <w:tab w:val="num" w:pos="2433"/>
        </w:tabs>
        <w:ind w:left="851" w:hanging="851"/>
      </w:pPr>
      <w:r w:rsidRPr="00BC41FB">
        <w:t xml:space="preserve">The high level objective for the project is to increase the economic efficiency of the transport network in Romania. The particular operational objective is to improve travel speeds </w:t>
      </w:r>
      <w:r w:rsidRPr="00E31EA7">
        <w:t>on North</w:t>
      </w:r>
      <w:r>
        <w:t xml:space="preserve"> – </w:t>
      </w:r>
      <w:r w:rsidRPr="00E31EA7">
        <w:t>East</w:t>
      </w:r>
      <w:r>
        <w:t xml:space="preserve"> </w:t>
      </w:r>
      <w:r w:rsidRPr="00E31EA7">
        <w:t xml:space="preserve">– Center </w:t>
      </w:r>
      <w:r>
        <w:t>–</w:t>
      </w:r>
      <w:r w:rsidRPr="00E31EA7">
        <w:t xml:space="preserve"> West</w:t>
      </w:r>
      <w:r>
        <w:t xml:space="preserve"> corridors. </w:t>
      </w:r>
      <w:r w:rsidRPr="00E31EA7">
        <w:t xml:space="preserve"> </w:t>
      </w:r>
    </w:p>
    <w:p w:rsidR="0085264B" w:rsidRDefault="0085264B" w:rsidP="0085264B">
      <w:pPr>
        <w:pStyle w:val="NumberedParas"/>
        <w:tabs>
          <w:tab w:val="clear" w:pos="2291"/>
          <w:tab w:val="left" w:pos="851"/>
          <w:tab w:val="left" w:pos="2268"/>
          <w:tab w:val="num" w:pos="2433"/>
        </w:tabs>
        <w:ind w:left="851" w:hanging="851"/>
      </w:pPr>
      <w:r w:rsidRPr="00BC41FB">
        <w:t xml:space="preserve">There are poor average travel times between </w:t>
      </w:r>
      <w:r>
        <w:t>Iasi and Sibiu</w:t>
      </w:r>
      <w:r w:rsidRPr="00BC41FB">
        <w:t xml:space="preserve">; </w:t>
      </w:r>
      <w:r>
        <w:t xml:space="preserve">with the base year model estimating </w:t>
      </w:r>
      <w:r w:rsidRPr="00BC41FB">
        <w:t xml:space="preserve">typical average peak speeds for this route </w:t>
      </w:r>
      <w:r>
        <w:t>to be</w:t>
      </w:r>
      <w:r w:rsidRPr="00BC41FB">
        <w:t xml:space="preserve"> around 67 kph. The corridor was identified as part of an analysis of the economic impact of delays and there are multiple accident blackspot locations in the corridor.</w:t>
      </w:r>
    </w:p>
    <w:p w:rsidR="0085264B" w:rsidRDefault="0085264B" w:rsidP="0085264B">
      <w:pPr>
        <w:pStyle w:val="NumberedParas"/>
        <w:tabs>
          <w:tab w:val="clear" w:pos="2291"/>
          <w:tab w:val="left" w:pos="851"/>
          <w:tab w:val="left" w:pos="2268"/>
          <w:tab w:val="num" w:pos="2433"/>
        </w:tabs>
        <w:ind w:left="851" w:hanging="851"/>
      </w:pPr>
      <w:r w:rsidRPr="00BC41FB">
        <w:t xml:space="preserve">Domestically, accessibility is poorer </w:t>
      </w:r>
      <w:r>
        <w:t xml:space="preserve">compared to </w:t>
      </w:r>
      <w:r w:rsidRPr="00BC41FB">
        <w:t>cities which do have a high quality link to Bucharest.</w:t>
      </w:r>
      <w:r>
        <w:t xml:space="preserve"> The infrastructure provision in the </w:t>
      </w:r>
      <w:r w:rsidRPr="00BC41FB">
        <w:t>corridor</w:t>
      </w:r>
      <w:r>
        <w:t xml:space="preserve"> presently,</w:t>
      </w:r>
      <w:r w:rsidRPr="00BC41FB">
        <w:t xml:space="preserve"> is poor – </w:t>
      </w:r>
      <w:r>
        <w:t>91</w:t>
      </w:r>
      <w:r w:rsidRPr="00BC41FB">
        <w:t xml:space="preserve"> % of the route is only single carriageway standard.</w:t>
      </w:r>
    </w:p>
    <w:p w:rsidR="0085264B" w:rsidRPr="0031304F" w:rsidRDefault="0085264B" w:rsidP="0085264B">
      <w:pPr>
        <w:spacing w:before="120" w:after="120"/>
        <w:ind w:left="851"/>
        <w:rPr>
          <w:b/>
          <w:sz w:val="22"/>
          <w:szCs w:val="22"/>
        </w:rPr>
      </w:pPr>
      <w:r w:rsidRPr="0031304F">
        <w:rPr>
          <w:b/>
          <w:sz w:val="22"/>
          <w:szCs w:val="22"/>
        </w:rPr>
        <w:t>Undiscounted costs (Million €, 2014 prices):</w:t>
      </w:r>
    </w:p>
    <w:p w:rsidR="0085264B" w:rsidRPr="00BC41FB"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€3,392</w:t>
      </w:r>
      <w:r w:rsidRPr="00BC41FB">
        <w:rPr>
          <w:sz w:val="22"/>
          <w:szCs w:val="22"/>
        </w:rPr>
        <w:t>M</w:t>
      </w:r>
    </w:p>
    <w:p w:rsidR="0085264B" w:rsidRDefault="0085264B" w:rsidP="0085264B">
      <w:pPr>
        <w:rPr>
          <w:b/>
          <w:sz w:val="22"/>
          <w:szCs w:val="22"/>
        </w:rPr>
      </w:pPr>
      <w:r>
        <w:rPr>
          <w:b/>
          <w:sz w:val="22"/>
          <w:szCs w:val="22"/>
        </w:rPr>
        <w:br w:type="page"/>
      </w:r>
    </w:p>
    <w:p w:rsidR="0085264B" w:rsidRPr="0031304F" w:rsidRDefault="0085264B" w:rsidP="0085264B">
      <w:pPr>
        <w:spacing w:before="120" w:after="120"/>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C41FB">
        <w:t xml:space="preserve">This project returns </w:t>
      </w:r>
      <w:r>
        <w:t xml:space="preserve">a </w:t>
      </w:r>
      <w:r w:rsidRPr="00BC41FB">
        <w:t xml:space="preserve">BCR value of </w:t>
      </w:r>
      <w:r>
        <w:t>2.50</w:t>
      </w:r>
      <w:r w:rsidRPr="00BC41FB">
        <w:t xml:space="preserve"> and carries around </w:t>
      </w:r>
      <w:r>
        <w:t>50</w:t>
      </w:r>
      <w:r w:rsidRPr="00BC41FB">
        <w:t>,000 vehicles (AADT)</w:t>
      </w:r>
      <w:r>
        <w:t xml:space="preserve"> throughout the links connecting Sibiu to Bacau, and around 10,000-15,000 vehicles (AADT) on the links connecting Bacau to Iasi and the Moldovan border eastwards</w:t>
      </w:r>
      <w:r w:rsidRPr="00BC41FB">
        <w:t xml:space="preserve">. </w:t>
      </w:r>
    </w:p>
    <w:p w:rsidR="0085264B" w:rsidRDefault="0085264B" w:rsidP="0085264B">
      <w:pPr>
        <w:pStyle w:val="NumberedParas"/>
        <w:tabs>
          <w:tab w:val="clear" w:pos="2291"/>
          <w:tab w:val="left" w:pos="851"/>
          <w:tab w:val="left" w:pos="2268"/>
          <w:tab w:val="num" w:pos="2433"/>
        </w:tabs>
        <w:ind w:left="851" w:hanging="851"/>
      </w:pPr>
      <w:r w:rsidRPr="00BC41FB">
        <w:t xml:space="preserve">Almost all of the existing traffic in the immediate corridor switches to the new route. The flow changes are illustrated in Figure </w:t>
      </w:r>
      <w:r>
        <w:t>4.37</w:t>
      </w:r>
      <w:r w:rsidRPr="00BC41FB">
        <w:t>.</w:t>
      </w:r>
    </w:p>
    <w:p w:rsidR="0085264B" w:rsidRPr="0045095C" w:rsidRDefault="0085264B" w:rsidP="0085264B">
      <w:pPr>
        <w:keepNext/>
        <w:spacing w:before="120" w:after="120"/>
        <w:ind w:left="851"/>
        <w:rPr>
          <w:b/>
          <w:sz w:val="22"/>
          <w:szCs w:val="22"/>
        </w:rPr>
      </w:pPr>
      <w:r w:rsidRPr="0045095C">
        <w:rPr>
          <w:b/>
          <w:sz w:val="22"/>
          <w:szCs w:val="22"/>
        </w:rPr>
        <w:t xml:space="preserve">Figure </w:t>
      </w:r>
      <w:r>
        <w:rPr>
          <w:b/>
          <w:sz w:val="22"/>
          <w:szCs w:val="22"/>
        </w:rPr>
        <w:t xml:space="preserve">4.37 </w:t>
      </w:r>
      <w:r w:rsidRPr="0045095C">
        <w:rPr>
          <w:b/>
          <w:sz w:val="22"/>
          <w:szCs w:val="22"/>
        </w:rPr>
        <w:t xml:space="preserve">Flow Changes Due to </w:t>
      </w:r>
      <w:r w:rsidRPr="0045095C">
        <w:rPr>
          <w:b/>
          <w:color w:val="000000"/>
          <w:sz w:val="22"/>
          <w:szCs w:val="22"/>
          <w:lang w:eastAsia="en-GB"/>
        </w:rPr>
        <w:t>Iasi-Bacau-Brasov-Sibiu Motorway</w:t>
      </w:r>
      <w:r w:rsidRPr="0045095C">
        <w:rPr>
          <w:b/>
          <w:sz w:val="22"/>
          <w:szCs w:val="22"/>
        </w:rPr>
        <w:t xml:space="preserve"> Project</w:t>
      </w:r>
    </w:p>
    <w:p w:rsidR="0085264B" w:rsidRDefault="0085264B" w:rsidP="0085264B">
      <w:pPr>
        <w:spacing w:before="120" w:after="120"/>
        <w:ind w:left="680" w:firstLine="171"/>
        <w:rPr>
          <w:noProof/>
          <w:lang w:eastAsia="en-GB"/>
        </w:rPr>
      </w:pPr>
      <w:r>
        <w:rPr>
          <w:noProof/>
          <w:lang w:val="ro-RO" w:eastAsia="ro-RO"/>
        </w:rPr>
        <w:drawing>
          <wp:inline distT="0" distB="0" distL="0" distR="0" wp14:anchorId="73F42EC7" wp14:editId="79B37A68">
            <wp:extent cx="5140800" cy="3441600"/>
            <wp:effectExtent l="19050" t="19050" r="22225" b="26035"/>
            <wp:docPr id="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ayr\AppData\Local\Microsoft\Windows\Temporary Internet Files\Content.Word\OR5B Difference Plot.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7616" b="12583"/>
                    <a:stretch/>
                  </pic:blipFill>
                  <pic:spPr bwMode="auto">
                    <a:xfrm>
                      <a:off x="0" y="0"/>
                      <a:ext cx="5140800" cy="344160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en-GB"/>
        </w:rPr>
        <w:t xml:space="preserve"> </w:t>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model forecasts a</w:t>
      </w:r>
      <w:r w:rsidRPr="00BC41FB">
        <w:t xml:space="preserve">verage speeds between </w:t>
      </w:r>
      <w:r>
        <w:t>Iasi and Sibiu</w:t>
      </w:r>
      <w:r w:rsidRPr="00BC41FB">
        <w:t xml:space="preserve"> increas</w:t>
      </w:r>
      <w:r>
        <w:t>ing</w:t>
      </w:r>
      <w:r w:rsidRPr="00BC41FB">
        <w:t xml:space="preserve"> to </w:t>
      </w:r>
      <w:r>
        <w:t>104</w:t>
      </w:r>
      <w:r w:rsidRPr="00BC41FB">
        <w:t xml:space="preserve"> kph as a consequence of the scheme</w:t>
      </w:r>
      <w:r>
        <w:t xml:space="preserve"> implementation</w:t>
      </w:r>
      <w:r w:rsidRPr="00BC41FB">
        <w:t xml:space="preserve">. Peak time journey times are reduced by </w:t>
      </w:r>
      <w:r>
        <w:t>41</w:t>
      </w:r>
      <w:r w:rsidRPr="00BC41FB">
        <w:t xml:space="preserve">%. </w:t>
      </w:r>
    </w:p>
    <w:p w:rsidR="0085264B" w:rsidRDefault="0085264B" w:rsidP="0085264B">
      <w:pPr>
        <w:pStyle w:val="NumberedParas"/>
        <w:tabs>
          <w:tab w:val="clear" w:pos="2291"/>
          <w:tab w:val="left" w:pos="851"/>
          <w:tab w:val="left" w:pos="2268"/>
          <w:tab w:val="num" w:pos="2433"/>
        </w:tabs>
        <w:ind w:left="851" w:hanging="851"/>
      </w:pPr>
      <w:r w:rsidRPr="00BC41FB">
        <w:t>The primary economic indicators for the project are as follows:</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NPV</w:t>
      </w:r>
      <w:r w:rsidRPr="00BC41FB">
        <w:rPr>
          <w:sz w:val="22"/>
          <w:szCs w:val="22"/>
        </w:rPr>
        <w:tab/>
        <w:t>=</w:t>
      </w:r>
      <w:r w:rsidRPr="00BC41FB">
        <w:rPr>
          <w:sz w:val="22"/>
          <w:szCs w:val="22"/>
        </w:rPr>
        <w:tab/>
        <w:t>€</w:t>
      </w:r>
      <w:r>
        <w:rPr>
          <w:sz w:val="22"/>
          <w:szCs w:val="22"/>
        </w:rPr>
        <w:t>3,851</w:t>
      </w:r>
      <w:r w:rsidRPr="00BC41FB">
        <w:rPr>
          <w:sz w:val="22"/>
          <w:szCs w:val="22"/>
        </w:rPr>
        <w:t>M;</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BCR</w:t>
      </w:r>
      <w:r w:rsidRPr="00BC41FB">
        <w:rPr>
          <w:sz w:val="22"/>
          <w:szCs w:val="22"/>
        </w:rPr>
        <w:tab/>
        <w:t>=</w:t>
      </w:r>
      <w:r w:rsidRPr="00BC41FB">
        <w:rPr>
          <w:sz w:val="22"/>
          <w:szCs w:val="22"/>
        </w:rPr>
        <w:tab/>
      </w:r>
      <w:r>
        <w:rPr>
          <w:sz w:val="22"/>
          <w:szCs w:val="22"/>
        </w:rPr>
        <w:t>2.50</w:t>
      </w:r>
      <w:r w:rsidRPr="00BC41FB">
        <w:rPr>
          <w:sz w:val="22"/>
          <w:szCs w:val="22"/>
        </w:rPr>
        <w:t>; and</w:t>
      </w:r>
    </w:p>
    <w:p w:rsidR="0085264B" w:rsidRPr="00BC41FB" w:rsidRDefault="0085264B" w:rsidP="0085264B">
      <w:pPr>
        <w:pStyle w:val="ListParagraph"/>
        <w:numPr>
          <w:ilvl w:val="0"/>
          <w:numId w:val="53"/>
        </w:numPr>
        <w:spacing w:before="120" w:after="120" w:line="276" w:lineRule="auto"/>
        <w:contextualSpacing/>
        <w:rPr>
          <w:sz w:val="22"/>
          <w:szCs w:val="22"/>
        </w:rPr>
      </w:pPr>
      <w:r w:rsidRPr="00BC41FB">
        <w:rPr>
          <w:sz w:val="22"/>
          <w:szCs w:val="22"/>
        </w:rPr>
        <w:t>EIRR</w:t>
      </w:r>
      <w:r w:rsidRPr="00BC41FB">
        <w:rPr>
          <w:sz w:val="22"/>
          <w:szCs w:val="22"/>
        </w:rPr>
        <w:tab/>
        <w:t>=</w:t>
      </w:r>
      <w:r w:rsidRPr="00BC41FB">
        <w:rPr>
          <w:sz w:val="22"/>
          <w:szCs w:val="22"/>
        </w:rPr>
        <w:tab/>
        <w:t>1</w:t>
      </w:r>
      <w:r>
        <w:rPr>
          <w:sz w:val="22"/>
          <w:szCs w:val="22"/>
        </w:rPr>
        <w:t>1.0</w:t>
      </w:r>
      <w:r w:rsidRPr="00BC41FB">
        <w:rPr>
          <w:sz w:val="22"/>
          <w:szCs w:val="22"/>
        </w:rPr>
        <w:t>%.</w:t>
      </w:r>
    </w:p>
    <w:p w:rsidR="0085264B" w:rsidRPr="00152A65" w:rsidRDefault="0085264B" w:rsidP="0085264B">
      <w:pPr>
        <w:pStyle w:val="Body"/>
        <w:rPr>
          <w:i w:val="0"/>
        </w:rPr>
        <w:sectPr w:rsidR="0085264B" w:rsidRPr="00152A65" w:rsidSect="00933C17">
          <w:pgSz w:w="11907" w:h="16840" w:code="9"/>
          <w:pgMar w:top="1418" w:right="709" w:bottom="1418" w:left="907" w:header="357" w:footer="567" w:gutter="0"/>
          <w:cols w:space="187"/>
          <w:docGrid w:linePitch="360"/>
        </w:sectPr>
      </w:pPr>
    </w:p>
    <w:p w:rsidR="0085264B" w:rsidRPr="006D241C" w:rsidRDefault="0085264B" w:rsidP="0085264B">
      <w:pPr>
        <w:pStyle w:val="Hdg3"/>
        <w:ind w:left="851"/>
      </w:pPr>
      <w:r>
        <w:t>Level 2 Schemes – OR6B</w:t>
      </w:r>
      <w:r w:rsidRPr="00AB1689">
        <w:t xml:space="preserve"> </w:t>
      </w:r>
      <w:r>
        <w:t>–</w:t>
      </w:r>
      <w:r w:rsidRPr="00AB1689">
        <w:t xml:space="preserve"> </w:t>
      </w:r>
      <w:r w:rsidRPr="006D241C">
        <w:t>Bacau-Focsani-Braila-Galati Expressway</w:t>
      </w:r>
    </w:p>
    <w:p w:rsidR="0085264B" w:rsidRPr="00460337" w:rsidRDefault="0085264B" w:rsidP="0085264B">
      <w:pPr>
        <w:spacing w:before="120" w:after="120"/>
        <w:ind w:left="851"/>
        <w:rPr>
          <w:b/>
          <w:sz w:val="22"/>
          <w:szCs w:val="22"/>
        </w:rPr>
      </w:pPr>
      <w:r w:rsidRPr="0031304F">
        <w:rPr>
          <w:b/>
          <w:sz w:val="22"/>
          <w:szCs w:val="22"/>
        </w:rPr>
        <w:t>Brief Description of Proposal</w:t>
      </w:r>
      <w:r w:rsidRPr="00460337">
        <w:rPr>
          <w:b/>
          <w:sz w:val="22"/>
          <w:szCs w:val="22"/>
        </w:rPr>
        <w:t>:</w:t>
      </w:r>
    </w:p>
    <w:p w:rsidR="0085264B" w:rsidRDefault="0085264B" w:rsidP="0085264B">
      <w:pPr>
        <w:pStyle w:val="NumberedParas"/>
        <w:tabs>
          <w:tab w:val="clear" w:pos="2291"/>
          <w:tab w:val="left" w:pos="851"/>
          <w:tab w:val="left" w:pos="2268"/>
          <w:tab w:val="num" w:pos="2433"/>
        </w:tabs>
        <w:ind w:left="851" w:hanging="851"/>
      </w:pPr>
      <w:r w:rsidRPr="006D241C">
        <w:t xml:space="preserve">The high level objective for the project is to increase the economic efficiency of the transport network in Romania. The particular operational objective is to improve travel speeds between Bacau and Galati, thus improving regional connectivity. </w:t>
      </w:r>
      <w:r>
        <w:t>The</w:t>
      </w:r>
      <w:r w:rsidRPr="004A69E9">
        <w:t xml:space="preserve"> lost time analysis </w:t>
      </w:r>
      <w:r>
        <w:t>in Figure 4.25</w:t>
      </w:r>
      <w:r w:rsidRPr="004A69E9">
        <w:t xml:space="preserve"> shows residual congestion and poor LoS in this corridor</w:t>
      </w:r>
      <w:r>
        <w:t xml:space="preserve"> even after the implementation of the Preferred Level 1network</w:t>
      </w:r>
      <w:r w:rsidRPr="004A69E9">
        <w:t xml:space="preserve">.  </w:t>
      </w:r>
      <w:r>
        <w:t>It p</w:t>
      </w:r>
      <w:r w:rsidRPr="004A69E9">
        <w:t>rovides a high quality connection between the ports of Galati and Braila (Romania’s second and third largest ports) and the North East of Romania via Bacau.  Flow</w:t>
      </w:r>
      <w:r>
        <w:t xml:space="preserve"> analysis from the National Model</w:t>
      </w:r>
      <w:r w:rsidRPr="004A69E9">
        <w:t xml:space="preserve"> show</w:t>
      </w:r>
      <w:r>
        <w:t>s</w:t>
      </w:r>
      <w:r w:rsidRPr="004A69E9">
        <w:t xml:space="preserve"> </w:t>
      </w:r>
      <w:r>
        <w:t xml:space="preserve">an </w:t>
      </w:r>
      <w:r w:rsidRPr="004A69E9">
        <w:t>expressway is the appropriate standard.</w:t>
      </w:r>
      <w:r w:rsidRPr="006D241C">
        <w:t xml:space="preserve"> </w:t>
      </w:r>
    </w:p>
    <w:p w:rsidR="0085264B" w:rsidRDefault="0085264B" w:rsidP="0085264B">
      <w:pPr>
        <w:pStyle w:val="NumberedParas"/>
        <w:tabs>
          <w:tab w:val="clear" w:pos="2291"/>
          <w:tab w:val="left" w:pos="851"/>
          <w:tab w:val="left" w:pos="2268"/>
          <w:tab w:val="num" w:pos="2433"/>
        </w:tabs>
        <w:ind w:left="851" w:hanging="851"/>
      </w:pPr>
      <w:r w:rsidRPr="006D241C">
        <w:t xml:space="preserve">Figure </w:t>
      </w:r>
      <w:r>
        <w:t>4.38</w:t>
      </w:r>
      <w:r w:rsidRPr="006D241C">
        <w:t xml:space="preserve"> shows the expressway alignment</w:t>
      </w:r>
      <w:r>
        <w:t>.</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4.38</w:t>
      </w:r>
      <w:r w:rsidRPr="0045095C">
        <w:rPr>
          <w:b/>
          <w:sz w:val="22"/>
          <w:szCs w:val="22"/>
        </w:rPr>
        <w:tab/>
        <w:t>Bacau-Focsani-Braila-Galati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756BDA32" wp14:editId="459E9817">
            <wp:extent cx="5143143" cy="3409950"/>
            <wp:effectExtent l="19050" t="19050" r="19685" b="1905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6B Alignment Plo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8278" b="12693"/>
                    <a:stretch/>
                  </pic:blipFill>
                  <pic:spPr bwMode="auto">
                    <a:xfrm>
                      <a:off x="0" y="0"/>
                      <a:ext cx="5140800" cy="3408397"/>
                    </a:xfrm>
                    <a:prstGeom prst="rect">
                      <a:avLst/>
                    </a:prstGeom>
                    <a:noFill/>
                    <a:ln w="6350"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 xml:space="preserve">The route links the nodes of Bacau, Braila and Galati on the </w:t>
      </w:r>
      <w:r>
        <w:t>TEN-T</w:t>
      </w:r>
      <w:r w:rsidRPr="006D241C">
        <w:t xml:space="preserve"> network. </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6D241C">
        <w:t xml:space="preserve">There are poor average travel times; typical average speeds for this route </w:t>
      </w:r>
      <w:r>
        <w:t xml:space="preserve">in the base year model are estimated to be </w:t>
      </w:r>
      <w:r w:rsidRPr="006D241C">
        <w:t xml:space="preserve">around 65 kph. </w:t>
      </w:r>
      <w:r>
        <w:t>Currently, t</w:t>
      </w:r>
      <w:r w:rsidRPr="006D241C">
        <w:t>he bulk of the infrastructure provision in the corridor is poor – 98% of the route is only single carriageway standard.</w:t>
      </w:r>
    </w:p>
    <w:p w:rsidR="0085264B" w:rsidRPr="0031304F" w:rsidRDefault="0085264B" w:rsidP="0085264B">
      <w:pPr>
        <w:spacing w:before="120" w:after="120" w:line="276" w:lineRule="auto"/>
        <w:ind w:left="851"/>
        <w:rPr>
          <w:b/>
          <w:sz w:val="22"/>
          <w:szCs w:val="22"/>
        </w:rPr>
      </w:pPr>
      <w:r w:rsidRPr="0031304F">
        <w:rPr>
          <w:b/>
          <w:sz w:val="22"/>
          <w:szCs w:val="22"/>
        </w:rPr>
        <w:t>Undiscounted costs (Million €, 2014 prices):</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 xml:space="preserve">CAPEX </w:t>
      </w:r>
      <w:r w:rsidRPr="006D241C">
        <w:rPr>
          <w:sz w:val="22"/>
          <w:szCs w:val="22"/>
        </w:rPr>
        <w:tab/>
        <w:t>€</w:t>
      </w:r>
      <w:r>
        <w:rPr>
          <w:sz w:val="22"/>
          <w:szCs w:val="22"/>
        </w:rPr>
        <w:t>1,024</w:t>
      </w:r>
      <w:r w:rsidRPr="006D241C">
        <w:rPr>
          <w:sz w:val="22"/>
          <w:szCs w:val="22"/>
        </w:rPr>
        <w:t>M</w:t>
      </w:r>
    </w:p>
    <w:p w:rsidR="0085264B" w:rsidRPr="0031304F" w:rsidRDefault="0085264B" w:rsidP="0085264B">
      <w:pPr>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6D241C">
        <w:t>This project returns excellent value for money (BCR of 2.63), and carries around 3</w:t>
      </w:r>
      <w:r>
        <w:t>0</w:t>
      </w:r>
      <w:r w:rsidRPr="006D241C">
        <w:t>,000 vehicles (AADT). Almost all of the existing traffic in the immediate corridor switches to the new route</w:t>
      </w:r>
      <w:r>
        <w:t>; the</w:t>
      </w:r>
      <w:r w:rsidRPr="006D241C">
        <w:t xml:space="preserve"> </w:t>
      </w:r>
      <w:r>
        <w:t xml:space="preserve">aforementioned </w:t>
      </w:r>
      <w:r w:rsidRPr="006D241C">
        <w:t>flow cha</w:t>
      </w:r>
      <w:r>
        <w:t>nges are illustrated in Figure 4.39, overleaf</w:t>
      </w:r>
      <w:r w:rsidRPr="006D241C">
        <w:t>.</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 xml:space="preserve">4.39 </w:t>
      </w:r>
      <w:r w:rsidRPr="0045095C">
        <w:rPr>
          <w:b/>
          <w:sz w:val="22"/>
          <w:szCs w:val="22"/>
        </w:rPr>
        <w:t>Flow Changes Due to Bacau-Focsani-Braila-Galati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703D81CB" wp14:editId="02A947FA">
            <wp:extent cx="5191200" cy="3456000"/>
            <wp:effectExtent l="19050" t="19050" r="9525" b="1143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6B Difference Plot"/>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191200" cy="34560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Average speeds increase to 106 kph as a consequence of the scheme. Peak time journey times are reduced by 40%.</w:t>
      </w:r>
    </w:p>
    <w:p w:rsidR="0085264B" w:rsidRDefault="0085264B" w:rsidP="0085264B">
      <w:pPr>
        <w:pStyle w:val="NumberedParas"/>
        <w:tabs>
          <w:tab w:val="clear" w:pos="2291"/>
          <w:tab w:val="left" w:pos="851"/>
          <w:tab w:val="left" w:pos="2268"/>
          <w:tab w:val="num" w:pos="2433"/>
        </w:tabs>
        <w:ind w:left="851" w:hanging="851"/>
      </w:pPr>
      <w:r w:rsidRPr="006D241C">
        <w:t>The primary economic indicators for the project are as follows:</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NPV</w:t>
      </w:r>
      <w:r w:rsidRPr="006D241C">
        <w:rPr>
          <w:sz w:val="22"/>
          <w:szCs w:val="22"/>
        </w:rPr>
        <w:tab/>
        <w:t>= €1,268M</w:t>
      </w:r>
      <w:r>
        <w:rPr>
          <w:sz w:val="22"/>
          <w:szCs w:val="22"/>
        </w:rPr>
        <w:t>;</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BCR</w:t>
      </w:r>
      <w:r w:rsidRPr="006D241C">
        <w:rPr>
          <w:sz w:val="22"/>
          <w:szCs w:val="22"/>
        </w:rPr>
        <w:tab/>
        <w:t>= 2.63; and</w:t>
      </w:r>
    </w:p>
    <w:p w:rsidR="0085264B" w:rsidRPr="006D241C"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11.2%.</w:t>
      </w:r>
    </w:p>
    <w:p w:rsidR="0085264B" w:rsidRDefault="0085264B" w:rsidP="0085264B">
      <w:pPr>
        <w:spacing w:before="120" w:after="120" w:line="276" w:lineRule="auto"/>
        <w:ind w:left="680"/>
        <w:rPr>
          <w:sz w:val="22"/>
          <w:szCs w:val="22"/>
        </w:rPr>
      </w:pPr>
    </w:p>
    <w:p w:rsidR="0085264B" w:rsidRDefault="0085264B" w:rsidP="0085264B">
      <w:pPr>
        <w:pStyle w:val="Hdg3"/>
        <w:ind w:left="851"/>
        <w:sectPr w:rsidR="0085264B" w:rsidSect="00933C17">
          <w:pgSz w:w="11907" w:h="16840" w:code="9"/>
          <w:pgMar w:top="1418" w:right="709" w:bottom="1418" w:left="907" w:header="357" w:footer="567" w:gutter="0"/>
          <w:cols w:space="187"/>
          <w:docGrid w:linePitch="360"/>
        </w:sectPr>
      </w:pPr>
    </w:p>
    <w:p w:rsidR="0085264B" w:rsidRPr="006D241C" w:rsidRDefault="0085264B" w:rsidP="0085264B">
      <w:pPr>
        <w:pStyle w:val="Hdg3"/>
        <w:ind w:left="851"/>
      </w:pPr>
      <w:r>
        <w:t xml:space="preserve">Level 2 Schemes – OR7A - </w:t>
      </w:r>
      <w:r w:rsidRPr="006D241C">
        <w:t>Bacau-Suceava Expressway</w:t>
      </w:r>
    </w:p>
    <w:p w:rsidR="0085264B" w:rsidRPr="0031304F" w:rsidRDefault="0085264B" w:rsidP="0085264B">
      <w:pPr>
        <w:spacing w:before="120" w:after="120" w:line="276" w:lineRule="auto"/>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6D241C">
        <w:t>The high level objective for the project is to increase the economic efficiency of the transport network in Romania. The particular operational objective is to improve travel speeds between Bacau and Suceava, thus improving regional connectivity.</w:t>
      </w:r>
      <w:r>
        <w:t xml:space="preserve"> In conjunction with OR</w:t>
      </w:r>
      <w:r w:rsidRPr="004A69E9">
        <w:t xml:space="preserve">3 the project connects </w:t>
      </w:r>
      <w:r>
        <w:t xml:space="preserve">the </w:t>
      </w:r>
      <w:r w:rsidRPr="004A69E9">
        <w:t>N</w:t>
      </w:r>
      <w:r>
        <w:t xml:space="preserve">orth </w:t>
      </w:r>
      <w:r w:rsidRPr="004A69E9">
        <w:t>E</w:t>
      </w:r>
      <w:r>
        <w:t>ast of the country to the Centre and South</w:t>
      </w:r>
      <w:r w:rsidRPr="004A69E9">
        <w:t xml:space="preserve"> and</w:t>
      </w:r>
      <w:r>
        <w:t>,</w:t>
      </w:r>
      <w:r w:rsidRPr="004A69E9">
        <w:t xml:space="preserve"> with OR6B</w:t>
      </w:r>
      <w:r>
        <w:t>,</w:t>
      </w:r>
      <w:r w:rsidRPr="004A69E9">
        <w:t xml:space="preserve"> to Galati/Braila. </w:t>
      </w:r>
      <w:r>
        <w:t>Analysis of the National Model f</w:t>
      </w:r>
      <w:r w:rsidRPr="004A69E9">
        <w:t>lows show expressway is the appropriate standard</w:t>
      </w:r>
      <w:r>
        <w:t xml:space="preserve"> for the proposal</w:t>
      </w:r>
      <w:r w:rsidRPr="004A69E9">
        <w:t>.</w:t>
      </w:r>
      <w:r w:rsidRPr="006D241C">
        <w:t xml:space="preserve">  </w:t>
      </w:r>
    </w:p>
    <w:p w:rsidR="0085264B" w:rsidRDefault="0085264B" w:rsidP="0085264B">
      <w:pPr>
        <w:pStyle w:val="NumberedParas"/>
        <w:tabs>
          <w:tab w:val="clear" w:pos="2291"/>
          <w:tab w:val="left" w:pos="851"/>
          <w:tab w:val="left" w:pos="2268"/>
          <w:tab w:val="num" w:pos="2433"/>
        </w:tabs>
        <w:ind w:left="851" w:hanging="851"/>
      </w:pPr>
      <w:r w:rsidRPr="006D241C">
        <w:t>The alignment of</w:t>
      </w:r>
      <w:r>
        <w:t xml:space="preserve"> the route is shown in Figure 4.40</w:t>
      </w:r>
      <w:r w:rsidRPr="006D241C">
        <w:t xml:space="preserve">. </w:t>
      </w:r>
    </w:p>
    <w:p w:rsidR="0085264B" w:rsidRPr="0045095C" w:rsidRDefault="0085264B" w:rsidP="0085264B">
      <w:pPr>
        <w:keepNext/>
        <w:spacing w:before="120" w:after="120" w:line="276" w:lineRule="auto"/>
        <w:ind w:left="851"/>
        <w:rPr>
          <w:b/>
          <w:sz w:val="22"/>
          <w:szCs w:val="22"/>
        </w:rPr>
      </w:pPr>
      <w:r w:rsidRPr="0045095C">
        <w:rPr>
          <w:b/>
          <w:sz w:val="22"/>
          <w:szCs w:val="22"/>
        </w:rPr>
        <w:t xml:space="preserve">Figure </w:t>
      </w:r>
      <w:r>
        <w:rPr>
          <w:b/>
          <w:sz w:val="22"/>
          <w:szCs w:val="22"/>
        </w:rPr>
        <w:t xml:space="preserve">4.40 </w:t>
      </w:r>
      <w:r w:rsidRPr="0045095C">
        <w:rPr>
          <w:b/>
          <w:sz w:val="22"/>
          <w:szCs w:val="22"/>
        </w:rPr>
        <w:t>Bacau-Suceava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33B05A2" wp14:editId="7A53DA16">
            <wp:extent cx="5162550" cy="3419375"/>
            <wp:effectExtent l="19050" t="19050" r="19050" b="1016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7A Alignment Plot"/>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8582" b="12513"/>
                    <a:stretch/>
                  </pic:blipFill>
                  <pic:spPr bwMode="auto">
                    <a:xfrm>
                      <a:off x="0" y="0"/>
                      <a:ext cx="5158800" cy="3416891"/>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 xml:space="preserve">The route links the nodes of Bacau and Suceava, both on the </w:t>
      </w:r>
      <w:r>
        <w:t>TEN-T</w:t>
      </w:r>
      <w:r w:rsidRPr="006D241C">
        <w:t xml:space="preserve"> network.</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6D241C">
        <w:t>There are poor average travel times; typical average speeds for this route are around 69 kph.</w:t>
      </w:r>
    </w:p>
    <w:p w:rsidR="0085264B" w:rsidRDefault="0085264B" w:rsidP="0085264B">
      <w:pPr>
        <w:pStyle w:val="NumberedParas"/>
        <w:tabs>
          <w:tab w:val="clear" w:pos="2291"/>
          <w:tab w:val="left" w:pos="851"/>
          <w:tab w:val="left" w:pos="2268"/>
          <w:tab w:val="num" w:pos="2433"/>
        </w:tabs>
        <w:ind w:left="851" w:hanging="851"/>
      </w:pPr>
      <w:r w:rsidRPr="006D241C">
        <w:t>The bulk of the infrastructure provision in the corridor is poor – 97% of the route is only single carriageway standard.</w:t>
      </w:r>
    </w:p>
    <w:p w:rsidR="0085264B" w:rsidRPr="0031304F" w:rsidRDefault="0085264B" w:rsidP="0085264B">
      <w:pPr>
        <w:spacing w:before="120" w:after="120" w:line="276" w:lineRule="auto"/>
        <w:ind w:left="851"/>
        <w:rPr>
          <w:b/>
          <w:sz w:val="22"/>
          <w:szCs w:val="22"/>
        </w:rPr>
      </w:pPr>
      <w:r w:rsidRPr="0031304F">
        <w:rPr>
          <w:b/>
          <w:sz w:val="22"/>
          <w:szCs w:val="22"/>
        </w:rPr>
        <w:t>Undiscounted costs (Million €, 2014 prices):</w:t>
      </w:r>
    </w:p>
    <w:p w:rsidR="0085264B" w:rsidRPr="006D241C"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€645</w:t>
      </w:r>
      <w:r w:rsidRPr="006D241C">
        <w:rPr>
          <w:sz w:val="22"/>
          <w:szCs w:val="22"/>
        </w:rPr>
        <w:t>M</w:t>
      </w:r>
    </w:p>
    <w:p w:rsidR="0085264B" w:rsidRPr="0031304F" w:rsidRDefault="0085264B" w:rsidP="0085264B">
      <w:pPr>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6D241C">
        <w:t xml:space="preserve">This project returns excellent value for money (BCR of 3.23), and carries around </w:t>
      </w:r>
      <w:r>
        <w:t>20</w:t>
      </w:r>
      <w:r w:rsidRPr="006D241C">
        <w:t>,000 vehicles (AADT). Almost all of the existing traffic in the immediate corridor switches to the new route</w:t>
      </w:r>
      <w:r>
        <w:t>, t</w:t>
      </w:r>
      <w:r w:rsidRPr="006D241C">
        <w:t>he flow chan</w:t>
      </w:r>
      <w:r>
        <w:t>ges described earlier are illustrated in Figure 4.41 overleaf</w:t>
      </w:r>
      <w:r w:rsidRPr="006D241C">
        <w:t>.</w:t>
      </w:r>
    </w:p>
    <w:p w:rsidR="0085264B" w:rsidRPr="00575307" w:rsidRDefault="0085264B" w:rsidP="0085264B">
      <w:pPr>
        <w:keepNext/>
        <w:spacing w:before="120" w:after="120" w:line="276" w:lineRule="auto"/>
        <w:ind w:left="851"/>
        <w:rPr>
          <w:b/>
          <w:sz w:val="22"/>
          <w:szCs w:val="22"/>
        </w:rPr>
      </w:pPr>
      <w:r w:rsidRPr="0019173A">
        <w:rPr>
          <w:b/>
          <w:sz w:val="22"/>
          <w:szCs w:val="22"/>
        </w:rPr>
        <w:t>Figure 4.4</w:t>
      </w:r>
      <w:r>
        <w:rPr>
          <w:b/>
          <w:sz w:val="22"/>
          <w:szCs w:val="22"/>
        </w:rPr>
        <w:t>1</w:t>
      </w:r>
      <w:r w:rsidRPr="0019173A">
        <w:rPr>
          <w:b/>
          <w:sz w:val="22"/>
          <w:szCs w:val="22"/>
        </w:rPr>
        <w:t xml:space="preserve"> Flow Changes Due to Bacau-Suceava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7DE284B6" wp14:editId="760A2A95">
            <wp:extent cx="5144400" cy="3474000"/>
            <wp:effectExtent l="19050" t="19050" r="18415" b="12700"/>
            <wp:docPr id="2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R7A Difference Plot"/>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7616" b="11921"/>
                    <a:stretch/>
                  </pic:blipFill>
                  <pic:spPr bwMode="auto">
                    <a:xfrm>
                      <a:off x="0" y="0"/>
                      <a:ext cx="5144400" cy="3474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Average speeds increase to 96 kph as a consequence of the scheme. Peak time journey times are reduced by 28%.</w:t>
      </w:r>
    </w:p>
    <w:p w:rsidR="0085264B" w:rsidRDefault="0085264B" w:rsidP="0085264B">
      <w:pPr>
        <w:pStyle w:val="NumberedParas"/>
        <w:tabs>
          <w:tab w:val="clear" w:pos="2291"/>
          <w:tab w:val="left" w:pos="851"/>
          <w:tab w:val="left" w:pos="2268"/>
          <w:tab w:val="num" w:pos="2433"/>
        </w:tabs>
        <w:ind w:left="851" w:hanging="851"/>
      </w:pPr>
      <w:r w:rsidRPr="006D241C">
        <w:t>The primary economic indicators for the project are as follows:</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NPV</w:t>
      </w:r>
      <w:r w:rsidRPr="006D241C">
        <w:rPr>
          <w:sz w:val="22"/>
          <w:szCs w:val="22"/>
        </w:rPr>
        <w:tab/>
        <w:t>= €1,107M</w:t>
      </w:r>
      <w:r>
        <w:rPr>
          <w:sz w:val="22"/>
          <w:szCs w:val="22"/>
        </w:rPr>
        <w:t>;</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BCR</w:t>
      </w:r>
      <w:r w:rsidRPr="006D241C">
        <w:rPr>
          <w:sz w:val="22"/>
          <w:szCs w:val="22"/>
        </w:rPr>
        <w:tab/>
        <w:t>= 3.23; and</w:t>
      </w:r>
    </w:p>
    <w:p w:rsidR="0085264B" w:rsidRPr="006D241C"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12.6%.</w:t>
      </w:r>
    </w:p>
    <w:p w:rsidR="0085264B" w:rsidRDefault="0085264B" w:rsidP="0085264B">
      <w:pPr>
        <w:pStyle w:val="NumberedParas"/>
        <w:tabs>
          <w:tab w:val="clear" w:pos="2291"/>
          <w:tab w:val="left" w:pos="851"/>
          <w:tab w:val="left" w:pos="2268"/>
          <w:tab w:val="num" w:pos="2433"/>
        </w:tabs>
        <w:ind w:left="851" w:hanging="851"/>
        <w:sectPr w:rsidR="0085264B" w:rsidSect="00933C17">
          <w:pgSz w:w="11907" w:h="16840" w:code="9"/>
          <w:pgMar w:top="1418" w:right="709" w:bottom="1418" w:left="907" w:header="357" w:footer="567" w:gutter="0"/>
          <w:cols w:space="187"/>
          <w:docGrid w:linePitch="360"/>
        </w:sectPr>
      </w:pPr>
    </w:p>
    <w:p w:rsidR="0085264B" w:rsidRPr="006D241C" w:rsidRDefault="0085264B" w:rsidP="0085264B">
      <w:pPr>
        <w:pStyle w:val="Hdg3"/>
        <w:ind w:left="851"/>
      </w:pPr>
      <w:r>
        <w:t xml:space="preserve">Level 2 Schemes – OR7C - </w:t>
      </w:r>
      <w:r w:rsidRPr="006D241C">
        <w:t>Suceava-Botosani Expressway</w:t>
      </w:r>
    </w:p>
    <w:p w:rsidR="0085264B" w:rsidRPr="0031304F" w:rsidRDefault="0085264B" w:rsidP="0085264B">
      <w:pPr>
        <w:spacing w:before="120" w:after="120" w:line="276" w:lineRule="auto"/>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6D241C">
        <w:t xml:space="preserve">The high level objective for the project is to increase the economic efficiency of the transport network in Romania. The particular operational objective is to improve travel speeds between </w:t>
      </w:r>
      <w:r>
        <w:t xml:space="preserve">the county capital cities of </w:t>
      </w:r>
      <w:r w:rsidRPr="006D241C">
        <w:t>Suceava and Botosani, thus improving regional connectivity.</w:t>
      </w:r>
      <w:r w:rsidRPr="008F11D7">
        <w:t xml:space="preserve">  </w:t>
      </w:r>
      <w:r>
        <w:t>Analysis of the National Model f</w:t>
      </w:r>
      <w:r w:rsidRPr="008F11D7">
        <w:t>lows show expressway is the appropriate standard.</w:t>
      </w:r>
      <w:r w:rsidRPr="006D241C">
        <w:t xml:space="preserve"> </w:t>
      </w:r>
    </w:p>
    <w:p w:rsidR="0085264B" w:rsidRDefault="0085264B" w:rsidP="0085264B">
      <w:pPr>
        <w:pStyle w:val="NumberedParas"/>
        <w:tabs>
          <w:tab w:val="clear" w:pos="2291"/>
          <w:tab w:val="left" w:pos="851"/>
          <w:tab w:val="left" w:pos="2268"/>
          <w:tab w:val="num" w:pos="2433"/>
        </w:tabs>
        <w:ind w:left="851" w:hanging="851"/>
      </w:pPr>
      <w:r w:rsidRPr="006D241C">
        <w:t>The expressway alignment is shown in F</w:t>
      </w:r>
      <w:r>
        <w:t>igure 4.42.</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4.42 </w:t>
      </w:r>
      <w:r w:rsidRPr="007A06E8">
        <w:rPr>
          <w:b/>
          <w:sz w:val="22"/>
          <w:szCs w:val="22"/>
        </w:rPr>
        <w:t>Suceava-Botosani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7F1088B1" wp14:editId="3858E42A">
            <wp:extent cx="5194800" cy="3459600"/>
            <wp:effectExtent l="19050" t="19050" r="25400" b="26670"/>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7C Alignment Plot"/>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5194800" cy="34596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 xml:space="preserve">The route connects to the node of Suceava on the </w:t>
      </w:r>
      <w:r>
        <w:t>TEN-T</w:t>
      </w:r>
      <w:r w:rsidRPr="006D241C">
        <w:t xml:space="preserve"> network.</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6D241C">
        <w:t>There are poor average travel times; typical average speeds for this route are around 69 kph.</w:t>
      </w:r>
    </w:p>
    <w:p w:rsidR="0085264B" w:rsidRDefault="0085264B" w:rsidP="0085264B">
      <w:pPr>
        <w:pStyle w:val="NumberedParas"/>
        <w:tabs>
          <w:tab w:val="clear" w:pos="2291"/>
          <w:tab w:val="left" w:pos="851"/>
          <w:tab w:val="left" w:pos="2268"/>
          <w:tab w:val="num" w:pos="2433"/>
        </w:tabs>
        <w:ind w:left="851" w:hanging="851"/>
      </w:pPr>
      <w:r w:rsidRPr="006D241C">
        <w:t>The bulk of the infrastructure provision in the corridor is poor – 97% of the route is only single carriageway standard.</w:t>
      </w:r>
    </w:p>
    <w:p w:rsidR="0085264B" w:rsidRPr="0031304F" w:rsidRDefault="0085264B" w:rsidP="0085264B">
      <w:pPr>
        <w:spacing w:before="120" w:after="120" w:line="276" w:lineRule="auto"/>
        <w:ind w:left="851"/>
        <w:rPr>
          <w:b/>
          <w:sz w:val="22"/>
          <w:szCs w:val="22"/>
        </w:rPr>
      </w:pPr>
      <w:r w:rsidRPr="0031304F">
        <w:rPr>
          <w:b/>
          <w:sz w:val="22"/>
          <w:szCs w:val="22"/>
        </w:rPr>
        <w:t>Undiscounted costs (Million €, 2014 prices):</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 xml:space="preserve">CAPEX </w:t>
      </w:r>
      <w:r w:rsidRPr="006D241C">
        <w:rPr>
          <w:sz w:val="22"/>
          <w:szCs w:val="22"/>
        </w:rPr>
        <w:tab/>
        <w:t>€346M</w:t>
      </w:r>
    </w:p>
    <w:p w:rsidR="0085264B" w:rsidRPr="0031304F" w:rsidRDefault="0085264B" w:rsidP="0085264B">
      <w:pPr>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6D241C">
        <w:t xml:space="preserve">This project returns a value for money figure (BCR) of 1.83, and carries around </w:t>
      </w:r>
      <w:r>
        <w:t>20</w:t>
      </w:r>
      <w:r w:rsidRPr="006D241C">
        <w:t>,000 vehicles (AADT). Almost all of the existing traffic in the immediate corridor switches to the new route</w:t>
      </w:r>
      <w:r>
        <w:t>; t</w:t>
      </w:r>
      <w:r w:rsidRPr="006D241C">
        <w:t xml:space="preserve">he </w:t>
      </w:r>
      <w:r>
        <w:t xml:space="preserve">aforementioned </w:t>
      </w:r>
      <w:r w:rsidRPr="006D241C">
        <w:t>flow chan</w:t>
      </w:r>
      <w:r>
        <w:t>ges are illustrated in Figure 4.43 overleaf</w:t>
      </w:r>
      <w:r w:rsidRPr="006D241C">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4.43 </w:t>
      </w:r>
      <w:r w:rsidRPr="007A06E8">
        <w:rPr>
          <w:b/>
          <w:sz w:val="22"/>
          <w:szCs w:val="22"/>
        </w:rPr>
        <w:t>Flow Changes Due to Suceava-Botosani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4535EE75" wp14:editId="4109D81E">
            <wp:extent cx="5191200" cy="3456000"/>
            <wp:effectExtent l="19050" t="19050" r="9525" b="11430"/>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R7C Difference Plot"/>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5191200" cy="34560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6D241C">
        <w:t>Average speeds increase to 98 kph as a consequence of the scheme. Peak time journey times are reduced by 29%.</w:t>
      </w:r>
    </w:p>
    <w:p w:rsidR="0085264B" w:rsidRDefault="0085264B" w:rsidP="0085264B">
      <w:pPr>
        <w:pStyle w:val="NumberedParas"/>
        <w:tabs>
          <w:tab w:val="clear" w:pos="2291"/>
          <w:tab w:val="left" w:pos="851"/>
          <w:tab w:val="left" w:pos="2268"/>
          <w:tab w:val="num" w:pos="2433"/>
        </w:tabs>
        <w:ind w:left="851" w:hanging="851"/>
      </w:pPr>
      <w:r w:rsidRPr="006D241C">
        <w:t>The primary economic indicators for the project are as follows:</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NPV</w:t>
      </w:r>
      <w:r w:rsidRPr="006D241C">
        <w:rPr>
          <w:sz w:val="22"/>
          <w:szCs w:val="22"/>
        </w:rPr>
        <w:tab/>
        <w:t>= €623M</w:t>
      </w:r>
      <w:r>
        <w:rPr>
          <w:sz w:val="22"/>
          <w:szCs w:val="22"/>
        </w:rPr>
        <w:t>;</w:t>
      </w:r>
    </w:p>
    <w:p w:rsidR="0085264B" w:rsidRPr="006D241C" w:rsidRDefault="0085264B" w:rsidP="0085264B">
      <w:pPr>
        <w:pStyle w:val="ListParagraph"/>
        <w:numPr>
          <w:ilvl w:val="0"/>
          <w:numId w:val="53"/>
        </w:numPr>
        <w:spacing w:before="120" w:after="120" w:line="276" w:lineRule="auto"/>
        <w:contextualSpacing/>
        <w:rPr>
          <w:sz w:val="22"/>
          <w:szCs w:val="22"/>
        </w:rPr>
      </w:pPr>
      <w:r w:rsidRPr="006D241C">
        <w:rPr>
          <w:sz w:val="22"/>
          <w:szCs w:val="22"/>
        </w:rPr>
        <w:t>BCR</w:t>
      </w:r>
      <w:r w:rsidRPr="006D241C">
        <w:rPr>
          <w:sz w:val="22"/>
          <w:szCs w:val="22"/>
        </w:rPr>
        <w:tab/>
        <w:t>= 1.83; and</w:t>
      </w:r>
    </w:p>
    <w:p w:rsidR="0085264B" w:rsidRPr="006D241C"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8.9%.</w:t>
      </w:r>
    </w:p>
    <w:p w:rsidR="0085264B" w:rsidRDefault="0085264B" w:rsidP="0085264B">
      <w:pPr>
        <w:pStyle w:val="NumberedParas"/>
        <w:tabs>
          <w:tab w:val="clear" w:pos="2291"/>
          <w:tab w:val="left" w:pos="851"/>
          <w:tab w:val="left" w:pos="2268"/>
          <w:tab w:val="num" w:pos="2433"/>
        </w:tabs>
        <w:ind w:left="851" w:hanging="851"/>
        <w:sectPr w:rsidR="0085264B" w:rsidSect="00933C17">
          <w:pgSz w:w="11907" w:h="16840" w:code="9"/>
          <w:pgMar w:top="1418" w:right="709" w:bottom="1418" w:left="907" w:header="357" w:footer="567" w:gutter="0"/>
          <w:cols w:space="187"/>
          <w:docGrid w:linePitch="360"/>
        </w:sectPr>
      </w:pPr>
    </w:p>
    <w:p w:rsidR="0085264B" w:rsidRPr="006D241C" w:rsidRDefault="0085264B" w:rsidP="0085264B">
      <w:pPr>
        <w:pStyle w:val="Hdg3"/>
        <w:ind w:left="851"/>
      </w:pPr>
      <w:r>
        <w:t xml:space="preserve">Level 2 Schemes – OR9B - </w:t>
      </w:r>
      <w:r w:rsidRPr="003F5F4C">
        <w:t xml:space="preserve">Turda-Halmeu </w:t>
      </w:r>
      <w:r w:rsidRPr="006D241C">
        <w:t>Expressway</w:t>
      </w:r>
    </w:p>
    <w:p w:rsidR="0085264B" w:rsidRPr="0031304F" w:rsidRDefault="0085264B" w:rsidP="0085264B">
      <w:pPr>
        <w:spacing w:before="120" w:after="120" w:line="276" w:lineRule="auto"/>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3F5F4C">
        <w:t xml:space="preserve">The high level objective for the project is to increase the economic efficiency of the transport network in Romania. The particular operational objective is to improve travel speeds between Turda and Halmeu, thus improving regional connectivity.  </w:t>
      </w:r>
      <w:r>
        <w:t>The route</w:t>
      </w:r>
      <w:r w:rsidRPr="009F072D">
        <w:t xml:space="preserve"> connects the County Capital Cities of Cluj, Satu Mare and Baia Mare.  With OR2</w:t>
      </w:r>
      <w:r>
        <w:t>, it</w:t>
      </w:r>
      <w:r w:rsidRPr="009F072D">
        <w:t xml:space="preserve"> provides a connection between the South, Central and </w:t>
      </w:r>
      <w:r>
        <w:t>N</w:t>
      </w:r>
      <w:r w:rsidRPr="009F072D">
        <w:t xml:space="preserve">orth West areas, and </w:t>
      </w:r>
      <w:r>
        <w:t xml:space="preserve">on </w:t>
      </w:r>
      <w:r w:rsidRPr="009F072D">
        <w:t xml:space="preserve">to the Ukraine.  </w:t>
      </w:r>
      <w:r>
        <w:t>It incorporates links to the border crossing points of Halmeu and Petea and therefore also p</w:t>
      </w:r>
      <w:r w:rsidRPr="009F072D">
        <w:t>rovides European added value.</w:t>
      </w:r>
      <w:r>
        <w:t xml:space="preserve"> </w:t>
      </w:r>
    </w:p>
    <w:p w:rsidR="0085264B" w:rsidRDefault="0085264B" w:rsidP="0085264B">
      <w:pPr>
        <w:pStyle w:val="NumberedParas"/>
        <w:tabs>
          <w:tab w:val="clear" w:pos="2291"/>
          <w:tab w:val="left" w:pos="851"/>
          <w:tab w:val="left" w:pos="2268"/>
          <w:tab w:val="num" w:pos="2433"/>
        </w:tabs>
        <w:ind w:left="851" w:hanging="851"/>
      </w:pPr>
      <w:r>
        <w:t>Figure 4.44</w:t>
      </w:r>
      <w:r w:rsidRPr="003F5F4C">
        <w:t xml:space="preserve"> shows the alignment of the expressway</w:t>
      </w:r>
      <w:r>
        <w:t xml:space="preserve"> which analysis of the National Model flows shows is the appropriate standard for this proposal.</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4.44 </w:t>
      </w:r>
      <w:r w:rsidRPr="007A06E8">
        <w:rPr>
          <w:b/>
          <w:sz w:val="22"/>
          <w:szCs w:val="22"/>
        </w:rPr>
        <w:t>Turda-Halmeu Expressway Indicative Alignment</w:t>
      </w:r>
    </w:p>
    <w:p w:rsidR="0085264B" w:rsidRDefault="0085264B" w:rsidP="0085264B">
      <w:pPr>
        <w:spacing w:before="120" w:after="120" w:line="276" w:lineRule="auto"/>
        <w:ind w:left="680" w:firstLine="171"/>
        <w:rPr>
          <w:sz w:val="22"/>
          <w:szCs w:val="22"/>
        </w:rPr>
      </w:pPr>
      <w:r w:rsidRPr="00A83752">
        <w:rPr>
          <w:noProof/>
          <w:lang w:val="ro-RO" w:eastAsia="ro-RO"/>
        </w:rPr>
        <w:drawing>
          <wp:inline distT="0" distB="0" distL="0" distR="0" wp14:anchorId="31B4DA08" wp14:editId="021D244D">
            <wp:extent cx="5204002" cy="4125773"/>
            <wp:effectExtent l="19050" t="19050" r="15698" b="27127"/>
            <wp:docPr id="189" name="Picture 113" descr="OR9B Alignment Plot v2 was Figure 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9B Alignment Plot v2 was Figure 4.43.png"/>
                    <pic:cNvPicPr/>
                  </pic:nvPicPr>
                  <pic:blipFill>
                    <a:blip r:embed="rId133" cstate="print"/>
                    <a:srcRect t="7835" b="11823"/>
                    <a:stretch>
                      <a:fillRect/>
                    </a:stretch>
                  </pic:blipFill>
                  <pic:spPr>
                    <a:xfrm>
                      <a:off x="0" y="0"/>
                      <a:ext cx="5204002" cy="4125773"/>
                    </a:xfrm>
                    <a:prstGeom prst="rect">
                      <a:avLst/>
                    </a:prstGeom>
                    <a:ln>
                      <a:solidFill>
                        <a:schemeClr val="accent1"/>
                      </a:solidFill>
                    </a:ln>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3F5F4C">
        <w:t xml:space="preserve">The route connects to the node of Turda on the </w:t>
      </w:r>
      <w:r>
        <w:t>TEN-T</w:t>
      </w:r>
      <w:r w:rsidRPr="003F5F4C">
        <w:t xml:space="preserve"> network</w:t>
      </w:r>
      <w:r>
        <w:t>.</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3F5F4C">
        <w:t xml:space="preserve">There are poor average travel times; typical average speeds </w:t>
      </w:r>
      <w:r>
        <w:t xml:space="preserve">estimates of approximately </w:t>
      </w:r>
      <w:r w:rsidRPr="003F5F4C">
        <w:t>70 kph</w:t>
      </w:r>
      <w:r>
        <w:t xml:space="preserve"> in the base year model </w:t>
      </w:r>
      <w:r w:rsidRPr="003F5F4C">
        <w:t xml:space="preserve">for this route. The bulk of the </w:t>
      </w:r>
      <w:r>
        <w:t xml:space="preserve">current </w:t>
      </w:r>
      <w:r w:rsidRPr="003F5F4C">
        <w:t>infrastructure provision in the corridor is poor – 89% of the route is only single carriageway standard.</w:t>
      </w:r>
    </w:p>
    <w:p w:rsidR="0085264B" w:rsidRPr="0031304F" w:rsidRDefault="0085264B" w:rsidP="0085264B">
      <w:pPr>
        <w:spacing w:before="120" w:after="120" w:line="276" w:lineRule="auto"/>
        <w:ind w:left="851"/>
        <w:rPr>
          <w:b/>
          <w:sz w:val="22"/>
          <w:szCs w:val="22"/>
        </w:rPr>
      </w:pPr>
      <w:r w:rsidRPr="0031304F">
        <w:rPr>
          <w:b/>
          <w:sz w:val="22"/>
          <w:szCs w:val="22"/>
        </w:rPr>
        <w:t>Undiscounted costs (Million €, 2014 prices):</w:t>
      </w:r>
    </w:p>
    <w:p w:rsidR="0085264B" w:rsidRPr="003F5F4C" w:rsidRDefault="0085264B" w:rsidP="0085264B">
      <w:pPr>
        <w:pStyle w:val="ListParagraph"/>
        <w:numPr>
          <w:ilvl w:val="0"/>
          <w:numId w:val="53"/>
        </w:numPr>
        <w:spacing w:before="120" w:after="120" w:line="276" w:lineRule="auto"/>
        <w:contextualSpacing/>
        <w:rPr>
          <w:sz w:val="22"/>
          <w:szCs w:val="22"/>
        </w:rPr>
      </w:pPr>
      <w:r w:rsidRPr="003F5F4C">
        <w:rPr>
          <w:sz w:val="22"/>
          <w:szCs w:val="22"/>
        </w:rPr>
        <w:t xml:space="preserve">CAPEX </w:t>
      </w:r>
      <w:r w:rsidRPr="003F5F4C">
        <w:rPr>
          <w:sz w:val="22"/>
          <w:szCs w:val="22"/>
        </w:rPr>
        <w:tab/>
        <w:t>€9</w:t>
      </w:r>
      <w:r>
        <w:rPr>
          <w:sz w:val="22"/>
          <w:szCs w:val="22"/>
        </w:rPr>
        <w:t>75</w:t>
      </w:r>
      <w:r w:rsidRPr="003F5F4C">
        <w:rPr>
          <w:sz w:val="22"/>
          <w:szCs w:val="22"/>
        </w:rPr>
        <w:t>M</w:t>
      </w:r>
    </w:p>
    <w:p w:rsidR="0085264B" w:rsidRDefault="0085264B" w:rsidP="0085264B">
      <w:pPr>
        <w:keepNext/>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3F5F4C">
        <w:t xml:space="preserve">This project returns excellent value for money (BCR of 3.29), and carries around </w:t>
      </w:r>
      <w:r>
        <w:t>30</w:t>
      </w:r>
      <w:r w:rsidRPr="003F5F4C">
        <w:t xml:space="preserve">,000 vehicles (AADT). </w:t>
      </w:r>
      <w:r>
        <w:t>The model forecasts a</w:t>
      </w:r>
      <w:r w:rsidRPr="003F5F4C">
        <w:t>lmost all of the existing traffic in the immediate corridor switch</w:t>
      </w:r>
      <w:r>
        <w:t>ing</w:t>
      </w:r>
      <w:r w:rsidRPr="003F5F4C">
        <w:t xml:space="preserve"> to the new route</w:t>
      </w:r>
      <w:r>
        <w:t>; meanwhile t</w:t>
      </w:r>
      <w:r w:rsidRPr="003F5F4C">
        <w:t>he flow chan</w:t>
      </w:r>
      <w:r>
        <w:t>ges are illustrated in Figure 4.44 overleaf</w:t>
      </w:r>
      <w:r w:rsidRPr="003F5F4C">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4.45 </w:t>
      </w:r>
      <w:r w:rsidRPr="007A06E8">
        <w:rPr>
          <w:b/>
          <w:sz w:val="22"/>
          <w:szCs w:val="22"/>
        </w:rPr>
        <w:t>Flow Changes Due to Turda-Halmeu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30644B6" wp14:editId="1286D071">
            <wp:extent cx="5205600" cy="3499200"/>
            <wp:effectExtent l="19050" t="19050" r="14605" b="25400"/>
            <wp:docPr id="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9B Difference Plot"/>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8278" b="11589"/>
                    <a:stretch/>
                  </pic:blipFill>
                  <pic:spPr bwMode="auto">
                    <a:xfrm>
                      <a:off x="0" y="0"/>
                      <a:ext cx="5205600" cy="3499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3F5F4C">
        <w:t xml:space="preserve">Average speeds increase to 109 kph as a consequence of the scheme. </w:t>
      </w:r>
      <w:r>
        <w:t>Meanwhile, p</w:t>
      </w:r>
      <w:r w:rsidRPr="003F5F4C">
        <w:t>eak time journey times are reduced by 45%.</w:t>
      </w:r>
    </w:p>
    <w:p w:rsidR="0085264B" w:rsidRDefault="0085264B" w:rsidP="0085264B">
      <w:pPr>
        <w:pStyle w:val="NumberedParas"/>
        <w:tabs>
          <w:tab w:val="clear" w:pos="2291"/>
          <w:tab w:val="left" w:pos="851"/>
          <w:tab w:val="left" w:pos="2268"/>
          <w:tab w:val="num" w:pos="2433"/>
        </w:tabs>
        <w:ind w:left="851" w:hanging="851"/>
      </w:pPr>
      <w:r w:rsidRPr="003F5F4C">
        <w:t>The primary economic indicators for the project are as follows:</w:t>
      </w:r>
    </w:p>
    <w:p w:rsidR="0085264B" w:rsidRPr="003F5F4C" w:rsidRDefault="0085264B" w:rsidP="0085264B">
      <w:pPr>
        <w:pStyle w:val="ListParagraph"/>
        <w:numPr>
          <w:ilvl w:val="0"/>
          <w:numId w:val="53"/>
        </w:numPr>
        <w:spacing w:before="120" w:after="120" w:line="276" w:lineRule="auto"/>
        <w:contextualSpacing/>
        <w:rPr>
          <w:sz w:val="22"/>
          <w:szCs w:val="22"/>
        </w:rPr>
      </w:pPr>
      <w:r w:rsidRPr="003F5F4C">
        <w:rPr>
          <w:sz w:val="22"/>
          <w:szCs w:val="22"/>
        </w:rPr>
        <w:t>NPV</w:t>
      </w:r>
      <w:r w:rsidRPr="003F5F4C">
        <w:rPr>
          <w:sz w:val="22"/>
          <w:szCs w:val="22"/>
        </w:rPr>
        <w:tab/>
        <w:t>= €1,766M</w:t>
      </w:r>
      <w:r>
        <w:rPr>
          <w:sz w:val="22"/>
          <w:szCs w:val="22"/>
        </w:rPr>
        <w:t>;</w:t>
      </w:r>
    </w:p>
    <w:p w:rsidR="0085264B" w:rsidRPr="003F5F4C" w:rsidRDefault="0085264B" w:rsidP="0085264B">
      <w:pPr>
        <w:pStyle w:val="ListParagraph"/>
        <w:numPr>
          <w:ilvl w:val="0"/>
          <w:numId w:val="53"/>
        </w:numPr>
        <w:spacing w:before="120" w:after="120" w:line="276" w:lineRule="auto"/>
        <w:contextualSpacing/>
        <w:rPr>
          <w:sz w:val="22"/>
          <w:szCs w:val="22"/>
        </w:rPr>
      </w:pPr>
      <w:r w:rsidRPr="003F5F4C">
        <w:rPr>
          <w:sz w:val="22"/>
          <w:szCs w:val="22"/>
        </w:rPr>
        <w:t>BCR</w:t>
      </w:r>
      <w:r w:rsidRPr="003F5F4C">
        <w:rPr>
          <w:sz w:val="22"/>
          <w:szCs w:val="22"/>
        </w:rPr>
        <w:tab/>
        <w:t>= 3.29; and</w:t>
      </w:r>
    </w:p>
    <w:p w:rsidR="0085264B" w:rsidRPr="003F5F4C"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13.5%.</w:t>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OR10 - </w:t>
      </w:r>
      <w:r w:rsidRPr="00BB4AD8">
        <w:t xml:space="preserve">Lugoj- Craiova </w:t>
      </w:r>
      <w:r w:rsidRPr="006D241C">
        <w:t>Expressway</w:t>
      </w:r>
    </w:p>
    <w:p w:rsidR="0085264B" w:rsidRPr="0031304F" w:rsidRDefault="0085264B" w:rsidP="0085264B">
      <w:pPr>
        <w:spacing w:before="120" w:after="120" w:line="276" w:lineRule="auto"/>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BB4AD8">
        <w:t xml:space="preserve">The high level objective for the project is to increase the economic efficiency of the transport network in Romania. The particular operational objective is to improve travel speeds between Lugoj and Craiova, thus improving regional connectivity.  </w:t>
      </w:r>
      <w:r>
        <w:t>The</w:t>
      </w:r>
      <w:r w:rsidRPr="00D90AB7">
        <w:t xml:space="preserve"> route connects the industrial centre of </w:t>
      </w:r>
      <w:r>
        <w:t>C</w:t>
      </w:r>
      <w:r w:rsidRPr="00D90AB7">
        <w:t>raiova with the west of Romania and Hungary and the remainder of Europe.  It also connects with the Vidin – Calafat Danube Crossing thus providing European added value. In conjunction with OR4 (Pitesti – Craiova)</w:t>
      </w:r>
      <w:r>
        <w:t>,</w:t>
      </w:r>
      <w:r w:rsidRPr="00D90AB7">
        <w:t xml:space="preserve"> </w:t>
      </w:r>
      <w:r>
        <w:t xml:space="preserve">the route </w:t>
      </w:r>
      <w:r w:rsidRPr="00D90AB7">
        <w:t xml:space="preserve">provides a connection between the remainder of Europe with the industrial and distribution centre of Pitesti.  </w:t>
      </w:r>
      <w:r>
        <w:t>Analysis of the National Model f</w:t>
      </w:r>
      <w:r w:rsidRPr="00D90AB7">
        <w:t>lows show expressway is the appropriate standard</w:t>
      </w:r>
      <w:r>
        <w:t xml:space="preserve"> for the proposal</w:t>
      </w:r>
      <w:r w:rsidRPr="00D90AB7">
        <w:t>.</w:t>
      </w:r>
    </w:p>
    <w:p w:rsidR="0085264B" w:rsidRDefault="0085264B" w:rsidP="0085264B">
      <w:pPr>
        <w:pStyle w:val="NumberedParas"/>
        <w:tabs>
          <w:tab w:val="clear" w:pos="2291"/>
          <w:tab w:val="left" w:pos="851"/>
          <w:tab w:val="left" w:pos="2268"/>
          <w:tab w:val="num" w:pos="2433"/>
        </w:tabs>
        <w:ind w:left="851" w:hanging="851"/>
      </w:pPr>
      <w:r>
        <w:t>Figure 4.46</w:t>
      </w:r>
      <w:r w:rsidRPr="00BB4AD8">
        <w:t xml:space="preserve"> shows the indicative alignment.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4.46 </w:t>
      </w:r>
      <w:r w:rsidRPr="007A06E8">
        <w:rPr>
          <w:b/>
          <w:sz w:val="22"/>
          <w:szCs w:val="22"/>
        </w:rPr>
        <w:t>Lugoj – Craiova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58F72CC1" wp14:editId="1D7CE0AD">
            <wp:extent cx="5140800" cy="3441600"/>
            <wp:effectExtent l="19050" t="19050" r="22225" b="26035"/>
            <wp:docPr id="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10 Alignment Plot"/>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B4AD8">
        <w:t xml:space="preserve">The route connects to the node of Craiova on the </w:t>
      </w:r>
      <w:r>
        <w:t>TEN-T</w:t>
      </w:r>
      <w:r w:rsidRPr="00BB4AD8">
        <w:t xml:space="preserve"> network.</w:t>
      </w:r>
    </w:p>
    <w:p w:rsidR="0085264B" w:rsidRPr="0031304F" w:rsidRDefault="0085264B" w:rsidP="0085264B">
      <w:pPr>
        <w:spacing w:before="120" w:after="120" w:line="276" w:lineRule="auto"/>
        <w:ind w:left="851"/>
        <w:rPr>
          <w:b/>
          <w:sz w:val="22"/>
          <w:szCs w:val="22"/>
        </w:rPr>
      </w:pPr>
      <w:r w:rsidRPr="0031304F">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BB4AD8">
        <w:t>There are poor average travel times; typical average speeds for this route are around 71 kph. The bulk of the infrastructure provision in the corridor is poor – 84% of the route is only single carriageway standard.</w:t>
      </w:r>
    </w:p>
    <w:p w:rsidR="0085264B" w:rsidRPr="0031304F" w:rsidRDefault="0085264B" w:rsidP="0085264B">
      <w:pPr>
        <w:spacing w:before="120" w:after="120" w:line="276" w:lineRule="auto"/>
        <w:ind w:left="851"/>
        <w:rPr>
          <w:b/>
          <w:sz w:val="22"/>
          <w:szCs w:val="22"/>
        </w:rPr>
      </w:pPr>
      <w:r w:rsidRPr="0031304F">
        <w:rPr>
          <w:b/>
          <w:sz w:val="22"/>
          <w:szCs w:val="22"/>
        </w:rPr>
        <w:t>Undiscounted costs (Million €, 2014 prices):</w:t>
      </w:r>
    </w:p>
    <w:p w:rsidR="0085264B" w:rsidRPr="00BB4AD8"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€1,811</w:t>
      </w:r>
      <w:r w:rsidRPr="00BB4AD8">
        <w:rPr>
          <w:sz w:val="22"/>
          <w:szCs w:val="22"/>
        </w:rPr>
        <w:t>M</w:t>
      </w:r>
    </w:p>
    <w:p w:rsidR="0085264B" w:rsidRPr="0031304F" w:rsidRDefault="0085264B" w:rsidP="0085264B">
      <w:pPr>
        <w:spacing w:before="120" w:after="120" w:line="276" w:lineRule="auto"/>
        <w:ind w:left="851"/>
        <w:rPr>
          <w:b/>
          <w:sz w:val="22"/>
          <w:szCs w:val="22"/>
        </w:rPr>
      </w:pPr>
      <w:r w:rsidRPr="0031304F">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B4AD8">
        <w:t>This project returns excellent value for money (BCR of 2.23), and carries around 30,000 vehicles (AADT). Almost all of the existing traffic in the immediate corridor switches to the new route</w:t>
      </w:r>
      <w:r>
        <w:t xml:space="preserve">; the aforementioned </w:t>
      </w:r>
      <w:r w:rsidRPr="00BB4AD8">
        <w:t>flow chan</w:t>
      </w:r>
      <w:r>
        <w:t xml:space="preserve">ges are illustrated in </w:t>
      </w:r>
      <w:r w:rsidRPr="000F20E7">
        <w:t>Figure</w:t>
      </w:r>
      <w:r>
        <w:t xml:space="preserve"> 4.47</w:t>
      </w:r>
      <w:r w:rsidRPr="00BB4AD8">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4.47 </w:t>
      </w:r>
      <w:r w:rsidRPr="007A06E8">
        <w:rPr>
          <w:b/>
          <w:sz w:val="22"/>
          <w:szCs w:val="22"/>
        </w:rPr>
        <w:t>Flow Changes Due to Lugoj – Craiova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5AC40A4A" wp14:editId="2DCB90A0">
            <wp:extent cx="5194800" cy="3459600"/>
            <wp:effectExtent l="19050" t="19050" r="25400" b="26670"/>
            <wp:docPr id="1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R10 Difference Plot"/>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194800" cy="34596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B4AD8">
        <w:t>Average speeds increase to 98 kph as a consequence of the scheme. Peak time journey times are reduced by 32%.</w:t>
      </w:r>
    </w:p>
    <w:p w:rsidR="0085264B" w:rsidRDefault="0085264B" w:rsidP="0085264B">
      <w:pPr>
        <w:pStyle w:val="NumberedParas"/>
        <w:tabs>
          <w:tab w:val="clear" w:pos="2291"/>
          <w:tab w:val="left" w:pos="851"/>
          <w:tab w:val="left" w:pos="2268"/>
          <w:tab w:val="num" w:pos="2433"/>
        </w:tabs>
        <w:ind w:left="851" w:hanging="851"/>
      </w:pPr>
      <w:r w:rsidRPr="00BB4AD8">
        <w:t>The primary economic indicators for the project are as follows:</w:t>
      </w:r>
    </w:p>
    <w:p w:rsidR="0085264B" w:rsidRPr="00BB4AD8" w:rsidRDefault="0085264B" w:rsidP="0085264B">
      <w:pPr>
        <w:pStyle w:val="ListParagraph"/>
        <w:numPr>
          <w:ilvl w:val="0"/>
          <w:numId w:val="53"/>
        </w:numPr>
        <w:spacing w:before="120" w:after="120" w:line="276" w:lineRule="auto"/>
        <w:contextualSpacing/>
        <w:rPr>
          <w:sz w:val="22"/>
          <w:szCs w:val="22"/>
        </w:rPr>
      </w:pPr>
      <w:r w:rsidRPr="00BB4AD8">
        <w:rPr>
          <w:sz w:val="22"/>
          <w:szCs w:val="22"/>
        </w:rPr>
        <w:t>NPV</w:t>
      </w:r>
      <w:r w:rsidRPr="00BB4AD8">
        <w:rPr>
          <w:sz w:val="22"/>
          <w:szCs w:val="22"/>
        </w:rPr>
        <w:tab/>
        <w:t>= €1,</w:t>
      </w:r>
      <w:r>
        <w:rPr>
          <w:sz w:val="22"/>
          <w:szCs w:val="22"/>
        </w:rPr>
        <w:t>546</w:t>
      </w:r>
      <w:r w:rsidRPr="00BB4AD8">
        <w:rPr>
          <w:sz w:val="22"/>
          <w:szCs w:val="22"/>
        </w:rPr>
        <w:t>M</w:t>
      </w:r>
      <w:r>
        <w:rPr>
          <w:sz w:val="22"/>
          <w:szCs w:val="22"/>
        </w:rPr>
        <w:t>;</w:t>
      </w:r>
    </w:p>
    <w:p w:rsidR="0085264B" w:rsidRPr="00BB4AD8" w:rsidRDefault="0085264B" w:rsidP="0085264B">
      <w:pPr>
        <w:pStyle w:val="ListParagraph"/>
        <w:numPr>
          <w:ilvl w:val="0"/>
          <w:numId w:val="53"/>
        </w:numPr>
        <w:spacing w:before="120" w:after="120" w:line="276" w:lineRule="auto"/>
        <w:contextualSpacing/>
        <w:rPr>
          <w:sz w:val="22"/>
          <w:szCs w:val="22"/>
        </w:rPr>
      </w:pPr>
      <w:r w:rsidRPr="00BB4AD8">
        <w:rPr>
          <w:sz w:val="22"/>
          <w:szCs w:val="22"/>
        </w:rPr>
        <w:t>BCR</w:t>
      </w:r>
      <w:r w:rsidRPr="00BB4AD8">
        <w:rPr>
          <w:sz w:val="22"/>
          <w:szCs w:val="22"/>
        </w:rPr>
        <w:tab/>
        <w:t>= 2.23; and</w:t>
      </w:r>
    </w:p>
    <w:p w:rsidR="0085264B" w:rsidRPr="00BB4AD8"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10.0%.</w:t>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OR13 – Campia Turzii </w:t>
      </w:r>
      <w:r w:rsidRPr="00BB4AD8">
        <w:t xml:space="preserve">-Targa Mures- Iasi </w:t>
      </w:r>
      <w:r w:rsidRPr="006D241C">
        <w:t>Expressway</w:t>
      </w:r>
    </w:p>
    <w:p w:rsidR="0085264B" w:rsidRPr="0031304F" w:rsidRDefault="0085264B" w:rsidP="0085264B">
      <w:pPr>
        <w:spacing w:before="120" w:after="120" w:line="276" w:lineRule="auto"/>
        <w:ind w:left="851"/>
        <w:rPr>
          <w:b/>
          <w:sz w:val="22"/>
          <w:szCs w:val="22"/>
        </w:rPr>
      </w:pPr>
      <w:r w:rsidRPr="0031304F">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BB4AD8">
        <w:t xml:space="preserve">The high level objective for the project is to increase the economic efficiency of the transport network in Romania. The particular operational objective is to improve travel speeds </w:t>
      </w:r>
      <w:r>
        <w:t>in the corridor</w:t>
      </w:r>
      <w:r w:rsidRPr="00BB4AD8">
        <w:t xml:space="preserve"> thus im</w:t>
      </w:r>
      <w:r>
        <w:t>proving regional connectivity. The</w:t>
      </w:r>
      <w:r w:rsidRPr="0055372D">
        <w:t xml:space="preserve"> project provides a direct link between </w:t>
      </w:r>
      <w:r>
        <w:t xml:space="preserve">the </w:t>
      </w:r>
      <w:r w:rsidRPr="0055372D">
        <w:t>North East of Romania, the Cluj area and Hungary/rest of Europe via Sebes/Timisoara (Reference case project), or Oradea via OR12 (Gilau – Bors)</w:t>
      </w:r>
      <w:r>
        <w:t>.</w:t>
      </w:r>
    </w:p>
    <w:p w:rsidR="0085264B" w:rsidRDefault="0085264B" w:rsidP="0085264B">
      <w:pPr>
        <w:pStyle w:val="NumberedParas"/>
        <w:tabs>
          <w:tab w:val="clear" w:pos="2291"/>
          <w:tab w:val="left" w:pos="851"/>
          <w:tab w:val="left" w:pos="2268"/>
          <w:tab w:val="num" w:pos="2433"/>
        </w:tabs>
        <w:ind w:left="851" w:hanging="851"/>
      </w:pPr>
      <w:r>
        <w:t>The</w:t>
      </w:r>
      <w:r w:rsidRPr="0055372D">
        <w:t xml:space="preserve"> project will be implemented in two parts, Tg Mures – Tg Neamt as an Expressway, and Tg Neamt – Pascani – Iasi as a </w:t>
      </w:r>
      <w:r>
        <w:t>M</w:t>
      </w:r>
      <w:r w:rsidRPr="0055372D">
        <w:t>otorway</w:t>
      </w:r>
      <w:r>
        <w:t xml:space="preserve"> based on an assessment of flows from the National Model.</w:t>
      </w:r>
    </w:p>
    <w:p w:rsidR="0085264B" w:rsidRDefault="0085264B" w:rsidP="0085264B">
      <w:pPr>
        <w:pStyle w:val="NumberedParas"/>
        <w:tabs>
          <w:tab w:val="clear" w:pos="2291"/>
          <w:tab w:val="left" w:pos="851"/>
          <w:tab w:val="left" w:pos="2268"/>
          <w:tab w:val="num" w:pos="2433"/>
        </w:tabs>
        <w:ind w:left="851" w:hanging="851"/>
      </w:pPr>
      <w:r w:rsidRPr="00BB4AD8">
        <w:t xml:space="preserve">Figure </w:t>
      </w:r>
      <w:r>
        <w:t>4.48</w:t>
      </w:r>
      <w:r w:rsidRPr="00BB4AD8">
        <w:t xml:space="preserve"> shows the route alignment.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4.48 </w:t>
      </w:r>
      <w:r w:rsidRPr="007A06E8">
        <w:rPr>
          <w:b/>
          <w:sz w:val="22"/>
          <w:szCs w:val="22"/>
        </w:rPr>
        <w:t>Campia Turzii -Targa Mures- Iasi Expressway Indicative Alignment</w:t>
      </w:r>
    </w:p>
    <w:p w:rsidR="0085264B" w:rsidRDefault="0085264B" w:rsidP="0085264B">
      <w:pPr>
        <w:spacing w:before="120" w:after="120" w:line="276" w:lineRule="auto"/>
        <w:ind w:left="680" w:firstLine="171"/>
        <w:rPr>
          <w:sz w:val="22"/>
          <w:szCs w:val="22"/>
        </w:rPr>
      </w:pPr>
      <w:r>
        <w:rPr>
          <w:noProof/>
          <w:lang w:val="ro-RO" w:eastAsia="ro-RO"/>
        </w:rPr>
        <mc:AlternateContent>
          <mc:Choice Requires="wpg">
            <w:drawing>
              <wp:anchor distT="0" distB="0" distL="114300" distR="114300" simplePos="0" relativeHeight="251680768" behindDoc="0" locked="0" layoutInCell="1" allowOverlap="1" wp14:anchorId="7578187F" wp14:editId="1B50C031">
                <wp:simplePos x="0" y="0"/>
                <wp:positionH relativeFrom="column">
                  <wp:posOffset>2185670</wp:posOffset>
                </wp:positionH>
                <wp:positionV relativeFrom="paragraph">
                  <wp:posOffset>873760</wp:posOffset>
                </wp:positionV>
                <wp:extent cx="2059940" cy="906780"/>
                <wp:effectExtent l="0" t="18415"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9940" cy="906780"/>
                          <a:chOff x="4349" y="7094"/>
                          <a:chExt cx="3244" cy="1428"/>
                        </a:xfrm>
                      </wpg:grpSpPr>
                      <wps:wsp>
                        <wps:cNvPr id="301" name="Freeform 9"/>
                        <wps:cNvSpPr>
                          <a:spLocks/>
                        </wps:cNvSpPr>
                        <wps:spPr bwMode="auto">
                          <a:xfrm>
                            <a:off x="4942" y="7857"/>
                            <a:ext cx="507" cy="34"/>
                          </a:xfrm>
                          <a:custGeom>
                            <a:avLst/>
                            <a:gdLst>
                              <a:gd name="T0" fmla="*/ 0 w 507"/>
                              <a:gd name="T1" fmla="*/ 0 h 34"/>
                              <a:gd name="T2" fmla="*/ 311 w 507"/>
                              <a:gd name="T3" fmla="*/ 34 h 34"/>
                              <a:gd name="T4" fmla="*/ 507 w 507"/>
                              <a:gd name="T5" fmla="*/ 0 h 34"/>
                            </a:gdLst>
                            <a:ahLst/>
                            <a:cxnLst>
                              <a:cxn ang="0">
                                <a:pos x="T0" y="T1"/>
                              </a:cxn>
                              <a:cxn ang="0">
                                <a:pos x="T2" y="T3"/>
                              </a:cxn>
                              <a:cxn ang="0">
                                <a:pos x="T4" y="T5"/>
                              </a:cxn>
                            </a:cxnLst>
                            <a:rect l="0" t="0" r="r" b="b"/>
                            <a:pathLst>
                              <a:path w="507" h="34">
                                <a:moveTo>
                                  <a:pt x="0" y="0"/>
                                </a:moveTo>
                                <a:cubicBezTo>
                                  <a:pt x="113" y="17"/>
                                  <a:pt x="227" y="34"/>
                                  <a:pt x="311" y="34"/>
                                </a:cubicBezTo>
                                <a:cubicBezTo>
                                  <a:pt x="395" y="34"/>
                                  <a:pt x="451" y="17"/>
                                  <a:pt x="507" y="0"/>
                                </a:cubicBezTo>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0"/>
                        <wps:cNvSpPr>
                          <a:spLocks/>
                        </wps:cNvSpPr>
                        <wps:spPr bwMode="auto">
                          <a:xfrm>
                            <a:off x="5472" y="7123"/>
                            <a:ext cx="1210" cy="716"/>
                          </a:xfrm>
                          <a:custGeom>
                            <a:avLst/>
                            <a:gdLst>
                              <a:gd name="T0" fmla="*/ 0 w 1210"/>
                              <a:gd name="T1" fmla="*/ 711 h 716"/>
                              <a:gd name="T2" fmla="*/ 357 w 1210"/>
                              <a:gd name="T3" fmla="*/ 676 h 716"/>
                              <a:gd name="T4" fmla="*/ 668 w 1210"/>
                              <a:gd name="T5" fmla="*/ 469 h 716"/>
                              <a:gd name="T6" fmla="*/ 922 w 1210"/>
                              <a:gd name="T7" fmla="*/ 123 h 716"/>
                              <a:gd name="T8" fmla="*/ 1094 w 1210"/>
                              <a:gd name="T9" fmla="*/ 19 h 716"/>
                              <a:gd name="T10" fmla="*/ 1210 w 1210"/>
                              <a:gd name="T11" fmla="*/ 8 h 716"/>
                            </a:gdLst>
                            <a:ahLst/>
                            <a:cxnLst>
                              <a:cxn ang="0">
                                <a:pos x="T0" y="T1"/>
                              </a:cxn>
                              <a:cxn ang="0">
                                <a:pos x="T2" y="T3"/>
                              </a:cxn>
                              <a:cxn ang="0">
                                <a:pos x="T4" y="T5"/>
                              </a:cxn>
                              <a:cxn ang="0">
                                <a:pos x="T6" y="T7"/>
                              </a:cxn>
                              <a:cxn ang="0">
                                <a:pos x="T8" y="T9"/>
                              </a:cxn>
                              <a:cxn ang="0">
                                <a:pos x="T10" y="T11"/>
                              </a:cxn>
                            </a:cxnLst>
                            <a:rect l="0" t="0" r="r" b="b"/>
                            <a:pathLst>
                              <a:path w="1210" h="716">
                                <a:moveTo>
                                  <a:pt x="0" y="711"/>
                                </a:moveTo>
                                <a:cubicBezTo>
                                  <a:pt x="123" y="713"/>
                                  <a:pt x="246" y="716"/>
                                  <a:pt x="357" y="676"/>
                                </a:cubicBezTo>
                                <a:cubicBezTo>
                                  <a:pt x="468" y="636"/>
                                  <a:pt x="574" y="561"/>
                                  <a:pt x="668" y="469"/>
                                </a:cubicBezTo>
                                <a:cubicBezTo>
                                  <a:pt x="762" y="377"/>
                                  <a:pt x="851" y="198"/>
                                  <a:pt x="922" y="123"/>
                                </a:cubicBezTo>
                                <a:cubicBezTo>
                                  <a:pt x="993" y="48"/>
                                  <a:pt x="1046" y="38"/>
                                  <a:pt x="1094" y="19"/>
                                </a:cubicBezTo>
                                <a:cubicBezTo>
                                  <a:pt x="1142" y="0"/>
                                  <a:pt x="1176" y="4"/>
                                  <a:pt x="1210" y="8"/>
                                </a:cubicBezTo>
                              </a:path>
                            </a:pathLst>
                          </a:cu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11"/>
                        <wps:cNvSpPr>
                          <a:spLocks/>
                        </wps:cNvSpPr>
                        <wps:spPr bwMode="auto">
                          <a:xfrm>
                            <a:off x="6690" y="7094"/>
                            <a:ext cx="749" cy="48"/>
                          </a:xfrm>
                          <a:custGeom>
                            <a:avLst/>
                            <a:gdLst>
                              <a:gd name="T0" fmla="*/ 0 w 749"/>
                              <a:gd name="T1" fmla="*/ 48 h 48"/>
                              <a:gd name="T2" fmla="*/ 115 w 749"/>
                              <a:gd name="T3" fmla="*/ 25 h 48"/>
                              <a:gd name="T4" fmla="*/ 357 w 749"/>
                              <a:gd name="T5" fmla="*/ 2 h 48"/>
                              <a:gd name="T6" fmla="*/ 749 w 749"/>
                              <a:gd name="T7" fmla="*/ 14 h 48"/>
                            </a:gdLst>
                            <a:ahLst/>
                            <a:cxnLst>
                              <a:cxn ang="0">
                                <a:pos x="T0" y="T1"/>
                              </a:cxn>
                              <a:cxn ang="0">
                                <a:pos x="T2" y="T3"/>
                              </a:cxn>
                              <a:cxn ang="0">
                                <a:pos x="T4" y="T5"/>
                              </a:cxn>
                              <a:cxn ang="0">
                                <a:pos x="T6" y="T7"/>
                              </a:cxn>
                            </a:cxnLst>
                            <a:rect l="0" t="0" r="r" b="b"/>
                            <a:pathLst>
                              <a:path w="749" h="48">
                                <a:moveTo>
                                  <a:pt x="0" y="48"/>
                                </a:moveTo>
                                <a:cubicBezTo>
                                  <a:pt x="28" y="40"/>
                                  <a:pt x="56" y="33"/>
                                  <a:pt x="115" y="25"/>
                                </a:cubicBezTo>
                                <a:cubicBezTo>
                                  <a:pt x="174" y="17"/>
                                  <a:pt x="251" y="4"/>
                                  <a:pt x="357" y="2"/>
                                </a:cubicBezTo>
                                <a:cubicBezTo>
                                  <a:pt x="463" y="0"/>
                                  <a:pt x="606" y="7"/>
                                  <a:pt x="749" y="14"/>
                                </a:cubicBez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AutoShape 12"/>
                        <wps:cNvCnPr>
                          <a:cxnSpLocks noChangeShapeType="1"/>
                        </wps:cNvCnPr>
                        <wps:spPr bwMode="auto">
                          <a:xfrm flipV="1">
                            <a:off x="4988" y="7903"/>
                            <a:ext cx="196" cy="3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1" name="AutoShape 13"/>
                        <wps:cNvCnPr>
                          <a:cxnSpLocks noChangeShapeType="1"/>
                        </wps:cNvCnPr>
                        <wps:spPr bwMode="auto">
                          <a:xfrm flipH="1" flipV="1">
                            <a:off x="6186" y="7569"/>
                            <a:ext cx="173" cy="5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Rectangle 14"/>
                        <wps:cNvSpPr>
                          <a:spLocks noChangeArrowheads="1"/>
                        </wps:cNvSpPr>
                        <wps:spPr bwMode="auto">
                          <a:xfrm>
                            <a:off x="4349" y="8223"/>
                            <a:ext cx="1326"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57DD" w:rsidRPr="00A83752" w:rsidRDefault="008B57DD" w:rsidP="0085264B">
                              <w:pPr>
                                <w:jc w:val="center"/>
                                <w:rPr>
                                  <w:sz w:val="14"/>
                                  <w:szCs w:val="14"/>
                                </w:rPr>
                              </w:pPr>
                              <w:r w:rsidRPr="00A83752">
                                <w:rPr>
                                  <w:sz w:val="14"/>
                                  <w:szCs w:val="14"/>
                                </w:rPr>
                                <w:t>Reference Case</w:t>
                              </w:r>
                            </w:p>
                          </w:txbxContent>
                        </wps:txbx>
                        <wps:bodyPr rot="0" vert="horz" wrap="square" lIns="91440" tIns="45720" rIns="91440" bIns="45720" anchor="t" anchorCtr="0" upright="1">
                          <a:noAutofit/>
                        </wps:bodyPr>
                      </wps:wsp>
                      <wps:wsp>
                        <wps:cNvPr id="313" name="Rectangle 15"/>
                        <wps:cNvSpPr>
                          <a:spLocks noChangeArrowheads="1"/>
                        </wps:cNvSpPr>
                        <wps:spPr bwMode="auto">
                          <a:xfrm>
                            <a:off x="5849" y="8140"/>
                            <a:ext cx="1072"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57DD" w:rsidRPr="00A83752" w:rsidRDefault="008B57DD" w:rsidP="0085264B">
                              <w:pPr>
                                <w:jc w:val="center"/>
                                <w:rPr>
                                  <w:sz w:val="14"/>
                                  <w:szCs w:val="14"/>
                                </w:rPr>
                              </w:pPr>
                              <w:r>
                                <w:rPr>
                                  <w:sz w:val="14"/>
                                  <w:szCs w:val="14"/>
                                </w:rPr>
                                <w:t>Expressway</w:t>
                              </w:r>
                            </w:p>
                          </w:txbxContent>
                        </wps:txbx>
                        <wps:bodyPr rot="0" vert="horz" wrap="square" lIns="91440" tIns="45720" rIns="91440" bIns="45720" anchor="t" anchorCtr="0" upright="1">
                          <a:noAutofit/>
                        </wps:bodyPr>
                      </wps:wsp>
                      <wps:wsp>
                        <wps:cNvPr id="314" name="Rectangle 16"/>
                        <wps:cNvSpPr>
                          <a:spLocks noChangeArrowheads="1"/>
                        </wps:cNvSpPr>
                        <wps:spPr bwMode="auto">
                          <a:xfrm>
                            <a:off x="6521" y="7384"/>
                            <a:ext cx="1072"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57DD" w:rsidRPr="00A83752" w:rsidRDefault="008B57DD" w:rsidP="0085264B">
                              <w:pPr>
                                <w:jc w:val="center"/>
                                <w:rPr>
                                  <w:sz w:val="14"/>
                                  <w:szCs w:val="14"/>
                                </w:rPr>
                              </w:pPr>
                              <w:r>
                                <w:rPr>
                                  <w:sz w:val="14"/>
                                  <w:szCs w:val="14"/>
                                </w:rPr>
                                <w:t>Motorway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578187F" id="Group 300" o:spid="_x0000_s1101" style="position:absolute;left:0;text-align:left;margin-left:172.1pt;margin-top:68.8pt;width:162.2pt;height:71.4pt;z-index:251680768;mso-position-horizontal-relative:text;mso-position-vertical-relative:text" coordorigin="4349,7094" coordsize="3244,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">
                <v:shape id="Freeform 9" o:spid="_x0000_s1102" style="position:absolute;left:4942;top:7857;width:507;height:34;visibility:visible;mso-wrap-style:square;v-text-anchor:top" coordsize="5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oFlMYA&#10;AADcAAAADwAAAGRycy9kb3ducmV2LnhtbESPT2vCQBTE7wW/w/KEXkrdaEuU6EZEKPTSin+q10f2&#10;mYRk367ZrabfvlsoeBxm5jfMYtmbVlyp87VlBeNRAoK4sLrmUsFh//Y8A+EDssbWMin4IQ/LfPCw&#10;wEzbG2/puguliBD2GSqoQnCZlL6oyKAfWUccvbPtDIYou1LqDm8Rblo5SZJUGqw5LlToaF1R0ey+&#10;jQIdmq+p/3zdbJ7cZfKRmqM7sVHqcdiv5iAC9eEe/m+/awUvyRj+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oFlMYAAADcAAAADwAAAAAAAAAAAAAAAACYAgAAZHJz&#10;L2Rvd25yZXYueG1sUEsFBgAAAAAEAAQA9QAAAIsDAAAAAA==&#10;" path="m,c113,17,227,34,311,34,395,34,451,17,507,e" filled="f" strokecolor="red" strokeweight="2pt">
                  <v:path arrowok="t" o:connecttype="custom" o:connectlocs="0,0;311,34;507,0" o:connectangles="0,0,0"/>
                </v:shape>
                <v:shape id="Freeform 10" o:spid="_x0000_s1103" style="position:absolute;left:5472;top:7123;width:1210;height:716;visibility:visible;mso-wrap-style:square;v-text-anchor:top" coordsize="1210,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hltMQA&#10;AADcAAAADwAAAGRycy9kb3ducmV2LnhtbESPzYrCMBSF94LvEK7gTtNRGKRjFBmVzsKFP32AS3Nt&#10;yzQ3tYm2nac3A4LLw/n5OMt1ZyrxoMaVlhV8TCMQxJnVJecK0st+sgDhPLLGyjIp6MnBejUcLDHW&#10;tuUTPc4+F2GEXYwKCu/rWEqXFWTQTW1NHLyrbQz6IJtc6gbbMG4qOYuiT2mw5EAosKbvgrLf890E&#10;bpom/XXbb27mePgrd21yTJK5UuNRt/kC4anz7/Cr/aMVzKMZ/J8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ZbTEAAAA3AAAAA8AAAAAAAAAAAAAAAAAmAIAAGRycy9k&#10;b3ducmV2LnhtbFBLBQYAAAAABAAEAPUAAACJAwAAAAA=&#10;" path="m,711v123,2,246,5,357,-35c468,636,574,561,668,469,762,377,851,198,922,123,993,48,1046,38,1094,19,1142,,1176,4,1210,8e" filled="f" strokecolor="#00b050" strokeweight="2pt">
                  <v:path arrowok="t" o:connecttype="custom" o:connectlocs="0,711;357,676;668,469;922,123;1094,19;1210,8" o:connectangles="0,0,0,0,0,0"/>
                </v:shape>
                <v:shape id="Freeform 11" o:spid="_x0000_s1104" style="position:absolute;left:6690;top:7094;width:749;height:48;visibility:visible;mso-wrap-style:square;v-text-anchor:top" coordsize="7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ilcUA&#10;AADcAAAADwAAAGRycy9kb3ducmV2LnhtbESPT2sCMRTE74LfITzBW81aF7HrRhGpWqSXag8eH5u3&#10;f9rkZdmkuv32jVDwOMzMb5h83VsjrtT5xrGC6SQBQVw43XCl4PO8e1qA8AFZo3FMCn7Jw3o1HOSY&#10;aXfjD7qeQiUihH2GCuoQ2kxKX9Rk0U9cSxy90nUWQ5RdJXWHtwi3Rj4nyVxabDgu1NjStqbi+/Rj&#10;FezNIS3l5vC+f3FfqTnicXZ5RaXGo36zBBGoD4/wf/tNK5glKdzP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KVxQAAANwAAAAPAAAAAAAAAAAAAAAAAJgCAABkcnMv&#10;ZG93bnJldi54bWxQSwUGAAAAAAQABAD1AAAAigMAAAAA&#10;" path="m,48c28,40,56,33,115,25,174,17,251,4,357,2,463,,606,7,749,14e" filled="f" strokecolor="#0070c0" strokeweight="2pt">
                  <v:path arrowok="t" o:connecttype="custom" o:connectlocs="0,48;115,25;357,2;749,14" o:connectangles="0,0,0,0"/>
                </v:shape>
                <v:shapetype id="_x0000_t32" coordsize="21600,21600" o:spt="32" o:oned="t" path="m,l21600,21600e" filled="f">
                  <v:path arrowok="t" fillok="f" o:connecttype="none"/>
                  <o:lock v:ext="edit" shapetype="t"/>
                </v:shapetype>
                <v:shape id="AutoShape 12" o:spid="_x0000_s1105" type="#_x0000_t32" style="position:absolute;left:4988;top:7903;width:196;height:3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F1MQAAADcAAAADwAAAGRycy9kb3ducmV2LnhtbESPQWsCMRSE74X+h/AEL0Wza0F0a5RS&#10;EMSDUN2Dx0fyuru4edkmcV3/vSkUPA4z8w2z2gy2FT350DhWkE8zEMTamYYrBeVpO1mACBHZYOuY&#10;FNwpwGb9+rLCwrgbf1N/jJVIEA4FKqhj7Aopg67JYpi6jjh5P85bjEn6ShqPtwS3rZxl2VxabDgt&#10;1NjRV036crxaBc2+PJT922/0erHPzz4Pp3OrlRqPhs8PEJGG+Az/t3dGwXu2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d8XUxAAAANwAAAAPAAAAAAAAAAAA&#10;AAAAAKECAABkcnMvZG93bnJldi54bWxQSwUGAAAAAAQABAD5AAAAkgMAAAAA&#10;"/>
                <v:shape id="AutoShape 13" o:spid="_x0000_s1106" type="#_x0000_t32" style="position:absolute;left:6186;top:7569;width:173;height:5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kS8MUAAADcAAAADwAAAGRycy9kb3ducmV2LnhtbESPQWvCQBSE70L/w/IKvZS6SUUpqasE&#10;RSiCaGLB6yP7TKLZtyG71fjvXaHgcZiZb5jpvDeNuFDnassK4mEEgriwuuZSwe9+9fEFwnlkjY1l&#10;UnAjB/PZy2CKibZXzuiS+1IECLsEFVTet4mUrqjIoBvaljh4R9sZ9EF2pdQdXgPcNPIziibSYM1h&#10;ocKWFhUV5/zPKPCb9/X4lG23ac68THfrwzldHJR6e+3TbxCeev8M/7d/tIJRHMPjTD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kS8MUAAADcAAAADwAAAAAAAAAA&#10;AAAAAAChAgAAZHJzL2Rvd25yZXYueG1sUEsFBgAAAAAEAAQA+QAAAJMDAAAAAA==&#10;"/>
                <v:rect id="Rectangle 14" o:spid="_x0000_s1107" style="position:absolute;left:4349;top:8223;width:1326;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tj4MQA&#10;AADcAAAADwAAAGRycy9kb3ducmV2LnhtbESPT4vCMBTE7wt+h/AEb2viny1ajSKCILh7WBW8Pppn&#10;W2xeahO1fvuNIOxxmJnfMPNlaytxp8aXjjUM+goEceZMybmG42HzOQHhA7LByjFpeJKH5aLzMcfU&#10;uAf/0n0fchEh7FPUUIRQp1L6rCCLvu9q4uidXWMxRNnk0jT4iHBbyaFSibRYclwosKZ1Qdllf7Ma&#10;MBmb68959H3Y3RKc5q3afJ2U1r1uu5qBCNSG//C7vTUaRoMh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LY+DEAAAA3AAAAA8AAAAAAAAAAAAAAAAAmAIAAGRycy9k&#10;b3ducmV2LnhtbFBLBQYAAAAABAAEAPUAAACJAwAAAAA=&#10;" stroked="f">
                  <v:textbox>
                    <w:txbxContent>
                      <w:p w:rsidR="008B57DD" w:rsidRPr="00A83752" w:rsidRDefault="008B57DD" w:rsidP="0085264B">
                        <w:pPr>
                          <w:jc w:val="center"/>
                          <w:rPr>
                            <w:sz w:val="14"/>
                            <w:szCs w:val="14"/>
                          </w:rPr>
                        </w:pPr>
                        <w:r w:rsidRPr="00A83752">
                          <w:rPr>
                            <w:sz w:val="14"/>
                            <w:szCs w:val="14"/>
                          </w:rPr>
                          <w:t>Reference Case</w:t>
                        </w:r>
                      </w:p>
                    </w:txbxContent>
                  </v:textbox>
                </v:rect>
                <v:rect id="Rectangle 15" o:spid="_x0000_s1108" style="position:absolute;left:5849;top:8140;width:1072;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fGe8UA&#10;AADcAAAADwAAAGRycy9kb3ducmV2LnhtbESPW2sCMRSE3wv+h3AE32pit13a7UYpgiDUPniBvh42&#10;Zy+4OVk3Udd/bwoFH4eZ+YbJF4NtxYV63zjWMJsqEMSFMw1XGg771fM7CB+QDbaOScONPCzmo6cc&#10;M+OuvKXLLlQiQthnqKEOocuk9EVNFv3UdcTRK11vMUTZV9L0eI1w28oXpVJpseG4UGNHy5qK4+5s&#10;NWD6ak4/ZbLZf59T/KgGtXr7VVpPxsPXJ4hAQ3iE/9troyGZJfB3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8Z7xQAAANwAAAAPAAAAAAAAAAAAAAAAAJgCAABkcnMv&#10;ZG93bnJldi54bWxQSwUGAAAAAAQABAD1AAAAigMAAAAA&#10;" stroked="f">
                  <v:textbox>
                    <w:txbxContent>
                      <w:p w:rsidR="008B57DD" w:rsidRPr="00A83752" w:rsidRDefault="008B57DD" w:rsidP="0085264B">
                        <w:pPr>
                          <w:jc w:val="center"/>
                          <w:rPr>
                            <w:sz w:val="14"/>
                            <w:szCs w:val="14"/>
                          </w:rPr>
                        </w:pPr>
                        <w:r>
                          <w:rPr>
                            <w:sz w:val="14"/>
                            <w:szCs w:val="14"/>
                          </w:rPr>
                          <w:t>Expressway</w:t>
                        </w:r>
                      </w:p>
                    </w:txbxContent>
                  </v:textbox>
                </v:rect>
                <v:rect id="Rectangle 16" o:spid="_x0000_s1109" style="position:absolute;left:6521;top:7384;width:1072;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eD8QA&#10;AADcAAAADwAAAGRycy9kb3ducmV2LnhtbESPT4vCMBTE74LfITxhb5q4atFqlGVBWHA9+Ae8Pppn&#10;W2xeuk3U+u03guBxmJnfMItVaytxo8aXjjUMBwoEceZMybmG42Hdn4LwAdlg5Zg0PMjDatntLDA1&#10;7s47uu1DLiKEfYoaihDqVEqfFWTRD1xNHL2zayyGKJtcmgbvEW4r+alUIi2WHBcKrOm7oOyyv1oN&#10;mIzN3/Y8+j1srgnO8latJyel9Uev/ZqDCNSGd/jV/jEaRsMx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uXg/EAAAA3AAAAA8AAAAAAAAAAAAAAAAAmAIAAGRycy9k&#10;b3ducmV2LnhtbFBLBQYAAAAABAAEAPUAAACJAwAAAAA=&#10;" stroked="f">
                  <v:textbox>
                    <w:txbxContent>
                      <w:p w:rsidR="008B57DD" w:rsidRPr="00A83752" w:rsidRDefault="008B57DD" w:rsidP="0085264B">
                        <w:pPr>
                          <w:jc w:val="center"/>
                          <w:rPr>
                            <w:sz w:val="14"/>
                            <w:szCs w:val="14"/>
                          </w:rPr>
                        </w:pPr>
                        <w:r>
                          <w:rPr>
                            <w:sz w:val="14"/>
                            <w:szCs w:val="14"/>
                          </w:rPr>
                          <w:t>Motorway</w:t>
                        </w:r>
                      </w:p>
                    </w:txbxContent>
                  </v:textbox>
                </v:rect>
              </v:group>
            </w:pict>
          </mc:Fallback>
        </mc:AlternateContent>
      </w:r>
      <w:r>
        <w:rPr>
          <w:noProof/>
          <w:lang w:val="ro-RO" w:eastAsia="ro-RO"/>
        </w:rPr>
        <mc:AlternateContent>
          <mc:Choice Requires="wps">
            <w:drawing>
              <wp:anchor distT="0" distB="0" distL="114300" distR="114300" simplePos="0" relativeHeight="251679744" behindDoc="0" locked="0" layoutInCell="1" allowOverlap="1" wp14:anchorId="03E9DB9D" wp14:editId="3D9AD846">
                <wp:simplePos x="0" y="0"/>
                <wp:positionH relativeFrom="column">
                  <wp:posOffset>3908425</wp:posOffset>
                </wp:positionH>
                <wp:positionV relativeFrom="paragraph">
                  <wp:posOffset>882650</wp:posOffset>
                </wp:positionV>
                <wp:extent cx="6985" cy="189865"/>
                <wp:effectExtent l="7620" t="8255" r="13970" b="11430"/>
                <wp:wrapNone/>
                <wp:docPr id="299" name="Straight Arrow Connector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89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2B0E11" id="Straight Arrow Connector 299" o:spid="_x0000_s1026" type="#_x0000_t32" style="position:absolute;margin-left:307.75pt;margin-top:69.5pt;width:.55pt;height:14.9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"/>
            </w:pict>
          </mc:Fallback>
        </mc:AlternateContent>
      </w:r>
      <w:r>
        <w:rPr>
          <w:noProof/>
          <w:lang w:val="ro-RO" w:eastAsia="ro-RO"/>
        </w:rPr>
        <w:drawing>
          <wp:inline distT="0" distB="0" distL="0" distR="0" wp14:anchorId="7867BEC8" wp14:editId="3F0EF831">
            <wp:extent cx="5140800" cy="3441600"/>
            <wp:effectExtent l="19050" t="19050" r="22225" b="26035"/>
            <wp:docPr id="1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R13 Alignment Plo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7947" b="12252"/>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B4AD8">
        <w:t xml:space="preserve">The route connects to the node of Turda on the </w:t>
      </w:r>
      <w:r>
        <w:t>TEN-T</w:t>
      </w:r>
      <w:r w:rsidRPr="00BB4AD8">
        <w:t xml:space="preserve"> network.</w:t>
      </w:r>
    </w:p>
    <w:p w:rsidR="0085264B" w:rsidRPr="00416248" w:rsidRDefault="0085264B" w:rsidP="0085264B">
      <w:pPr>
        <w:spacing w:before="120" w:after="120" w:line="276" w:lineRule="auto"/>
        <w:ind w:left="851"/>
        <w:rPr>
          <w:b/>
          <w:sz w:val="22"/>
          <w:szCs w:val="22"/>
        </w:rPr>
      </w:pPr>
      <w:r w:rsidRPr="00416248">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BB4AD8">
        <w:t>There are poor average travel times; typical average speeds for this route are around 61 kph. The bulk of the infrastructure provision in the corridor is poor – 100% of the route is only single carriageway standard.</w:t>
      </w:r>
    </w:p>
    <w:p w:rsidR="0085264B" w:rsidRPr="00416248" w:rsidRDefault="0085264B" w:rsidP="0085264B">
      <w:pPr>
        <w:spacing w:before="120" w:after="120" w:line="276" w:lineRule="auto"/>
        <w:ind w:left="851"/>
        <w:rPr>
          <w:b/>
          <w:sz w:val="22"/>
          <w:szCs w:val="22"/>
        </w:rPr>
      </w:pPr>
      <w:r w:rsidRPr="00416248">
        <w:rPr>
          <w:b/>
          <w:sz w:val="22"/>
          <w:szCs w:val="22"/>
        </w:rPr>
        <w:t>Undiscounted costs (Million €, 2014 prices):</w:t>
      </w:r>
    </w:p>
    <w:p w:rsidR="0085264B" w:rsidRPr="00BB4AD8"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€3,400</w:t>
      </w:r>
      <w:r w:rsidRPr="00BB4AD8">
        <w:rPr>
          <w:sz w:val="22"/>
          <w:szCs w:val="22"/>
        </w:rPr>
        <w:t>M</w:t>
      </w:r>
    </w:p>
    <w:p w:rsidR="0085264B" w:rsidRPr="00416248" w:rsidRDefault="0085264B" w:rsidP="0085264B">
      <w:pPr>
        <w:spacing w:before="120" w:after="120" w:line="276" w:lineRule="auto"/>
        <w:ind w:left="851"/>
        <w:rPr>
          <w:b/>
          <w:sz w:val="22"/>
          <w:szCs w:val="22"/>
        </w:rPr>
      </w:pPr>
      <w:r w:rsidRPr="00416248">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B4AD8">
        <w:t xml:space="preserve">This project returns a BCR of 1.74, and carries around 31,000 vehicles (AADT). Over half of all of the existing traffic in the immediate corridor switches to the new route. The flow changes </w:t>
      </w:r>
      <w:r>
        <w:t xml:space="preserve">described previously </w:t>
      </w:r>
      <w:r w:rsidRPr="00BB4AD8">
        <w:t xml:space="preserve">are illustrated in Figure </w:t>
      </w:r>
      <w:r>
        <w:t>4.49 overleaf</w:t>
      </w:r>
      <w:r w:rsidRPr="00BB4AD8">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4.49 </w:t>
      </w:r>
      <w:r w:rsidRPr="007A06E8">
        <w:rPr>
          <w:b/>
          <w:sz w:val="22"/>
          <w:szCs w:val="22"/>
        </w:rPr>
        <w:t>Flow Changes Due to Campia Turzii -Targa Mures- Iasi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C543B1B" wp14:editId="066C4358">
            <wp:extent cx="5187600" cy="3452400"/>
            <wp:effectExtent l="19050" t="19050" r="13335" b="15240"/>
            <wp:docPr id="1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R13 Difference Plot"/>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5187600" cy="34524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model forecasts a</w:t>
      </w:r>
      <w:r w:rsidRPr="007814E9">
        <w:t>verage speeds increas</w:t>
      </w:r>
      <w:r>
        <w:t>ing</w:t>
      </w:r>
      <w:r w:rsidRPr="007814E9">
        <w:t xml:space="preserve"> to 100 kph as a consequence of the scheme</w:t>
      </w:r>
      <w:r>
        <w:t xml:space="preserve"> implementation</w:t>
      </w:r>
      <w:r w:rsidRPr="007814E9">
        <w:t xml:space="preserve">. </w:t>
      </w:r>
      <w:r>
        <w:t>While p</w:t>
      </w:r>
      <w:r w:rsidRPr="007814E9">
        <w:t>eak time journey times are reduced by 42%.</w:t>
      </w:r>
    </w:p>
    <w:p w:rsidR="0085264B" w:rsidRDefault="0085264B" w:rsidP="0085264B">
      <w:pPr>
        <w:pStyle w:val="NumberedParas"/>
        <w:tabs>
          <w:tab w:val="clear" w:pos="2291"/>
          <w:tab w:val="left" w:pos="851"/>
          <w:tab w:val="left" w:pos="2268"/>
          <w:tab w:val="num" w:pos="2433"/>
        </w:tabs>
        <w:ind w:left="851" w:hanging="851"/>
      </w:pPr>
      <w:r w:rsidRPr="007814E9">
        <w:t xml:space="preserve">The primary economic indicators for the </w:t>
      </w:r>
      <w:r>
        <w:t xml:space="preserve">whole route  (i.e. including </w:t>
      </w:r>
      <w:r w:rsidRPr="005D2D3D">
        <w:t>Câmpia Turzii</w:t>
      </w:r>
      <w:r>
        <w:t xml:space="preserve"> to Targu Mures)</w:t>
      </w:r>
      <w:r w:rsidRPr="007814E9">
        <w:t xml:space="preserve"> are as follows:</w:t>
      </w:r>
    </w:p>
    <w:p w:rsidR="0085264B" w:rsidRPr="007814E9" w:rsidRDefault="0085264B" w:rsidP="0085264B">
      <w:pPr>
        <w:pStyle w:val="ListParagraph"/>
        <w:numPr>
          <w:ilvl w:val="0"/>
          <w:numId w:val="53"/>
        </w:numPr>
        <w:spacing w:before="120" w:after="120" w:line="276" w:lineRule="auto"/>
        <w:contextualSpacing/>
        <w:rPr>
          <w:sz w:val="22"/>
          <w:szCs w:val="22"/>
        </w:rPr>
      </w:pPr>
      <w:r w:rsidRPr="007814E9">
        <w:rPr>
          <w:sz w:val="22"/>
          <w:szCs w:val="22"/>
        </w:rPr>
        <w:t>NPV</w:t>
      </w:r>
      <w:r w:rsidRPr="007814E9">
        <w:rPr>
          <w:sz w:val="22"/>
          <w:szCs w:val="22"/>
        </w:rPr>
        <w:tab/>
        <w:t>= €2,213M</w:t>
      </w:r>
      <w:r>
        <w:rPr>
          <w:sz w:val="22"/>
          <w:szCs w:val="22"/>
        </w:rPr>
        <w:t>;</w:t>
      </w:r>
    </w:p>
    <w:p w:rsidR="0085264B" w:rsidRPr="007814E9" w:rsidRDefault="0085264B" w:rsidP="0085264B">
      <w:pPr>
        <w:pStyle w:val="ListParagraph"/>
        <w:numPr>
          <w:ilvl w:val="0"/>
          <w:numId w:val="53"/>
        </w:numPr>
        <w:spacing w:before="120" w:after="120" w:line="276" w:lineRule="auto"/>
        <w:contextualSpacing/>
        <w:rPr>
          <w:sz w:val="22"/>
          <w:szCs w:val="22"/>
        </w:rPr>
      </w:pPr>
      <w:r w:rsidRPr="007814E9">
        <w:rPr>
          <w:sz w:val="22"/>
          <w:szCs w:val="22"/>
        </w:rPr>
        <w:t>BCR</w:t>
      </w:r>
      <w:r w:rsidRPr="007814E9">
        <w:rPr>
          <w:sz w:val="22"/>
          <w:szCs w:val="22"/>
        </w:rPr>
        <w:tab/>
        <w:t>= 1.74; and</w:t>
      </w:r>
    </w:p>
    <w:p w:rsidR="0085264B" w:rsidRPr="007814E9"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8.4%.</w:t>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OR17 - </w:t>
      </w:r>
      <w:r w:rsidRPr="00504D34">
        <w:t xml:space="preserve">Gaesti-Ploiesti-Buzau-Braila </w:t>
      </w:r>
      <w:r w:rsidRPr="006D241C">
        <w:t>Expressway</w:t>
      </w:r>
    </w:p>
    <w:p w:rsidR="0085264B" w:rsidRPr="00732C66" w:rsidRDefault="0085264B" w:rsidP="0085264B">
      <w:pPr>
        <w:spacing w:before="120" w:after="120" w:line="276" w:lineRule="auto"/>
        <w:ind w:left="851"/>
        <w:rPr>
          <w:b/>
          <w:sz w:val="22"/>
          <w:szCs w:val="22"/>
        </w:rPr>
      </w:pPr>
      <w:r w:rsidRPr="00732C66">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504D34">
        <w:t xml:space="preserve">The high level objective for the project is to increase the economic efficiency of the transport network in Romania. The particular operational objective is to improve travel speeds between Gaesti and Braila, thus improving regional connectivity. </w:t>
      </w:r>
      <w:r>
        <w:t>The project also provides a high quality</w:t>
      </w:r>
      <w:r w:rsidRPr="00333FD9">
        <w:t xml:space="preserve"> route </w:t>
      </w:r>
      <w:r>
        <w:t xml:space="preserve">for goods vehicles </w:t>
      </w:r>
      <w:r w:rsidRPr="00333FD9">
        <w:t xml:space="preserve">between </w:t>
      </w:r>
      <w:r>
        <w:t xml:space="preserve">the </w:t>
      </w:r>
      <w:r w:rsidRPr="00333FD9">
        <w:t>industrial centres of Craiova</w:t>
      </w:r>
      <w:r>
        <w:t>,</w:t>
      </w:r>
      <w:r w:rsidRPr="00333FD9">
        <w:t xml:space="preserve"> Pitesti </w:t>
      </w:r>
      <w:r>
        <w:t>and</w:t>
      </w:r>
      <w:r w:rsidRPr="00333FD9">
        <w:t xml:space="preserve"> Ploiesti with Galati and Braila.  </w:t>
      </w:r>
      <w:r>
        <w:t>The National Model f</w:t>
      </w:r>
      <w:r w:rsidRPr="00333FD9">
        <w:t xml:space="preserve">lows show </w:t>
      </w:r>
      <w:r>
        <w:t xml:space="preserve">an </w:t>
      </w:r>
      <w:r w:rsidRPr="00333FD9">
        <w:t>expressway is the appropriate standard.</w:t>
      </w:r>
      <w:r w:rsidRPr="00504D34">
        <w:t xml:space="preserve"> </w:t>
      </w:r>
    </w:p>
    <w:p w:rsidR="0085264B" w:rsidRDefault="0085264B" w:rsidP="0085264B">
      <w:pPr>
        <w:pStyle w:val="NumberedParas"/>
        <w:tabs>
          <w:tab w:val="clear" w:pos="2291"/>
          <w:tab w:val="left" w:pos="851"/>
          <w:tab w:val="left" w:pos="2268"/>
          <w:tab w:val="num" w:pos="2433"/>
        </w:tabs>
        <w:ind w:left="851" w:hanging="851"/>
      </w:pPr>
      <w:r>
        <w:t xml:space="preserve">Figure 4.50 </w:t>
      </w:r>
      <w:r w:rsidRPr="00504D34">
        <w:t xml:space="preserve">shows the alignment of the route.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4.50 </w:t>
      </w:r>
      <w:r w:rsidRPr="007A06E8">
        <w:rPr>
          <w:b/>
          <w:sz w:val="22"/>
          <w:szCs w:val="22"/>
        </w:rPr>
        <w:t>Gaesti-Ploiesti-Buzau-Braila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026033DB" wp14:editId="3FB20478">
            <wp:extent cx="5140800" cy="3373200"/>
            <wp:effectExtent l="19050" t="19050" r="22225" b="17780"/>
            <wp:docPr id="1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R17 Alignment Plo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8941" b="12913"/>
                    <a:stretch/>
                  </pic:blipFill>
                  <pic:spPr bwMode="auto">
                    <a:xfrm>
                      <a:off x="0" y="0"/>
                      <a:ext cx="5140800" cy="3373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Pr="00732C66" w:rsidRDefault="0085264B" w:rsidP="0085264B">
      <w:pPr>
        <w:spacing w:before="120" w:after="120" w:line="276" w:lineRule="auto"/>
        <w:ind w:left="851"/>
        <w:rPr>
          <w:b/>
          <w:sz w:val="22"/>
          <w:szCs w:val="22"/>
        </w:rPr>
      </w:pPr>
      <w:r w:rsidRPr="00732C66">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504D34">
        <w:t>There are poor average travel times; typical average speeds for this route are around 87 kph</w:t>
      </w:r>
      <w:r>
        <w:t>.</w:t>
      </w:r>
    </w:p>
    <w:p w:rsidR="0085264B" w:rsidRPr="00732C66" w:rsidRDefault="0085264B" w:rsidP="0085264B">
      <w:pPr>
        <w:spacing w:before="120" w:after="120" w:line="276" w:lineRule="auto"/>
        <w:ind w:left="851"/>
        <w:rPr>
          <w:b/>
          <w:sz w:val="22"/>
          <w:szCs w:val="22"/>
        </w:rPr>
      </w:pPr>
      <w:r w:rsidRPr="00732C66">
        <w:rPr>
          <w:b/>
          <w:sz w:val="22"/>
          <w:szCs w:val="22"/>
        </w:rPr>
        <w:t>Undiscounted costs (Million €, 2014 prices):</w:t>
      </w:r>
    </w:p>
    <w:p w:rsidR="0085264B" w:rsidRPr="00504D34"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€1,280</w:t>
      </w:r>
      <w:r w:rsidRPr="00504D34">
        <w:rPr>
          <w:sz w:val="22"/>
          <w:szCs w:val="22"/>
        </w:rPr>
        <w:t>M</w:t>
      </w:r>
    </w:p>
    <w:p w:rsidR="0085264B" w:rsidRPr="00732C66" w:rsidRDefault="0085264B" w:rsidP="0085264B">
      <w:pPr>
        <w:spacing w:before="120" w:after="120" w:line="276" w:lineRule="auto"/>
        <w:ind w:left="851"/>
        <w:rPr>
          <w:b/>
          <w:sz w:val="22"/>
          <w:szCs w:val="22"/>
        </w:rPr>
      </w:pPr>
      <w:r w:rsidRPr="00732C66">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504D34">
        <w:t xml:space="preserve">This project returns excellent value for money (BCR of 2.87), and </w:t>
      </w:r>
      <w:r>
        <w:t xml:space="preserve">is forecasted to </w:t>
      </w:r>
      <w:r w:rsidRPr="00504D34">
        <w:t>carr</w:t>
      </w:r>
      <w:r>
        <w:t>y</w:t>
      </w:r>
      <w:r w:rsidRPr="00504D34">
        <w:t xml:space="preserve"> </w:t>
      </w:r>
      <w:r>
        <w:t xml:space="preserve">a maximum of </w:t>
      </w:r>
      <w:r w:rsidRPr="00504D34">
        <w:t xml:space="preserve"> 4</w:t>
      </w:r>
      <w:r>
        <w:t>0</w:t>
      </w:r>
      <w:r w:rsidRPr="00504D34">
        <w:t>,000 vehicles (AADT)</w:t>
      </w:r>
      <w:r>
        <w:t xml:space="preserve"> between Ploiesti and Buzau, around 20,000-30,000 vehicles (AADT) for the sections between Gaesti and Ploiesti and Buzau to Braila.</w:t>
      </w:r>
      <w:r w:rsidRPr="00504D34">
        <w:t xml:space="preserve"> Almost all of the existing traffic in the immediate corridor switches to the new route (15,000 AADT).</w:t>
      </w:r>
      <w:r>
        <w:t xml:space="preserve"> </w:t>
      </w:r>
      <w:r w:rsidRPr="00504D34">
        <w:t xml:space="preserve">The flow changes </w:t>
      </w:r>
      <w:r>
        <w:t xml:space="preserve">described earlier </w:t>
      </w:r>
      <w:r w:rsidRPr="00504D34">
        <w:t xml:space="preserve">are illustrated in Figure </w:t>
      </w:r>
      <w:r>
        <w:t>4.51 overleaf</w:t>
      </w:r>
      <w:r w:rsidRPr="00504D34">
        <w:t>.</w:t>
      </w:r>
    </w:p>
    <w:p w:rsidR="0085264B" w:rsidRDefault="0085264B" w:rsidP="0085264B">
      <w:pPr>
        <w:pStyle w:val="Body"/>
      </w:pPr>
    </w:p>
    <w:p w:rsidR="0085264B" w:rsidRDefault="0085264B" w:rsidP="0085264B">
      <w:pPr>
        <w:pStyle w:val="Body"/>
      </w:pPr>
    </w:p>
    <w:p w:rsidR="0085264B" w:rsidRDefault="0085264B" w:rsidP="0085264B">
      <w:pPr>
        <w:pStyle w:val="Body"/>
      </w:pPr>
    </w:p>
    <w:p w:rsidR="0085264B" w:rsidRPr="007A06E8" w:rsidRDefault="0085264B" w:rsidP="0085264B">
      <w:pPr>
        <w:spacing w:before="120" w:after="120" w:line="276" w:lineRule="auto"/>
        <w:ind w:left="851"/>
        <w:rPr>
          <w:b/>
          <w:sz w:val="22"/>
          <w:szCs w:val="22"/>
        </w:rPr>
      </w:pPr>
      <w:r w:rsidRPr="007A06E8">
        <w:rPr>
          <w:b/>
          <w:sz w:val="22"/>
          <w:szCs w:val="22"/>
        </w:rPr>
        <w:t xml:space="preserve">Figure </w:t>
      </w:r>
      <w:r>
        <w:rPr>
          <w:b/>
          <w:sz w:val="22"/>
          <w:szCs w:val="22"/>
        </w:rPr>
        <w:t xml:space="preserve">4.51 </w:t>
      </w:r>
      <w:r w:rsidRPr="007A06E8">
        <w:rPr>
          <w:b/>
          <w:sz w:val="22"/>
          <w:szCs w:val="22"/>
        </w:rPr>
        <w:t>Flow Changes Due to Gaesti-Ploiesti-Buzau-Braila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2B623402" wp14:editId="7171F4FC">
            <wp:extent cx="5140800" cy="3427200"/>
            <wp:effectExtent l="19050" t="19050" r="22225" b="20955"/>
            <wp:docPr id="1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R17 Difference Plot"/>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8609" b="11921"/>
                    <a:stretch/>
                  </pic:blipFill>
                  <pic:spPr bwMode="auto">
                    <a:xfrm>
                      <a:off x="0" y="0"/>
                      <a:ext cx="5140800" cy="3427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504D34">
        <w:t>Average speeds increase to 101 kph as a consequence of the scheme. Peak time journey times are reduced by 17%.</w:t>
      </w:r>
    </w:p>
    <w:p w:rsidR="0085264B" w:rsidRDefault="0085264B" w:rsidP="0085264B">
      <w:pPr>
        <w:pStyle w:val="NumberedParas"/>
        <w:tabs>
          <w:tab w:val="clear" w:pos="2291"/>
          <w:tab w:val="left" w:pos="851"/>
          <w:tab w:val="left" w:pos="2268"/>
          <w:tab w:val="num" w:pos="2433"/>
        </w:tabs>
        <w:ind w:left="851" w:hanging="851"/>
      </w:pPr>
      <w:r w:rsidRPr="00504D34">
        <w:t>The primary economic indicators for the project are as follows:</w:t>
      </w:r>
    </w:p>
    <w:p w:rsidR="0085264B" w:rsidRPr="00504D34" w:rsidRDefault="0085264B" w:rsidP="0085264B">
      <w:pPr>
        <w:pStyle w:val="ListParagraph"/>
        <w:numPr>
          <w:ilvl w:val="0"/>
          <w:numId w:val="53"/>
        </w:numPr>
        <w:spacing w:before="120" w:after="120" w:line="276" w:lineRule="auto"/>
        <w:contextualSpacing/>
        <w:rPr>
          <w:sz w:val="22"/>
          <w:szCs w:val="22"/>
        </w:rPr>
      </w:pPr>
      <w:r w:rsidRPr="00504D34">
        <w:rPr>
          <w:sz w:val="22"/>
          <w:szCs w:val="22"/>
        </w:rPr>
        <w:t>NPV</w:t>
      </w:r>
      <w:r w:rsidRPr="00504D34">
        <w:rPr>
          <w:sz w:val="22"/>
          <w:szCs w:val="22"/>
        </w:rPr>
        <w:tab/>
        <w:t>= €1,754M</w:t>
      </w:r>
      <w:r>
        <w:rPr>
          <w:sz w:val="22"/>
          <w:szCs w:val="22"/>
        </w:rPr>
        <w:t>;</w:t>
      </w:r>
    </w:p>
    <w:p w:rsidR="0085264B" w:rsidRPr="00504D34" w:rsidRDefault="0085264B" w:rsidP="0085264B">
      <w:pPr>
        <w:pStyle w:val="ListParagraph"/>
        <w:numPr>
          <w:ilvl w:val="0"/>
          <w:numId w:val="53"/>
        </w:numPr>
        <w:spacing w:before="120" w:after="120" w:line="276" w:lineRule="auto"/>
        <w:contextualSpacing/>
        <w:rPr>
          <w:sz w:val="22"/>
          <w:szCs w:val="22"/>
        </w:rPr>
      </w:pPr>
      <w:r w:rsidRPr="00504D34">
        <w:rPr>
          <w:sz w:val="22"/>
          <w:szCs w:val="22"/>
        </w:rPr>
        <w:t>BCR</w:t>
      </w:r>
      <w:r w:rsidRPr="00504D34">
        <w:rPr>
          <w:sz w:val="22"/>
          <w:szCs w:val="22"/>
        </w:rPr>
        <w:tab/>
        <w:t>= 2.87; and</w:t>
      </w:r>
    </w:p>
    <w:p w:rsidR="0085264B" w:rsidRPr="00504D34"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11.9%.</w:t>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OR7B – </w:t>
      </w:r>
      <w:r w:rsidRPr="00A2485A">
        <w:t>Suceava-Siret</w:t>
      </w:r>
      <w:r w:rsidRPr="00BB4AD8">
        <w:t xml:space="preserve"> </w:t>
      </w:r>
      <w:r w:rsidRPr="006D241C">
        <w:t>Expressway</w:t>
      </w:r>
    </w:p>
    <w:p w:rsidR="0085264B" w:rsidRPr="004B78BE" w:rsidRDefault="0085264B" w:rsidP="0085264B">
      <w:pPr>
        <w:spacing w:before="120" w:after="120" w:line="276" w:lineRule="auto"/>
        <w:ind w:left="851"/>
        <w:rPr>
          <w:b/>
          <w:sz w:val="22"/>
          <w:szCs w:val="22"/>
        </w:rPr>
      </w:pPr>
      <w:r w:rsidRPr="004B78BE">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A2485A">
        <w:t xml:space="preserve">The high level objective for the project is to increase the economic efficiency of the transport network in Romania. The particular operational objective is to improve travel speeds between Suceava and Siret, thus improving regional connectivity. </w:t>
      </w:r>
      <w:r w:rsidRPr="00374CF1">
        <w:t xml:space="preserve">In conjunction with OR7A (Bacau – Suceava), OR 6B (Bacau – Braila/Galati, OR11 (Braila – Constanta) and OR3 (Ploesti – Brasov – Bacau) </w:t>
      </w:r>
      <w:r>
        <w:t xml:space="preserve">the scheme </w:t>
      </w:r>
      <w:r w:rsidRPr="00374CF1">
        <w:t>provides high quality routes from the Ukraine to the largest ports in Romania, and to the central and southern regions of Romania.</w:t>
      </w:r>
      <w:r>
        <w:t xml:space="preserve"> It therefore also adds European value.</w:t>
      </w:r>
    </w:p>
    <w:p w:rsidR="0085264B" w:rsidRDefault="0085264B" w:rsidP="0085264B">
      <w:pPr>
        <w:pStyle w:val="NumberedParas"/>
        <w:tabs>
          <w:tab w:val="clear" w:pos="2291"/>
          <w:tab w:val="left" w:pos="851"/>
          <w:tab w:val="left" w:pos="2268"/>
          <w:tab w:val="num" w:pos="2433"/>
        </w:tabs>
        <w:ind w:left="851" w:hanging="851"/>
      </w:pPr>
      <w:r w:rsidRPr="00A2485A">
        <w:t>The indicative a</w:t>
      </w:r>
      <w:r>
        <w:t>lignment is shown in Figure 4.52.</w:t>
      </w:r>
    </w:p>
    <w:p w:rsidR="0085264B" w:rsidRPr="007A06E8" w:rsidRDefault="0085264B" w:rsidP="0085264B">
      <w:pPr>
        <w:spacing w:before="120" w:after="120" w:line="276" w:lineRule="auto"/>
        <w:ind w:left="851"/>
        <w:rPr>
          <w:b/>
          <w:sz w:val="22"/>
          <w:szCs w:val="22"/>
        </w:rPr>
      </w:pPr>
      <w:r w:rsidRPr="007A06E8">
        <w:rPr>
          <w:b/>
          <w:sz w:val="22"/>
          <w:szCs w:val="22"/>
        </w:rPr>
        <w:t xml:space="preserve">Figure </w:t>
      </w:r>
      <w:r>
        <w:rPr>
          <w:b/>
          <w:sz w:val="22"/>
          <w:szCs w:val="22"/>
        </w:rPr>
        <w:t xml:space="preserve">4.52 </w:t>
      </w:r>
      <w:r w:rsidRPr="007A06E8">
        <w:rPr>
          <w:b/>
          <w:sz w:val="22"/>
          <w:szCs w:val="22"/>
        </w:rPr>
        <w:t>Suceava-Siret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BD05398" wp14:editId="4223C536">
            <wp:extent cx="5140800" cy="3427200"/>
            <wp:effectExtent l="19050" t="19050" r="22225" b="20955"/>
            <wp:docPr id="11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R7B Alignment Plo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8609" b="11921"/>
                    <a:stretch/>
                  </pic:blipFill>
                  <pic:spPr bwMode="auto">
                    <a:xfrm>
                      <a:off x="0" y="0"/>
                      <a:ext cx="5140800" cy="3427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2485A">
        <w:t xml:space="preserve">The route connects to the node of Suceava on the </w:t>
      </w:r>
      <w:r>
        <w:t>TEN-T</w:t>
      </w:r>
      <w:r w:rsidRPr="00A2485A">
        <w:t xml:space="preserve"> network. </w:t>
      </w:r>
    </w:p>
    <w:p w:rsidR="0085264B" w:rsidRPr="004B78BE" w:rsidRDefault="0085264B" w:rsidP="0085264B">
      <w:pPr>
        <w:spacing w:before="120" w:after="120" w:line="276" w:lineRule="auto"/>
        <w:ind w:left="851"/>
        <w:rPr>
          <w:b/>
          <w:sz w:val="22"/>
          <w:szCs w:val="22"/>
        </w:rPr>
      </w:pPr>
      <w:r w:rsidRPr="004B78BE">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A2485A">
        <w:t>There are poor average travel times; typical average speeds for this route are around 69 kph</w:t>
      </w:r>
    </w:p>
    <w:p w:rsidR="0085264B" w:rsidRDefault="0085264B" w:rsidP="0085264B">
      <w:pPr>
        <w:pStyle w:val="NumberedParas"/>
        <w:tabs>
          <w:tab w:val="clear" w:pos="2291"/>
          <w:tab w:val="left" w:pos="851"/>
          <w:tab w:val="left" w:pos="2268"/>
          <w:tab w:val="num" w:pos="2433"/>
        </w:tabs>
        <w:ind w:left="851" w:hanging="851"/>
      </w:pPr>
      <w:r w:rsidRPr="00A2485A">
        <w:t>The bulk of the infrastructure provision in the corridor is poor – 97% of the route is only single carriageway standard.</w:t>
      </w:r>
    </w:p>
    <w:p w:rsidR="0085264B" w:rsidRPr="004B78BE" w:rsidRDefault="0085264B" w:rsidP="0085264B">
      <w:pPr>
        <w:spacing w:before="120" w:after="120" w:line="276" w:lineRule="auto"/>
        <w:ind w:left="851"/>
        <w:rPr>
          <w:b/>
          <w:sz w:val="22"/>
          <w:szCs w:val="22"/>
        </w:rPr>
      </w:pPr>
      <w:r w:rsidRPr="004B78BE">
        <w:rPr>
          <w:b/>
          <w:sz w:val="22"/>
          <w:szCs w:val="22"/>
        </w:rPr>
        <w:t>Undiscounted costs (Million €, 2014 prices):</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 xml:space="preserve">CAPEX </w:t>
      </w:r>
      <w:r w:rsidRPr="00A2485A">
        <w:rPr>
          <w:sz w:val="22"/>
          <w:szCs w:val="22"/>
        </w:rPr>
        <w:tab/>
        <w:t>€186M</w:t>
      </w:r>
    </w:p>
    <w:p w:rsidR="0085264B" w:rsidRPr="004B78BE" w:rsidRDefault="0085264B" w:rsidP="0085264B">
      <w:pPr>
        <w:spacing w:before="120" w:after="120" w:line="276" w:lineRule="auto"/>
        <w:ind w:left="851"/>
        <w:rPr>
          <w:b/>
          <w:sz w:val="22"/>
          <w:szCs w:val="22"/>
        </w:rPr>
      </w:pPr>
      <w:r w:rsidRPr="004B78BE">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A2485A">
        <w:t xml:space="preserve">This project returns excellent value for money (BCR of 2.84), and carries around </w:t>
      </w:r>
      <w:r>
        <w:t>10</w:t>
      </w:r>
      <w:r w:rsidRPr="00A2485A">
        <w:t>,000</w:t>
      </w:r>
      <w:r>
        <w:t xml:space="preserve"> - 15,000</w:t>
      </w:r>
      <w:r w:rsidRPr="00A2485A">
        <w:t xml:space="preserve"> vehicles (AADT). Almost all of the existing traffic in the immediate corridor switches to the new route</w:t>
      </w:r>
      <w:r>
        <w:t>.</w:t>
      </w:r>
    </w:p>
    <w:p w:rsidR="0085264B" w:rsidRDefault="0085264B" w:rsidP="0085264B">
      <w:pPr>
        <w:pStyle w:val="NumberedParas"/>
        <w:tabs>
          <w:tab w:val="clear" w:pos="2291"/>
          <w:tab w:val="left" w:pos="851"/>
          <w:tab w:val="left" w:pos="2268"/>
          <w:tab w:val="num" w:pos="2433"/>
        </w:tabs>
        <w:ind w:left="851" w:hanging="851"/>
      </w:pPr>
      <w:r w:rsidRPr="00A2485A">
        <w:t>The flow changes a</w:t>
      </w:r>
      <w:r>
        <w:t>re illustrated in Figure 4.53.</w:t>
      </w:r>
    </w:p>
    <w:p w:rsidR="0085264B" w:rsidRPr="007A06E8" w:rsidRDefault="0085264B" w:rsidP="0085264B">
      <w:pPr>
        <w:spacing w:before="120" w:after="120" w:line="276" w:lineRule="auto"/>
        <w:ind w:left="851"/>
        <w:rPr>
          <w:b/>
          <w:sz w:val="22"/>
          <w:szCs w:val="22"/>
        </w:rPr>
      </w:pPr>
      <w:r w:rsidRPr="007A06E8">
        <w:rPr>
          <w:b/>
          <w:sz w:val="22"/>
          <w:szCs w:val="22"/>
        </w:rPr>
        <w:t xml:space="preserve">Figure </w:t>
      </w:r>
      <w:r>
        <w:rPr>
          <w:b/>
          <w:sz w:val="22"/>
          <w:szCs w:val="22"/>
        </w:rPr>
        <w:t xml:space="preserve">4.53 </w:t>
      </w:r>
      <w:r w:rsidRPr="007A06E8">
        <w:rPr>
          <w:b/>
          <w:sz w:val="22"/>
          <w:szCs w:val="22"/>
        </w:rPr>
        <w:t>Flow Changes Due to Suceava-Siret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71517E08" wp14:editId="5E5CFBCE">
            <wp:extent cx="5191200" cy="3456000"/>
            <wp:effectExtent l="19050" t="19050" r="9525" b="11430"/>
            <wp:docPr id="1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R7B Difference Plot"/>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5191200" cy="34560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2485A">
        <w:t>Average speeds increase to 114 kph as a consequence of the scheme. Peak time journey times are reduced by 38%.</w:t>
      </w:r>
    </w:p>
    <w:p w:rsidR="0085264B" w:rsidRDefault="0085264B" w:rsidP="0085264B">
      <w:pPr>
        <w:pStyle w:val="NumberedParas"/>
        <w:tabs>
          <w:tab w:val="clear" w:pos="2291"/>
          <w:tab w:val="left" w:pos="851"/>
          <w:tab w:val="left" w:pos="2268"/>
          <w:tab w:val="num" w:pos="2433"/>
        </w:tabs>
        <w:ind w:left="851" w:hanging="851"/>
      </w:pPr>
      <w:r w:rsidRPr="00A2485A">
        <w:t>The primary economic indicators for the project are as follows:</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NPV</w:t>
      </w:r>
      <w:r w:rsidRPr="00A2485A">
        <w:rPr>
          <w:sz w:val="22"/>
          <w:szCs w:val="22"/>
        </w:rPr>
        <w:tab/>
        <w:t>= €1,172M</w:t>
      </w:r>
      <w:r>
        <w:rPr>
          <w:sz w:val="22"/>
          <w:szCs w:val="22"/>
        </w:rPr>
        <w:t>;</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BCR</w:t>
      </w:r>
      <w:r w:rsidRPr="00A2485A">
        <w:rPr>
          <w:sz w:val="22"/>
          <w:szCs w:val="22"/>
        </w:rPr>
        <w:tab/>
        <w:t>= 2.84; and</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EIRR</w:t>
      </w:r>
      <w:r w:rsidRPr="00A2485A">
        <w:rPr>
          <w:sz w:val="22"/>
          <w:szCs w:val="22"/>
        </w:rPr>
        <w:tab/>
        <w:t>= 11.7%</w:t>
      </w:r>
      <w:r w:rsidRPr="00A2485A">
        <w:rPr>
          <w:sz w:val="22"/>
          <w:szCs w:val="22"/>
        </w:rPr>
        <w:tab/>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OR8 – </w:t>
      </w:r>
      <w:r w:rsidRPr="00A2485A">
        <w:t xml:space="preserve">Bacau-Piatra Neamt </w:t>
      </w:r>
      <w:r w:rsidRPr="006D241C">
        <w:t>Expressway</w:t>
      </w:r>
    </w:p>
    <w:p w:rsidR="0085264B" w:rsidRPr="004B78BE" w:rsidRDefault="0085264B" w:rsidP="0085264B">
      <w:pPr>
        <w:spacing w:before="120" w:after="120" w:line="276" w:lineRule="auto"/>
        <w:ind w:left="851"/>
        <w:rPr>
          <w:b/>
          <w:sz w:val="22"/>
          <w:szCs w:val="22"/>
        </w:rPr>
      </w:pPr>
      <w:r w:rsidRPr="004B78BE">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A2485A">
        <w:t xml:space="preserve">The high level objective for the project is to increase the economic efficiency of the transport network in Romania. The particular operational objective is to improve travel speeds between Bacau and Piatra Neamt, thus improving regional connectivity.  </w:t>
      </w:r>
      <w:r>
        <w:t>The route</w:t>
      </w:r>
      <w:r w:rsidRPr="00163BEF">
        <w:t xml:space="preserve"> provides a connection between the County Capitals of Piatra Neamt and Bacau, and via OR 3, and OR11 to the south/centre and major ports of Romania. </w:t>
      </w:r>
      <w:r>
        <w:t>Analysis of the National Model f</w:t>
      </w:r>
      <w:r w:rsidRPr="00163BEF">
        <w:t>lows show expressway is the appropriate standard.</w:t>
      </w:r>
    </w:p>
    <w:p w:rsidR="0085264B" w:rsidRDefault="0085264B" w:rsidP="0085264B">
      <w:pPr>
        <w:pStyle w:val="NumberedParas"/>
        <w:tabs>
          <w:tab w:val="clear" w:pos="2291"/>
          <w:tab w:val="left" w:pos="851"/>
          <w:tab w:val="left" w:pos="2268"/>
          <w:tab w:val="num" w:pos="2433"/>
        </w:tabs>
        <w:ind w:left="851" w:hanging="851"/>
      </w:pPr>
      <w:r w:rsidRPr="00A2485A">
        <w:t>The expressway</w:t>
      </w:r>
      <w:r>
        <w:t xml:space="preserve"> alignment is shown in Figure 4.54</w:t>
      </w:r>
      <w:r w:rsidRPr="00A2485A">
        <w:t xml:space="preserve">.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4.54 </w:t>
      </w:r>
      <w:r w:rsidRPr="007A06E8">
        <w:rPr>
          <w:b/>
          <w:sz w:val="22"/>
          <w:szCs w:val="22"/>
        </w:rPr>
        <w:t>Bacau-Piatra Neamt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034F444" wp14:editId="7A8B93CA">
            <wp:extent cx="4986000" cy="3315600"/>
            <wp:effectExtent l="19050" t="19050" r="24765" b="18415"/>
            <wp:docPr id="1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R8 Alignment Plot"/>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8191" b="12582"/>
                    <a:stretch/>
                  </pic:blipFill>
                  <pic:spPr bwMode="auto">
                    <a:xfrm>
                      <a:off x="0" y="0"/>
                      <a:ext cx="4986000" cy="3315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2485A">
        <w:t xml:space="preserve">The route connects to the node of Bacau on the </w:t>
      </w:r>
      <w:r>
        <w:t>TEN-T</w:t>
      </w:r>
      <w:r w:rsidRPr="00A2485A">
        <w:t xml:space="preserve"> network. </w:t>
      </w:r>
    </w:p>
    <w:p w:rsidR="0085264B" w:rsidRPr="004B78BE" w:rsidRDefault="0085264B" w:rsidP="0085264B">
      <w:pPr>
        <w:spacing w:before="120" w:after="120" w:line="276" w:lineRule="auto"/>
        <w:ind w:left="851"/>
        <w:rPr>
          <w:b/>
          <w:sz w:val="22"/>
          <w:szCs w:val="22"/>
        </w:rPr>
      </w:pPr>
      <w:r w:rsidRPr="004B78BE">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A2485A">
        <w:t>There are poor average travel times; typical average speeds for this route are around 52 kph</w:t>
      </w:r>
    </w:p>
    <w:p w:rsidR="0085264B" w:rsidRDefault="0085264B" w:rsidP="0085264B">
      <w:pPr>
        <w:pStyle w:val="NumberedParas"/>
        <w:tabs>
          <w:tab w:val="clear" w:pos="2291"/>
          <w:tab w:val="left" w:pos="851"/>
          <w:tab w:val="left" w:pos="2268"/>
          <w:tab w:val="num" w:pos="2433"/>
        </w:tabs>
        <w:ind w:left="851" w:hanging="851"/>
      </w:pPr>
      <w:r w:rsidRPr="00A2485A">
        <w:t>The bulk of the infrastructure provision in the corridor is poor – 92% of the route is only single carriageway standard.</w:t>
      </w:r>
    </w:p>
    <w:p w:rsidR="0085264B" w:rsidRPr="004B78BE" w:rsidRDefault="0085264B" w:rsidP="0085264B">
      <w:pPr>
        <w:spacing w:before="120" w:after="120" w:line="276" w:lineRule="auto"/>
        <w:ind w:left="851"/>
        <w:rPr>
          <w:b/>
          <w:sz w:val="22"/>
          <w:szCs w:val="22"/>
        </w:rPr>
      </w:pPr>
      <w:r w:rsidRPr="004B78BE">
        <w:rPr>
          <w:b/>
          <w:sz w:val="22"/>
          <w:szCs w:val="22"/>
        </w:rPr>
        <w:t>Undiscounted costs (Million €, 2014 prices):</w:t>
      </w:r>
    </w:p>
    <w:p w:rsidR="0085264B" w:rsidRPr="00A2485A"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€335</w:t>
      </w:r>
      <w:r w:rsidRPr="00A2485A">
        <w:rPr>
          <w:sz w:val="22"/>
          <w:szCs w:val="22"/>
        </w:rPr>
        <w:t>M</w:t>
      </w:r>
    </w:p>
    <w:p w:rsidR="0085264B" w:rsidRPr="004B78BE" w:rsidRDefault="0085264B" w:rsidP="0085264B">
      <w:pPr>
        <w:spacing w:before="120" w:after="120" w:line="276" w:lineRule="auto"/>
        <w:ind w:left="851"/>
        <w:rPr>
          <w:b/>
          <w:sz w:val="22"/>
          <w:szCs w:val="22"/>
        </w:rPr>
      </w:pPr>
      <w:r w:rsidRPr="004B78BE">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A2485A">
        <w:t xml:space="preserve">This project returns excellent value for money (BCR of 2.45), and carries around </w:t>
      </w:r>
      <w:r>
        <w:t>18</w:t>
      </w:r>
      <w:r w:rsidRPr="00A2485A">
        <w:t>,000 vehicles (AADT). Almost all of the existing traffic in the immediate corridor switches to the new route</w:t>
      </w:r>
      <w:r>
        <w:t>; t</w:t>
      </w:r>
      <w:r w:rsidRPr="00A2485A">
        <w:t xml:space="preserve">he flow changes are illustrated in Figure </w:t>
      </w:r>
      <w:r>
        <w:t>4.55 overleaf</w:t>
      </w:r>
      <w:r w:rsidRPr="00A2485A">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4.55</w:t>
      </w:r>
      <w:r w:rsidRPr="007A06E8">
        <w:rPr>
          <w:b/>
          <w:sz w:val="22"/>
          <w:szCs w:val="22"/>
        </w:rPr>
        <w:tab/>
        <w:t>Flow Changes Due to Bacau-Piatra Neamt Expressway Project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57B1AA56" wp14:editId="55E08C1E">
            <wp:extent cx="5194800" cy="3459600"/>
            <wp:effectExtent l="19050" t="19050" r="25400" b="26670"/>
            <wp:docPr id="1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R8 Difference Plot"/>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5194800" cy="3459600"/>
                    </a:xfrm>
                    <a:prstGeom prst="rect">
                      <a:avLst/>
                    </a:prstGeom>
                    <a:noFill/>
                    <a:ln w="6350" cmpd="sng">
                      <a:solidFill>
                        <a:srgbClr val="000000"/>
                      </a:solidFill>
                      <a:miter lim="800000"/>
                      <a:headEnd/>
                      <a:tailEnd/>
                    </a:ln>
                    <a:effec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A2485A">
        <w:t>Average speeds increase to 83 kph as a consequence of the scheme. Peak time journey times are reduced by 32%.</w:t>
      </w:r>
    </w:p>
    <w:p w:rsidR="0085264B" w:rsidRDefault="0085264B" w:rsidP="0085264B">
      <w:pPr>
        <w:pStyle w:val="NumberedParas"/>
        <w:tabs>
          <w:tab w:val="clear" w:pos="2291"/>
          <w:tab w:val="left" w:pos="851"/>
          <w:tab w:val="left" w:pos="2268"/>
          <w:tab w:val="num" w:pos="2433"/>
        </w:tabs>
        <w:ind w:left="851" w:hanging="851"/>
      </w:pPr>
      <w:r w:rsidRPr="00A2485A">
        <w:t>The primary economic indicators for the project are as follows:</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NPV</w:t>
      </w:r>
      <w:r w:rsidRPr="00A2485A">
        <w:rPr>
          <w:sz w:val="22"/>
          <w:szCs w:val="22"/>
        </w:rPr>
        <w:tab/>
        <w:t>= €350M</w:t>
      </w:r>
      <w:r>
        <w:rPr>
          <w:sz w:val="22"/>
          <w:szCs w:val="22"/>
        </w:rPr>
        <w:t>;</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BCR</w:t>
      </w:r>
      <w:r w:rsidRPr="00A2485A">
        <w:rPr>
          <w:sz w:val="22"/>
          <w:szCs w:val="22"/>
        </w:rPr>
        <w:tab/>
        <w:t>= 2.45; and</w:t>
      </w:r>
    </w:p>
    <w:p w:rsidR="0085264B" w:rsidRPr="00A2485A" w:rsidRDefault="0085264B" w:rsidP="0085264B">
      <w:pPr>
        <w:pStyle w:val="ListParagraph"/>
        <w:numPr>
          <w:ilvl w:val="0"/>
          <w:numId w:val="53"/>
        </w:numPr>
        <w:spacing w:before="120" w:after="120" w:line="276" w:lineRule="auto"/>
        <w:contextualSpacing/>
        <w:rPr>
          <w:sz w:val="22"/>
          <w:szCs w:val="22"/>
        </w:rPr>
      </w:pPr>
      <w:r w:rsidRPr="00A2485A">
        <w:rPr>
          <w:sz w:val="22"/>
          <w:szCs w:val="22"/>
        </w:rPr>
        <w:t>EIRR</w:t>
      </w:r>
      <w:r w:rsidRPr="00A2485A">
        <w:rPr>
          <w:sz w:val="22"/>
          <w:szCs w:val="22"/>
        </w:rPr>
        <w:tab/>
        <w:t>= 10.6%</w:t>
      </w:r>
      <w:r>
        <w:rPr>
          <w:sz w:val="22"/>
          <w:szCs w:val="22"/>
        </w:rPr>
        <w:t>.</w:t>
      </w:r>
      <w:r w:rsidRPr="00A2485A">
        <w:rPr>
          <w:sz w:val="22"/>
          <w:szCs w:val="22"/>
        </w:rPr>
        <w:tab/>
      </w:r>
    </w:p>
    <w:p w:rsidR="0085264B" w:rsidRDefault="0085264B" w:rsidP="0085264B">
      <w:pPr>
        <w:pStyle w:val="NumberedParas"/>
        <w:numPr>
          <w:ilvl w:val="0"/>
          <w:numId w:val="0"/>
        </w:numPr>
        <w:ind w:left="851" w:hanging="851"/>
      </w:pPr>
    </w:p>
    <w:p w:rsidR="0085264B" w:rsidRDefault="0085264B" w:rsidP="0085264B">
      <w:pPr>
        <w:pStyle w:val="Hdg3"/>
        <w:ind w:left="851"/>
      </w:pPr>
      <w:r>
        <w:br w:type="page"/>
      </w:r>
    </w:p>
    <w:p w:rsidR="0085264B" w:rsidRPr="006D241C" w:rsidRDefault="0085264B" w:rsidP="0085264B">
      <w:pPr>
        <w:pStyle w:val="Hdg3"/>
        <w:ind w:left="851"/>
      </w:pPr>
      <w:r>
        <w:t xml:space="preserve">Level 2 Schemes – OR11 – </w:t>
      </w:r>
      <w:r w:rsidRPr="00A2485A">
        <w:t>Constanta-Tulcea-Braila Expressway (including Braila Bridge)</w:t>
      </w:r>
    </w:p>
    <w:p w:rsidR="0085264B" w:rsidRPr="000D45A4" w:rsidRDefault="0085264B" w:rsidP="0085264B">
      <w:pPr>
        <w:spacing w:before="120" w:after="120" w:line="276" w:lineRule="auto"/>
        <w:ind w:left="851"/>
        <w:rPr>
          <w:b/>
          <w:sz w:val="22"/>
          <w:szCs w:val="22"/>
        </w:rPr>
      </w:pPr>
      <w:r w:rsidRPr="000D45A4">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A2485A">
        <w:t xml:space="preserve">The high level objective for the project is to increase the economic efficiency of the transport network in Romania. The particular operational objective is to improve travel speeds between Constanta and Tulcea, thus improving regional connectivity. </w:t>
      </w:r>
      <w:r w:rsidRPr="00463755">
        <w:t>This project also satisfies a Regional Development objective, as Tulcea is the gateway to the Danube delta with its unique ecological resources and tourist potential.  The project forms part of the route between Constanta and the North East region of Romania in conjunction with OR7A and OR6B.</w:t>
      </w:r>
      <w:r w:rsidRPr="00A2485A">
        <w:t xml:space="preserve"> </w:t>
      </w:r>
      <w:r>
        <w:t xml:space="preserve"> Analysis of the National Model flows show that an expressway is the appropriate standard.</w:t>
      </w:r>
    </w:p>
    <w:p w:rsidR="0085264B" w:rsidRDefault="0085264B" w:rsidP="0085264B">
      <w:pPr>
        <w:pStyle w:val="NumberedParas"/>
        <w:tabs>
          <w:tab w:val="clear" w:pos="2291"/>
          <w:tab w:val="left" w:pos="851"/>
          <w:tab w:val="left" w:pos="2268"/>
          <w:tab w:val="num" w:pos="2433"/>
        </w:tabs>
        <w:ind w:left="851" w:hanging="851"/>
      </w:pPr>
      <w:r>
        <w:t>Figure 4.56</w:t>
      </w:r>
      <w:r w:rsidRPr="00A2485A">
        <w:t xml:space="preserve"> shows the route alignment</w:t>
      </w:r>
      <w:r>
        <w:t>.</w:t>
      </w:r>
      <w:r w:rsidRPr="00A2485A">
        <w:t xml:space="preserve"> </w:t>
      </w:r>
    </w:p>
    <w:p w:rsidR="0085264B" w:rsidRPr="007A06E8" w:rsidRDefault="0085264B" w:rsidP="0085264B">
      <w:pPr>
        <w:keepNext/>
        <w:spacing w:before="120" w:after="120" w:line="276" w:lineRule="auto"/>
        <w:ind w:left="2268" w:hanging="1417"/>
        <w:rPr>
          <w:b/>
          <w:sz w:val="22"/>
          <w:szCs w:val="22"/>
        </w:rPr>
      </w:pPr>
      <w:r w:rsidRPr="007A06E8">
        <w:rPr>
          <w:b/>
          <w:sz w:val="22"/>
          <w:szCs w:val="22"/>
        </w:rPr>
        <w:t xml:space="preserve">Figure </w:t>
      </w:r>
      <w:r>
        <w:rPr>
          <w:b/>
          <w:sz w:val="22"/>
          <w:szCs w:val="22"/>
        </w:rPr>
        <w:t>4.56</w:t>
      </w:r>
      <w:r w:rsidRPr="007A06E8">
        <w:rPr>
          <w:b/>
          <w:sz w:val="22"/>
          <w:szCs w:val="22"/>
        </w:rPr>
        <w:tab/>
        <w:t>Constanta-Tulcea-Braila Expressway (including Braila Bridge)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226C43CD" wp14:editId="2E71CE57">
            <wp:extent cx="5140800" cy="3441600"/>
            <wp:effectExtent l="19050" t="19050" r="22225" b="26035"/>
            <wp:docPr id="12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R11 Alignment Plo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963BD">
        <w:t xml:space="preserve">The route connects to the nodes of Constanta, Tulcea and Braila on the </w:t>
      </w:r>
      <w:r>
        <w:t>TEN-T</w:t>
      </w:r>
      <w:r w:rsidRPr="00B963BD">
        <w:t xml:space="preserve"> network. </w:t>
      </w:r>
    </w:p>
    <w:p w:rsidR="0085264B" w:rsidRPr="000D45A4" w:rsidRDefault="0085264B" w:rsidP="0085264B">
      <w:pPr>
        <w:spacing w:before="120" w:after="120" w:line="276" w:lineRule="auto"/>
        <w:ind w:left="851"/>
        <w:rPr>
          <w:b/>
          <w:sz w:val="22"/>
          <w:szCs w:val="22"/>
        </w:rPr>
      </w:pPr>
      <w:r w:rsidRPr="000D45A4">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B963BD">
        <w:t>There are poor average travel times; typical average speeds for this route are around 71 kph. The bulk of the infrastructure provision in the corridor is poor – 60% of the route is only single carriageway standard.</w:t>
      </w:r>
    </w:p>
    <w:p w:rsidR="0085264B" w:rsidRPr="000D45A4" w:rsidRDefault="0085264B" w:rsidP="0085264B">
      <w:pPr>
        <w:spacing w:before="120" w:after="120" w:line="276" w:lineRule="auto"/>
        <w:ind w:left="851"/>
        <w:rPr>
          <w:b/>
          <w:sz w:val="22"/>
          <w:szCs w:val="22"/>
        </w:rPr>
      </w:pPr>
      <w:r w:rsidRPr="000D45A4">
        <w:rPr>
          <w:b/>
          <w:sz w:val="22"/>
          <w:szCs w:val="22"/>
        </w:rPr>
        <w:t>Undiscounted costs (Million €, 2014 prices):</w:t>
      </w:r>
    </w:p>
    <w:p w:rsidR="0085264B" w:rsidRPr="00B963B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€1,369</w:t>
      </w:r>
      <w:r w:rsidRPr="00B963BD">
        <w:rPr>
          <w:sz w:val="22"/>
          <w:szCs w:val="22"/>
        </w:rPr>
        <w:t>M</w:t>
      </w:r>
    </w:p>
    <w:p w:rsidR="0085264B" w:rsidRPr="000D45A4" w:rsidRDefault="0085264B" w:rsidP="0085264B">
      <w:pPr>
        <w:spacing w:before="120" w:after="120" w:line="276" w:lineRule="auto"/>
        <w:ind w:left="851"/>
        <w:rPr>
          <w:b/>
          <w:sz w:val="22"/>
          <w:szCs w:val="22"/>
        </w:rPr>
      </w:pPr>
      <w:r w:rsidRPr="000D45A4">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963BD">
        <w:t xml:space="preserve">This has project a BCR of 1.07, and carries around 16,000 vehicles (AADT). Almost all of the existing traffic in the immediate corridor switches to the new </w:t>
      </w:r>
      <w:r>
        <w:t>route; t</w:t>
      </w:r>
      <w:r w:rsidRPr="00B963BD">
        <w:t>he flow chan</w:t>
      </w:r>
      <w:r>
        <w:t>ges are illustrated in Figure 4.57 overleaf</w:t>
      </w:r>
      <w:r w:rsidRPr="00B963BD">
        <w:t>.</w:t>
      </w:r>
    </w:p>
    <w:p w:rsidR="0085264B" w:rsidRDefault="0085264B" w:rsidP="0085264B">
      <w:pPr>
        <w:keepNext/>
        <w:spacing w:before="120" w:after="120" w:line="276" w:lineRule="auto"/>
        <w:ind w:left="2127" w:hanging="1276"/>
        <w:rPr>
          <w:b/>
          <w:sz w:val="22"/>
          <w:szCs w:val="22"/>
        </w:rPr>
      </w:pPr>
      <w:r w:rsidRPr="007A06E8">
        <w:rPr>
          <w:b/>
          <w:sz w:val="22"/>
          <w:szCs w:val="22"/>
        </w:rPr>
        <w:t xml:space="preserve">Figure </w:t>
      </w:r>
      <w:r>
        <w:rPr>
          <w:b/>
          <w:sz w:val="22"/>
          <w:szCs w:val="22"/>
        </w:rPr>
        <w:t xml:space="preserve">4.57 </w:t>
      </w:r>
      <w:r w:rsidRPr="007A06E8">
        <w:rPr>
          <w:b/>
          <w:sz w:val="22"/>
          <w:szCs w:val="22"/>
        </w:rPr>
        <w:t>Flow Changes Due to Constanta-Tulcea-Braila Expressway (including Braila Bridge)</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5F05A24A" wp14:editId="762FE40B">
            <wp:extent cx="5140800" cy="3484800"/>
            <wp:effectExtent l="19050" t="19050" r="22225" b="20955"/>
            <wp:docPr id="1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R11 Difference Plo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8278" b="10927"/>
                    <a:stretch/>
                  </pic:blipFill>
                  <pic:spPr bwMode="auto">
                    <a:xfrm>
                      <a:off x="0" y="0"/>
                      <a:ext cx="5140800" cy="34848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963BD">
        <w:t>Average speeds increase to 90 kph as a consequence of the scheme. Peak time journey times are reduced by 28%.</w:t>
      </w:r>
    </w:p>
    <w:p w:rsidR="0085264B" w:rsidRDefault="0085264B" w:rsidP="0085264B">
      <w:pPr>
        <w:pStyle w:val="NumberedParas"/>
        <w:tabs>
          <w:tab w:val="clear" w:pos="2291"/>
          <w:tab w:val="left" w:pos="851"/>
          <w:tab w:val="left" w:pos="2268"/>
          <w:tab w:val="num" w:pos="2433"/>
        </w:tabs>
        <w:ind w:left="851" w:hanging="851"/>
      </w:pPr>
      <w:r w:rsidRPr="00B963BD">
        <w:t>The primary economic indicators for the project are as follows:</w:t>
      </w:r>
    </w:p>
    <w:p w:rsidR="0085264B" w:rsidRPr="00B963BD" w:rsidRDefault="0085264B" w:rsidP="0085264B">
      <w:pPr>
        <w:pStyle w:val="ListParagraph"/>
        <w:numPr>
          <w:ilvl w:val="0"/>
          <w:numId w:val="53"/>
        </w:numPr>
        <w:spacing w:before="120" w:after="120" w:line="276" w:lineRule="auto"/>
        <w:contextualSpacing/>
        <w:rPr>
          <w:sz w:val="22"/>
          <w:szCs w:val="22"/>
        </w:rPr>
      </w:pPr>
      <w:r w:rsidRPr="00B963BD">
        <w:rPr>
          <w:sz w:val="22"/>
          <w:szCs w:val="22"/>
        </w:rPr>
        <w:t>NPV</w:t>
      </w:r>
      <w:r w:rsidRPr="00B963BD">
        <w:rPr>
          <w:sz w:val="22"/>
          <w:szCs w:val="22"/>
        </w:rPr>
        <w:tab/>
        <w:t>= €66M</w:t>
      </w:r>
      <w:r>
        <w:rPr>
          <w:sz w:val="22"/>
          <w:szCs w:val="22"/>
        </w:rPr>
        <w:t>;</w:t>
      </w:r>
    </w:p>
    <w:p w:rsidR="0085264B" w:rsidRPr="00B963BD" w:rsidRDefault="0085264B" w:rsidP="0085264B">
      <w:pPr>
        <w:pStyle w:val="ListParagraph"/>
        <w:numPr>
          <w:ilvl w:val="0"/>
          <w:numId w:val="53"/>
        </w:numPr>
        <w:spacing w:before="120" w:after="120" w:line="276" w:lineRule="auto"/>
        <w:contextualSpacing/>
        <w:rPr>
          <w:sz w:val="22"/>
          <w:szCs w:val="22"/>
        </w:rPr>
      </w:pPr>
      <w:r w:rsidRPr="00B963BD">
        <w:rPr>
          <w:sz w:val="22"/>
          <w:szCs w:val="22"/>
        </w:rPr>
        <w:t>BCR</w:t>
      </w:r>
      <w:r w:rsidRPr="00B963BD">
        <w:rPr>
          <w:sz w:val="22"/>
          <w:szCs w:val="22"/>
        </w:rPr>
        <w:tab/>
        <w:t>= 1.07; and</w:t>
      </w:r>
    </w:p>
    <w:p w:rsidR="0085264B" w:rsidRPr="00B963BD" w:rsidRDefault="0085264B" w:rsidP="0085264B">
      <w:pPr>
        <w:pStyle w:val="ListParagraph"/>
        <w:numPr>
          <w:ilvl w:val="0"/>
          <w:numId w:val="53"/>
        </w:numPr>
        <w:spacing w:before="120" w:after="120" w:line="276" w:lineRule="auto"/>
        <w:contextualSpacing/>
        <w:rPr>
          <w:sz w:val="22"/>
          <w:szCs w:val="22"/>
        </w:rPr>
      </w:pPr>
      <w:r w:rsidRPr="00B963BD">
        <w:rPr>
          <w:sz w:val="22"/>
          <w:szCs w:val="22"/>
        </w:rPr>
        <w:t>EIRR</w:t>
      </w:r>
      <w:r w:rsidRPr="00B963BD">
        <w:rPr>
          <w:sz w:val="22"/>
          <w:szCs w:val="22"/>
        </w:rPr>
        <w:tab/>
        <w:t>= 5.4%</w:t>
      </w:r>
      <w:r>
        <w:rPr>
          <w:sz w:val="22"/>
          <w:szCs w:val="22"/>
        </w:rPr>
        <w:t>.</w:t>
      </w:r>
      <w:r w:rsidRPr="00B963BD">
        <w:rPr>
          <w:sz w:val="22"/>
          <w:szCs w:val="22"/>
        </w:rPr>
        <w:tab/>
      </w:r>
    </w:p>
    <w:p w:rsidR="0085264B"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 xml:space="preserve">Level 2 Schemes – OR12 – </w:t>
      </w:r>
      <w:r w:rsidRPr="00C563D2">
        <w:t>Nadaselu - Suplacu de Barcau</w:t>
      </w:r>
      <w:r w:rsidRPr="00A2485A">
        <w:t>Expressway</w:t>
      </w:r>
    </w:p>
    <w:p w:rsidR="0085264B" w:rsidRPr="000D45A4" w:rsidRDefault="0085264B" w:rsidP="0085264B">
      <w:pPr>
        <w:spacing w:before="120" w:after="120" w:line="276" w:lineRule="auto"/>
        <w:ind w:left="851"/>
        <w:rPr>
          <w:b/>
          <w:sz w:val="22"/>
          <w:szCs w:val="22"/>
        </w:rPr>
      </w:pPr>
      <w:r w:rsidRPr="000D45A4">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B963BD">
        <w:t xml:space="preserve">The high level objective for the project is to increase the economic efficiency of the transport network in Romania. The particular operational objective is to improve travel speeds </w:t>
      </w:r>
      <w:r>
        <w:t>on significant regional connectivity corridors such as Cluj to the Border near Oradea</w:t>
      </w:r>
      <w:r w:rsidRPr="00B963BD">
        <w:t>.</w:t>
      </w:r>
      <w:r>
        <w:t xml:space="preserve"> I</w:t>
      </w:r>
      <w:r w:rsidRPr="001A5735">
        <w:t xml:space="preserve">n conjunction with </w:t>
      </w:r>
      <w:r>
        <w:t>the Reference Case projects</w:t>
      </w:r>
      <w:r w:rsidRPr="001A5735">
        <w:t xml:space="preserve"> and OR2 (Bucharest – Sibiu)</w:t>
      </w:r>
      <w:r>
        <w:t>,</w:t>
      </w:r>
      <w:r w:rsidRPr="001A5735">
        <w:t xml:space="preserve"> the pr</w:t>
      </w:r>
      <w:r>
        <w:t>o</w:t>
      </w:r>
      <w:r w:rsidRPr="001A5735">
        <w:t xml:space="preserve">ject provides linkage to Hungary and the rest of Europe from the central and south of Romania.  </w:t>
      </w:r>
      <w:r>
        <w:t>Analysis of the National Model f</w:t>
      </w:r>
      <w:r w:rsidRPr="001A5735">
        <w:t>lows show expressway is the appropriate standard</w:t>
      </w:r>
      <w:r>
        <w:t>.</w:t>
      </w:r>
      <w:r w:rsidRPr="00B963BD">
        <w:t xml:space="preserve">  </w:t>
      </w:r>
    </w:p>
    <w:p w:rsidR="0085264B" w:rsidRDefault="0085264B" w:rsidP="0085264B">
      <w:pPr>
        <w:pStyle w:val="NumberedParas"/>
        <w:tabs>
          <w:tab w:val="clear" w:pos="2291"/>
          <w:tab w:val="left" w:pos="851"/>
          <w:tab w:val="left" w:pos="2268"/>
          <w:tab w:val="num" w:pos="2433"/>
        </w:tabs>
        <w:ind w:left="851" w:hanging="851"/>
      </w:pPr>
      <w:r w:rsidRPr="00B963BD">
        <w:t xml:space="preserve">Figure </w:t>
      </w:r>
      <w:r>
        <w:t>4.58 shows the expressway alignment and its relation to the Reference Case scheme.</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4.58 </w:t>
      </w:r>
      <w:r w:rsidRPr="00C563D2">
        <w:rPr>
          <w:b/>
          <w:sz w:val="22"/>
          <w:szCs w:val="22"/>
        </w:rPr>
        <w:t>Nadaselu - Suplacu de Barcau</w:t>
      </w:r>
      <w:r w:rsidRPr="007A06E8">
        <w:rPr>
          <w:b/>
          <w:sz w:val="22"/>
          <w:szCs w:val="22"/>
        </w:rPr>
        <w:t xml:space="preserve"> Expressway Indicative Alignment</w:t>
      </w:r>
    </w:p>
    <w:p w:rsidR="0085264B" w:rsidRDefault="0085264B" w:rsidP="0085264B">
      <w:pPr>
        <w:spacing w:before="120" w:after="120" w:line="276" w:lineRule="auto"/>
        <w:ind w:left="680" w:firstLine="171"/>
        <w:rPr>
          <w:sz w:val="22"/>
          <w:szCs w:val="22"/>
        </w:rPr>
      </w:pPr>
      <w:r>
        <w:rPr>
          <w:noProof/>
          <w:lang w:val="ro-RO" w:eastAsia="ro-RO"/>
        </w:rPr>
        <mc:AlternateContent>
          <mc:Choice Requires="wpg">
            <w:drawing>
              <wp:anchor distT="0" distB="0" distL="114300" distR="114300" simplePos="0" relativeHeight="251681792" behindDoc="0" locked="0" layoutInCell="1" allowOverlap="1" wp14:anchorId="264C812B" wp14:editId="60041C2C">
                <wp:simplePos x="0" y="0"/>
                <wp:positionH relativeFrom="column">
                  <wp:posOffset>1321435</wp:posOffset>
                </wp:positionH>
                <wp:positionV relativeFrom="paragraph">
                  <wp:posOffset>593725</wp:posOffset>
                </wp:positionV>
                <wp:extent cx="1375410" cy="716915"/>
                <wp:effectExtent l="1905" t="0" r="381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5410" cy="716915"/>
                          <a:chOff x="2988" y="5951"/>
                          <a:chExt cx="2166" cy="1129"/>
                        </a:xfrm>
                      </wpg:grpSpPr>
                      <wps:wsp>
                        <wps:cNvPr id="194" name="Freeform 18"/>
                        <wps:cNvSpPr>
                          <a:spLocks/>
                        </wps:cNvSpPr>
                        <wps:spPr bwMode="auto">
                          <a:xfrm>
                            <a:off x="3385" y="6239"/>
                            <a:ext cx="555" cy="233"/>
                          </a:xfrm>
                          <a:custGeom>
                            <a:avLst/>
                            <a:gdLst>
                              <a:gd name="T0" fmla="*/ 0 w 555"/>
                              <a:gd name="T1" fmla="*/ 233 h 233"/>
                              <a:gd name="T2" fmla="*/ 405 w 555"/>
                              <a:gd name="T3" fmla="*/ 28 h 233"/>
                              <a:gd name="T4" fmla="*/ 555 w 555"/>
                              <a:gd name="T5" fmla="*/ 62 h 233"/>
                            </a:gdLst>
                            <a:ahLst/>
                            <a:cxnLst>
                              <a:cxn ang="0">
                                <a:pos x="T0" y="T1"/>
                              </a:cxn>
                              <a:cxn ang="0">
                                <a:pos x="T2" y="T3"/>
                              </a:cxn>
                              <a:cxn ang="0">
                                <a:pos x="T4" y="T5"/>
                              </a:cxn>
                            </a:cxnLst>
                            <a:rect l="0" t="0" r="r" b="b"/>
                            <a:pathLst>
                              <a:path w="555" h="233">
                                <a:moveTo>
                                  <a:pt x="0" y="233"/>
                                </a:moveTo>
                                <a:cubicBezTo>
                                  <a:pt x="67" y="199"/>
                                  <a:pt x="313" y="56"/>
                                  <a:pt x="405" y="28"/>
                                </a:cubicBezTo>
                                <a:cubicBezTo>
                                  <a:pt x="497" y="0"/>
                                  <a:pt x="524" y="55"/>
                                  <a:pt x="555" y="62"/>
                                </a:cubicBezTo>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9"/>
                        <wps:cNvSpPr>
                          <a:spLocks/>
                        </wps:cNvSpPr>
                        <wps:spPr bwMode="auto">
                          <a:xfrm>
                            <a:off x="3949" y="6300"/>
                            <a:ext cx="635" cy="508"/>
                          </a:xfrm>
                          <a:custGeom>
                            <a:avLst/>
                            <a:gdLst>
                              <a:gd name="T0" fmla="*/ 0 w 635"/>
                              <a:gd name="T1" fmla="*/ 0 h 508"/>
                              <a:gd name="T2" fmla="*/ 129 w 635"/>
                              <a:gd name="T3" fmla="*/ 71 h 508"/>
                              <a:gd name="T4" fmla="*/ 359 w 635"/>
                              <a:gd name="T5" fmla="*/ 128 h 508"/>
                              <a:gd name="T6" fmla="*/ 509 w 635"/>
                              <a:gd name="T7" fmla="*/ 278 h 508"/>
                              <a:gd name="T8" fmla="*/ 635 w 635"/>
                              <a:gd name="T9" fmla="*/ 508 h 508"/>
                            </a:gdLst>
                            <a:ahLst/>
                            <a:cxnLst>
                              <a:cxn ang="0">
                                <a:pos x="T0" y="T1"/>
                              </a:cxn>
                              <a:cxn ang="0">
                                <a:pos x="T2" y="T3"/>
                              </a:cxn>
                              <a:cxn ang="0">
                                <a:pos x="T4" y="T5"/>
                              </a:cxn>
                              <a:cxn ang="0">
                                <a:pos x="T6" y="T7"/>
                              </a:cxn>
                              <a:cxn ang="0">
                                <a:pos x="T8" y="T9"/>
                              </a:cxn>
                            </a:cxnLst>
                            <a:rect l="0" t="0" r="r" b="b"/>
                            <a:pathLst>
                              <a:path w="635" h="508">
                                <a:moveTo>
                                  <a:pt x="0" y="0"/>
                                </a:moveTo>
                                <a:cubicBezTo>
                                  <a:pt x="21" y="12"/>
                                  <a:pt x="69" y="50"/>
                                  <a:pt x="129" y="71"/>
                                </a:cubicBezTo>
                                <a:cubicBezTo>
                                  <a:pt x="189" y="92"/>
                                  <a:pt x="296" y="94"/>
                                  <a:pt x="359" y="128"/>
                                </a:cubicBezTo>
                                <a:cubicBezTo>
                                  <a:pt x="422" y="162"/>
                                  <a:pt x="463" y="215"/>
                                  <a:pt x="509" y="278"/>
                                </a:cubicBezTo>
                                <a:cubicBezTo>
                                  <a:pt x="555" y="341"/>
                                  <a:pt x="609" y="460"/>
                                  <a:pt x="635" y="508"/>
                                </a:cubicBezTo>
                              </a:path>
                            </a:pathLst>
                          </a:cu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AutoShape 20"/>
                        <wps:cNvCnPr>
                          <a:cxnSpLocks noChangeShapeType="1"/>
                        </wps:cNvCnPr>
                        <wps:spPr bwMode="auto">
                          <a:xfrm flipH="1" flipV="1">
                            <a:off x="3569" y="6369"/>
                            <a:ext cx="92" cy="4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1"/>
                        <wps:cNvCnPr>
                          <a:cxnSpLocks noChangeShapeType="1"/>
                        </wps:cNvCnPr>
                        <wps:spPr bwMode="auto">
                          <a:xfrm flipH="1">
                            <a:off x="4399" y="6126"/>
                            <a:ext cx="219" cy="3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Rectangle 22"/>
                        <wps:cNvSpPr>
                          <a:spLocks noChangeArrowheads="1"/>
                        </wps:cNvSpPr>
                        <wps:spPr bwMode="auto">
                          <a:xfrm>
                            <a:off x="2988" y="6781"/>
                            <a:ext cx="1326"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57DD" w:rsidRPr="00A83752" w:rsidRDefault="008B57DD" w:rsidP="0085264B">
                              <w:pPr>
                                <w:jc w:val="center"/>
                                <w:rPr>
                                  <w:sz w:val="14"/>
                                  <w:szCs w:val="14"/>
                                </w:rPr>
                              </w:pPr>
                              <w:r w:rsidRPr="00A83752">
                                <w:rPr>
                                  <w:sz w:val="14"/>
                                  <w:szCs w:val="14"/>
                                </w:rPr>
                                <w:t>Reference Case</w:t>
                              </w:r>
                            </w:p>
                          </w:txbxContent>
                        </wps:txbx>
                        <wps:bodyPr rot="0" vert="horz" wrap="square" lIns="91440" tIns="45720" rIns="91440" bIns="45720" anchor="t" anchorCtr="0" upright="1">
                          <a:noAutofit/>
                        </wps:bodyPr>
                      </wps:wsp>
                      <wps:wsp>
                        <wps:cNvPr id="232" name="Rectangle 23"/>
                        <wps:cNvSpPr>
                          <a:spLocks noChangeArrowheads="1"/>
                        </wps:cNvSpPr>
                        <wps:spPr bwMode="auto">
                          <a:xfrm>
                            <a:off x="4082" y="5951"/>
                            <a:ext cx="1072"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57DD" w:rsidRPr="00A83752" w:rsidRDefault="008B57DD" w:rsidP="0085264B">
                              <w:pPr>
                                <w:jc w:val="center"/>
                                <w:rPr>
                                  <w:sz w:val="14"/>
                                  <w:szCs w:val="14"/>
                                </w:rPr>
                              </w:pPr>
                              <w:r>
                                <w:rPr>
                                  <w:sz w:val="14"/>
                                  <w:szCs w:val="14"/>
                                </w:rPr>
                                <w:t>Expressway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64C812B" id="Group 193" o:spid="_x0000_s1110" style="position:absolute;left:0;text-align:left;margin-left:104.05pt;margin-top:46.75pt;width:108.3pt;height:56.45pt;z-index:251681792;mso-position-horizontal-relative:text;mso-position-vertical-relative:text" coordorigin="2988,5951" coordsize="2166,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">
                <v:shape id="Freeform 18" o:spid="_x0000_s1111" style="position:absolute;left:3385;top:6239;width:555;height:233;visibility:visible;mso-wrap-style:square;v-text-anchor:top" coordsize="555,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giO8EA&#10;AADcAAAADwAAAGRycy9kb3ducmV2LnhtbERP24rCMBB9F/yHMIJvmiqyrNUoIt5ehLX1A8ZmbIvN&#10;pDZRu/v1G2Fh3+ZwrjNftqYST2pcaVnBaBiBIM6sLjlXcE63g08QziNrrCyTgm9ysFx0O3OMtX3x&#10;iZ6Jz0UIYRejgsL7OpbSZQUZdENbEwfuahuDPsAml7rBVwg3lRxH0Yc0WHJoKLCmdUHZLXkYBZtt&#10;klUH93PaT4+7C36ld6LxXal+r13NQHhq/b/4z33QYf50Au9nw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IIjvBAAAA3AAAAA8AAAAAAAAAAAAAAAAAmAIAAGRycy9kb3du&#10;cmV2LnhtbFBLBQYAAAAABAAEAPUAAACGAwAAAAA=&#10;" path="m,233c67,199,313,56,405,28,497,,524,55,555,62e" filled="f" strokecolor="red" strokeweight="2pt">
                  <v:path arrowok="t" o:connecttype="custom" o:connectlocs="0,233;405,28;555,62" o:connectangles="0,0,0"/>
                </v:shape>
                <v:shape id="Freeform 19" o:spid="_x0000_s1112" style="position:absolute;left:3949;top:6300;width:635;height:508;visibility:visible;mso-wrap-style:square;v-text-anchor:top" coordsize="635,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cGMIA&#10;AADcAAAADwAAAGRycy9kb3ducmV2LnhtbERPTWvCQBC9C/6HZQq91Y2FRhtdRSwtTW9qvY/ZMUnN&#10;zobdbRL/vVsoeJvH+5zlejCN6Mj52rKC6SQBQVxYXXOp4Pvw/jQH4QOyxsYyKbiSh/VqPFpipm3P&#10;O+r2oRQxhH2GCqoQ2kxKX1Rk0E9sSxy5s3UGQ4SulNphH8NNI5+TJJUGa44NFba0rai47H+Ngu6U&#10;f+UyvfRuNnvLPzbNNDU/R6UeH4bNAkSgIdzF/+5PHee/vsDfM/EC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JNwYwgAAANwAAAAPAAAAAAAAAAAAAAAAAJgCAABkcnMvZG93&#10;bnJldi54bWxQSwUGAAAAAAQABAD1AAAAhwMAAAAA&#10;" path="m,c21,12,69,50,129,71v60,21,167,23,230,57c422,162,463,215,509,278v46,63,100,182,126,230e" filled="f" strokecolor="#00b050" strokeweight="2pt">
                  <v:path arrowok="t" o:connecttype="custom" o:connectlocs="0,0;129,71;359,128;509,278;635,508" o:connectangles="0,0,0,0,0"/>
                </v:shape>
                <v:shape id="AutoShape 20" o:spid="_x0000_s1113" type="#_x0000_t32" style="position:absolute;left:3569;top:6369;width:92;height:4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nP8QAAADcAAAADwAAAGRycy9kb3ducmV2LnhtbERPTWvCQBC9F/wPywi9lLqxULHRTQhK&#10;oQiiiUKuQ3aapGZnQ3ar6b/vCoXe5vE+Z52OphNXGlxrWcF8FoEgrqxuuVZwPr0/L0E4j6yxs0wK&#10;fshBmkwe1hhre+OcroWvRQhhF6OCxvs+ltJVDRl0M9sTB+7TDgZ9gEMt9YC3EG46+RJFC2mw5dDQ&#10;YE+bhqpL8W0U+P3T7vUrPxyygnmbHXflJduUSj1Ox2wFwtPo/8V/7g8d5r8t4P5MuEA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c/xAAAANwAAAAPAAAAAAAAAAAA&#10;AAAAAKECAABkcnMvZG93bnJldi54bWxQSwUGAAAAAAQABAD5AAAAkgMAAAAA&#10;"/>
                <v:shape id="AutoShape 21" o:spid="_x0000_s1114" type="#_x0000_t32" style="position:absolute;left:4399;top:6126;width:219;height:3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I5t8QAAADcAAAADwAAAGRycy9kb3ducmV2LnhtbESPQWvCQBSE70L/w/IKvUjdJIhI6iql&#10;UBAPgpqDx8fuaxKafZvurjH9964geBxm5htmtRltJwbyoXWsIJ9lIIi1My3XCqrT9/sSRIjIBjvH&#10;pOCfAmzWL5MVlsZd+UDDMdYiQTiUqKCJsS+lDLohi2HmeuLk/ThvMSbpa2k8XhPcdrLIsoW02HJa&#10;aLCnr4b07/FiFbS7al8N07/o9XKXn30eTudOK/X2On5+gIg0xmf40d4aBUUxh/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Ijm3xAAAANwAAAAPAAAAAAAAAAAA&#10;AAAAAKECAABkcnMvZG93bnJldi54bWxQSwUGAAAAAAQABAD5AAAAkgMAAAAA&#10;"/>
                <v:rect id="Rectangle 22" o:spid="_x0000_s1115" style="position:absolute;left:2988;top:6781;width:1326;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gw8QA&#10;AADcAAAADwAAAGRycy9kb3ducmV2LnhtbESPQWvCQBSE7wX/w/IEb3XX2IaauooIgtD2YCx4fWSf&#10;SWj2bcyuGv99VxA8DjPzDTNf9rYRF+p87VjDZKxAEBfO1Fxq+N1vXj9A+IBssHFMGm7kYbkYvMwx&#10;M+7KO7rkoRQRwj5DDVUIbSalLyqy6MeuJY7e0XUWQ5RdKU2H1wi3jUyUSqXFmuNChS2tKyr+8rPV&#10;gOmbOf0cp9/7r3OKs7JXm/eD0no07FefIAL14Rl+tLdGQ5KkcD8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9oMPEAAAA3AAAAA8AAAAAAAAAAAAAAAAAmAIAAGRycy9k&#10;b3ducmV2LnhtbFBLBQYAAAAABAAEAPUAAACJAwAAAAA=&#10;" stroked="f">
                  <v:textbox>
                    <w:txbxContent>
                      <w:p w:rsidR="008B57DD" w:rsidRPr="00A83752" w:rsidRDefault="008B57DD" w:rsidP="0085264B">
                        <w:pPr>
                          <w:jc w:val="center"/>
                          <w:rPr>
                            <w:sz w:val="14"/>
                            <w:szCs w:val="14"/>
                          </w:rPr>
                        </w:pPr>
                        <w:r w:rsidRPr="00A83752">
                          <w:rPr>
                            <w:sz w:val="14"/>
                            <w:szCs w:val="14"/>
                          </w:rPr>
                          <w:t>Reference Case</w:t>
                        </w:r>
                      </w:p>
                    </w:txbxContent>
                  </v:textbox>
                </v:rect>
                <v:rect id="Rectangle 23" o:spid="_x0000_s1116" style="position:absolute;left:4082;top:5951;width:1072;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HcQA&#10;AADcAAAADwAAAGRycy9kb3ducmV2LnhtbESPQWvCQBSE70L/w/IK3nS3UUObukoRBEE9NBZ6fWSf&#10;SWj2bZpdNf57VxA8DjPzDTNf9rYRZ+p87VjD21iBIC6cqbnU8HNYj95B+IBssHFMGq7kYbl4Gcwx&#10;M+7C33TOQykihH2GGqoQ2kxKX1Rk0Y9dSxy9o+sshii7UpoOLxFuG5kolUqLNceFCltaVVT85Ser&#10;AdOp+d8fJ7vD9pTiR9mr9exXaT187b8+QQTqwzP8aG+MhmSS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MB3EAAAA3AAAAA8AAAAAAAAAAAAAAAAAmAIAAGRycy9k&#10;b3ducmV2LnhtbFBLBQYAAAAABAAEAPUAAACJAwAAAAA=&#10;" stroked="f">
                  <v:textbox>
                    <w:txbxContent>
                      <w:p w:rsidR="008B57DD" w:rsidRPr="00A83752" w:rsidRDefault="008B57DD" w:rsidP="0085264B">
                        <w:pPr>
                          <w:jc w:val="center"/>
                          <w:rPr>
                            <w:sz w:val="14"/>
                            <w:szCs w:val="14"/>
                          </w:rPr>
                        </w:pPr>
                        <w:r>
                          <w:rPr>
                            <w:sz w:val="14"/>
                            <w:szCs w:val="14"/>
                          </w:rPr>
                          <w:t>Expressway</w:t>
                        </w:r>
                      </w:p>
                    </w:txbxContent>
                  </v:textbox>
                </v:rect>
              </v:group>
            </w:pict>
          </mc:Fallback>
        </mc:AlternateContent>
      </w:r>
      <w:r>
        <w:rPr>
          <w:noProof/>
          <w:lang w:val="ro-RO" w:eastAsia="ro-RO"/>
        </w:rPr>
        <w:drawing>
          <wp:inline distT="0" distB="0" distL="0" distR="0" wp14:anchorId="18B99DC0" wp14:editId="23E59975">
            <wp:extent cx="5144400" cy="3416400"/>
            <wp:effectExtent l="19050" t="19050" r="18415" b="12700"/>
            <wp:docPr id="12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R12 Alignment Plo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8609" b="12251"/>
                    <a:stretch/>
                  </pic:blipFill>
                  <pic:spPr bwMode="auto">
                    <a:xfrm>
                      <a:off x="0" y="0"/>
                      <a:ext cx="5144400" cy="3416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Pr="000D45A4" w:rsidRDefault="0085264B" w:rsidP="0085264B">
      <w:pPr>
        <w:spacing w:before="120" w:after="120" w:line="276" w:lineRule="auto"/>
        <w:ind w:left="851"/>
        <w:rPr>
          <w:b/>
          <w:sz w:val="22"/>
          <w:szCs w:val="22"/>
        </w:rPr>
      </w:pPr>
      <w:r w:rsidRPr="000D45A4">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B963BD">
        <w:t>There are poor average travel times; typical average speeds for this route are around 63 kph</w:t>
      </w:r>
    </w:p>
    <w:p w:rsidR="0085264B" w:rsidRDefault="0085264B" w:rsidP="0085264B">
      <w:pPr>
        <w:pStyle w:val="NumberedParas"/>
        <w:tabs>
          <w:tab w:val="clear" w:pos="2291"/>
          <w:tab w:val="left" w:pos="851"/>
          <w:tab w:val="left" w:pos="2268"/>
          <w:tab w:val="num" w:pos="2433"/>
        </w:tabs>
        <w:ind w:left="851" w:hanging="851"/>
      </w:pPr>
      <w:r w:rsidRPr="00B963BD">
        <w:t>The bulk of the infrastructure provision in the corridor is poor – 100% of the route is only single carriageway standard.</w:t>
      </w:r>
    </w:p>
    <w:p w:rsidR="0085264B" w:rsidRPr="000D45A4" w:rsidRDefault="0085264B" w:rsidP="0085264B">
      <w:pPr>
        <w:spacing w:before="120" w:after="120" w:line="276" w:lineRule="auto"/>
        <w:ind w:left="851"/>
        <w:rPr>
          <w:b/>
          <w:sz w:val="22"/>
          <w:szCs w:val="22"/>
        </w:rPr>
      </w:pPr>
      <w:r w:rsidRPr="000D45A4">
        <w:rPr>
          <w:b/>
          <w:sz w:val="22"/>
          <w:szCs w:val="22"/>
        </w:rPr>
        <w:t>Undiscounted costs (Million €, 2014 prices):</w:t>
      </w:r>
    </w:p>
    <w:p w:rsidR="0085264B" w:rsidRPr="00B963B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€550</w:t>
      </w:r>
      <w:r w:rsidRPr="00B963BD">
        <w:rPr>
          <w:sz w:val="22"/>
          <w:szCs w:val="22"/>
        </w:rPr>
        <w:t>M</w:t>
      </w:r>
    </w:p>
    <w:p w:rsidR="0085264B" w:rsidRPr="000D45A4" w:rsidRDefault="0085264B" w:rsidP="0085264B">
      <w:pPr>
        <w:spacing w:before="120" w:after="120" w:line="276" w:lineRule="auto"/>
        <w:ind w:left="851"/>
        <w:rPr>
          <w:b/>
          <w:sz w:val="22"/>
          <w:szCs w:val="22"/>
        </w:rPr>
      </w:pPr>
      <w:r w:rsidRPr="000D45A4">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B963BD">
        <w:t xml:space="preserve">This project returns a BCR of </w:t>
      </w:r>
      <w:r>
        <w:t>3.18</w:t>
      </w:r>
      <w:r w:rsidRPr="00B963BD">
        <w:t>, and carries around 2</w:t>
      </w:r>
      <w:r>
        <w:t>0</w:t>
      </w:r>
      <w:r w:rsidRPr="00B963BD">
        <w:t>,000</w:t>
      </w:r>
      <w:r>
        <w:t xml:space="preserve"> – 25,000</w:t>
      </w:r>
      <w:r w:rsidRPr="00B963BD">
        <w:t xml:space="preserve"> vehicles (AADT). Around half of the existing traffic in the immediate corridor switches to the new route</w:t>
      </w:r>
      <w:r>
        <w:t xml:space="preserve">. </w:t>
      </w:r>
      <w:r w:rsidRPr="00B963BD">
        <w:t>The flow chan</w:t>
      </w:r>
      <w:r>
        <w:t>ges are illustrated in Figure 4.59 overleaf</w:t>
      </w:r>
      <w:r w:rsidRPr="00B963BD">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4.59</w:t>
      </w:r>
      <w:r w:rsidRPr="007A06E8">
        <w:rPr>
          <w:b/>
          <w:sz w:val="22"/>
          <w:szCs w:val="22"/>
        </w:rPr>
        <w:tab/>
      </w:r>
      <w:r>
        <w:rPr>
          <w:b/>
          <w:sz w:val="22"/>
          <w:szCs w:val="22"/>
        </w:rPr>
        <w:t xml:space="preserve"> </w:t>
      </w:r>
      <w:r w:rsidRPr="007A06E8">
        <w:rPr>
          <w:b/>
          <w:sz w:val="22"/>
          <w:szCs w:val="22"/>
        </w:rPr>
        <w:t xml:space="preserve">Flow Changes Due to </w:t>
      </w:r>
      <w:r w:rsidRPr="00C563D2">
        <w:rPr>
          <w:b/>
          <w:sz w:val="22"/>
          <w:szCs w:val="22"/>
        </w:rPr>
        <w:t>Nadaselu - Suplacu de Barcau</w:t>
      </w:r>
      <w:r w:rsidRPr="007A06E8">
        <w:rPr>
          <w:b/>
          <w:sz w:val="22"/>
          <w:szCs w:val="22"/>
        </w:rPr>
        <w:t xml:space="preserve"> Expressway</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3A3CD4A7" wp14:editId="4AB6D885">
            <wp:extent cx="5140800" cy="3600000"/>
            <wp:effectExtent l="19050" t="19050" r="22225" b="19685"/>
            <wp:docPr id="12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R12 Difference Plo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7948" b="8608"/>
                    <a:stretch/>
                  </pic:blipFill>
                  <pic:spPr bwMode="auto">
                    <a:xfrm>
                      <a:off x="0" y="0"/>
                      <a:ext cx="5140800" cy="3600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B963BD">
        <w:t>Average speeds increase to 103 kph as a consequence of the scheme. Peak time journey times are reduced by 30%.</w:t>
      </w:r>
    </w:p>
    <w:p w:rsidR="0085264B" w:rsidRDefault="0085264B" w:rsidP="0085264B">
      <w:pPr>
        <w:pStyle w:val="NumberedParas"/>
        <w:tabs>
          <w:tab w:val="clear" w:pos="2291"/>
          <w:tab w:val="left" w:pos="851"/>
          <w:tab w:val="left" w:pos="2268"/>
          <w:tab w:val="num" w:pos="2433"/>
        </w:tabs>
        <w:ind w:left="851" w:hanging="851"/>
      </w:pPr>
      <w:r w:rsidRPr="00B963BD">
        <w:t>The primary economic indicators for the project are as follows:</w:t>
      </w:r>
    </w:p>
    <w:p w:rsidR="0085264B" w:rsidRPr="00B963BD" w:rsidRDefault="0085264B" w:rsidP="0085264B">
      <w:pPr>
        <w:pStyle w:val="ListParagraph"/>
        <w:numPr>
          <w:ilvl w:val="0"/>
          <w:numId w:val="53"/>
        </w:numPr>
        <w:spacing w:before="120" w:after="120" w:line="276" w:lineRule="auto"/>
        <w:contextualSpacing/>
        <w:rPr>
          <w:sz w:val="22"/>
          <w:szCs w:val="22"/>
        </w:rPr>
      </w:pPr>
      <w:r w:rsidRPr="00B963BD">
        <w:rPr>
          <w:sz w:val="22"/>
          <w:szCs w:val="22"/>
        </w:rPr>
        <w:t>NPV</w:t>
      </w:r>
      <w:r w:rsidRPr="00B963BD">
        <w:rPr>
          <w:sz w:val="22"/>
          <w:szCs w:val="22"/>
        </w:rPr>
        <w:tab/>
        <w:t>= €1,</w:t>
      </w:r>
      <w:r>
        <w:rPr>
          <w:sz w:val="22"/>
          <w:szCs w:val="22"/>
        </w:rPr>
        <w:t>458</w:t>
      </w:r>
      <w:r w:rsidRPr="00B963BD">
        <w:rPr>
          <w:sz w:val="22"/>
          <w:szCs w:val="22"/>
        </w:rPr>
        <w:t>M</w:t>
      </w:r>
      <w:r>
        <w:rPr>
          <w:sz w:val="22"/>
          <w:szCs w:val="22"/>
        </w:rPr>
        <w:t>;</w:t>
      </w:r>
    </w:p>
    <w:p w:rsidR="0085264B" w:rsidRPr="00B963BD" w:rsidRDefault="0085264B" w:rsidP="0085264B">
      <w:pPr>
        <w:pStyle w:val="ListParagraph"/>
        <w:numPr>
          <w:ilvl w:val="0"/>
          <w:numId w:val="53"/>
        </w:numPr>
        <w:spacing w:before="120" w:after="120" w:line="276" w:lineRule="auto"/>
        <w:contextualSpacing/>
        <w:rPr>
          <w:sz w:val="22"/>
          <w:szCs w:val="22"/>
        </w:rPr>
      </w:pPr>
      <w:r w:rsidRPr="00B963BD">
        <w:rPr>
          <w:sz w:val="22"/>
          <w:szCs w:val="22"/>
        </w:rPr>
        <w:t>BCR</w:t>
      </w:r>
      <w:r w:rsidRPr="00B963BD">
        <w:rPr>
          <w:sz w:val="22"/>
          <w:szCs w:val="22"/>
        </w:rPr>
        <w:tab/>
        <w:t xml:space="preserve">= </w:t>
      </w:r>
      <w:r>
        <w:rPr>
          <w:sz w:val="22"/>
          <w:szCs w:val="22"/>
        </w:rPr>
        <w:t>3.18</w:t>
      </w:r>
      <w:r w:rsidRPr="00B963BD">
        <w:rPr>
          <w:sz w:val="22"/>
          <w:szCs w:val="22"/>
        </w:rPr>
        <w:t>; and</w:t>
      </w:r>
    </w:p>
    <w:p w:rsidR="0085264B" w:rsidRPr="00B963BD"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13.2%.</w:t>
      </w:r>
    </w:p>
    <w:p w:rsidR="0085264B" w:rsidRDefault="0085264B" w:rsidP="0085264B">
      <w:pPr>
        <w:spacing w:before="120" w:after="120" w:line="276" w:lineRule="auto"/>
        <w:ind w:left="680"/>
        <w:rPr>
          <w:sz w:val="22"/>
          <w:szCs w:val="22"/>
        </w:rPr>
      </w:pPr>
    </w:p>
    <w:p w:rsidR="0085264B" w:rsidRDefault="0085264B" w:rsidP="0085264B">
      <w:pPr>
        <w:pStyle w:val="Hdg3"/>
        <w:ind w:left="851"/>
      </w:pPr>
      <w:r>
        <w:br w:type="page"/>
      </w:r>
    </w:p>
    <w:p w:rsidR="0085264B" w:rsidRPr="006D241C" w:rsidRDefault="0085264B" w:rsidP="0085264B">
      <w:pPr>
        <w:pStyle w:val="Hdg3"/>
        <w:ind w:left="851"/>
      </w:pPr>
      <w:r>
        <w:t xml:space="preserve">Level 2 Schemes – OR14 – </w:t>
      </w:r>
      <w:r w:rsidRPr="00B963BD">
        <w:t xml:space="preserve">Brasov-Pitesti </w:t>
      </w:r>
      <w:r w:rsidRPr="00A2485A">
        <w:t>Expressway</w:t>
      </w:r>
    </w:p>
    <w:p w:rsidR="0085264B" w:rsidRPr="000D45A4" w:rsidRDefault="0085264B" w:rsidP="0085264B">
      <w:pPr>
        <w:spacing w:before="120" w:after="120" w:line="276" w:lineRule="auto"/>
        <w:ind w:left="851"/>
        <w:rPr>
          <w:b/>
          <w:sz w:val="22"/>
          <w:szCs w:val="22"/>
        </w:rPr>
      </w:pPr>
      <w:r w:rsidRPr="000D45A4">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B963BD">
        <w:t xml:space="preserve">The high level objective for the project is to increase the economic efficiency of the transport network in Romania. The particular operational objective is to improve travel speeds between Brasov and Pitesti, thus improving regional connectivity. </w:t>
      </w:r>
      <w:r>
        <w:t>The proposal c</w:t>
      </w:r>
      <w:r w:rsidRPr="00724ED9">
        <w:t>onnects the industrial centres of Craiova and Pitesti with the central and north-eastern regions of Romania, in conjunction with OR 3 (Brasov – Bacau) and OR 7A (Bacau – Suceava)</w:t>
      </w:r>
      <w:r>
        <w:t>. Analysis of the National Model flows shows that an expressway is the appropriate standard.</w:t>
      </w:r>
      <w:r w:rsidRPr="00B963BD">
        <w:t xml:space="preserve"> </w:t>
      </w:r>
    </w:p>
    <w:p w:rsidR="0085264B" w:rsidRDefault="0085264B" w:rsidP="0085264B">
      <w:pPr>
        <w:pStyle w:val="NumberedParas"/>
        <w:tabs>
          <w:tab w:val="clear" w:pos="2291"/>
          <w:tab w:val="left" w:pos="851"/>
          <w:tab w:val="left" w:pos="2268"/>
          <w:tab w:val="num" w:pos="2433"/>
        </w:tabs>
        <w:ind w:left="851" w:hanging="851"/>
      </w:pPr>
      <w:r w:rsidRPr="00B963BD">
        <w:t>The indicative</w:t>
      </w:r>
      <w:r>
        <w:t xml:space="preserve"> alignment is shown in Figure 4.60</w:t>
      </w:r>
      <w:r w:rsidRPr="00B963BD">
        <w:t xml:space="preserve">.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4.60 </w:t>
      </w:r>
      <w:r w:rsidRPr="007A06E8">
        <w:rPr>
          <w:b/>
          <w:sz w:val="22"/>
          <w:szCs w:val="22"/>
        </w:rPr>
        <w:tab/>
        <w:t>Brasov-Pitesti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639D3597" wp14:editId="211DC271">
            <wp:extent cx="5140800" cy="3470400"/>
            <wp:effectExtent l="19050" t="19050" r="22225" b="15875"/>
            <wp:docPr id="12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R14 Alignment Plot"/>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7821" b="11732"/>
                    <a:stretch/>
                  </pic:blipFill>
                  <pic:spPr bwMode="auto">
                    <a:xfrm>
                      <a:off x="0" y="0"/>
                      <a:ext cx="5140800" cy="3470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F27CDD">
        <w:t xml:space="preserve">The route connects to the node of Brasov on the </w:t>
      </w:r>
      <w:r>
        <w:t>TEN-T</w:t>
      </w:r>
      <w:r w:rsidRPr="00F27CDD">
        <w:t xml:space="preserve"> network. </w:t>
      </w:r>
    </w:p>
    <w:p w:rsidR="0085264B" w:rsidRPr="000D45A4" w:rsidRDefault="0085264B" w:rsidP="0085264B">
      <w:pPr>
        <w:spacing w:before="120" w:after="120" w:line="276" w:lineRule="auto"/>
        <w:ind w:left="851"/>
        <w:rPr>
          <w:b/>
          <w:sz w:val="22"/>
          <w:szCs w:val="22"/>
        </w:rPr>
      </w:pPr>
      <w:r w:rsidRPr="000D45A4">
        <w:rPr>
          <w:b/>
          <w:sz w:val="22"/>
          <w:szCs w:val="22"/>
        </w:rPr>
        <w:t>Brief Description of Problem(s) Addressed:</w:t>
      </w:r>
    </w:p>
    <w:p w:rsidR="0085264B" w:rsidRDefault="0085264B" w:rsidP="0085264B">
      <w:pPr>
        <w:pStyle w:val="NumberedParas"/>
        <w:tabs>
          <w:tab w:val="clear" w:pos="2291"/>
          <w:tab w:val="left" w:pos="851"/>
          <w:tab w:val="left" w:pos="2268"/>
          <w:tab w:val="num" w:pos="2433"/>
        </w:tabs>
        <w:ind w:left="851" w:hanging="851"/>
      </w:pPr>
      <w:r w:rsidRPr="00F27CDD">
        <w:t>There are poor average travel times; typical average speeds for this route are around 63 kph.</w:t>
      </w:r>
    </w:p>
    <w:p w:rsidR="0085264B" w:rsidRDefault="0085264B" w:rsidP="0085264B">
      <w:pPr>
        <w:pStyle w:val="NumberedParas"/>
        <w:tabs>
          <w:tab w:val="clear" w:pos="2291"/>
          <w:tab w:val="left" w:pos="851"/>
          <w:tab w:val="left" w:pos="2268"/>
          <w:tab w:val="num" w:pos="2433"/>
        </w:tabs>
        <w:ind w:left="851" w:hanging="851"/>
      </w:pPr>
      <w:r w:rsidRPr="00F27CDD">
        <w:t>The bulk of the infrastructure provision in the corridor is poor – 85% of the route is only single carriageway standard.</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€1,694</w:t>
      </w:r>
      <w:r w:rsidRPr="00F27CDD">
        <w:rPr>
          <w:sz w:val="22"/>
          <w:szCs w:val="22"/>
        </w:rPr>
        <w:t>M</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This project returns a BCR of 1.97, and carries around 2</w:t>
      </w:r>
      <w:r>
        <w:t>0</w:t>
      </w:r>
      <w:r w:rsidRPr="00F27CDD">
        <w:t xml:space="preserve">,000 vehicles (AADT). </w:t>
      </w:r>
      <w:r>
        <w:t xml:space="preserve">Almost half of the existing traffic </w:t>
      </w:r>
      <w:r w:rsidRPr="00F27CDD">
        <w:t>using the immediate corridor switches to the new route.</w:t>
      </w:r>
      <w:r>
        <w:t xml:space="preserve"> </w:t>
      </w:r>
      <w:r w:rsidRPr="00F27CDD">
        <w:t>The flow cha</w:t>
      </w:r>
      <w:r>
        <w:t>nges are illustrated in Figure 4.61 overleaf</w:t>
      </w:r>
      <w:r w:rsidRPr="00F27CDD">
        <w:t>.</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4.61 </w:t>
      </w:r>
      <w:r w:rsidRPr="007A06E8">
        <w:rPr>
          <w:b/>
          <w:sz w:val="22"/>
          <w:szCs w:val="22"/>
        </w:rPr>
        <w:t>Flow Changes Due to Brasov-Pitesti Expressway</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0DB921B3" wp14:editId="124E8FCB">
            <wp:extent cx="5140800" cy="3470400"/>
            <wp:effectExtent l="19050" t="19050" r="22225" b="15875"/>
            <wp:docPr id="16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R14 Difference Plot"/>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7616" b="11921"/>
                    <a:stretch/>
                  </pic:blipFill>
                  <pic:spPr bwMode="auto">
                    <a:xfrm>
                      <a:off x="0" y="0"/>
                      <a:ext cx="5140800" cy="3470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F27CDD">
        <w:t>Average speeds increase to 93 kph as a consequence of the scheme</w:t>
      </w:r>
      <w:r>
        <w:t xml:space="preserve"> implementation</w:t>
      </w:r>
      <w:r w:rsidRPr="00F27CDD">
        <w:t xml:space="preserve">. </w:t>
      </w:r>
      <w:r>
        <w:t>Meanwhile, p</w:t>
      </w:r>
      <w:r w:rsidRPr="00F27CDD">
        <w:t>eak time journey times are reduced by 37%.</w:t>
      </w:r>
    </w:p>
    <w:p w:rsidR="0085264B" w:rsidRDefault="0085264B" w:rsidP="0085264B">
      <w:pPr>
        <w:pStyle w:val="NumberedParas"/>
        <w:tabs>
          <w:tab w:val="clear" w:pos="2291"/>
          <w:tab w:val="left" w:pos="851"/>
          <w:tab w:val="left" w:pos="2268"/>
          <w:tab w:val="num" w:pos="2433"/>
        </w:tabs>
        <w:ind w:left="851" w:hanging="851"/>
      </w:pPr>
      <w:r w:rsidRPr="00F27CDD">
        <w:t>The primary economic indicators for the project are as follows:</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€1,222M</w:t>
      </w:r>
      <w:r>
        <w:rPr>
          <w:sz w:val="22"/>
          <w:szCs w:val="22"/>
        </w:rPr>
        <w:t>;</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BCR</w:t>
      </w:r>
      <w:r w:rsidRPr="00F27CDD">
        <w:rPr>
          <w:sz w:val="22"/>
          <w:szCs w:val="22"/>
        </w:rPr>
        <w:tab/>
        <w:t>= 1.97 and</w:t>
      </w:r>
    </w:p>
    <w:p w:rsidR="0085264B" w:rsidRPr="00F27CDD" w:rsidRDefault="0085264B" w:rsidP="0085264B">
      <w:pPr>
        <w:pStyle w:val="ListParagraph"/>
        <w:numPr>
          <w:ilvl w:val="0"/>
          <w:numId w:val="53"/>
        </w:numPr>
        <w:spacing w:before="120" w:after="120" w:line="276" w:lineRule="auto"/>
        <w:contextualSpacing/>
        <w:rPr>
          <w:sz w:val="22"/>
          <w:szCs w:val="22"/>
        </w:rPr>
      </w:pPr>
      <w:r>
        <w:rPr>
          <w:sz w:val="22"/>
          <w:szCs w:val="22"/>
        </w:rPr>
        <w:t>EIRR</w:t>
      </w:r>
      <w:r>
        <w:rPr>
          <w:sz w:val="22"/>
          <w:szCs w:val="22"/>
        </w:rPr>
        <w:tab/>
        <w:t>= 9.1%.</w:t>
      </w:r>
    </w:p>
    <w:p w:rsidR="0085264B" w:rsidRDefault="0085264B" w:rsidP="0085264B">
      <w:pPr>
        <w:spacing w:before="120" w:after="120" w:line="276" w:lineRule="auto"/>
        <w:ind w:left="680"/>
        <w:rPr>
          <w:sz w:val="22"/>
          <w:szCs w:val="22"/>
        </w:rPr>
      </w:pPr>
    </w:p>
    <w:p w:rsidR="0085264B" w:rsidRDefault="0085264B" w:rsidP="0085264B">
      <w:pPr>
        <w:pStyle w:val="Hdg3"/>
      </w:pPr>
      <w:r>
        <w:br w:type="page"/>
      </w:r>
    </w:p>
    <w:p w:rsidR="0085264B" w:rsidRPr="006D241C" w:rsidRDefault="0085264B" w:rsidP="0085264B">
      <w:pPr>
        <w:pStyle w:val="Hdg3"/>
        <w:ind w:firstLine="851"/>
      </w:pPr>
      <w:r>
        <w:t xml:space="preserve">Level 2 Schemes – OR15 – </w:t>
      </w:r>
      <w:r w:rsidRPr="00F27CDD">
        <w:t xml:space="preserve">Sibiu-Pitesti </w:t>
      </w:r>
      <w:r w:rsidRPr="00A2485A">
        <w:t>Expressway</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F27CDD">
        <w:t xml:space="preserve">The high level objective for the project is to increase the economic efficiency of the transport network in Romania. The particular operational objective is to improve travel speeds between Sibiu and Pitesti, thus improving regional connectivity. </w:t>
      </w:r>
      <w:r w:rsidRPr="00760B7B">
        <w:t xml:space="preserve">In conjunction with </w:t>
      </w:r>
      <w:r>
        <w:t xml:space="preserve">the </w:t>
      </w:r>
      <w:r w:rsidRPr="00760B7B">
        <w:t xml:space="preserve">Reference Case projects, and the A1 between Bucharest and Pitesti, it forms a high quality route from the industrial and logistical centre of Pitesti with the west of Bucharest and Hungary / Rest of Europe. </w:t>
      </w:r>
      <w:r>
        <w:t>Following an analysis of the National Model flows, and the role which the route performs, it has been decided that a dual 2-lane motorway is the appropriate standard to adopt.</w:t>
      </w:r>
    </w:p>
    <w:p w:rsidR="0085264B" w:rsidRDefault="0085264B" w:rsidP="0085264B">
      <w:pPr>
        <w:pStyle w:val="NumberedParas"/>
        <w:tabs>
          <w:tab w:val="clear" w:pos="2291"/>
          <w:tab w:val="left" w:pos="851"/>
          <w:tab w:val="left" w:pos="2268"/>
          <w:tab w:val="num" w:pos="2433"/>
        </w:tabs>
        <w:ind w:left="851" w:hanging="851"/>
      </w:pPr>
      <w:r w:rsidRPr="00F27CDD">
        <w:t>The indicative alignment is shown in Figure</w:t>
      </w:r>
      <w:r>
        <w:t xml:space="preserve"> 4.62.</w:t>
      </w:r>
      <w:r w:rsidRPr="00F27CDD">
        <w:t xml:space="preserve">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4.62 </w:t>
      </w:r>
      <w:r w:rsidRPr="007A06E8">
        <w:rPr>
          <w:b/>
          <w:sz w:val="22"/>
          <w:szCs w:val="22"/>
        </w:rPr>
        <w:t>Sibiu-Pitesti Expressway Indicative Alignment</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6AEF2853" wp14:editId="73EAE03A">
            <wp:extent cx="5140800" cy="3441600"/>
            <wp:effectExtent l="19050" t="19050" r="22225" b="26035"/>
            <wp:docPr id="16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R15 Alignment Plo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F27CDD">
        <w:t xml:space="preserve">The route connects to the node of Sibiu on the </w:t>
      </w:r>
      <w:r>
        <w:t>TEN-T</w:t>
      </w:r>
      <w:r w:rsidRPr="00F27CDD">
        <w:t xml:space="preserve"> network. </w:t>
      </w:r>
    </w:p>
    <w:p w:rsidR="0085264B" w:rsidRPr="00B8132B" w:rsidRDefault="0085264B" w:rsidP="0085264B">
      <w:pPr>
        <w:spacing w:before="120" w:after="120" w:line="276" w:lineRule="auto"/>
        <w:ind w:left="851"/>
        <w:rPr>
          <w:b/>
          <w:sz w:val="22"/>
          <w:szCs w:val="22"/>
        </w:rPr>
      </w:pPr>
      <w:r w:rsidRPr="00B8132B">
        <w:rPr>
          <w:b/>
          <w:sz w:val="22"/>
          <w:szCs w:val="22"/>
        </w:rPr>
        <w:t>Brief Description of Problem(s) Addressed</w:t>
      </w:r>
      <w:r w:rsidRPr="00B8132B">
        <w:rPr>
          <w:b/>
          <w:sz w:val="22"/>
          <w:szCs w:val="22"/>
        </w:rPr>
        <w:tab/>
      </w:r>
    </w:p>
    <w:p w:rsidR="0085264B" w:rsidRDefault="0085264B" w:rsidP="0085264B">
      <w:pPr>
        <w:pStyle w:val="NumberedParas"/>
        <w:tabs>
          <w:tab w:val="clear" w:pos="2291"/>
          <w:tab w:val="left" w:pos="851"/>
          <w:tab w:val="left" w:pos="2268"/>
          <w:tab w:val="num" w:pos="2433"/>
        </w:tabs>
        <w:ind w:left="851" w:hanging="851"/>
      </w:pPr>
      <w:r>
        <w:t xml:space="preserve">Analysis of the base year model shows </w:t>
      </w:r>
      <w:r w:rsidRPr="00F27CDD">
        <w:t xml:space="preserve">poor average travel times; </w:t>
      </w:r>
      <w:r>
        <w:t xml:space="preserve">where </w:t>
      </w:r>
      <w:r w:rsidRPr="00F27CDD">
        <w:t>typical average speeds for this route are around 72 kph</w:t>
      </w:r>
      <w:r>
        <w:t>.</w:t>
      </w:r>
    </w:p>
    <w:p w:rsidR="0085264B" w:rsidRDefault="0085264B" w:rsidP="0085264B">
      <w:pPr>
        <w:pStyle w:val="NumberedParas"/>
        <w:tabs>
          <w:tab w:val="clear" w:pos="2291"/>
          <w:tab w:val="left" w:pos="851"/>
          <w:tab w:val="left" w:pos="2268"/>
          <w:tab w:val="num" w:pos="2433"/>
        </w:tabs>
        <w:ind w:left="851" w:hanging="851"/>
      </w:pPr>
      <w:r w:rsidRPr="00F27CDD">
        <w:t>The bulk of the infrastructure provision in the corridor is poor – 94% of the route is only single carriageway standard.</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€2,471</w:t>
      </w:r>
      <w:r w:rsidRPr="00F27CDD">
        <w:rPr>
          <w:sz w:val="22"/>
          <w:szCs w:val="22"/>
        </w:rPr>
        <w:t>M</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 xml:space="preserve">This project returns excellent value for money (BCR of 2.01), and carries around </w:t>
      </w:r>
      <w:r>
        <w:t>60</w:t>
      </w:r>
      <w:r w:rsidRPr="00F27CDD">
        <w:t xml:space="preserve">,000 vehicles (AADT). </w:t>
      </w:r>
      <w:r>
        <w:t>The project adds approximately</w:t>
      </w:r>
      <w:r w:rsidRPr="00760B7B">
        <w:t xml:space="preserve"> 15-20,000 vehicles to the A1 between Bucharest and Pitesti, which will necessitate widening the A1 to 3 lanes</w:t>
      </w:r>
      <w:r>
        <w:t xml:space="preserve"> in each direction</w:t>
      </w:r>
      <w:r w:rsidRPr="00760B7B">
        <w:t>.</w:t>
      </w:r>
      <w:r w:rsidRPr="00F27CDD">
        <w:t>The flow chan</w:t>
      </w:r>
      <w:r>
        <w:t>ges are illustrated in Figure 4.63 overleaf</w:t>
      </w:r>
      <w:r w:rsidRPr="00F27CDD">
        <w:t xml:space="preserve">. </w:t>
      </w:r>
    </w:p>
    <w:p w:rsidR="0085264B" w:rsidRPr="007A06E8" w:rsidRDefault="0085264B" w:rsidP="0085264B">
      <w:pPr>
        <w:keepNext/>
        <w:spacing w:before="120" w:after="120" w:line="276" w:lineRule="auto"/>
        <w:ind w:left="851"/>
        <w:rPr>
          <w:b/>
          <w:sz w:val="22"/>
          <w:szCs w:val="22"/>
        </w:rPr>
      </w:pPr>
      <w:r w:rsidRPr="007A06E8">
        <w:rPr>
          <w:b/>
          <w:sz w:val="22"/>
          <w:szCs w:val="22"/>
        </w:rPr>
        <w:t xml:space="preserve">Figure </w:t>
      </w:r>
      <w:r>
        <w:rPr>
          <w:b/>
          <w:sz w:val="22"/>
          <w:szCs w:val="22"/>
        </w:rPr>
        <w:t xml:space="preserve">4.63 </w:t>
      </w:r>
      <w:r w:rsidRPr="007A06E8">
        <w:rPr>
          <w:b/>
          <w:sz w:val="22"/>
          <w:szCs w:val="22"/>
        </w:rPr>
        <w:t>Flow Changes Due to Sibiu-Pitesti Expressway</w:t>
      </w:r>
    </w:p>
    <w:p w:rsidR="0085264B" w:rsidRDefault="0085264B" w:rsidP="0085264B">
      <w:pPr>
        <w:spacing w:before="120" w:after="120" w:line="276" w:lineRule="auto"/>
        <w:ind w:left="680" w:firstLine="171"/>
        <w:rPr>
          <w:sz w:val="22"/>
          <w:szCs w:val="22"/>
        </w:rPr>
      </w:pPr>
      <w:r>
        <w:rPr>
          <w:noProof/>
          <w:lang w:val="ro-RO" w:eastAsia="ro-RO"/>
        </w:rPr>
        <w:drawing>
          <wp:inline distT="0" distB="0" distL="0" distR="0" wp14:anchorId="14A8F674" wp14:editId="31036A7A">
            <wp:extent cx="5144400" cy="3474000"/>
            <wp:effectExtent l="19050" t="19050" r="18415" b="12700"/>
            <wp:docPr id="16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R15 Difference Plot"/>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8608" b="10927"/>
                    <a:stretch/>
                  </pic:blipFill>
                  <pic:spPr bwMode="auto">
                    <a:xfrm>
                      <a:off x="0" y="0"/>
                      <a:ext cx="5144400" cy="3474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rsidRPr="00F27CDD">
        <w:t>Average speeds increase to 89 kph as a consequence of the scheme. Peak time journey times are reduced by 27%.</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w:t>
      </w:r>
      <w:r>
        <w:rPr>
          <w:sz w:val="22"/>
          <w:szCs w:val="22"/>
        </w:rPr>
        <w:t>3,301</w:t>
      </w:r>
      <w:r w:rsidRPr="00F27CDD">
        <w:rPr>
          <w:sz w:val="22"/>
          <w:szCs w:val="22"/>
        </w:rPr>
        <w:t>M</w:t>
      </w:r>
      <w:r>
        <w:rPr>
          <w:sz w:val="22"/>
          <w:szCs w:val="22"/>
        </w:rPr>
        <w:t>;</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BCR</w:t>
      </w:r>
      <w:r w:rsidRPr="00F27CDD">
        <w:rPr>
          <w:sz w:val="22"/>
          <w:szCs w:val="22"/>
        </w:rPr>
        <w:tab/>
        <w:t>= 2.</w:t>
      </w:r>
      <w:r>
        <w:rPr>
          <w:sz w:val="22"/>
          <w:szCs w:val="22"/>
        </w:rPr>
        <w:t>96;</w:t>
      </w:r>
      <w:r w:rsidRPr="00F27CDD">
        <w:rPr>
          <w:sz w:val="22"/>
          <w:szCs w:val="22"/>
        </w:rPr>
        <w:t xml:space="preserve"> and</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EIRR</w:t>
      </w:r>
      <w:r w:rsidRPr="00F27CDD">
        <w:rPr>
          <w:sz w:val="22"/>
          <w:szCs w:val="22"/>
        </w:rPr>
        <w:tab/>
        <w:t xml:space="preserve">= </w:t>
      </w:r>
      <w:r>
        <w:rPr>
          <w:sz w:val="22"/>
          <w:szCs w:val="22"/>
        </w:rPr>
        <w:t>12.1</w:t>
      </w:r>
      <w:r w:rsidRPr="00F27CDD">
        <w:rPr>
          <w:sz w:val="22"/>
          <w:szCs w:val="22"/>
        </w:rPr>
        <w:t>%</w:t>
      </w:r>
      <w:r>
        <w:rPr>
          <w:sz w:val="22"/>
          <w:szCs w:val="22"/>
        </w:rPr>
        <w:t>.</w:t>
      </w:r>
      <w:r w:rsidRPr="00F27CDD">
        <w:rPr>
          <w:sz w:val="22"/>
          <w:szCs w:val="22"/>
        </w:rPr>
        <w:tab/>
      </w:r>
    </w:p>
    <w:p w:rsidR="0085264B" w:rsidRDefault="0085264B" w:rsidP="0085264B">
      <w:pPr>
        <w:spacing w:before="120" w:after="120" w:line="276" w:lineRule="auto"/>
        <w:ind w:left="680"/>
        <w:rPr>
          <w:sz w:val="22"/>
          <w:szCs w:val="22"/>
        </w:rPr>
      </w:pPr>
    </w:p>
    <w:p w:rsidR="0085264B" w:rsidRDefault="0085264B" w:rsidP="0085264B">
      <w:pPr>
        <w:pStyle w:val="Hdg3"/>
        <w:ind w:left="851"/>
      </w:pPr>
      <w:r>
        <w:br w:type="page"/>
      </w:r>
    </w:p>
    <w:p w:rsidR="0085264B" w:rsidRPr="006D241C" w:rsidRDefault="0085264B" w:rsidP="0085264B">
      <w:pPr>
        <w:pStyle w:val="Hdg3"/>
        <w:ind w:left="851"/>
      </w:pPr>
      <w:r>
        <w:t xml:space="preserve">Supplementary Level 2 Schemes – OR13C – </w:t>
      </w:r>
      <w:r w:rsidRPr="00E64C95">
        <w:t>Buzau – Focsani Expressway</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207801">
        <w:t>Th</w:t>
      </w:r>
      <w:r>
        <w:t>is is a relatively small scheme which provides an expressway between the key centre of Buzau and Focsani to the North.</w:t>
      </w:r>
      <w:r w:rsidRPr="007F5DDA">
        <w:t xml:space="preserve">  </w:t>
      </w:r>
    </w:p>
    <w:p w:rsidR="0085264B" w:rsidRDefault="0085264B" w:rsidP="0085264B">
      <w:pPr>
        <w:pStyle w:val="NumberedParas"/>
        <w:tabs>
          <w:tab w:val="clear" w:pos="2291"/>
          <w:tab w:val="left" w:pos="851"/>
          <w:tab w:val="left" w:pos="2268"/>
          <w:tab w:val="num" w:pos="2433"/>
        </w:tabs>
        <w:ind w:left="851" w:hanging="851"/>
      </w:pPr>
      <w:r w:rsidRPr="007D6A04">
        <w:t xml:space="preserve">The </w:t>
      </w:r>
      <w:r>
        <w:t xml:space="preserve">follows a section of the Core </w:t>
      </w:r>
      <w:r w:rsidRPr="007D6A04">
        <w:t>TEN-T network</w:t>
      </w:r>
      <w:r>
        <w:t xml:space="preserve"> and completes a gap in connectivity provided by the Level 2 network</w:t>
      </w:r>
      <w:r w:rsidRPr="00F27CDD">
        <w:t xml:space="preserve">. </w:t>
      </w:r>
    </w:p>
    <w:p w:rsidR="0085264B" w:rsidRPr="00B8132B" w:rsidRDefault="0085264B" w:rsidP="0085264B">
      <w:pPr>
        <w:spacing w:before="120" w:after="120" w:line="276" w:lineRule="auto"/>
        <w:ind w:left="851"/>
        <w:rPr>
          <w:b/>
          <w:sz w:val="22"/>
          <w:szCs w:val="22"/>
        </w:rPr>
      </w:pPr>
      <w:r w:rsidRPr="00B8132B">
        <w:rPr>
          <w:b/>
          <w:sz w:val="22"/>
          <w:szCs w:val="22"/>
        </w:rPr>
        <w:t>Brief Description of Problem(s) Addressed</w:t>
      </w:r>
      <w:r w:rsidRPr="00B8132B">
        <w:rPr>
          <w:b/>
          <w:sz w:val="22"/>
          <w:szCs w:val="22"/>
        </w:rPr>
        <w:tab/>
      </w:r>
    </w:p>
    <w:p w:rsidR="0085264B" w:rsidRDefault="0085264B" w:rsidP="0085264B">
      <w:pPr>
        <w:pStyle w:val="NumberedParas"/>
        <w:tabs>
          <w:tab w:val="clear" w:pos="2291"/>
          <w:tab w:val="left" w:pos="851"/>
          <w:tab w:val="left" w:pos="2268"/>
          <w:tab w:val="num" w:pos="2433"/>
        </w:tabs>
        <w:ind w:left="851" w:hanging="851"/>
      </w:pPr>
      <w:r>
        <w:t xml:space="preserve">The scheme </w:t>
      </w:r>
      <w:r w:rsidRPr="00B45814">
        <w:t>alleviates some remaining lost time issues on the Bucharest – Buzau – Bacau corridor.</w:t>
      </w:r>
      <w:r>
        <w:t xml:space="preserve"> </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€282</w:t>
      </w:r>
      <w:r w:rsidRPr="00F27CDD">
        <w:rPr>
          <w:sz w:val="22"/>
          <w:szCs w:val="22"/>
        </w:rPr>
        <w:t>M</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This project ret</w:t>
      </w:r>
      <w:r>
        <w:t>urns excellent value for money with the following economic indicators:</w:t>
      </w:r>
      <w:r w:rsidRPr="00A06CA4">
        <w:t xml:space="preserve"> </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w:t>
      </w:r>
      <w:r>
        <w:rPr>
          <w:sz w:val="22"/>
          <w:szCs w:val="22"/>
        </w:rPr>
        <w:t>1,350</w:t>
      </w:r>
      <w:r w:rsidRPr="00F27CDD">
        <w:rPr>
          <w:sz w:val="22"/>
          <w:szCs w:val="22"/>
        </w:rPr>
        <w:t>M</w:t>
      </w:r>
      <w:r>
        <w:rPr>
          <w:sz w:val="22"/>
          <w:szCs w:val="22"/>
        </w:rPr>
        <w:t>;</w:t>
      </w:r>
    </w:p>
    <w:p w:rsidR="0085264B" w:rsidRPr="00A83752" w:rsidRDefault="0085264B" w:rsidP="0085264B">
      <w:pPr>
        <w:pStyle w:val="ListParagraph"/>
        <w:numPr>
          <w:ilvl w:val="0"/>
          <w:numId w:val="53"/>
        </w:numPr>
        <w:spacing w:before="120" w:after="120" w:line="276" w:lineRule="auto"/>
        <w:contextualSpacing/>
      </w:pPr>
      <w:r w:rsidRPr="00F27CDD">
        <w:rPr>
          <w:sz w:val="22"/>
          <w:szCs w:val="22"/>
        </w:rPr>
        <w:t>BCR</w:t>
      </w:r>
      <w:r w:rsidRPr="00F27CDD">
        <w:rPr>
          <w:sz w:val="22"/>
          <w:szCs w:val="22"/>
        </w:rPr>
        <w:tab/>
        <w:t>= 2.</w:t>
      </w:r>
      <w:r>
        <w:rPr>
          <w:sz w:val="22"/>
          <w:szCs w:val="22"/>
        </w:rPr>
        <w:t>65;</w:t>
      </w:r>
      <w:r w:rsidRPr="00F27CDD">
        <w:rPr>
          <w:sz w:val="22"/>
          <w:szCs w:val="22"/>
        </w:rPr>
        <w:t xml:space="preserve"> and</w:t>
      </w:r>
    </w:p>
    <w:p w:rsidR="0085264B" w:rsidRDefault="0085264B" w:rsidP="0085264B">
      <w:pPr>
        <w:pStyle w:val="ListParagraph"/>
        <w:numPr>
          <w:ilvl w:val="0"/>
          <w:numId w:val="53"/>
        </w:numPr>
        <w:spacing w:before="120" w:after="120" w:line="276" w:lineRule="auto"/>
        <w:contextualSpacing/>
      </w:pPr>
      <w:r w:rsidRPr="00F27CDD">
        <w:rPr>
          <w:sz w:val="22"/>
          <w:szCs w:val="22"/>
        </w:rPr>
        <w:t>EIRR</w:t>
      </w:r>
      <w:r w:rsidRPr="00F27CDD">
        <w:rPr>
          <w:sz w:val="22"/>
          <w:szCs w:val="22"/>
        </w:rPr>
        <w:tab/>
        <w:t xml:space="preserve">= </w:t>
      </w:r>
      <w:r>
        <w:rPr>
          <w:sz w:val="22"/>
          <w:szCs w:val="22"/>
        </w:rPr>
        <w:t>11.0</w:t>
      </w:r>
      <w:r w:rsidRPr="00F27CDD">
        <w:rPr>
          <w:sz w:val="22"/>
          <w:szCs w:val="22"/>
        </w:rPr>
        <w:t>%</w:t>
      </w:r>
      <w:r>
        <w:rPr>
          <w:sz w:val="22"/>
          <w:szCs w:val="22"/>
        </w:rPr>
        <w:t>.</w:t>
      </w:r>
    </w:p>
    <w:p w:rsidR="0085264B" w:rsidRDefault="0085264B" w:rsidP="0085264B">
      <w:pPr>
        <w:rPr>
          <w:sz w:val="22"/>
          <w:szCs w:val="22"/>
        </w:rPr>
      </w:pPr>
      <w:r>
        <w:br w:type="page"/>
      </w:r>
    </w:p>
    <w:p w:rsidR="0085264B" w:rsidRPr="006D241C" w:rsidRDefault="0085264B" w:rsidP="0085264B">
      <w:pPr>
        <w:pStyle w:val="Hdg3"/>
        <w:ind w:left="851"/>
      </w:pPr>
      <w:r>
        <w:t xml:space="preserve">Supplementary Level 2 Schemes – OR19 – </w:t>
      </w:r>
      <w:r w:rsidRPr="00A06CA4">
        <w:t xml:space="preserve">Bucharest – Alexandria Expressway </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207801">
        <w:t>Th</w:t>
      </w:r>
      <w:r>
        <w:t>is provides an expressway connection between the capital and Alexandria along this TEN-T Core Network corridor.</w:t>
      </w:r>
    </w:p>
    <w:p w:rsidR="0085264B" w:rsidRDefault="0085264B" w:rsidP="0085264B">
      <w:pPr>
        <w:pStyle w:val="NumberedParas"/>
        <w:tabs>
          <w:tab w:val="clear" w:pos="2291"/>
          <w:tab w:val="left" w:pos="851"/>
          <w:tab w:val="left" w:pos="2268"/>
          <w:tab w:val="num" w:pos="2433"/>
        </w:tabs>
        <w:ind w:left="851" w:hanging="851"/>
      </w:pPr>
      <w:r w:rsidRPr="00F27CDD">
        <w:t>The indicative alignment is shown in Figure</w:t>
      </w:r>
      <w:r>
        <w:t xml:space="preserve"> 4.64.</w:t>
      </w:r>
      <w:r w:rsidRPr="00F27CDD">
        <w:t xml:space="preserve"> </w:t>
      </w:r>
    </w:p>
    <w:p w:rsidR="0085264B" w:rsidRPr="00A83752" w:rsidRDefault="0085264B" w:rsidP="0085264B">
      <w:pPr>
        <w:spacing w:before="120" w:after="120" w:line="276" w:lineRule="auto"/>
        <w:ind w:left="851"/>
        <w:rPr>
          <w:b/>
        </w:rPr>
      </w:pPr>
      <w:r w:rsidRPr="007A06E8">
        <w:rPr>
          <w:b/>
          <w:sz w:val="22"/>
          <w:szCs w:val="22"/>
        </w:rPr>
        <w:t xml:space="preserve">Figure </w:t>
      </w:r>
      <w:r>
        <w:rPr>
          <w:b/>
          <w:sz w:val="22"/>
          <w:szCs w:val="22"/>
        </w:rPr>
        <w:t xml:space="preserve">4.64 </w:t>
      </w:r>
      <w:r w:rsidRPr="000105F6">
        <w:rPr>
          <w:b/>
          <w:sz w:val="22"/>
          <w:szCs w:val="22"/>
        </w:rPr>
        <w:t>Bucharest – Alexandria</w:t>
      </w:r>
      <w:r w:rsidRPr="007A06E8">
        <w:rPr>
          <w:b/>
          <w:sz w:val="22"/>
          <w:szCs w:val="22"/>
        </w:rPr>
        <w:t xml:space="preserve"> Expressway Indicative Alignment</w:t>
      </w:r>
      <w:r w:rsidRPr="00A83752">
        <w:rPr>
          <w:b/>
          <w:sz w:val="22"/>
          <w:szCs w:val="22"/>
        </w:rPr>
        <w:t xml:space="preserve">  </w:t>
      </w:r>
    </w:p>
    <w:p w:rsidR="0085264B" w:rsidRPr="006D241C" w:rsidRDefault="0085264B" w:rsidP="0085264B">
      <w:pPr>
        <w:pStyle w:val="Hdg3"/>
        <w:ind w:left="851"/>
      </w:pPr>
      <w:r>
        <w:rPr>
          <w:noProof/>
          <w:lang w:eastAsia="ro-RO"/>
        </w:rPr>
        <w:drawing>
          <wp:inline distT="0" distB="0" distL="0" distR="0" wp14:anchorId="6B1895D9" wp14:editId="29398345">
            <wp:extent cx="5942523" cy="4436828"/>
            <wp:effectExtent l="19050" t="19050" r="20127" b="20872"/>
            <wp:docPr id="190" name="Picture 115" descr="OR19 Alignment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19 Alignment Plot.png"/>
                    <pic:cNvPicPr/>
                  </pic:nvPicPr>
                  <pic:blipFill>
                    <a:blip r:embed="rId153" cstate="print"/>
                    <a:srcRect t="7902" b="11925"/>
                    <a:stretch>
                      <a:fillRect/>
                    </a:stretch>
                  </pic:blipFill>
                  <pic:spPr>
                    <a:xfrm>
                      <a:off x="0" y="0"/>
                      <a:ext cx="5942523" cy="4436828"/>
                    </a:xfrm>
                    <a:prstGeom prst="rect">
                      <a:avLst/>
                    </a:prstGeom>
                    <a:ln>
                      <a:solidFill>
                        <a:schemeClr val="accent1"/>
                      </a:solidFill>
                    </a:ln>
                  </pic:spPr>
                </pic:pic>
              </a:graphicData>
            </a:graphic>
          </wp:inline>
        </w:drawing>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Pr="00B8132B" w:rsidRDefault="0085264B" w:rsidP="0085264B">
      <w:pPr>
        <w:spacing w:before="120" w:after="120" w:line="276" w:lineRule="auto"/>
        <w:ind w:left="851"/>
        <w:rPr>
          <w:b/>
          <w:sz w:val="22"/>
          <w:szCs w:val="22"/>
        </w:rPr>
      </w:pPr>
      <w:r w:rsidRPr="00B8132B">
        <w:rPr>
          <w:b/>
          <w:sz w:val="22"/>
          <w:szCs w:val="22"/>
        </w:rPr>
        <w:t>Brief Description of Problem(s) Addressed</w:t>
      </w:r>
      <w:r w:rsidRPr="00B8132B">
        <w:rPr>
          <w:b/>
          <w:sz w:val="22"/>
          <w:szCs w:val="22"/>
        </w:rPr>
        <w:tab/>
      </w:r>
    </w:p>
    <w:p w:rsidR="0085264B" w:rsidRDefault="0085264B" w:rsidP="0085264B">
      <w:pPr>
        <w:pStyle w:val="NumberedParas"/>
        <w:tabs>
          <w:tab w:val="clear" w:pos="2291"/>
          <w:tab w:val="left" w:pos="851"/>
          <w:tab w:val="left" w:pos="2268"/>
          <w:tab w:val="num" w:pos="2433"/>
        </w:tabs>
        <w:ind w:left="851" w:hanging="851"/>
      </w:pPr>
      <w:r>
        <w:t xml:space="preserve">The scheme </w:t>
      </w:r>
      <w:r w:rsidRPr="00B45814">
        <w:t xml:space="preserve">alleviates some remaining lost time issues on </w:t>
      </w:r>
      <w:r>
        <w:t>this</w:t>
      </w:r>
      <w:r w:rsidRPr="00B45814">
        <w:t xml:space="preserve"> corridor</w:t>
      </w:r>
      <w:r>
        <w:t xml:space="preserve"> after the implementation of the Level 1 and other Level 2 schemes</w:t>
      </w:r>
      <w:r w:rsidRPr="00B45814">
        <w:t>.</w:t>
      </w:r>
      <w:r>
        <w:t xml:space="preserve"> </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t xml:space="preserve">CAPEX </w:t>
      </w:r>
      <w:r>
        <w:tab/>
        <w:t>€370</w:t>
      </w:r>
      <w:r w:rsidRPr="00F27CDD">
        <w:rPr>
          <w:sz w:val="22"/>
          <w:szCs w:val="22"/>
        </w:rPr>
        <w:t>M</w:t>
      </w:r>
      <w:r w:rsidRPr="000105F6">
        <w:rPr>
          <w:sz w:val="22"/>
          <w:szCs w:val="22"/>
        </w:rPr>
        <w:t xml:space="preserve"> </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This project returns excellent value for money (BCR of 2.</w:t>
      </w:r>
      <w:r>
        <w:t>35</w:t>
      </w:r>
      <w:r w:rsidRPr="00F27CDD">
        <w:t xml:space="preserve">), and carries around </w:t>
      </w:r>
      <w:r>
        <w:t>20-25</w:t>
      </w:r>
      <w:r w:rsidRPr="00F27CDD">
        <w:t>,000 vehicles (AADT).The flow chan</w:t>
      </w:r>
      <w:r>
        <w:t>ges are illustrated in Figure 4.65 overleaf</w:t>
      </w:r>
      <w:r w:rsidRPr="00F27CDD">
        <w:t xml:space="preserve">. </w:t>
      </w:r>
    </w:p>
    <w:p w:rsidR="0085264B" w:rsidRDefault="0085264B" w:rsidP="0085264B">
      <w:pPr>
        <w:pStyle w:val="NumberedParas"/>
        <w:keepNext/>
        <w:numPr>
          <w:ilvl w:val="0"/>
          <w:numId w:val="0"/>
        </w:numPr>
        <w:ind w:left="851"/>
        <w:rPr>
          <w:b/>
        </w:rPr>
      </w:pPr>
      <w:r w:rsidRPr="007A06E8">
        <w:rPr>
          <w:b/>
        </w:rPr>
        <w:t xml:space="preserve">Figure </w:t>
      </w:r>
      <w:r>
        <w:rPr>
          <w:b/>
        </w:rPr>
        <w:t xml:space="preserve">4.65 </w:t>
      </w:r>
      <w:r w:rsidRPr="007A06E8">
        <w:rPr>
          <w:b/>
        </w:rPr>
        <w:t xml:space="preserve">Flow Changes Due to </w:t>
      </w:r>
      <w:r w:rsidRPr="000105F6">
        <w:rPr>
          <w:b/>
        </w:rPr>
        <w:t>Bucharest – Alexandria</w:t>
      </w:r>
      <w:r w:rsidRPr="007A06E8">
        <w:rPr>
          <w:b/>
        </w:rPr>
        <w:t xml:space="preserve"> Expressway</w:t>
      </w:r>
    </w:p>
    <w:p w:rsidR="0085264B" w:rsidRDefault="0085264B" w:rsidP="0085264B">
      <w:pPr>
        <w:pStyle w:val="NumberedParas"/>
        <w:numPr>
          <w:ilvl w:val="0"/>
          <w:numId w:val="0"/>
        </w:numPr>
        <w:ind w:left="851"/>
      </w:pPr>
      <w:r>
        <w:rPr>
          <w:noProof/>
          <w:lang w:val="ro-RO" w:eastAsia="ro-RO"/>
        </w:rPr>
        <w:drawing>
          <wp:inline distT="0" distB="0" distL="0" distR="0" wp14:anchorId="1E6DB507" wp14:editId="71C6818A">
            <wp:extent cx="5942523" cy="4428877"/>
            <wp:effectExtent l="19050" t="19050" r="20127" b="9773"/>
            <wp:docPr id="191" name="Picture 129" descr="OR19 Difference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19 Difference Plot.png"/>
                    <pic:cNvPicPr/>
                  </pic:nvPicPr>
                  <pic:blipFill>
                    <a:blip r:embed="rId154" cstate="print"/>
                    <a:srcRect t="7902" b="12069"/>
                    <a:stretch>
                      <a:fillRect/>
                    </a:stretch>
                  </pic:blipFill>
                  <pic:spPr>
                    <a:xfrm>
                      <a:off x="0" y="0"/>
                      <a:ext cx="5942523" cy="4428877"/>
                    </a:xfrm>
                    <a:prstGeom prst="rect">
                      <a:avLst/>
                    </a:prstGeom>
                    <a:ln>
                      <a:solidFill>
                        <a:schemeClr val="accent1"/>
                      </a:solidFill>
                    </a:ln>
                  </pic:spPr>
                </pic:pic>
              </a:graphicData>
            </a:graphic>
          </wp:inline>
        </w:drawing>
      </w:r>
      <w:r w:rsidRPr="007F5DDA" w:rsidDel="00E64C95">
        <w:t xml:space="preserve"> </w:t>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economic indicators for the scheme are as follows:</w:t>
      </w:r>
    </w:p>
    <w:p w:rsidR="0085264B"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w:t>
      </w:r>
      <w:r>
        <w:rPr>
          <w:sz w:val="22"/>
          <w:szCs w:val="22"/>
        </w:rPr>
        <w:t>486</w:t>
      </w:r>
      <w:r w:rsidRPr="00F27CDD">
        <w:rPr>
          <w:sz w:val="22"/>
          <w:szCs w:val="22"/>
        </w:rPr>
        <w:t>M</w:t>
      </w:r>
      <w:r>
        <w:rPr>
          <w:sz w:val="22"/>
          <w:szCs w:val="22"/>
        </w:rPr>
        <w:t>;</w:t>
      </w:r>
    </w:p>
    <w:p w:rsidR="0085264B" w:rsidRDefault="0085264B" w:rsidP="0085264B">
      <w:pPr>
        <w:pStyle w:val="ListParagraph"/>
        <w:numPr>
          <w:ilvl w:val="0"/>
          <w:numId w:val="53"/>
        </w:numPr>
        <w:spacing w:before="120" w:after="120" w:line="276" w:lineRule="auto"/>
        <w:contextualSpacing/>
        <w:rPr>
          <w:sz w:val="22"/>
          <w:szCs w:val="22"/>
        </w:rPr>
      </w:pPr>
      <w:r w:rsidRPr="00237604">
        <w:rPr>
          <w:sz w:val="22"/>
          <w:szCs w:val="22"/>
        </w:rPr>
        <w:t>BCR</w:t>
      </w:r>
      <w:r w:rsidRPr="00237604">
        <w:rPr>
          <w:sz w:val="22"/>
          <w:szCs w:val="22"/>
        </w:rPr>
        <w:tab/>
        <w:t>= 2.</w:t>
      </w:r>
      <w:r>
        <w:rPr>
          <w:sz w:val="22"/>
          <w:szCs w:val="22"/>
        </w:rPr>
        <w:t>35</w:t>
      </w:r>
      <w:r w:rsidRPr="00237604">
        <w:rPr>
          <w:sz w:val="22"/>
          <w:szCs w:val="22"/>
        </w:rPr>
        <w:t>; and</w:t>
      </w:r>
    </w:p>
    <w:p w:rsidR="0085264B" w:rsidRPr="00A83752" w:rsidRDefault="0085264B" w:rsidP="0085264B">
      <w:pPr>
        <w:pStyle w:val="ListParagraph"/>
        <w:numPr>
          <w:ilvl w:val="0"/>
          <w:numId w:val="53"/>
        </w:numPr>
        <w:spacing w:before="120" w:after="120" w:line="276" w:lineRule="auto"/>
        <w:contextualSpacing/>
        <w:rPr>
          <w:sz w:val="22"/>
          <w:szCs w:val="22"/>
        </w:rPr>
      </w:pPr>
      <w:r w:rsidRPr="00237604">
        <w:rPr>
          <w:sz w:val="22"/>
          <w:szCs w:val="22"/>
        </w:rPr>
        <w:t>EIRR</w:t>
      </w:r>
      <w:r w:rsidRPr="00237604">
        <w:rPr>
          <w:sz w:val="22"/>
          <w:szCs w:val="22"/>
        </w:rPr>
        <w:tab/>
        <w:t xml:space="preserve">= </w:t>
      </w:r>
      <w:r>
        <w:rPr>
          <w:sz w:val="22"/>
          <w:szCs w:val="22"/>
        </w:rPr>
        <w:t>1</w:t>
      </w:r>
      <w:r w:rsidRPr="00A83752">
        <w:rPr>
          <w:sz w:val="22"/>
          <w:szCs w:val="22"/>
        </w:rPr>
        <w:t>1</w:t>
      </w:r>
      <w:r>
        <w:rPr>
          <w:sz w:val="22"/>
          <w:szCs w:val="22"/>
        </w:rPr>
        <w:t>.8</w:t>
      </w:r>
      <w:r w:rsidRPr="00237604">
        <w:rPr>
          <w:sz w:val="22"/>
          <w:szCs w:val="22"/>
        </w:rPr>
        <w:t>%.</w:t>
      </w:r>
    </w:p>
    <w:p w:rsidR="0085264B" w:rsidRDefault="0085264B" w:rsidP="0085264B">
      <w:pPr>
        <w:rPr>
          <w:b/>
          <w:i/>
          <w:color w:val="9E0880"/>
          <w:sz w:val="22"/>
          <w:szCs w:val="22"/>
          <w:lang w:val="ro-RO"/>
        </w:rPr>
      </w:pPr>
      <w:r>
        <w:br w:type="page"/>
      </w:r>
    </w:p>
    <w:p w:rsidR="0085264B" w:rsidRPr="006D241C" w:rsidRDefault="0085264B" w:rsidP="0085264B">
      <w:pPr>
        <w:pStyle w:val="Hdg3"/>
        <w:ind w:left="851"/>
      </w:pPr>
      <w:r>
        <w:t xml:space="preserve">Supplementary Level 2 Schemes – OR19A – </w:t>
      </w:r>
      <w:r w:rsidRPr="00563EFD">
        <w:t>Henri Coanda Airport connection to A3</w:t>
      </w:r>
      <w:r w:rsidRPr="00A06CA4">
        <w:t xml:space="preserve"> </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t>This project provides a useful regional link between road 1 and the A3.  It also provides a link to Henri Coanda Airport from the A3 and forms part of a potential Bucharest Outer Ring Road.</w:t>
      </w:r>
    </w:p>
    <w:p w:rsidR="0085264B" w:rsidRPr="00B8132B" w:rsidRDefault="0085264B" w:rsidP="0085264B">
      <w:pPr>
        <w:spacing w:before="120" w:after="120" w:line="276" w:lineRule="auto"/>
        <w:ind w:left="851"/>
        <w:rPr>
          <w:b/>
          <w:sz w:val="22"/>
          <w:szCs w:val="22"/>
        </w:rPr>
      </w:pPr>
      <w:r w:rsidRPr="00B8132B">
        <w:rPr>
          <w:b/>
          <w:sz w:val="22"/>
          <w:szCs w:val="22"/>
        </w:rPr>
        <w:t>Brief Description of Problem(s) Addressed</w:t>
      </w:r>
      <w:r w:rsidRPr="00B8132B">
        <w:rPr>
          <w:b/>
          <w:sz w:val="22"/>
          <w:szCs w:val="22"/>
        </w:rPr>
        <w:tab/>
      </w:r>
    </w:p>
    <w:p w:rsidR="0085264B" w:rsidRDefault="0085264B" w:rsidP="0085264B">
      <w:pPr>
        <w:pStyle w:val="NumberedParas"/>
        <w:tabs>
          <w:tab w:val="clear" w:pos="2291"/>
          <w:tab w:val="left" w:pos="851"/>
          <w:tab w:val="left" w:pos="2268"/>
          <w:tab w:val="num" w:pos="2433"/>
        </w:tabs>
        <w:ind w:left="851" w:hanging="851"/>
      </w:pPr>
      <w:r>
        <w:t>The scheme provides an important link between two major corridors and also links to a major international gateway</w:t>
      </w:r>
      <w:r w:rsidRPr="00B45814">
        <w:t>.</w:t>
      </w:r>
      <w:r>
        <w:t xml:space="preserve"> </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t xml:space="preserve">CAPEX </w:t>
      </w:r>
      <w:r>
        <w:tab/>
        <w:t>€126</w:t>
      </w:r>
      <w:r w:rsidRPr="00F27CDD">
        <w:rPr>
          <w:sz w:val="22"/>
          <w:szCs w:val="22"/>
        </w:rPr>
        <w:t>M</w:t>
      </w:r>
      <w:r w:rsidRPr="000105F6">
        <w:rPr>
          <w:sz w:val="22"/>
          <w:szCs w:val="22"/>
        </w:rPr>
        <w:t xml:space="preserve"> </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 xml:space="preserve">This project returns </w:t>
      </w:r>
      <w:r>
        <w:t>good</w:t>
      </w:r>
      <w:r w:rsidRPr="00F27CDD">
        <w:t xml:space="preserve"> value for money (BCR of </w:t>
      </w:r>
      <w:r>
        <w:t xml:space="preserve">1.99), </w:t>
      </w:r>
      <w:r w:rsidRPr="00F27CDD">
        <w:t xml:space="preserve">carries around </w:t>
      </w:r>
      <w:r>
        <w:t>4</w:t>
      </w:r>
      <w:r w:rsidRPr="00F27CDD">
        <w:t>,000 vehicles (AADT)</w:t>
      </w:r>
      <w:r>
        <w:t xml:space="preserve"> and also provides some relief to the Bucharest Ring Road</w:t>
      </w:r>
      <w:r w:rsidRPr="00F27CDD">
        <w:t>.</w:t>
      </w:r>
      <w:r>
        <w:t xml:space="preserve"> </w:t>
      </w:r>
      <w:r w:rsidRPr="00F27CDD">
        <w:t>The flow chan</w:t>
      </w:r>
      <w:r>
        <w:t>ges are illustrated in Figure 4.66 overleaf</w:t>
      </w:r>
      <w:r w:rsidRPr="00F27CDD">
        <w:t xml:space="preserve">. </w:t>
      </w:r>
    </w:p>
    <w:p w:rsidR="0085264B" w:rsidRDefault="0085264B" w:rsidP="0085264B">
      <w:pPr>
        <w:spacing w:before="120" w:after="120" w:line="276" w:lineRule="auto"/>
        <w:ind w:left="851"/>
      </w:pPr>
      <w:r w:rsidRPr="007A06E8">
        <w:rPr>
          <w:b/>
          <w:sz w:val="22"/>
          <w:szCs w:val="22"/>
        </w:rPr>
        <w:t xml:space="preserve">Figure </w:t>
      </w:r>
      <w:r>
        <w:rPr>
          <w:b/>
          <w:sz w:val="22"/>
          <w:szCs w:val="22"/>
        </w:rPr>
        <w:t>4.66 Flow Changes Due To Henri Coanda to A3</w:t>
      </w:r>
      <w:r w:rsidRPr="007A06E8">
        <w:rPr>
          <w:b/>
          <w:sz w:val="22"/>
          <w:szCs w:val="22"/>
        </w:rPr>
        <w:t xml:space="preserve"> Expressway</w:t>
      </w:r>
    </w:p>
    <w:p w:rsidR="0085264B" w:rsidRDefault="0085264B" w:rsidP="0085264B">
      <w:pPr>
        <w:spacing w:before="120" w:after="120" w:line="276" w:lineRule="auto"/>
        <w:ind w:left="851"/>
      </w:pPr>
      <w:r>
        <w:rPr>
          <w:b/>
          <w:noProof/>
          <w:sz w:val="22"/>
          <w:szCs w:val="22"/>
          <w:lang w:val="ro-RO" w:eastAsia="ro-RO"/>
        </w:rPr>
        <w:drawing>
          <wp:inline distT="0" distB="0" distL="0" distR="0" wp14:anchorId="67648D95" wp14:editId="1798701D">
            <wp:extent cx="5942523" cy="3085106"/>
            <wp:effectExtent l="19050" t="19050" r="20127" b="20044"/>
            <wp:docPr id="192" name="Picture 130" descr="H-HCA_HenriCoandaAir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CA_HenriCoandaAirport.png"/>
                    <pic:cNvPicPr/>
                  </pic:nvPicPr>
                  <pic:blipFill>
                    <a:blip r:embed="rId155" cstate="print"/>
                    <a:srcRect t="8041" b="11959"/>
                    <a:stretch>
                      <a:fillRect/>
                    </a:stretch>
                  </pic:blipFill>
                  <pic:spPr>
                    <a:xfrm>
                      <a:off x="0" y="0"/>
                      <a:ext cx="5942523" cy="3085106"/>
                    </a:xfrm>
                    <a:prstGeom prst="rect">
                      <a:avLst/>
                    </a:prstGeom>
                    <a:ln>
                      <a:solidFill>
                        <a:schemeClr val="accent1"/>
                      </a:solidFill>
                    </a:ln>
                  </pic:spPr>
                </pic:pic>
              </a:graphicData>
            </a:graphic>
          </wp:inline>
        </w:drawing>
      </w:r>
      <w:r w:rsidRPr="008D4F41">
        <w:rPr>
          <w:b/>
          <w:sz w:val="22"/>
          <w:szCs w:val="22"/>
        </w:rPr>
        <w:t xml:space="preserve"> </w:t>
      </w:r>
    </w:p>
    <w:p w:rsidR="0085264B" w:rsidRDefault="0085264B" w:rsidP="0085264B">
      <w:pPr>
        <w:ind w:left="284" w:firstLine="567"/>
        <w:rPr>
          <w:i/>
          <w:sz w:val="22"/>
          <w:szCs w:val="22"/>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pPr>
      <w:r>
        <w:t>The economic indicators for the scheme are as follows:</w:t>
      </w:r>
    </w:p>
    <w:p w:rsidR="0085264B"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w:t>
      </w:r>
      <w:r>
        <w:rPr>
          <w:sz w:val="22"/>
          <w:szCs w:val="22"/>
        </w:rPr>
        <w:t>86</w:t>
      </w:r>
      <w:r w:rsidRPr="00F27CDD">
        <w:rPr>
          <w:sz w:val="22"/>
          <w:szCs w:val="22"/>
        </w:rPr>
        <w:t>M</w:t>
      </w:r>
      <w:r>
        <w:rPr>
          <w:sz w:val="22"/>
          <w:szCs w:val="22"/>
        </w:rPr>
        <w:t>;</w:t>
      </w:r>
    </w:p>
    <w:p w:rsidR="0085264B" w:rsidRDefault="0085264B" w:rsidP="0085264B">
      <w:pPr>
        <w:pStyle w:val="ListParagraph"/>
        <w:numPr>
          <w:ilvl w:val="0"/>
          <w:numId w:val="53"/>
        </w:numPr>
        <w:spacing w:before="120" w:after="120" w:line="276" w:lineRule="auto"/>
        <w:contextualSpacing/>
      </w:pPr>
      <w:r w:rsidRPr="00237604">
        <w:rPr>
          <w:sz w:val="22"/>
          <w:szCs w:val="22"/>
        </w:rPr>
        <w:t>BCR</w:t>
      </w:r>
      <w:r w:rsidRPr="00237604">
        <w:rPr>
          <w:sz w:val="22"/>
          <w:szCs w:val="22"/>
        </w:rPr>
        <w:tab/>
        <w:t xml:space="preserve">= </w:t>
      </w:r>
      <w:r>
        <w:rPr>
          <w:sz w:val="22"/>
          <w:szCs w:val="22"/>
        </w:rPr>
        <w:t>1.99</w:t>
      </w:r>
      <w:r w:rsidRPr="00237604">
        <w:rPr>
          <w:sz w:val="22"/>
          <w:szCs w:val="22"/>
        </w:rPr>
        <w:t>; and</w:t>
      </w:r>
    </w:p>
    <w:p w:rsidR="0085264B" w:rsidRPr="00237604" w:rsidRDefault="0085264B" w:rsidP="0085264B">
      <w:pPr>
        <w:pStyle w:val="ListParagraph"/>
        <w:numPr>
          <w:ilvl w:val="0"/>
          <w:numId w:val="53"/>
        </w:numPr>
        <w:spacing w:before="120" w:after="120" w:line="276" w:lineRule="auto"/>
        <w:contextualSpacing/>
        <w:rPr>
          <w:sz w:val="22"/>
          <w:szCs w:val="22"/>
        </w:rPr>
      </w:pPr>
      <w:r w:rsidRPr="00A83752">
        <w:rPr>
          <w:sz w:val="22"/>
          <w:szCs w:val="22"/>
        </w:rPr>
        <w:t>EIRR</w:t>
      </w:r>
      <w:r w:rsidRPr="00A83752">
        <w:rPr>
          <w:sz w:val="22"/>
          <w:szCs w:val="22"/>
        </w:rPr>
        <w:tab/>
        <w:t xml:space="preserve">= </w:t>
      </w:r>
      <w:r>
        <w:rPr>
          <w:sz w:val="22"/>
          <w:szCs w:val="22"/>
        </w:rPr>
        <w:t>9.3</w:t>
      </w:r>
      <w:r w:rsidRPr="00A83752">
        <w:rPr>
          <w:sz w:val="22"/>
          <w:szCs w:val="22"/>
        </w:rPr>
        <w:t>%.</w:t>
      </w:r>
    </w:p>
    <w:p w:rsidR="0085264B" w:rsidRDefault="0085264B" w:rsidP="0085264B">
      <w:pPr>
        <w:rPr>
          <w:b/>
          <w:i/>
          <w:color w:val="9E0880"/>
          <w:sz w:val="22"/>
          <w:szCs w:val="22"/>
          <w:lang w:val="ro-RO"/>
        </w:rPr>
      </w:pPr>
      <w:r>
        <w:br w:type="page"/>
      </w:r>
    </w:p>
    <w:p w:rsidR="0085264B" w:rsidRPr="006D241C" w:rsidRDefault="0085264B" w:rsidP="0085264B">
      <w:pPr>
        <w:pStyle w:val="Hdg3"/>
        <w:ind w:left="851"/>
      </w:pPr>
      <w:r>
        <w:t xml:space="preserve">Supplementary Level 2 Schemes – </w:t>
      </w:r>
      <w:r w:rsidRPr="005B4DFF">
        <w:t xml:space="preserve">OR21 Widening of A1 Bucharest </w:t>
      </w:r>
      <w:r>
        <w:t>to</w:t>
      </w:r>
      <w:r w:rsidRPr="005B4DFF">
        <w:t xml:space="preserve"> Pitesti</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t>This project involves widening the A1 between Bucharest and Pitesti as referred to in OR15.</w:t>
      </w:r>
    </w:p>
    <w:p w:rsidR="0085264B" w:rsidRPr="00B8132B" w:rsidRDefault="0085264B" w:rsidP="0085264B">
      <w:pPr>
        <w:spacing w:before="120" w:after="120" w:line="276" w:lineRule="auto"/>
        <w:ind w:left="851"/>
        <w:rPr>
          <w:b/>
          <w:sz w:val="22"/>
          <w:szCs w:val="22"/>
        </w:rPr>
      </w:pPr>
      <w:r w:rsidRPr="00B8132B">
        <w:rPr>
          <w:b/>
          <w:sz w:val="22"/>
          <w:szCs w:val="22"/>
        </w:rPr>
        <w:t>Brief Description of Problem(s) Addressed</w:t>
      </w:r>
      <w:r w:rsidRPr="00B8132B">
        <w:rPr>
          <w:b/>
          <w:sz w:val="22"/>
          <w:szCs w:val="22"/>
        </w:rPr>
        <w:tab/>
      </w:r>
    </w:p>
    <w:p w:rsidR="0085264B" w:rsidRDefault="0085264B" w:rsidP="0085264B">
      <w:pPr>
        <w:pStyle w:val="NumberedParas"/>
        <w:tabs>
          <w:tab w:val="clear" w:pos="2291"/>
          <w:tab w:val="left" w:pos="851"/>
          <w:tab w:val="left" w:pos="2268"/>
          <w:tab w:val="num" w:pos="2433"/>
        </w:tabs>
        <w:ind w:left="851" w:hanging="851"/>
      </w:pPr>
      <w:r>
        <w:t>The scheme addresses the need for additional capacity following improvements on Sibiu – Pitesti which brings more traffic into this important corridor</w:t>
      </w:r>
      <w:r w:rsidRPr="00B45814">
        <w:t>.</w:t>
      </w:r>
      <w:r w:rsidRPr="002E00A9">
        <w:t xml:space="preserve"> </w:t>
      </w:r>
      <w:r w:rsidRPr="00F27CDD">
        <w:t xml:space="preserve">. </w:t>
      </w:r>
    </w:p>
    <w:p w:rsidR="0085264B" w:rsidRPr="00B8132B" w:rsidRDefault="0085264B" w:rsidP="0085264B">
      <w:pPr>
        <w:spacing w:before="120" w:after="120" w:line="276" w:lineRule="auto"/>
        <w:ind w:left="851"/>
        <w:rPr>
          <w:b/>
          <w:sz w:val="22"/>
          <w:szCs w:val="22"/>
        </w:rPr>
      </w:pPr>
      <w:r w:rsidRPr="00B8132B">
        <w:rPr>
          <w:b/>
          <w:sz w:val="22"/>
          <w:szCs w:val="22"/>
        </w:rPr>
        <w:t>Undiscounted costs (Million €, 2014 prices):</w:t>
      </w:r>
    </w:p>
    <w:p w:rsidR="0085264B" w:rsidRPr="00F27CDD" w:rsidRDefault="0085264B" w:rsidP="0085264B">
      <w:pPr>
        <w:pStyle w:val="ListParagraph"/>
        <w:numPr>
          <w:ilvl w:val="0"/>
          <w:numId w:val="53"/>
        </w:numPr>
        <w:spacing w:before="120" w:after="120" w:line="276" w:lineRule="auto"/>
        <w:contextualSpacing/>
        <w:rPr>
          <w:sz w:val="22"/>
          <w:szCs w:val="22"/>
        </w:rPr>
      </w:pPr>
      <w:r>
        <w:rPr>
          <w:sz w:val="22"/>
          <w:szCs w:val="22"/>
        </w:rPr>
        <w:t xml:space="preserve">CAPEX </w:t>
      </w:r>
      <w:r>
        <w:rPr>
          <w:sz w:val="22"/>
          <w:szCs w:val="22"/>
        </w:rPr>
        <w:tab/>
        <w:t>€442</w:t>
      </w:r>
      <w:r w:rsidRPr="00F27CDD">
        <w:rPr>
          <w:sz w:val="22"/>
          <w:szCs w:val="22"/>
        </w:rPr>
        <w:t>M</w:t>
      </w:r>
    </w:p>
    <w:p w:rsidR="0085264B" w:rsidRPr="00B8132B" w:rsidRDefault="0085264B" w:rsidP="0085264B">
      <w:pPr>
        <w:spacing w:before="120" w:after="120" w:line="276" w:lineRule="auto"/>
        <w:ind w:left="851"/>
        <w:rPr>
          <w:b/>
          <w:sz w:val="22"/>
          <w:szCs w:val="22"/>
        </w:rPr>
      </w:pPr>
      <w:r w:rsidRPr="00B8132B">
        <w:rPr>
          <w:b/>
          <w:sz w:val="22"/>
          <w:szCs w:val="22"/>
        </w:rPr>
        <w:t>Outcome(s):</w:t>
      </w:r>
    </w:p>
    <w:p w:rsidR="0085264B" w:rsidRDefault="0085264B" w:rsidP="0085264B">
      <w:pPr>
        <w:pStyle w:val="NumberedParas"/>
        <w:tabs>
          <w:tab w:val="clear" w:pos="2291"/>
          <w:tab w:val="left" w:pos="851"/>
          <w:tab w:val="left" w:pos="2268"/>
          <w:tab w:val="num" w:pos="2433"/>
        </w:tabs>
        <w:ind w:left="851" w:hanging="851"/>
      </w:pPr>
      <w:r w:rsidRPr="00F27CDD">
        <w:t>This project ret</w:t>
      </w:r>
      <w:r>
        <w:t>urns the following economic indicators:</w:t>
      </w:r>
      <w:r w:rsidRPr="00A06CA4">
        <w:t xml:space="preserve"> </w:t>
      </w:r>
    </w:p>
    <w:p w:rsidR="0085264B" w:rsidRPr="00F27CDD" w:rsidRDefault="0085264B" w:rsidP="0085264B">
      <w:pPr>
        <w:pStyle w:val="ListParagraph"/>
        <w:numPr>
          <w:ilvl w:val="0"/>
          <w:numId w:val="53"/>
        </w:numPr>
        <w:spacing w:before="120" w:after="120" w:line="276" w:lineRule="auto"/>
        <w:contextualSpacing/>
        <w:rPr>
          <w:sz w:val="22"/>
          <w:szCs w:val="22"/>
        </w:rPr>
      </w:pPr>
      <w:r w:rsidRPr="00F27CDD">
        <w:rPr>
          <w:sz w:val="22"/>
          <w:szCs w:val="22"/>
        </w:rPr>
        <w:t>NPV</w:t>
      </w:r>
      <w:r w:rsidRPr="00F27CDD">
        <w:rPr>
          <w:sz w:val="22"/>
          <w:szCs w:val="22"/>
        </w:rPr>
        <w:tab/>
        <w:t>= €</w:t>
      </w:r>
      <w:r>
        <w:rPr>
          <w:sz w:val="22"/>
          <w:szCs w:val="22"/>
        </w:rPr>
        <w:t>181</w:t>
      </w:r>
      <w:r w:rsidRPr="00F27CDD">
        <w:rPr>
          <w:sz w:val="22"/>
          <w:szCs w:val="22"/>
        </w:rPr>
        <w:t>M</w:t>
      </w:r>
      <w:r>
        <w:rPr>
          <w:sz w:val="22"/>
          <w:szCs w:val="22"/>
        </w:rPr>
        <w:t>;</w:t>
      </w:r>
    </w:p>
    <w:p w:rsidR="0085264B" w:rsidRPr="00A06CA4" w:rsidRDefault="0085264B" w:rsidP="0085264B">
      <w:pPr>
        <w:pStyle w:val="ListParagraph"/>
        <w:numPr>
          <w:ilvl w:val="0"/>
          <w:numId w:val="53"/>
        </w:numPr>
        <w:spacing w:before="120" w:after="120" w:line="276" w:lineRule="auto"/>
        <w:contextualSpacing/>
      </w:pPr>
      <w:r w:rsidRPr="00F27CDD">
        <w:rPr>
          <w:sz w:val="22"/>
          <w:szCs w:val="22"/>
        </w:rPr>
        <w:t>BCR</w:t>
      </w:r>
      <w:r w:rsidRPr="00F27CDD">
        <w:rPr>
          <w:sz w:val="22"/>
          <w:szCs w:val="22"/>
        </w:rPr>
        <w:tab/>
        <w:t xml:space="preserve">= </w:t>
      </w:r>
      <w:r>
        <w:rPr>
          <w:sz w:val="22"/>
          <w:szCs w:val="22"/>
        </w:rPr>
        <w:t>1</w:t>
      </w:r>
      <w:r w:rsidRPr="00F27CDD">
        <w:rPr>
          <w:sz w:val="22"/>
          <w:szCs w:val="22"/>
        </w:rPr>
        <w:t>.</w:t>
      </w:r>
      <w:r>
        <w:rPr>
          <w:sz w:val="22"/>
          <w:szCs w:val="22"/>
        </w:rPr>
        <w:t>65;</w:t>
      </w:r>
      <w:r w:rsidRPr="00F27CDD">
        <w:rPr>
          <w:sz w:val="22"/>
          <w:szCs w:val="22"/>
        </w:rPr>
        <w:t xml:space="preserve"> and</w:t>
      </w:r>
    </w:p>
    <w:p w:rsidR="0085264B" w:rsidRDefault="0085264B" w:rsidP="0085264B">
      <w:pPr>
        <w:pStyle w:val="ListParagraph"/>
        <w:numPr>
          <w:ilvl w:val="0"/>
          <w:numId w:val="53"/>
        </w:numPr>
        <w:spacing w:before="120" w:after="120" w:line="276" w:lineRule="auto"/>
        <w:contextualSpacing/>
      </w:pPr>
      <w:r w:rsidRPr="00F27CDD">
        <w:rPr>
          <w:sz w:val="22"/>
          <w:szCs w:val="22"/>
        </w:rPr>
        <w:t>EIRR</w:t>
      </w:r>
      <w:r w:rsidRPr="00F27CDD">
        <w:rPr>
          <w:sz w:val="22"/>
          <w:szCs w:val="22"/>
        </w:rPr>
        <w:tab/>
        <w:t xml:space="preserve">= </w:t>
      </w:r>
      <w:r>
        <w:rPr>
          <w:sz w:val="22"/>
          <w:szCs w:val="22"/>
        </w:rPr>
        <w:t>7.6</w:t>
      </w:r>
      <w:r w:rsidRPr="00F27CDD">
        <w:rPr>
          <w:sz w:val="22"/>
          <w:szCs w:val="22"/>
        </w:rPr>
        <w:t>%</w:t>
      </w:r>
      <w:r>
        <w:rPr>
          <w:sz w:val="22"/>
          <w:szCs w:val="22"/>
        </w:rPr>
        <w:t>.</w:t>
      </w:r>
    </w:p>
    <w:p w:rsidR="0085264B" w:rsidRPr="005B4DFF" w:rsidRDefault="0085264B" w:rsidP="0085264B">
      <w:pPr>
        <w:pStyle w:val="NumberedParas"/>
        <w:tabs>
          <w:tab w:val="clear" w:pos="2291"/>
          <w:tab w:val="left" w:pos="851"/>
          <w:tab w:val="left" w:pos="2268"/>
          <w:tab w:val="num" w:pos="2433"/>
        </w:tabs>
        <w:ind w:left="851" w:hanging="851"/>
      </w:pPr>
      <w:r>
        <w:br w:type="page"/>
      </w:r>
    </w:p>
    <w:p w:rsidR="0085264B" w:rsidRPr="006D241C" w:rsidRDefault="0085264B" w:rsidP="0085264B">
      <w:pPr>
        <w:pStyle w:val="Hdg3"/>
        <w:ind w:left="851"/>
      </w:pPr>
      <w:r>
        <w:t>Level 3 Schemes</w:t>
      </w:r>
    </w:p>
    <w:p w:rsidR="0085264B" w:rsidRPr="00B8132B" w:rsidRDefault="0085264B" w:rsidP="0085264B">
      <w:pPr>
        <w:spacing w:before="120" w:after="120" w:line="276" w:lineRule="auto"/>
        <w:ind w:left="851"/>
        <w:rPr>
          <w:b/>
          <w:sz w:val="22"/>
          <w:szCs w:val="22"/>
        </w:rPr>
      </w:pPr>
      <w:r w:rsidRPr="00B8132B">
        <w:rPr>
          <w:b/>
          <w:sz w:val="22"/>
          <w:szCs w:val="22"/>
        </w:rPr>
        <w:t>Brief Description of Proposal:</w:t>
      </w:r>
    </w:p>
    <w:p w:rsidR="0085264B" w:rsidRDefault="0085264B" w:rsidP="0085264B">
      <w:pPr>
        <w:pStyle w:val="NumberedParas"/>
        <w:tabs>
          <w:tab w:val="clear" w:pos="2291"/>
          <w:tab w:val="left" w:pos="851"/>
          <w:tab w:val="left" w:pos="2268"/>
          <w:tab w:val="num" w:pos="2433"/>
        </w:tabs>
        <w:ind w:left="851" w:hanging="851"/>
      </w:pPr>
      <w:r w:rsidRPr="002E5CAF">
        <w:t xml:space="preserve">To support the Level 1 and Level 2 schemes, there are further infrastructure improvements at a local level. </w:t>
      </w:r>
      <w:r>
        <w:t>The locations of the bypass schemes were</w:t>
      </w:r>
      <w:r w:rsidRPr="002E5CAF">
        <w:t xml:space="preserve"> determine</w:t>
      </w:r>
      <w:r>
        <w:t>d</w:t>
      </w:r>
      <w:r w:rsidRPr="002E5CAF">
        <w:t xml:space="preserve"> by the volume and type of through traffic, together with the settlement size. </w:t>
      </w:r>
      <w:r>
        <w:t>These have been determined taking account of linkages with the higher tier (Level 1 and Level 2) schemes.</w:t>
      </w:r>
    </w:p>
    <w:p w:rsidR="0085264B" w:rsidRPr="00031AF3" w:rsidRDefault="0085264B" w:rsidP="0085264B">
      <w:pPr>
        <w:spacing w:before="120" w:after="120" w:line="276" w:lineRule="auto"/>
        <w:ind w:left="851"/>
        <w:rPr>
          <w:b/>
          <w:sz w:val="22"/>
          <w:szCs w:val="22"/>
        </w:rPr>
      </w:pPr>
      <w:r w:rsidRPr="00B8132B">
        <w:rPr>
          <w:b/>
          <w:sz w:val="22"/>
          <w:szCs w:val="22"/>
        </w:rPr>
        <w:t>Economic Indicators</w:t>
      </w:r>
      <w:r w:rsidRPr="00031AF3">
        <w:rPr>
          <w:b/>
          <w:sz w:val="22"/>
          <w:szCs w:val="22"/>
        </w:rPr>
        <w:t>:</w:t>
      </w:r>
    </w:p>
    <w:p w:rsidR="0085264B" w:rsidRDefault="0085264B" w:rsidP="0085264B">
      <w:pPr>
        <w:pStyle w:val="NumberedParas"/>
        <w:tabs>
          <w:tab w:val="clear" w:pos="2291"/>
          <w:tab w:val="left" w:pos="851"/>
          <w:tab w:val="left" w:pos="2268"/>
          <w:tab w:val="num" w:pos="2433"/>
        </w:tabs>
        <w:ind w:left="851" w:hanging="851"/>
      </w:pPr>
      <w:r w:rsidRPr="00B47FF3">
        <w:t>Economic indicators for each scheme have been dete</w:t>
      </w:r>
      <w:r>
        <w:t>rmined, and are presented in the following table.</w:t>
      </w:r>
    </w:p>
    <w:p w:rsidR="0085264B" w:rsidRPr="002A0737" w:rsidRDefault="0085264B" w:rsidP="0085264B">
      <w:pPr>
        <w:pStyle w:val="ListParagraph"/>
        <w:keepNext/>
        <w:spacing w:before="120" w:after="120"/>
        <w:ind w:left="680" w:firstLine="171"/>
        <w:rPr>
          <w:b/>
          <w:sz w:val="22"/>
          <w:szCs w:val="22"/>
        </w:rPr>
      </w:pPr>
      <w:r w:rsidRPr="002A0737">
        <w:rPr>
          <w:b/>
          <w:sz w:val="22"/>
          <w:szCs w:val="22"/>
        </w:rPr>
        <w:t xml:space="preserve">Table </w:t>
      </w:r>
      <w:r>
        <w:rPr>
          <w:b/>
          <w:sz w:val="22"/>
          <w:szCs w:val="22"/>
        </w:rPr>
        <w:t>4.21</w:t>
      </w:r>
      <w:r w:rsidRPr="002A0737">
        <w:rPr>
          <w:b/>
          <w:sz w:val="22"/>
          <w:szCs w:val="22"/>
        </w:rPr>
        <w:t xml:space="preserve"> Summary of Bypass Testing Results (CBA)</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3118"/>
        <w:gridCol w:w="1888"/>
        <w:gridCol w:w="979"/>
        <w:gridCol w:w="980"/>
        <w:gridCol w:w="980"/>
      </w:tblGrid>
      <w:tr w:rsidR="0085264B" w:rsidRPr="0045095C" w:rsidTr="00D41B57">
        <w:trPr>
          <w:trHeight w:val="1067"/>
          <w:tblHeader/>
        </w:trPr>
        <w:tc>
          <w:tcPr>
            <w:tcW w:w="1666" w:type="dxa"/>
            <w:shd w:val="clear" w:color="auto" w:fill="B8CCE4" w:themeFill="accent1" w:themeFillTint="66"/>
            <w:noWrap/>
            <w:vAlign w:val="center"/>
            <w:hideMark/>
          </w:tcPr>
          <w:p w:rsidR="0085264B" w:rsidRPr="0045095C" w:rsidRDefault="0085264B" w:rsidP="00D41B57">
            <w:pPr>
              <w:rPr>
                <w:sz w:val="22"/>
                <w:szCs w:val="22"/>
                <w:lang w:eastAsia="en-GB"/>
              </w:rPr>
            </w:pPr>
            <w:r w:rsidRPr="0045095C">
              <w:rPr>
                <w:sz w:val="22"/>
                <w:szCs w:val="22"/>
                <w:lang w:eastAsia="en-GB"/>
              </w:rPr>
              <w:t>Ref.</w:t>
            </w:r>
          </w:p>
        </w:tc>
        <w:tc>
          <w:tcPr>
            <w:tcW w:w="3118" w:type="dxa"/>
            <w:shd w:val="clear" w:color="auto" w:fill="B8CCE4" w:themeFill="accent1" w:themeFillTint="66"/>
            <w:noWrap/>
            <w:vAlign w:val="center"/>
            <w:hideMark/>
          </w:tcPr>
          <w:p w:rsidR="0085264B" w:rsidRPr="0045095C" w:rsidRDefault="0085264B" w:rsidP="00D41B57">
            <w:pPr>
              <w:rPr>
                <w:sz w:val="22"/>
                <w:szCs w:val="22"/>
                <w:lang w:eastAsia="en-GB"/>
              </w:rPr>
            </w:pPr>
            <w:r w:rsidRPr="0045095C">
              <w:rPr>
                <w:sz w:val="22"/>
                <w:szCs w:val="22"/>
                <w:lang w:eastAsia="en-GB"/>
              </w:rPr>
              <w:t>Project</w:t>
            </w:r>
          </w:p>
        </w:tc>
        <w:tc>
          <w:tcPr>
            <w:tcW w:w="1888" w:type="dxa"/>
            <w:shd w:val="clear" w:color="auto" w:fill="B8CCE4" w:themeFill="accent1" w:themeFillTint="66"/>
            <w:noWrap/>
            <w:vAlign w:val="center"/>
            <w:hideMark/>
          </w:tcPr>
          <w:p w:rsidR="0085264B" w:rsidRDefault="0085264B" w:rsidP="00D41B57">
            <w:pPr>
              <w:jc w:val="center"/>
              <w:rPr>
                <w:b/>
                <w:color w:val="000000"/>
                <w:sz w:val="22"/>
                <w:szCs w:val="22"/>
                <w:lang w:eastAsia="en-GB"/>
              </w:rPr>
            </w:pPr>
            <w:r w:rsidRPr="0045095C">
              <w:rPr>
                <w:color w:val="000000"/>
                <w:sz w:val="22"/>
                <w:szCs w:val="22"/>
              </w:rPr>
              <w:t>Investment cost          (undiscounted)</w:t>
            </w:r>
          </w:p>
          <w:p w:rsidR="0085264B" w:rsidRDefault="0085264B" w:rsidP="00D41B57">
            <w:pPr>
              <w:jc w:val="center"/>
              <w:rPr>
                <w:b/>
                <w:color w:val="000000"/>
                <w:sz w:val="22"/>
                <w:szCs w:val="22"/>
                <w:lang w:eastAsia="en-GB"/>
              </w:rPr>
            </w:pPr>
            <w:r w:rsidRPr="0045095C">
              <w:rPr>
                <w:i/>
                <w:iCs/>
                <w:color w:val="000000"/>
                <w:sz w:val="22"/>
                <w:szCs w:val="22"/>
              </w:rPr>
              <w:t>€M</w:t>
            </w:r>
          </w:p>
        </w:tc>
        <w:tc>
          <w:tcPr>
            <w:tcW w:w="979" w:type="dxa"/>
            <w:shd w:val="clear" w:color="auto" w:fill="B8CCE4" w:themeFill="accent1" w:themeFillTint="66"/>
            <w:noWrap/>
            <w:vAlign w:val="center"/>
            <w:hideMark/>
          </w:tcPr>
          <w:p w:rsidR="0085264B" w:rsidRDefault="0085264B" w:rsidP="00D41B57">
            <w:pPr>
              <w:jc w:val="center"/>
              <w:rPr>
                <w:b/>
                <w:color w:val="000000"/>
                <w:sz w:val="22"/>
                <w:szCs w:val="22"/>
                <w:lang w:eastAsia="en-GB"/>
              </w:rPr>
            </w:pPr>
            <w:r w:rsidRPr="0045095C">
              <w:rPr>
                <w:color w:val="000000"/>
                <w:sz w:val="22"/>
                <w:szCs w:val="22"/>
              </w:rPr>
              <w:t>NPV</w:t>
            </w:r>
          </w:p>
          <w:p w:rsidR="0085264B" w:rsidRDefault="0085264B" w:rsidP="00D41B57">
            <w:pPr>
              <w:jc w:val="center"/>
              <w:rPr>
                <w:b/>
                <w:color w:val="000000"/>
                <w:sz w:val="22"/>
                <w:szCs w:val="22"/>
                <w:lang w:eastAsia="en-GB"/>
              </w:rPr>
            </w:pPr>
            <w:r w:rsidRPr="0045095C">
              <w:rPr>
                <w:i/>
                <w:iCs/>
                <w:color w:val="000000"/>
                <w:sz w:val="22"/>
                <w:szCs w:val="22"/>
              </w:rPr>
              <w:t>€M</w:t>
            </w:r>
          </w:p>
        </w:tc>
        <w:tc>
          <w:tcPr>
            <w:tcW w:w="980" w:type="dxa"/>
            <w:shd w:val="clear" w:color="auto" w:fill="B8CCE4" w:themeFill="accent1" w:themeFillTint="66"/>
            <w:noWrap/>
            <w:vAlign w:val="center"/>
            <w:hideMark/>
          </w:tcPr>
          <w:p w:rsidR="0085264B" w:rsidRDefault="0085264B" w:rsidP="00D41B57">
            <w:pPr>
              <w:jc w:val="center"/>
              <w:rPr>
                <w:b/>
                <w:color w:val="000000"/>
                <w:sz w:val="22"/>
                <w:szCs w:val="22"/>
                <w:lang w:eastAsia="en-GB"/>
              </w:rPr>
            </w:pPr>
            <w:r w:rsidRPr="0045095C">
              <w:rPr>
                <w:color w:val="000000"/>
                <w:sz w:val="22"/>
                <w:szCs w:val="22"/>
              </w:rPr>
              <w:t>BCR</w:t>
            </w:r>
          </w:p>
        </w:tc>
        <w:tc>
          <w:tcPr>
            <w:tcW w:w="980" w:type="dxa"/>
            <w:shd w:val="clear" w:color="auto" w:fill="B8CCE4" w:themeFill="accent1" w:themeFillTint="66"/>
            <w:noWrap/>
            <w:vAlign w:val="center"/>
            <w:hideMark/>
          </w:tcPr>
          <w:p w:rsidR="0085264B" w:rsidRDefault="0085264B" w:rsidP="00D41B57">
            <w:pPr>
              <w:jc w:val="center"/>
              <w:rPr>
                <w:b/>
                <w:color w:val="000000"/>
                <w:sz w:val="22"/>
                <w:szCs w:val="22"/>
                <w:lang w:eastAsia="en-GB"/>
              </w:rPr>
            </w:pPr>
            <w:r w:rsidRPr="0045095C">
              <w:rPr>
                <w:color w:val="000000"/>
                <w:sz w:val="22"/>
                <w:szCs w:val="22"/>
              </w:rPr>
              <w:t>EIRR</w:t>
            </w:r>
          </w:p>
          <w:p w:rsidR="0085264B" w:rsidRDefault="0085264B" w:rsidP="00D41B57">
            <w:pPr>
              <w:jc w:val="center"/>
              <w:rPr>
                <w:b/>
                <w:color w:val="000000"/>
                <w:sz w:val="22"/>
                <w:szCs w:val="22"/>
                <w:lang w:eastAsia="en-GB"/>
              </w:rPr>
            </w:pPr>
            <w:r w:rsidRPr="0045095C">
              <w:rPr>
                <w:i/>
                <w:iCs/>
                <w:color w:val="000000"/>
                <w:sz w:val="22"/>
                <w:szCs w:val="22"/>
              </w:rPr>
              <w:t>%</w:t>
            </w:r>
          </w:p>
        </w:tc>
      </w:tr>
      <w:tr w:rsidR="0085264B" w:rsidRPr="0045095C" w:rsidTr="00D41B57">
        <w:trPr>
          <w:trHeight w:val="285"/>
        </w:trPr>
        <w:tc>
          <w:tcPr>
            <w:tcW w:w="1666" w:type="dxa"/>
            <w:shd w:val="clear" w:color="auto" w:fill="auto"/>
            <w:noWrap/>
            <w:vAlign w:val="center"/>
            <w:hideMark/>
          </w:tcPr>
          <w:p w:rsidR="0085264B" w:rsidRPr="0045095C" w:rsidRDefault="0085264B" w:rsidP="00D41B57">
            <w:pPr>
              <w:rPr>
                <w:sz w:val="22"/>
                <w:szCs w:val="22"/>
              </w:rPr>
            </w:pPr>
            <w:r>
              <w:rPr>
                <w:rFonts w:cs="Arial"/>
                <w:color w:val="000000"/>
                <w:sz w:val="22"/>
                <w:szCs w:val="22"/>
              </w:rPr>
              <w:t>BP1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Oradea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Dej</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30</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5.91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Sighisoara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3.84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Roman</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Focsani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Ramnicu Sarat</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Buzau</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Alexandria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0.53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BP9</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Ramnicu Valcea</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195</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BP10</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Targoviste</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358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7.83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Filiasi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68</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Adjud</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5.96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19.0%</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Mizil</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36</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Ludus</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Falticeni</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3.34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13.2%</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Caransebes</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5.7%</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Beclean</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Bistriţa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32</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6.5%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BP19</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Miercurea Ciuc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0.95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4.8%</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BP20</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Sfântu Gheorghe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2.84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BP21</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Giurgiu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72</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1.50</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7.4%</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BP22</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Vaslui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73</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8.6%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BP23</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Bârlad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51</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11.1%</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BP24</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Slobozia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23</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2.06</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10.6%</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BP25</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Vatra Dornei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18</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57</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5.65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17.9%</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BP26</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Câmpulung Moldovenesc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99</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-23</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0.65</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BP27</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Mangalia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44</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1.49</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7.5%</w:t>
            </w:r>
          </w:p>
        </w:tc>
      </w:tr>
      <w:tr w:rsidR="0085264B" w:rsidRPr="0045095C" w:rsidTr="00D41B57">
        <w:trPr>
          <w:trHeight w:val="285"/>
        </w:trPr>
        <w:tc>
          <w:tcPr>
            <w:tcW w:w="1666"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BP28</w:t>
            </w:r>
          </w:p>
        </w:tc>
        <w:tc>
          <w:tcPr>
            <w:tcW w:w="3118" w:type="dxa"/>
            <w:shd w:val="clear" w:color="000000" w:fill="FFFFFF"/>
            <w:noWrap/>
            <w:vAlign w:val="center"/>
            <w:hideMark/>
          </w:tcPr>
          <w:p w:rsidR="0085264B" w:rsidRPr="0045095C" w:rsidRDefault="0085264B" w:rsidP="00D41B57">
            <w:pPr>
              <w:rPr>
                <w:sz w:val="22"/>
                <w:szCs w:val="22"/>
              </w:rPr>
            </w:pPr>
            <w:r>
              <w:rPr>
                <w:rFonts w:cs="Arial"/>
                <w:color w:val="000000"/>
                <w:sz w:val="22"/>
                <w:szCs w:val="22"/>
              </w:rPr>
              <w:t xml:space="preserve">Timisoara South  </w:t>
            </w:r>
          </w:p>
        </w:tc>
        <w:tc>
          <w:tcPr>
            <w:tcW w:w="1888"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127</w:t>
            </w:r>
          </w:p>
        </w:tc>
        <w:tc>
          <w:tcPr>
            <w:tcW w:w="979"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104</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2.21</w:t>
            </w:r>
          </w:p>
        </w:tc>
        <w:tc>
          <w:tcPr>
            <w:tcW w:w="980" w:type="dxa"/>
            <w:shd w:val="clear" w:color="000000" w:fill="EEECE1"/>
            <w:noWrap/>
            <w:vAlign w:val="center"/>
            <w:hideMark/>
          </w:tcPr>
          <w:p w:rsidR="0085264B" w:rsidRDefault="0085264B" w:rsidP="00D41B57">
            <w:pPr>
              <w:jc w:val="center"/>
              <w:rPr>
                <w:color w:val="000000"/>
                <w:sz w:val="22"/>
                <w:szCs w:val="22"/>
              </w:rPr>
            </w:pPr>
            <w:r>
              <w:rPr>
                <w:rFonts w:cs="Arial"/>
                <w:color w:val="000000"/>
                <w:sz w:val="22"/>
                <w:szCs w:val="22"/>
              </w:rPr>
              <w:t>9.7%</w:t>
            </w:r>
          </w:p>
        </w:tc>
      </w:tr>
    </w:tbl>
    <w:p w:rsidR="0085264B" w:rsidRDefault="0085264B" w:rsidP="0085264B">
      <w:pPr>
        <w:pStyle w:val="NumberedParas"/>
        <w:numPr>
          <w:ilvl w:val="0"/>
          <w:numId w:val="0"/>
        </w:numPr>
      </w:pPr>
      <w:r>
        <w:rPr>
          <w:i/>
        </w:rPr>
        <w:tab/>
      </w:r>
      <w:r w:rsidRPr="0019173A">
        <w:rPr>
          <w:i/>
        </w:rPr>
        <w:t>Source: AECOM analysis</w:t>
      </w:r>
    </w:p>
    <w:p w:rsidR="0085264B" w:rsidRDefault="0085264B" w:rsidP="0085264B">
      <w:pPr>
        <w:ind w:left="284" w:firstLine="567"/>
        <w:rPr>
          <w:i/>
        </w:rPr>
      </w:pPr>
    </w:p>
    <w:p w:rsidR="0085264B" w:rsidRDefault="0085264B" w:rsidP="0085264B">
      <w:pPr>
        <w:pStyle w:val="Hdg2"/>
        <w:tabs>
          <w:tab w:val="clear" w:pos="2138"/>
          <w:tab w:val="num" w:pos="1430"/>
        </w:tabs>
        <w:ind w:left="851" w:hanging="851"/>
      </w:pPr>
      <w:bookmarkStart w:id="82" w:name="_Toc397020190"/>
      <w:bookmarkStart w:id="83" w:name="_Toc397065256"/>
      <w:bookmarkStart w:id="84" w:name="_Toc410648986"/>
      <w:bookmarkStart w:id="85" w:name="_Toc413056048"/>
      <w:r w:rsidRPr="00DD636E">
        <w:t>MCA Analysis</w:t>
      </w:r>
      <w:bookmarkEnd w:id="82"/>
      <w:bookmarkEnd w:id="83"/>
      <w:bookmarkEnd w:id="84"/>
      <w:bookmarkEnd w:id="85"/>
    </w:p>
    <w:p w:rsidR="0085264B" w:rsidRDefault="0085264B" w:rsidP="0085264B">
      <w:pPr>
        <w:pStyle w:val="NumberedParas"/>
        <w:tabs>
          <w:tab w:val="clear" w:pos="2291"/>
          <w:tab w:val="left" w:pos="851"/>
          <w:tab w:val="left" w:pos="2268"/>
          <w:tab w:val="num" w:pos="2433"/>
        </w:tabs>
        <w:ind w:left="851" w:hanging="851"/>
      </w:pPr>
      <w:r>
        <w:t xml:space="preserve">The overall approach to project selection and the way in which projects are combined to form the final scenarios was set </w:t>
      </w:r>
      <w:r w:rsidRPr="00031AF3">
        <w:t>out in Section 2.</w:t>
      </w:r>
      <w:r>
        <w:t>6</w:t>
      </w:r>
      <w:r w:rsidRPr="00031AF3">
        <w:t>.</w:t>
      </w:r>
    </w:p>
    <w:p w:rsidR="0085264B" w:rsidRDefault="0085264B" w:rsidP="0085264B">
      <w:pPr>
        <w:pStyle w:val="NumberedParas"/>
        <w:tabs>
          <w:tab w:val="clear" w:pos="2291"/>
          <w:tab w:val="left" w:pos="851"/>
          <w:tab w:val="left" w:pos="2268"/>
          <w:tab w:val="num" w:pos="2433"/>
        </w:tabs>
        <w:ind w:left="851" w:hanging="851"/>
      </w:pPr>
      <w:r>
        <w:t>The previous sections in this chapter have dealt with the derivation of the preferred Level 1, Level 2 and Bypass schemes and the MCA now brings these together into a coherent strategy taking on board the funding allocations per sector.</w:t>
      </w:r>
    </w:p>
    <w:p w:rsidR="0085264B" w:rsidRDefault="0085264B" w:rsidP="0085264B">
      <w:pPr>
        <w:pStyle w:val="NumberedParas"/>
        <w:tabs>
          <w:tab w:val="clear" w:pos="2291"/>
          <w:tab w:val="left" w:pos="851"/>
          <w:tab w:val="left" w:pos="2268"/>
          <w:tab w:val="num" w:pos="2433"/>
        </w:tabs>
        <w:ind w:left="851" w:hanging="851"/>
      </w:pPr>
      <w:r>
        <w:t xml:space="preserve">The funding allocations are discussed </w:t>
      </w:r>
      <w:r w:rsidRPr="00031AF3">
        <w:t>fully in Section 11.3 but</w:t>
      </w:r>
      <w:r>
        <w:t xml:space="preserve"> are summarised here for the road network in Table 4.22.</w:t>
      </w:r>
    </w:p>
    <w:p w:rsidR="0085264B" w:rsidRPr="007A06E8" w:rsidRDefault="0085264B" w:rsidP="0085264B">
      <w:pPr>
        <w:spacing w:before="120" w:after="120" w:line="276" w:lineRule="auto"/>
        <w:ind w:left="851"/>
        <w:rPr>
          <w:b/>
          <w:sz w:val="22"/>
          <w:szCs w:val="22"/>
        </w:rPr>
      </w:pPr>
      <w:r w:rsidRPr="007A06E8">
        <w:rPr>
          <w:b/>
          <w:sz w:val="22"/>
          <w:szCs w:val="22"/>
        </w:rPr>
        <w:t xml:space="preserve">Table </w:t>
      </w:r>
      <w:r>
        <w:rPr>
          <w:b/>
          <w:sz w:val="22"/>
          <w:szCs w:val="22"/>
        </w:rPr>
        <w:t xml:space="preserve">4.22 </w:t>
      </w:r>
      <w:r w:rsidRPr="007A06E8">
        <w:rPr>
          <w:b/>
          <w:sz w:val="22"/>
          <w:szCs w:val="22"/>
        </w:rPr>
        <w:t>Funding Allocation for Roads (€M)</w:t>
      </w:r>
    </w:p>
    <w:tbl>
      <w:tblPr>
        <w:tblW w:w="807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5"/>
        <w:gridCol w:w="1593"/>
        <w:gridCol w:w="1593"/>
        <w:gridCol w:w="1594"/>
      </w:tblGrid>
      <w:tr w:rsidR="0085264B" w:rsidRPr="00C439EA" w:rsidTr="00C439EA">
        <w:tc>
          <w:tcPr>
            <w:tcW w:w="3295" w:type="dxa"/>
            <w:vMerge w:val="restart"/>
            <w:shd w:val="clear" w:color="auto" w:fill="B8CCE4" w:themeFill="accent1" w:themeFillTint="66"/>
            <w:vAlign w:val="center"/>
            <w:hideMark/>
          </w:tcPr>
          <w:p w:rsidR="0085264B" w:rsidRPr="00C439EA" w:rsidRDefault="0085264B" w:rsidP="00D41B57">
            <w:pPr>
              <w:spacing w:before="60" w:after="60"/>
              <w:rPr>
                <w:b/>
                <w:bCs/>
                <w:color w:val="FFFFFF"/>
                <w:sz w:val="22"/>
                <w:szCs w:val="22"/>
                <w:lang w:eastAsia="en-GB"/>
              </w:rPr>
            </w:pPr>
            <w:r w:rsidRPr="00C439EA">
              <w:rPr>
                <w:b/>
                <w:bCs/>
                <w:color w:val="FFFFFF"/>
                <w:sz w:val="22"/>
                <w:szCs w:val="22"/>
                <w:lang w:eastAsia="en-GB"/>
              </w:rPr>
              <w:t> </w:t>
            </w:r>
            <w:r w:rsidRPr="00C439EA">
              <w:rPr>
                <w:b/>
                <w:bCs/>
                <w:sz w:val="22"/>
                <w:szCs w:val="22"/>
                <w:lang w:eastAsia="en-GB"/>
              </w:rPr>
              <w:t>Type</w:t>
            </w:r>
          </w:p>
        </w:tc>
        <w:tc>
          <w:tcPr>
            <w:tcW w:w="4780" w:type="dxa"/>
            <w:gridSpan w:val="3"/>
            <w:shd w:val="clear" w:color="auto" w:fill="B8CCE4" w:themeFill="accent1" w:themeFillTint="66"/>
            <w:vAlign w:val="center"/>
            <w:hideMark/>
          </w:tcPr>
          <w:p w:rsidR="0085264B" w:rsidRPr="00C439EA" w:rsidRDefault="0085264B" w:rsidP="00D41B57">
            <w:pPr>
              <w:spacing w:before="60" w:after="60"/>
              <w:jc w:val="center"/>
              <w:rPr>
                <w:b/>
                <w:bCs/>
                <w:sz w:val="22"/>
                <w:szCs w:val="22"/>
                <w:lang w:eastAsia="en-GB"/>
              </w:rPr>
            </w:pPr>
            <w:r w:rsidRPr="00C439EA">
              <w:rPr>
                <w:b/>
                <w:bCs/>
                <w:sz w:val="22"/>
                <w:szCs w:val="22"/>
                <w:lang w:eastAsia="en-GB"/>
              </w:rPr>
              <w:t>Period</w:t>
            </w:r>
          </w:p>
        </w:tc>
      </w:tr>
      <w:tr w:rsidR="0085264B" w:rsidRPr="00C439EA" w:rsidTr="00C439EA">
        <w:tc>
          <w:tcPr>
            <w:tcW w:w="3295" w:type="dxa"/>
            <w:vMerge/>
            <w:shd w:val="clear" w:color="auto" w:fill="B8CCE4" w:themeFill="accent1" w:themeFillTint="66"/>
            <w:vAlign w:val="center"/>
            <w:hideMark/>
          </w:tcPr>
          <w:p w:rsidR="0085264B" w:rsidRPr="00C439EA" w:rsidRDefault="0085264B" w:rsidP="00D41B57">
            <w:pPr>
              <w:spacing w:before="60" w:after="60"/>
              <w:rPr>
                <w:b/>
                <w:bCs/>
                <w:sz w:val="22"/>
                <w:szCs w:val="22"/>
                <w:lang w:eastAsia="en-GB"/>
              </w:rPr>
            </w:pPr>
          </w:p>
        </w:tc>
        <w:tc>
          <w:tcPr>
            <w:tcW w:w="1593" w:type="dxa"/>
            <w:shd w:val="clear" w:color="auto" w:fill="B8CCE4" w:themeFill="accent1" w:themeFillTint="66"/>
            <w:vAlign w:val="center"/>
            <w:hideMark/>
          </w:tcPr>
          <w:p w:rsidR="0085264B" w:rsidRPr="00C439EA" w:rsidRDefault="0085264B" w:rsidP="00D41B57">
            <w:pPr>
              <w:spacing w:before="60" w:after="60"/>
              <w:jc w:val="center"/>
              <w:rPr>
                <w:b/>
                <w:bCs/>
                <w:sz w:val="22"/>
                <w:szCs w:val="22"/>
              </w:rPr>
            </w:pPr>
            <w:r w:rsidRPr="00C439EA">
              <w:rPr>
                <w:b/>
                <w:bCs/>
                <w:sz w:val="22"/>
                <w:szCs w:val="22"/>
              </w:rPr>
              <w:t>2014-2020</w:t>
            </w:r>
          </w:p>
        </w:tc>
        <w:tc>
          <w:tcPr>
            <w:tcW w:w="1593" w:type="dxa"/>
            <w:shd w:val="clear" w:color="auto" w:fill="B8CCE4" w:themeFill="accent1" w:themeFillTint="66"/>
            <w:vAlign w:val="center"/>
            <w:hideMark/>
          </w:tcPr>
          <w:p w:rsidR="0085264B" w:rsidRPr="00C439EA" w:rsidRDefault="0085264B" w:rsidP="00D41B57">
            <w:pPr>
              <w:spacing w:before="60" w:after="60"/>
              <w:jc w:val="center"/>
              <w:rPr>
                <w:b/>
                <w:bCs/>
                <w:sz w:val="22"/>
                <w:szCs w:val="22"/>
              </w:rPr>
            </w:pPr>
            <w:r w:rsidRPr="00C439EA">
              <w:rPr>
                <w:b/>
                <w:bCs/>
                <w:sz w:val="22"/>
                <w:szCs w:val="22"/>
              </w:rPr>
              <w:t>2021-2030</w:t>
            </w:r>
          </w:p>
        </w:tc>
        <w:tc>
          <w:tcPr>
            <w:tcW w:w="1594" w:type="dxa"/>
            <w:shd w:val="clear" w:color="auto" w:fill="B8CCE4" w:themeFill="accent1" w:themeFillTint="66"/>
            <w:vAlign w:val="center"/>
            <w:hideMark/>
          </w:tcPr>
          <w:p w:rsidR="0085264B" w:rsidRPr="00C439EA" w:rsidRDefault="0085264B" w:rsidP="00D41B57">
            <w:pPr>
              <w:spacing w:before="60" w:after="60"/>
              <w:jc w:val="center"/>
              <w:rPr>
                <w:b/>
                <w:bCs/>
                <w:sz w:val="22"/>
                <w:szCs w:val="22"/>
              </w:rPr>
            </w:pPr>
            <w:r w:rsidRPr="00C439EA">
              <w:rPr>
                <w:b/>
                <w:bCs/>
                <w:sz w:val="22"/>
                <w:szCs w:val="22"/>
              </w:rPr>
              <w:t>2014-2030</w:t>
            </w:r>
          </w:p>
        </w:tc>
      </w:tr>
      <w:tr w:rsidR="00C439EA" w:rsidRPr="00C439EA" w:rsidTr="00BB4250">
        <w:trPr>
          <w:trHeight w:val="267"/>
        </w:trPr>
        <w:tc>
          <w:tcPr>
            <w:tcW w:w="3295" w:type="dxa"/>
            <w:shd w:val="clear" w:color="auto" w:fill="auto"/>
            <w:vAlign w:val="center"/>
            <w:hideMark/>
          </w:tcPr>
          <w:p w:rsidR="00C439EA" w:rsidRPr="00C439EA" w:rsidRDefault="00C439EA" w:rsidP="00D41B57">
            <w:pPr>
              <w:spacing w:before="60" w:after="60"/>
              <w:rPr>
                <w:color w:val="000000"/>
                <w:sz w:val="22"/>
                <w:szCs w:val="22"/>
                <w:lang w:eastAsia="en-GB"/>
              </w:rPr>
            </w:pPr>
            <w:r w:rsidRPr="00C439EA">
              <w:rPr>
                <w:color w:val="000000"/>
                <w:sz w:val="22"/>
                <w:szCs w:val="22"/>
                <w:lang w:eastAsia="en-GB"/>
              </w:rPr>
              <w:t>Motorways and expressways</w:t>
            </w:r>
          </w:p>
        </w:tc>
        <w:tc>
          <w:tcPr>
            <w:tcW w:w="1593" w:type="dxa"/>
            <w:shd w:val="clear" w:color="auto" w:fill="auto"/>
            <w:vAlign w:val="center"/>
            <w:hideMark/>
          </w:tcPr>
          <w:p w:rsidR="00C439EA" w:rsidRPr="00C439EA" w:rsidRDefault="00C439EA">
            <w:pPr>
              <w:jc w:val="center"/>
              <w:rPr>
                <w:rFonts w:cs="Arial"/>
                <w:color w:val="000000"/>
                <w:sz w:val="20"/>
                <w:szCs w:val="20"/>
              </w:rPr>
            </w:pPr>
            <w:r w:rsidRPr="00C439EA">
              <w:rPr>
                <w:rFonts w:cs="Arial"/>
                <w:color w:val="000000"/>
                <w:sz w:val="20"/>
                <w:szCs w:val="20"/>
              </w:rPr>
              <w:t>5,281</w:t>
            </w:r>
          </w:p>
        </w:tc>
        <w:tc>
          <w:tcPr>
            <w:tcW w:w="1593" w:type="dxa"/>
            <w:shd w:val="clear" w:color="auto" w:fill="auto"/>
            <w:vAlign w:val="center"/>
            <w:hideMark/>
          </w:tcPr>
          <w:p w:rsidR="00C439EA" w:rsidRPr="00C439EA" w:rsidRDefault="00C439EA">
            <w:pPr>
              <w:jc w:val="center"/>
              <w:rPr>
                <w:rFonts w:cs="Arial"/>
                <w:color w:val="000000"/>
                <w:sz w:val="20"/>
                <w:szCs w:val="20"/>
              </w:rPr>
            </w:pPr>
            <w:r w:rsidRPr="00C439EA">
              <w:rPr>
                <w:rFonts w:cs="Arial"/>
                <w:color w:val="000000"/>
                <w:sz w:val="20"/>
                <w:szCs w:val="20"/>
              </w:rPr>
              <w:t>11,556</w:t>
            </w:r>
          </w:p>
        </w:tc>
        <w:tc>
          <w:tcPr>
            <w:tcW w:w="1594" w:type="dxa"/>
            <w:shd w:val="clear" w:color="auto" w:fill="auto"/>
            <w:vAlign w:val="center"/>
            <w:hideMark/>
          </w:tcPr>
          <w:p w:rsidR="00C439EA" w:rsidRPr="00C439EA" w:rsidRDefault="00C439EA">
            <w:pPr>
              <w:jc w:val="center"/>
              <w:rPr>
                <w:rFonts w:cs="Arial"/>
                <w:color w:val="000000"/>
                <w:sz w:val="20"/>
                <w:szCs w:val="20"/>
              </w:rPr>
            </w:pPr>
            <w:r w:rsidRPr="00C439EA">
              <w:rPr>
                <w:rFonts w:cs="Arial"/>
                <w:color w:val="000000"/>
                <w:sz w:val="20"/>
                <w:szCs w:val="20"/>
              </w:rPr>
              <w:t>16,836</w:t>
            </w:r>
          </w:p>
        </w:tc>
      </w:tr>
      <w:tr w:rsidR="00C439EA" w:rsidRPr="008F54A0" w:rsidTr="00C439EA">
        <w:tc>
          <w:tcPr>
            <w:tcW w:w="3295" w:type="dxa"/>
            <w:shd w:val="clear" w:color="auto" w:fill="auto"/>
            <w:vAlign w:val="center"/>
            <w:hideMark/>
          </w:tcPr>
          <w:p w:rsidR="00C439EA" w:rsidRPr="00C439EA" w:rsidRDefault="00C439EA" w:rsidP="00D41B57">
            <w:pPr>
              <w:spacing w:before="60" w:after="60"/>
              <w:rPr>
                <w:color w:val="000000"/>
                <w:sz w:val="22"/>
                <w:szCs w:val="22"/>
                <w:lang w:eastAsia="en-GB"/>
              </w:rPr>
            </w:pPr>
            <w:r w:rsidRPr="00C439EA">
              <w:rPr>
                <w:color w:val="000000"/>
                <w:sz w:val="22"/>
                <w:szCs w:val="22"/>
                <w:lang w:eastAsia="en-GB"/>
              </w:rPr>
              <w:t>BPs</w:t>
            </w:r>
          </w:p>
        </w:tc>
        <w:tc>
          <w:tcPr>
            <w:tcW w:w="1593" w:type="dxa"/>
            <w:shd w:val="clear" w:color="auto" w:fill="auto"/>
            <w:vAlign w:val="center"/>
            <w:hideMark/>
          </w:tcPr>
          <w:p w:rsidR="00C439EA" w:rsidRPr="00C439EA" w:rsidRDefault="00C439EA">
            <w:pPr>
              <w:jc w:val="center"/>
              <w:rPr>
                <w:rFonts w:cs="Arial"/>
                <w:color w:val="000000"/>
                <w:sz w:val="20"/>
                <w:szCs w:val="20"/>
              </w:rPr>
            </w:pPr>
            <w:r w:rsidRPr="00C439EA">
              <w:rPr>
                <w:rFonts w:cs="Arial"/>
                <w:color w:val="000000"/>
                <w:sz w:val="20"/>
                <w:szCs w:val="20"/>
              </w:rPr>
              <w:t>232</w:t>
            </w:r>
          </w:p>
        </w:tc>
        <w:tc>
          <w:tcPr>
            <w:tcW w:w="1593" w:type="dxa"/>
            <w:shd w:val="clear" w:color="auto" w:fill="auto"/>
            <w:vAlign w:val="center"/>
            <w:hideMark/>
          </w:tcPr>
          <w:p w:rsidR="00C439EA" w:rsidRPr="00C439EA" w:rsidRDefault="00C439EA">
            <w:pPr>
              <w:jc w:val="center"/>
              <w:rPr>
                <w:rFonts w:cs="Arial"/>
                <w:color w:val="000000"/>
                <w:sz w:val="20"/>
                <w:szCs w:val="20"/>
              </w:rPr>
            </w:pPr>
            <w:r w:rsidRPr="00C439EA">
              <w:rPr>
                <w:rFonts w:cs="Arial"/>
                <w:color w:val="000000"/>
                <w:sz w:val="20"/>
                <w:szCs w:val="20"/>
              </w:rPr>
              <w:t>834</w:t>
            </w:r>
          </w:p>
        </w:tc>
        <w:tc>
          <w:tcPr>
            <w:tcW w:w="1594" w:type="dxa"/>
            <w:shd w:val="clear" w:color="auto" w:fill="auto"/>
            <w:vAlign w:val="center"/>
            <w:hideMark/>
          </w:tcPr>
          <w:p w:rsidR="00C439EA" w:rsidRDefault="00C439EA">
            <w:pPr>
              <w:jc w:val="center"/>
              <w:rPr>
                <w:rFonts w:cs="Arial"/>
                <w:color w:val="000000"/>
                <w:sz w:val="20"/>
                <w:szCs w:val="20"/>
              </w:rPr>
            </w:pPr>
            <w:r w:rsidRPr="00C439EA">
              <w:rPr>
                <w:rFonts w:cs="Arial"/>
                <w:color w:val="000000"/>
                <w:sz w:val="20"/>
                <w:szCs w:val="20"/>
              </w:rPr>
              <w:t>1,066</w:t>
            </w:r>
          </w:p>
        </w:tc>
      </w:tr>
    </w:tbl>
    <w:p w:rsidR="0085264B" w:rsidRDefault="0085264B" w:rsidP="0085264B">
      <w:pPr>
        <w:ind w:left="284" w:firstLine="567"/>
        <w:rPr>
          <w:i/>
        </w:rPr>
      </w:pPr>
      <w:r w:rsidRPr="0019173A">
        <w:rPr>
          <w:i/>
          <w:sz w:val="22"/>
          <w:szCs w:val="22"/>
        </w:rPr>
        <w:t>Source: AECOM analysis</w:t>
      </w:r>
    </w:p>
    <w:p w:rsidR="0085264B" w:rsidRDefault="0085264B" w:rsidP="0085264B">
      <w:pPr>
        <w:pStyle w:val="NumberedParas"/>
        <w:tabs>
          <w:tab w:val="clear" w:pos="2291"/>
          <w:tab w:val="left" w:pos="851"/>
          <w:tab w:val="left" w:pos="2268"/>
          <w:tab w:val="num" w:pos="2433"/>
        </w:tabs>
        <w:ind w:left="851" w:hanging="851"/>
      </w:pPr>
      <w:r>
        <w:t>Whilst the final grouping of schemes is informed by the model and financial analysis, it is not a purely mechanistic process. At each stage, the masterplan team undertook reality and sense checks to ensure the process did not result in a poorly connected network or one that brought schemes forward for implementation in an illogical manner.</w:t>
      </w:r>
    </w:p>
    <w:p w:rsidR="0085264B" w:rsidRDefault="0085264B" w:rsidP="0085264B">
      <w:pPr>
        <w:pStyle w:val="NumberedParas"/>
        <w:tabs>
          <w:tab w:val="clear" w:pos="2291"/>
          <w:tab w:val="left" w:pos="851"/>
          <w:tab w:val="left" w:pos="2268"/>
          <w:tab w:val="num" w:pos="2433"/>
        </w:tabs>
        <w:ind w:left="851" w:hanging="851"/>
      </w:pPr>
      <w:r>
        <w:t>There was also regular dialogue with the Ministry, and its advisors, JASPERS, in order to ensure the process was subject to independent scrutiny. Some particular issues of note are covered in the following.</w:t>
      </w:r>
    </w:p>
    <w:p w:rsidR="0085264B" w:rsidRDefault="0085264B" w:rsidP="0085264B">
      <w:pPr>
        <w:pStyle w:val="NumberedParas"/>
        <w:tabs>
          <w:tab w:val="clear" w:pos="2291"/>
          <w:tab w:val="left" w:pos="851"/>
          <w:tab w:val="left" w:pos="2268"/>
          <w:tab w:val="num" w:pos="2433"/>
        </w:tabs>
        <w:ind w:left="851" w:hanging="851"/>
      </w:pPr>
      <w:r w:rsidRPr="007C5AB9">
        <w:t xml:space="preserve">Bacau - Iasi Motorway </w:t>
      </w:r>
      <w:r>
        <w:t>wa</w:t>
      </w:r>
      <w:r w:rsidRPr="007C5AB9">
        <w:t>s excluded from the list for the following reasons:</w:t>
      </w:r>
    </w:p>
    <w:p w:rsidR="0085264B" w:rsidRDefault="0085264B" w:rsidP="00273D5E">
      <w:pPr>
        <w:pStyle w:val="BulletLevel1"/>
      </w:pPr>
      <w:r w:rsidRPr="007C5AB9">
        <w:t>Land configuration was identified as being very difficult and there would be considerable uncertainty over the investment costs as a result</w:t>
      </w:r>
      <w:r>
        <w:t>;</w:t>
      </w:r>
    </w:p>
    <w:p w:rsidR="0085264B" w:rsidRPr="007C5AB9" w:rsidRDefault="0085264B" w:rsidP="00273D5E">
      <w:pPr>
        <w:pStyle w:val="BulletLevel1"/>
      </w:pPr>
      <w:r w:rsidRPr="007C5AB9">
        <w:t>Economic performance indicators and MCA have very low values for a Level 1 project</w:t>
      </w:r>
      <w:r>
        <w:t>; and</w:t>
      </w:r>
    </w:p>
    <w:p w:rsidR="0085264B" w:rsidRPr="007C5AB9" w:rsidRDefault="0085264B" w:rsidP="00273D5E">
      <w:pPr>
        <w:pStyle w:val="BulletLevel1"/>
      </w:pPr>
      <w:r w:rsidRPr="007C5AB9">
        <w:t xml:space="preserve">Connections between Iasi-West of Romania and Iasi-Bucuresti </w:t>
      </w:r>
      <w:r>
        <w:t>could</w:t>
      </w:r>
      <w:r w:rsidRPr="007C5AB9">
        <w:t xml:space="preserve"> be covered by </w:t>
      </w:r>
      <w:r>
        <w:t>other means.</w:t>
      </w:r>
    </w:p>
    <w:p w:rsidR="0085264B" w:rsidRDefault="0085264B" w:rsidP="0085264B">
      <w:pPr>
        <w:pStyle w:val="NumberedParas"/>
        <w:tabs>
          <w:tab w:val="clear" w:pos="2291"/>
          <w:tab w:val="left" w:pos="851"/>
          <w:tab w:val="left" w:pos="2268"/>
          <w:tab w:val="num" w:pos="2433"/>
        </w:tabs>
        <w:ind w:left="851" w:hanging="851"/>
      </w:pPr>
      <w:r>
        <w:t xml:space="preserve">An express road linking Buzau and </w:t>
      </w:r>
      <w:r w:rsidRPr="007C5AB9">
        <w:t xml:space="preserve">Focsani </w:t>
      </w:r>
      <w:r>
        <w:t>was</w:t>
      </w:r>
      <w:r w:rsidRPr="007C5AB9">
        <w:t xml:space="preserve"> added and tested </w:t>
      </w:r>
      <w:r>
        <w:t>with a cost-benefit analysis in order to rectify a connectivity issue in that corridor.</w:t>
      </w:r>
    </w:p>
    <w:p w:rsidR="0085264B" w:rsidRDefault="0085264B" w:rsidP="0085264B">
      <w:pPr>
        <w:pStyle w:val="NumberedParas"/>
        <w:tabs>
          <w:tab w:val="clear" w:pos="2291"/>
          <w:tab w:val="left" w:pos="851"/>
          <w:tab w:val="left" w:pos="2268"/>
          <w:tab w:val="num" w:pos="2433"/>
        </w:tabs>
        <w:ind w:left="851" w:hanging="851"/>
      </w:pPr>
      <w:r>
        <w:t xml:space="preserve">With regard to the </w:t>
      </w:r>
      <w:r w:rsidRPr="007C5AB9">
        <w:t>C</w:t>
      </w:r>
      <w:r>
        <w:t xml:space="preserve">ampia Turzii - Targa Mures – Iasi scheme, it was agreed that the </w:t>
      </w:r>
      <w:r w:rsidRPr="007C5AB9">
        <w:t>Iasi-Unghe</w:t>
      </w:r>
      <w:r>
        <w:t>ni connection shall be included</w:t>
      </w:r>
      <w:r w:rsidRPr="007C5AB9">
        <w:t xml:space="preserve"> (</w:t>
      </w:r>
      <w:r>
        <w:t xml:space="preserve">which was </w:t>
      </w:r>
      <w:r w:rsidRPr="007C5AB9">
        <w:t xml:space="preserve">initially included in </w:t>
      </w:r>
      <w:r>
        <w:t>the Bacau-Iasi motorway). Also, f</w:t>
      </w:r>
      <w:r w:rsidRPr="007C5AB9">
        <w:t>ollowing discussions with CNADNR representatives on 21.08.2014, the elimination of Campia – Turzii  - Targu Mures section was decided, as this is to be implemented as a motorway, under the current programming period.</w:t>
      </w:r>
      <w:r>
        <w:t xml:space="preserve"> </w:t>
      </w:r>
    </w:p>
    <w:p w:rsidR="0085264B" w:rsidRPr="00C439EA" w:rsidRDefault="0085264B" w:rsidP="0085264B">
      <w:pPr>
        <w:pStyle w:val="NumberedParas"/>
        <w:tabs>
          <w:tab w:val="clear" w:pos="2291"/>
          <w:tab w:val="left" w:pos="851"/>
          <w:tab w:val="left" w:pos="2268"/>
          <w:tab w:val="num" w:pos="2433"/>
        </w:tabs>
        <w:ind w:left="851" w:hanging="851"/>
      </w:pPr>
      <w:r>
        <w:t xml:space="preserve">The final ES and EES scenarios are shown in Table 4.23 and 4.24 which set out the designation (in TEN-T terms) of the section, the MCA score, the EIRR, the cost (together with a cumulative cost) and the implementation period. The networks are also illustrated in Figures </w:t>
      </w:r>
      <w:r w:rsidRPr="00C439EA">
        <w:t>4.65 to 4.68.</w:t>
      </w:r>
    </w:p>
    <w:p w:rsidR="0085264B" w:rsidRDefault="0085264B" w:rsidP="0085264B">
      <w:pPr>
        <w:pStyle w:val="NumberedParas"/>
        <w:tabs>
          <w:tab w:val="clear" w:pos="2291"/>
          <w:tab w:val="left" w:pos="851"/>
          <w:tab w:val="left" w:pos="2268"/>
          <w:tab w:val="num" w:pos="2433"/>
        </w:tabs>
        <w:ind w:left="851" w:hanging="851"/>
      </w:pPr>
      <w:r w:rsidRPr="0069696B">
        <w:t xml:space="preserve">Recognising the importance of the TEN-T network definition, it was agreed to also undertake a further comparator test based on only those identified schemes which were on the Core TEN-T. </w:t>
      </w:r>
    </w:p>
    <w:p w:rsidR="0085264B" w:rsidRDefault="0085264B" w:rsidP="0085264B">
      <w:pPr>
        <w:pStyle w:val="NumberedParas"/>
        <w:tabs>
          <w:tab w:val="clear" w:pos="2291"/>
          <w:tab w:val="left" w:pos="851"/>
          <w:tab w:val="left" w:pos="2268"/>
          <w:tab w:val="num" w:pos="2433"/>
        </w:tabs>
        <w:ind w:left="851" w:hanging="851"/>
      </w:pPr>
      <w:r w:rsidRPr="0069696B">
        <w:t xml:space="preserve">Table </w:t>
      </w:r>
      <w:r>
        <w:t>4.25</w:t>
      </w:r>
      <w:r w:rsidRPr="0069696B">
        <w:t xml:space="preserve"> shows a similar breakdown in terms of TEN-T schemes and how they could be accommodated within the financial constraints discussed earlier.</w:t>
      </w:r>
    </w:p>
    <w:p w:rsidR="0085264B" w:rsidRDefault="0085264B" w:rsidP="0085264B">
      <w:pPr>
        <w:pStyle w:val="NumberedParas"/>
        <w:tabs>
          <w:tab w:val="clear" w:pos="2291"/>
          <w:tab w:val="left" w:pos="851"/>
          <w:tab w:val="left" w:pos="2268"/>
          <w:tab w:val="num" w:pos="2433"/>
        </w:tabs>
        <w:ind w:left="851" w:hanging="851"/>
      </w:pPr>
      <w:r w:rsidRPr="0069696B">
        <w:t>With the TEN-T comparator, fewer individual schemes are achievable within the period up to 2020.</w:t>
      </w:r>
    </w:p>
    <w:p w:rsidR="0085264B" w:rsidRDefault="0085264B" w:rsidP="0085264B">
      <w:pPr>
        <w:pStyle w:val="NumberedParas"/>
        <w:tabs>
          <w:tab w:val="clear" w:pos="2291"/>
          <w:tab w:val="left" w:pos="851"/>
          <w:tab w:val="left" w:pos="2268"/>
          <w:tab w:val="num" w:pos="2433"/>
        </w:tabs>
        <w:ind w:left="851" w:hanging="851"/>
        <w:rPr>
          <w:lang w:val="ro-RO"/>
        </w:rPr>
      </w:pPr>
      <w:r w:rsidRPr="00C63AD1">
        <w:t>In terms of economic efficiency, or value for money, the ES and EES scenarios perform very similarly with BCRs of the order of 2.1. The Core TEN-T comparator fares considerably less well at around 1.7.</w:t>
      </w:r>
    </w:p>
    <w:p w:rsidR="0085264B" w:rsidRDefault="0085264B" w:rsidP="0085264B">
      <w:pPr>
        <w:pStyle w:val="Body"/>
        <w:rPr>
          <w:lang w:val="ro-RO"/>
        </w:rPr>
      </w:pPr>
    </w:p>
    <w:p w:rsidR="0085264B" w:rsidRPr="0069696B" w:rsidRDefault="0085264B" w:rsidP="0085264B">
      <w:pPr>
        <w:pStyle w:val="Body"/>
        <w:rPr>
          <w:lang w:val="ro-RO"/>
        </w:rPr>
      </w:pPr>
    </w:p>
    <w:p w:rsidR="0085264B" w:rsidRDefault="0085264B" w:rsidP="0085264B">
      <w:pPr>
        <w:pStyle w:val="NumberedParas"/>
        <w:tabs>
          <w:tab w:val="clear" w:pos="2291"/>
          <w:tab w:val="left" w:pos="851"/>
          <w:tab w:val="left" w:pos="2268"/>
          <w:tab w:val="num" w:pos="2433"/>
        </w:tabs>
        <w:ind w:left="851" w:hanging="851"/>
        <w:sectPr w:rsidR="0085264B" w:rsidSect="00933C17">
          <w:pgSz w:w="11907" w:h="16840" w:code="9"/>
          <w:pgMar w:top="1418" w:right="709" w:bottom="1418" w:left="907" w:header="357" w:footer="567" w:gutter="0"/>
          <w:cols w:space="187"/>
          <w:docGrid w:linePitch="360"/>
        </w:sectPr>
      </w:pPr>
    </w:p>
    <w:p w:rsidR="0085264B" w:rsidRPr="007A06E8" w:rsidRDefault="0085264B" w:rsidP="0085264B">
      <w:pPr>
        <w:spacing w:before="120" w:after="120" w:line="276" w:lineRule="auto"/>
        <w:rPr>
          <w:b/>
          <w:sz w:val="22"/>
          <w:szCs w:val="22"/>
        </w:rPr>
      </w:pPr>
      <w:r>
        <w:rPr>
          <w:b/>
          <w:sz w:val="22"/>
          <w:szCs w:val="22"/>
        </w:rPr>
        <w:t xml:space="preserve">Table 4.24 </w:t>
      </w:r>
      <w:r w:rsidRPr="007A06E8">
        <w:rPr>
          <w:b/>
          <w:sz w:val="22"/>
          <w:szCs w:val="22"/>
        </w:rPr>
        <w:t xml:space="preserve">ES Scenario – </w:t>
      </w:r>
      <w:r w:rsidR="00320855">
        <w:rPr>
          <w:b/>
          <w:sz w:val="22"/>
          <w:szCs w:val="22"/>
        </w:rPr>
        <w:t>Prioritisation of schemes</w:t>
      </w:r>
    </w:p>
    <w:tbl>
      <w:tblPr>
        <w:tblW w:w="13750" w:type="dxa"/>
        <w:tblInd w:w="108" w:type="dxa"/>
        <w:tblLayout w:type="fixed"/>
        <w:tblLook w:val="04A0" w:firstRow="1" w:lastRow="0" w:firstColumn="1" w:lastColumn="0" w:noHBand="0" w:noVBand="1"/>
      </w:tblPr>
      <w:tblGrid>
        <w:gridCol w:w="487"/>
        <w:gridCol w:w="507"/>
        <w:gridCol w:w="1044"/>
        <w:gridCol w:w="3491"/>
        <w:gridCol w:w="3118"/>
        <w:gridCol w:w="1134"/>
        <w:gridCol w:w="992"/>
        <w:gridCol w:w="1418"/>
        <w:gridCol w:w="1559"/>
      </w:tblGrid>
      <w:tr w:rsidR="0085264B" w:rsidRPr="00E061CC" w:rsidTr="00D41B57">
        <w:trPr>
          <w:cantSplit/>
          <w:tblHeader/>
        </w:trPr>
        <w:tc>
          <w:tcPr>
            <w:tcW w:w="487"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 </w:t>
            </w:r>
          </w:p>
        </w:tc>
        <w:tc>
          <w:tcPr>
            <w:tcW w:w="1551" w:type="dxa"/>
            <w:gridSpan w:val="2"/>
            <w:tcBorders>
              <w:top w:val="single" w:sz="4" w:space="0" w:color="auto"/>
              <w:left w:val="nil"/>
              <w:bottom w:val="single" w:sz="4" w:space="0" w:color="auto"/>
              <w:right w:val="single" w:sz="4" w:space="0" w:color="000000"/>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Code</w:t>
            </w:r>
          </w:p>
        </w:tc>
        <w:tc>
          <w:tcPr>
            <w:tcW w:w="3491"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Project Description</w:t>
            </w:r>
          </w:p>
        </w:tc>
        <w:tc>
          <w:tcPr>
            <w:tcW w:w="3118"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TEN-T</w:t>
            </w:r>
          </w:p>
        </w:tc>
        <w:tc>
          <w:tcPr>
            <w:tcW w:w="1134"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Cs/>
                <w:color w:val="FFFFFF"/>
                <w:sz w:val="22"/>
                <w:szCs w:val="22"/>
                <w:lang w:eastAsia="en-GB"/>
              </w:rPr>
            </w:pPr>
            <w:r w:rsidRPr="00E061CC">
              <w:rPr>
                <w:bCs/>
                <w:color w:val="FFFFFF"/>
                <w:sz w:val="22"/>
                <w:szCs w:val="22"/>
                <w:lang w:eastAsia="en-GB"/>
              </w:rPr>
              <w:t>Score</w:t>
            </w:r>
          </w:p>
        </w:tc>
        <w:tc>
          <w:tcPr>
            <w:tcW w:w="992"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Cs/>
                <w:color w:val="FFFFFF"/>
                <w:sz w:val="22"/>
                <w:szCs w:val="22"/>
                <w:lang w:eastAsia="en-GB"/>
              </w:rPr>
            </w:pPr>
            <w:r w:rsidRPr="00E061CC">
              <w:rPr>
                <w:bCs/>
                <w:color w:val="FFFFFF"/>
                <w:sz w:val="22"/>
                <w:szCs w:val="22"/>
                <w:lang w:eastAsia="en-GB"/>
              </w:rPr>
              <w:t>EIRR</w:t>
            </w:r>
          </w:p>
        </w:tc>
        <w:tc>
          <w:tcPr>
            <w:tcW w:w="1418"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Cost (2014 prices)</w:t>
            </w:r>
          </w:p>
        </w:tc>
        <w:tc>
          <w:tcPr>
            <w:tcW w:w="1559" w:type="dxa"/>
            <w:tcBorders>
              <w:top w:val="single" w:sz="4" w:space="0" w:color="auto"/>
              <w:left w:val="single" w:sz="4" w:space="0" w:color="auto"/>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Cumulated Cost</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507" w:type="dxa"/>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Level 1</w:t>
            </w:r>
          </w:p>
        </w:tc>
        <w:tc>
          <w:tcPr>
            <w:tcW w:w="104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H7</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Sibiu-Brasov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74.3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A83752">
              <w:rPr>
                <w:rFonts w:cs="Arial"/>
                <w:b/>
                <w:bCs/>
                <w:color w:val="000000"/>
                <w:sz w:val="22"/>
                <w:szCs w:val="22"/>
              </w:rPr>
              <w:t>17.3%</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817.3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817.3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2</w:t>
            </w:r>
          </w:p>
        </w:tc>
        <w:tc>
          <w:tcPr>
            <w:tcW w:w="507"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H8</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Ploiesti-Comarnic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48.7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A83752">
              <w:rPr>
                <w:rFonts w:cs="Arial"/>
                <w:b/>
                <w:bCs/>
                <w:color w:val="000000"/>
                <w:sz w:val="22"/>
                <w:szCs w:val="22"/>
              </w:rPr>
              <w:t>12.5%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310.4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1,127.7</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3</w:t>
            </w:r>
          </w:p>
        </w:tc>
        <w:tc>
          <w:tcPr>
            <w:tcW w:w="507"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H6</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Craiova-Pitesti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47.3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A83752">
              <w:rPr>
                <w:rFonts w:cs="Arial"/>
                <w:b/>
                <w:bCs/>
                <w:color w:val="000000"/>
                <w:sz w:val="22"/>
                <w:szCs w:val="22"/>
              </w:rPr>
              <w:t>12.2%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870.3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1,998.0</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4</w:t>
            </w:r>
          </w:p>
        </w:tc>
        <w:tc>
          <w:tcPr>
            <w:tcW w:w="507"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H1</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Comarnic-Brasov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29.3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A83752">
              <w:rPr>
                <w:rFonts w:cs="Arial"/>
                <w:b/>
                <w:bCs/>
                <w:color w:val="000000"/>
                <w:sz w:val="22"/>
                <w:szCs w:val="22"/>
              </w:rPr>
              <w:t>8.8%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1,117.0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3,115.0</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5</w:t>
            </w:r>
          </w:p>
        </w:tc>
        <w:tc>
          <w:tcPr>
            <w:tcW w:w="507"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H12</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Brasov-Bacau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A83752">
              <w:rPr>
                <w:rFonts w:cs="Arial"/>
                <w:color w:val="000000"/>
                <w:sz w:val="22"/>
                <w:szCs w:val="22"/>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20.1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A83752">
              <w:rPr>
                <w:rFonts w:cs="Arial"/>
                <w:b/>
                <w:bCs/>
                <w:color w:val="000000"/>
                <w:sz w:val="22"/>
                <w:szCs w:val="22"/>
              </w:rPr>
              <w:t>7.1%</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2,067.6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A83752">
              <w:rPr>
                <w:rFonts w:cs="Arial"/>
                <w:color w:val="000000"/>
                <w:sz w:val="22"/>
                <w:szCs w:val="22"/>
              </w:rPr>
              <w:t>5,182.6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507" w:type="dxa"/>
            <w:vMerge w:val="restart"/>
            <w:tcBorders>
              <w:top w:val="single" w:sz="4" w:space="0" w:color="000000"/>
              <w:left w:val="single" w:sz="4" w:space="0" w:color="auto"/>
              <w:bottom w:val="single" w:sz="4" w:space="0" w:color="000000"/>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Level 2</w:t>
            </w: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OR18B</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Bucharest Southern Ring Road Upgrade</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100.0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14.5%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175.7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5,358.3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2</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OR7A</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Bacau-Suceava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86.3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12.6%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645.4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6,003.7</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3</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OR15</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Sibiu-Pitesti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82.3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12.1%</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2,471.2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8,474.9</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4</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OR19</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Bucharest-Alexandria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79.8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369.6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8,844.5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5</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OR7B</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Suceava-Siret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79.1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11.7%</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186.1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9,030.6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6</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OR13C</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Buzau-Focsani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74.5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11.0%</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282.0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9,312.6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7</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OR13D</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Targu Neamt-Iasi-Ungheni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72.7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10.8%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700.0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10,012.6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8</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OR12</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Nadaselu - Suplacu de Barcau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69.3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550.0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10,562.6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9</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OR10</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Lugoj- Craiova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66.6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10.0%</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1,810.9</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12,373.5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10</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OR9B</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Turda-Halmeu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Other links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63.0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13.5%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975.4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13,348.9</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11</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OR19D</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Henri Coanda Airport connection to A3</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61.9</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9.3%</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125.6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13,474.5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12</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OR17</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Gaesti-Ploiesti-Buzau-Braila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60.0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11.9%</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1,279.6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14,754.1</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13</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OR13</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Targu Mures-Targu Neamt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55.0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8.4%</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3,400.0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18,154.1</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14</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OR6B</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Bacau-Focsani-Braila-Galati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54.4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11.2%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1,024.2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19,178.3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15</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OR21</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A1 Widening Bucharest-Pitesti</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49.1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7.6%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442.0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19,620.3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16</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OR8</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Bacau-Piatra Neamt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Other links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41.2</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10.6%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335.1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19,955.4</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17</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OR14</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Brasov-Pitesti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39.0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9.1%</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1,842.6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21,798.0</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18</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OR18A</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Bucharest Ring Road Motorway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35.2</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5.7%</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1,683.8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23,481.8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19</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OR7C</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Suceava-Botosani Expressway</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Other links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28.4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8.9%</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345.8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23,827.6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20</w:t>
            </w:r>
          </w:p>
        </w:tc>
        <w:tc>
          <w:tcPr>
            <w:tcW w:w="507"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OR11</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Constanta-Tulcea-Braila Expressway (including Braila Bridge)</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11.9</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5.4%</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1,369.3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25,196.9</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507" w:type="dxa"/>
            <w:vMerge w:val="restart"/>
            <w:tcBorders>
              <w:top w:val="nil"/>
              <w:left w:val="single" w:sz="4" w:space="0" w:color="auto"/>
              <w:bottom w:val="nil"/>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Bypasses</w:t>
            </w: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BP12</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Adjud</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85.4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19.0%</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46.2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46.2</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BP10</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Targoviste</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79.0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22.7%</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78.0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124.2</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3</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BP4</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Roman</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73.2</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15.9%</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186.1</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4</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BP11</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Filiasi</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71.8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27.7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213.8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5</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BP15</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Falticeni</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62.4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41.3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255.1</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6</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BP5</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Focsani</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62.1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13.1%</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76.1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331.2</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7</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BP25</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Vatra Dornei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60.2</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17.9%</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349.4</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8</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BP3</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Sighisoara</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51.8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47.7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397.1</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9</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BP28</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Timisoara South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48.5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9.7%</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127.4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524.5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10</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BP7</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Buzau</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39.7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7.5%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104.8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629.3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11</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BP21</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Giurgiu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39.3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7.4%</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701.4</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12</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BP6</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Ramnicu Sarat</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37.1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6.8%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738.4</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13</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BP9</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Ramnicu Valcea</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6.2%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195.4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933.8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14</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BP20</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Sfântu Gheorghe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11.4%</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967.8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15</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BP14</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Ludus</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33.5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11.2%</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102.5</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1,070.3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16</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BP23</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Bârlad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33.3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11.1%</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51.1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1,121.4</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17</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BP16</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Caransebes</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32.6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5.7%</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80.8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1,202.2</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18</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BP24</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Slobozia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31.1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10.6%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1,225.6</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19</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BP13</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Mizil</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30.0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color w:val="000000"/>
                <w:sz w:val="20"/>
                <w:szCs w:val="20"/>
              </w:rPr>
              <w:t>1.9%</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36.0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1,261.5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20</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BP22</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Vaslui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8.6%</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72.9</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1,334.5</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21</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BP17</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Beclean</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22.6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8.4%</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42.2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1,376.7</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22</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BP27</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Mangalia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18.9</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7.5%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44.1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1,420.8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23</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BP18</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Bistriţa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15.1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6.5%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157.0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1,577.8</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24</w:t>
            </w:r>
          </w:p>
        </w:tc>
        <w:tc>
          <w:tcPr>
            <w:tcW w:w="507"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BP19</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Miercurea Ciuc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color w:val="000000"/>
                <w:sz w:val="20"/>
                <w:szCs w:val="20"/>
              </w:rPr>
              <w:t>4.8%</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110.5</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1,688.3</w:t>
            </w:r>
          </w:p>
        </w:tc>
      </w:tr>
      <w:tr w:rsidR="0085264B" w:rsidRPr="00E061CC" w:rsidTr="00D41B57">
        <w:tc>
          <w:tcPr>
            <w:tcW w:w="487"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25</w:t>
            </w:r>
          </w:p>
        </w:tc>
        <w:tc>
          <w:tcPr>
            <w:tcW w:w="507" w:type="dxa"/>
            <w:vMerge/>
            <w:tcBorders>
              <w:top w:val="nil"/>
              <w:left w:val="single" w:sz="4" w:space="0" w:color="auto"/>
              <w:bottom w:val="single" w:sz="4" w:space="0" w:color="auto"/>
              <w:right w:val="single" w:sz="4" w:space="0" w:color="auto"/>
            </w:tcBorders>
            <w:vAlign w:val="center"/>
            <w:hideMark/>
          </w:tcPr>
          <w:p w:rsidR="0085264B" w:rsidRPr="00E061CC" w:rsidRDefault="0085264B" w:rsidP="00D41B57">
            <w:pPr>
              <w:rPr>
                <w:b/>
                <w:bCs/>
                <w:color w:val="000000"/>
                <w:sz w:val="22"/>
                <w:szCs w:val="22"/>
                <w:lang w:eastAsia="en-GB"/>
              </w:rPr>
            </w:pPr>
          </w:p>
        </w:tc>
        <w:tc>
          <w:tcPr>
            <w:tcW w:w="104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BP26</w:t>
            </w:r>
          </w:p>
        </w:tc>
        <w:tc>
          <w:tcPr>
            <w:tcW w:w="3491"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Câmpulung Moldovenesc </w:t>
            </w:r>
          </w:p>
        </w:tc>
        <w:tc>
          <w:tcPr>
            <w:tcW w:w="31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13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color w:val="000000"/>
                <w:sz w:val="20"/>
                <w:szCs w:val="20"/>
              </w:rPr>
              <w:t>2.5%</w:t>
            </w:r>
          </w:p>
        </w:tc>
        <w:tc>
          <w:tcPr>
            <w:tcW w:w="141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99.3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1,787.6</w:t>
            </w:r>
          </w:p>
        </w:tc>
      </w:tr>
    </w:tbl>
    <w:p w:rsidR="0085264B" w:rsidRDefault="0085264B" w:rsidP="0085264B">
      <w:pPr>
        <w:ind w:left="284" w:firstLine="567"/>
        <w:rPr>
          <w:i/>
        </w:rPr>
      </w:pPr>
      <w:r w:rsidRPr="0019173A">
        <w:rPr>
          <w:i/>
          <w:sz w:val="22"/>
          <w:szCs w:val="22"/>
        </w:rPr>
        <w:t>Source: AECOM analysis</w:t>
      </w:r>
    </w:p>
    <w:p w:rsidR="0085264B" w:rsidRDefault="0085264B" w:rsidP="0085264B">
      <w:pPr>
        <w:rPr>
          <w:sz w:val="22"/>
          <w:szCs w:val="22"/>
        </w:rPr>
      </w:pPr>
      <w:r>
        <w:br w:type="page"/>
      </w:r>
    </w:p>
    <w:p w:rsidR="0085264B" w:rsidRPr="007A06E8" w:rsidRDefault="0085264B" w:rsidP="0085264B">
      <w:pPr>
        <w:spacing w:before="120" w:after="120" w:line="276" w:lineRule="auto"/>
        <w:rPr>
          <w:b/>
          <w:sz w:val="22"/>
          <w:szCs w:val="22"/>
        </w:rPr>
      </w:pPr>
      <w:r w:rsidRPr="007A06E8">
        <w:rPr>
          <w:b/>
          <w:sz w:val="22"/>
          <w:szCs w:val="22"/>
        </w:rPr>
        <w:t xml:space="preserve">Table </w:t>
      </w:r>
      <w:r>
        <w:rPr>
          <w:b/>
          <w:sz w:val="22"/>
          <w:szCs w:val="22"/>
        </w:rPr>
        <w:t>4.25</w:t>
      </w:r>
      <w:r w:rsidRPr="007A06E8">
        <w:rPr>
          <w:b/>
          <w:sz w:val="22"/>
          <w:szCs w:val="22"/>
        </w:rPr>
        <w:tab/>
      </w:r>
      <w:r>
        <w:rPr>
          <w:b/>
          <w:sz w:val="22"/>
          <w:szCs w:val="22"/>
        </w:rPr>
        <w:t xml:space="preserve"> </w:t>
      </w:r>
      <w:r w:rsidR="00320855">
        <w:rPr>
          <w:b/>
          <w:sz w:val="22"/>
          <w:szCs w:val="22"/>
        </w:rPr>
        <w:t>EES Scenario – Prioritisation of schemes</w:t>
      </w:r>
    </w:p>
    <w:tbl>
      <w:tblPr>
        <w:tblW w:w="12804" w:type="dxa"/>
        <w:tblInd w:w="108" w:type="dxa"/>
        <w:tblLook w:val="04A0" w:firstRow="1" w:lastRow="0" w:firstColumn="1" w:lastColumn="0" w:noHBand="0" w:noVBand="1"/>
      </w:tblPr>
      <w:tblGrid>
        <w:gridCol w:w="488"/>
        <w:gridCol w:w="496"/>
        <w:gridCol w:w="1008"/>
        <w:gridCol w:w="3024"/>
        <w:gridCol w:w="2854"/>
        <w:gridCol w:w="1028"/>
        <w:gridCol w:w="972"/>
        <w:gridCol w:w="1375"/>
        <w:gridCol w:w="1559"/>
      </w:tblGrid>
      <w:tr w:rsidR="0085264B" w:rsidRPr="00E061CC" w:rsidTr="00D41B57">
        <w:trPr>
          <w:cantSplit/>
          <w:tblHeader/>
        </w:trPr>
        <w:tc>
          <w:tcPr>
            <w:tcW w:w="488"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 </w:t>
            </w:r>
          </w:p>
        </w:tc>
        <w:tc>
          <w:tcPr>
            <w:tcW w:w="1504" w:type="dxa"/>
            <w:gridSpan w:val="2"/>
            <w:tcBorders>
              <w:top w:val="single" w:sz="4" w:space="0" w:color="auto"/>
              <w:left w:val="nil"/>
              <w:bottom w:val="single" w:sz="4" w:space="0" w:color="auto"/>
              <w:right w:val="single" w:sz="4" w:space="0" w:color="000000"/>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Code</w:t>
            </w:r>
          </w:p>
        </w:tc>
        <w:tc>
          <w:tcPr>
            <w:tcW w:w="3024"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Project Description</w:t>
            </w:r>
          </w:p>
        </w:tc>
        <w:tc>
          <w:tcPr>
            <w:tcW w:w="2854"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TEN-T</w:t>
            </w:r>
          </w:p>
        </w:tc>
        <w:tc>
          <w:tcPr>
            <w:tcW w:w="1028"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Cs/>
                <w:color w:val="FFFFFF"/>
                <w:sz w:val="22"/>
                <w:szCs w:val="22"/>
                <w:lang w:eastAsia="en-GB"/>
              </w:rPr>
            </w:pPr>
            <w:r w:rsidRPr="00E061CC">
              <w:rPr>
                <w:bCs/>
                <w:color w:val="FFFFFF"/>
                <w:sz w:val="22"/>
                <w:szCs w:val="22"/>
                <w:lang w:eastAsia="en-GB"/>
              </w:rPr>
              <w:t>Score</w:t>
            </w:r>
          </w:p>
        </w:tc>
        <w:tc>
          <w:tcPr>
            <w:tcW w:w="972"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Cs/>
                <w:color w:val="FFFFFF"/>
                <w:sz w:val="22"/>
                <w:szCs w:val="22"/>
                <w:lang w:eastAsia="en-GB"/>
              </w:rPr>
            </w:pPr>
            <w:r w:rsidRPr="00E061CC">
              <w:rPr>
                <w:bCs/>
                <w:color w:val="FFFFFF"/>
                <w:sz w:val="22"/>
                <w:szCs w:val="22"/>
                <w:lang w:eastAsia="en-GB"/>
              </w:rPr>
              <w:t>EIRR</w:t>
            </w:r>
          </w:p>
        </w:tc>
        <w:tc>
          <w:tcPr>
            <w:tcW w:w="1375" w:type="dxa"/>
            <w:tcBorders>
              <w:top w:val="single" w:sz="4" w:space="0" w:color="auto"/>
              <w:left w:val="nil"/>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Cost (2014 prices)</w:t>
            </w:r>
          </w:p>
        </w:tc>
        <w:tc>
          <w:tcPr>
            <w:tcW w:w="1559" w:type="dxa"/>
            <w:tcBorders>
              <w:top w:val="single" w:sz="4" w:space="0" w:color="auto"/>
              <w:left w:val="single" w:sz="4" w:space="0" w:color="auto"/>
              <w:bottom w:val="single" w:sz="4" w:space="0" w:color="auto"/>
              <w:right w:val="single" w:sz="4" w:space="0" w:color="auto"/>
            </w:tcBorders>
            <w:shd w:val="clear" w:color="000000" w:fill="376091"/>
            <w:vAlign w:val="center"/>
            <w:hideMark/>
          </w:tcPr>
          <w:p w:rsidR="0085264B" w:rsidRPr="00E061CC" w:rsidRDefault="0085264B" w:rsidP="00D41B57">
            <w:pPr>
              <w:jc w:val="center"/>
              <w:rPr>
                <w:b/>
                <w:bCs/>
                <w:color w:val="FFFFFF"/>
                <w:sz w:val="22"/>
                <w:szCs w:val="22"/>
                <w:lang w:eastAsia="en-GB"/>
              </w:rPr>
            </w:pPr>
            <w:r w:rsidRPr="00E061CC">
              <w:rPr>
                <w:b/>
                <w:bCs/>
                <w:color w:val="FFFFFF"/>
                <w:sz w:val="22"/>
                <w:szCs w:val="22"/>
                <w:lang w:eastAsia="en-GB"/>
              </w:rPr>
              <w:t>Cumulated Cost</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496" w:type="dxa"/>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Level 1</w:t>
            </w:r>
          </w:p>
        </w:tc>
        <w:tc>
          <w:tcPr>
            <w:tcW w:w="100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H7</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Sibiu-Brasov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74.3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E92A6C">
              <w:rPr>
                <w:rFonts w:cs="Arial"/>
                <w:b/>
                <w:bCs/>
                <w:color w:val="000000"/>
                <w:sz w:val="22"/>
                <w:szCs w:val="22"/>
              </w:rPr>
              <w:t>17.3%</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817.3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817.3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2</w:t>
            </w:r>
          </w:p>
        </w:tc>
        <w:tc>
          <w:tcPr>
            <w:tcW w:w="496"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H8</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Ploiesti-Comarnic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48.7</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E92A6C">
              <w:rPr>
                <w:rFonts w:cs="Arial"/>
                <w:b/>
                <w:bCs/>
                <w:color w:val="000000"/>
                <w:sz w:val="22"/>
                <w:szCs w:val="22"/>
              </w:rPr>
              <w:t>12.5%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310.4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1,127.7</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3</w:t>
            </w:r>
          </w:p>
        </w:tc>
        <w:tc>
          <w:tcPr>
            <w:tcW w:w="496"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H6</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Craiova-Pitesti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47.3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E92A6C">
              <w:rPr>
                <w:rFonts w:cs="Arial"/>
                <w:b/>
                <w:bCs/>
                <w:color w:val="000000"/>
                <w:sz w:val="22"/>
                <w:szCs w:val="22"/>
              </w:rPr>
              <w:t>12.2%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870.3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1,998.0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4</w:t>
            </w:r>
          </w:p>
        </w:tc>
        <w:tc>
          <w:tcPr>
            <w:tcW w:w="496"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H1</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Comarnic-Brasov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29.3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E92A6C">
              <w:rPr>
                <w:rFonts w:cs="Arial"/>
                <w:b/>
                <w:bCs/>
                <w:color w:val="000000"/>
                <w:sz w:val="22"/>
                <w:szCs w:val="22"/>
              </w:rPr>
              <w:t>8.8%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1,117.0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3,115.0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5</w:t>
            </w:r>
          </w:p>
        </w:tc>
        <w:tc>
          <w:tcPr>
            <w:tcW w:w="496" w:type="dxa"/>
            <w:vMerge/>
            <w:tcBorders>
              <w:top w:val="single" w:sz="4" w:space="0" w:color="auto"/>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H12</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Brasov-Bacau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rPr>
                <w:color w:val="000000"/>
                <w:sz w:val="22"/>
                <w:szCs w:val="22"/>
                <w:lang w:eastAsia="en-GB"/>
              </w:rPr>
            </w:pPr>
            <w:r w:rsidRPr="00E92A6C">
              <w:rPr>
                <w:rFonts w:cs="Arial"/>
                <w:color w:val="000000"/>
                <w:sz w:val="22"/>
                <w:szCs w:val="22"/>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20.1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bCs/>
                <w:color w:val="000000"/>
                <w:sz w:val="22"/>
                <w:szCs w:val="22"/>
                <w:lang w:eastAsia="en-GB"/>
              </w:rPr>
            </w:pPr>
            <w:r w:rsidRPr="00E92A6C">
              <w:rPr>
                <w:rFonts w:cs="Arial"/>
                <w:b/>
                <w:bCs/>
                <w:color w:val="000000"/>
                <w:sz w:val="22"/>
                <w:szCs w:val="22"/>
              </w:rPr>
              <w:t>7.1%</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2,067.6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92A6C" w:rsidRDefault="0085264B" w:rsidP="00D41B57">
            <w:pPr>
              <w:jc w:val="center"/>
              <w:rPr>
                <w:color w:val="000000"/>
                <w:sz w:val="22"/>
                <w:szCs w:val="22"/>
                <w:lang w:eastAsia="en-GB"/>
              </w:rPr>
            </w:pPr>
            <w:r w:rsidRPr="00E92A6C">
              <w:rPr>
                <w:rFonts w:cs="Arial"/>
                <w:color w:val="000000"/>
                <w:sz w:val="22"/>
                <w:szCs w:val="22"/>
              </w:rPr>
              <w:t>5,182.6</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496" w:type="dxa"/>
            <w:vMerge w:val="restart"/>
            <w:tcBorders>
              <w:top w:val="single" w:sz="4" w:space="0" w:color="000000"/>
              <w:left w:val="single" w:sz="4" w:space="0" w:color="auto"/>
              <w:bottom w:val="single" w:sz="4" w:space="0" w:color="000000"/>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Level 2</w:t>
            </w: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OR18B</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Bucharest Southern Ring Road Upgrade</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71.0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14.5%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175.7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5,358.3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2</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OR7A</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Bacau-Suceava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70.2</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12.6%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645.4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6,003.7</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3</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OR12</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Nadaselu - Suplacu de Barcau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57.0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550.0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6,553.7</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4</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OR19</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Bucharest-Alexandria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56.6</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369.6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6,923.3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5</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OR13C</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Buzau-Focsani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55.8</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11.0%</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282.0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7,205.4</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6</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OR7B</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Suceava-Siret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52.1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11.7%</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186.1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7,391.5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7</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OR13D</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Targu Neamt-Iasi-Ungheni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51.5</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10.8%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700.0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8,091.5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8</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OR15</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Sibiu-Pitesti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51.3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12.1%</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2,471.2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10,562.6</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9</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OR6B</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Bacau-Focsani-Braila-Galati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46.5</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11.2%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1,024.2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11,586.8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10</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OR9B</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Turda-Halmeu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Other links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44.0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13.5%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975.4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12,562.2</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11</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OR19D</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Henri Coanda Airport connection to A3</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43.8</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9.3%</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125.6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12,687.8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12</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OR17</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Gaesti-Ploiesti-Buzau-Braila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43.4</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11.9%</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1,279.6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13,967.4</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13</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OR10</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Lugoj- Craiova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40.1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10.0%</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1,810.9</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15,778.3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14</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OR21</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A1 Widening Bucharest-Pitesti</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34.7</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7.6%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442.0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16,220.3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15</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OR7C</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Suceava-Botosani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Secondary connectivity with TEN-T</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32.3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8.9%</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345.8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16,566.1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16</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OR13</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Targu Mures-Targu Neamt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31.9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8.4%</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3,400.0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19,966.1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17</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OR14</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Brasov-Pitesti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25.4</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9.1%</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1,842.6</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21,808.7</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18</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OR18A</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Bucharest Ring Road Motorway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24.7</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5.7%</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1,683.8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23,492.5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19</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OR8</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Bacau-Piatra Neamt Expressway</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Other links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19.4</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10.6%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335.1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23,827.6</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20</w:t>
            </w:r>
          </w:p>
        </w:tc>
        <w:tc>
          <w:tcPr>
            <w:tcW w:w="496" w:type="dxa"/>
            <w:vMerge/>
            <w:tcBorders>
              <w:top w:val="single" w:sz="4" w:space="0" w:color="000000"/>
              <w:left w:val="single" w:sz="4" w:space="0" w:color="auto"/>
              <w:bottom w:val="single" w:sz="4" w:space="0" w:color="000000"/>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OR11</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Constanta-Tulcea-Braila Expressway (including Braila Bridge)</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17.1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5.4%</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1,369.3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25,196.9</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sidRPr="00E061CC">
              <w:rPr>
                <w:color w:val="000000"/>
                <w:sz w:val="22"/>
                <w:szCs w:val="22"/>
                <w:lang w:eastAsia="en-GB"/>
              </w:rPr>
              <w:t>1</w:t>
            </w:r>
          </w:p>
        </w:tc>
        <w:tc>
          <w:tcPr>
            <w:tcW w:w="496" w:type="dxa"/>
            <w:vMerge w:val="restart"/>
            <w:tcBorders>
              <w:top w:val="nil"/>
              <w:left w:val="single" w:sz="4" w:space="0" w:color="auto"/>
              <w:bottom w:val="nil"/>
              <w:right w:val="single" w:sz="4" w:space="0" w:color="auto"/>
            </w:tcBorders>
            <w:shd w:val="clear" w:color="000000" w:fill="FFFFFF"/>
            <w:textDirection w:val="btLr"/>
            <w:vAlign w:val="center"/>
            <w:hideMark/>
          </w:tcPr>
          <w:p w:rsidR="0085264B" w:rsidRPr="00E061CC" w:rsidRDefault="0085264B" w:rsidP="00D41B57">
            <w:pPr>
              <w:jc w:val="center"/>
              <w:rPr>
                <w:bCs/>
                <w:color w:val="000000"/>
                <w:sz w:val="22"/>
                <w:szCs w:val="22"/>
                <w:lang w:eastAsia="en-GB"/>
              </w:rPr>
            </w:pPr>
            <w:r w:rsidRPr="00E061CC">
              <w:rPr>
                <w:bCs/>
                <w:color w:val="000000"/>
                <w:sz w:val="22"/>
                <w:szCs w:val="22"/>
                <w:lang w:eastAsia="en-GB"/>
              </w:rPr>
              <w:t>Bypasses</w:t>
            </w: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BP10</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Targoviste</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57.0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22.7%</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78.0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78.0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BP12</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Adjud</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56.6</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19.0%</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46.2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124.2</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3</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BP4</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Roman</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47.9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15.9%</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186.1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4</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BP11</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Filiasi</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46.9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27.7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213.8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5</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BP25</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Vatra Dornei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43.6</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17.9%</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18.3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232.1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6</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BP15</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Falticeni</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40.1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41.3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273.3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7</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BP5</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Focsani</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39.9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13.1%</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76.1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349.4</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8</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BP3</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Sighisoara</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37.6</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15.8%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47.7</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397.1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9</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BP28</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Timisoara South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33.2</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9.7%</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127.4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524.5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10</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BP20</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Sfântu Gheorghe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25.1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11.4%</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34.0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558.5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11</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BP14</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Ludus</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24.5</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102.5</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661.0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12</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BP23</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Bârlad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24.3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11.1%</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51.1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712.1</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13</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BP7</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Buzau</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23.9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7.5%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104.8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817.0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14</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BP21</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Giurgiu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23.7</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7.4%</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72.0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889.0</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15</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BP24</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Slobozia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22.8</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10.6%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23.3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912.3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16</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BP6</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Ramnicu Sarat</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22.0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6.8%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949.4</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17</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BP9</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Ramnicu Valcea</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20.5</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6.2%</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195.4</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1,144.8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18</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BP16</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Caransebes</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18.9</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5.7%</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80.8</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1,225.6</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19</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BP22</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Vaslui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17.3</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8.6%</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72.9</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1,298.5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20</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BP13</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Mizil</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Core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17.0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color w:val="000000"/>
                <w:sz w:val="20"/>
                <w:szCs w:val="20"/>
              </w:rPr>
              <w:t>1.9%</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36.0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1,334.5</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21</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BP17</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Beclean</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16.7</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8.4%</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42.2</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1,376.7</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color w:val="000000"/>
                <w:sz w:val="22"/>
                <w:szCs w:val="22"/>
                <w:lang w:eastAsia="en-GB"/>
              </w:rPr>
              <w:t>22</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BP27</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Mangalia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14.1</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bCs/>
                <w:color w:val="000000"/>
                <w:sz w:val="22"/>
                <w:szCs w:val="22"/>
                <w:lang w:eastAsia="en-GB"/>
              </w:rPr>
            </w:pPr>
            <w:r>
              <w:rPr>
                <w:rFonts w:cs="Arial"/>
                <w:b/>
                <w:bCs/>
                <w:color w:val="000000"/>
                <w:sz w:val="20"/>
                <w:szCs w:val="20"/>
              </w:rPr>
              <w:t>7.5%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44.1</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RDefault="0085264B" w:rsidP="00D41B57">
            <w:pPr>
              <w:jc w:val="center"/>
              <w:rPr>
                <w:color w:val="000000"/>
                <w:sz w:val="22"/>
                <w:szCs w:val="22"/>
                <w:lang w:eastAsia="en-GB"/>
              </w:rPr>
            </w:pPr>
            <w:r>
              <w:rPr>
                <w:rFonts w:cs="Arial"/>
                <w:color w:val="000000"/>
                <w:sz w:val="20"/>
                <w:szCs w:val="20"/>
              </w:rPr>
              <w:t>1,420.8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23</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BP18</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Bistriţa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11.4</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b/>
                <w:bCs/>
                <w:color w:val="000000"/>
                <w:sz w:val="20"/>
                <w:szCs w:val="20"/>
              </w:rPr>
              <w:t>6.5%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157.0</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1,577.8</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24</w:t>
            </w:r>
          </w:p>
        </w:tc>
        <w:tc>
          <w:tcPr>
            <w:tcW w:w="496" w:type="dxa"/>
            <w:vMerge/>
            <w:tcBorders>
              <w:top w:val="nil"/>
              <w:left w:val="single" w:sz="4" w:space="0" w:color="auto"/>
              <w:bottom w:val="nil"/>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BP19</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Miercurea Ciuc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color w:val="000000"/>
                <w:sz w:val="20"/>
                <w:szCs w:val="20"/>
              </w:rPr>
              <w:t>4.8%</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110.5</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1,688.3</w:t>
            </w:r>
          </w:p>
        </w:tc>
      </w:tr>
      <w:tr w:rsidR="0085264B" w:rsidRPr="00E061CC" w:rsidTr="00D41B57">
        <w:tc>
          <w:tcPr>
            <w:tcW w:w="488"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6D55CD" w:rsidRDefault="0085264B" w:rsidP="00D41B57">
            <w:pPr>
              <w:jc w:val="center"/>
              <w:rPr>
                <w:color w:val="000000"/>
                <w:sz w:val="22"/>
                <w:szCs w:val="22"/>
                <w:lang w:eastAsia="en-GB"/>
              </w:rPr>
            </w:pPr>
            <w:r>
              <w:rPr>
                <w:color w:val="000000"/>
                <w:sz w:val="22"/>
                <w:szCs w:val="22"/>
                <w:lang w:eastAsia="en-GB"/>
              </w:rPr>
              <w:t>25</w:t>
            </w:r>
          </w:p>
        </w:tc>
        <w:tc>
          <w:tcPr>
            <w:tcW w:w="496" w:type="dxa"/>
            <w:vMerge/>
            <w:tcBorders>
              <w:top w:val="nil"/>
              <w:left w:val="single" w:sz="4" w:space="0" w:color="auto"/>
              <w:bottom w:val="single" w:sz="4" w:space="0" w:color="auto"/>
              <w:right w:val="single" w:sz="4" w:space="0" w:color="auto"/>
            </w:tcBorders>
            <w:vAlign w:val="center"/>
            <w:hideMark/>
          </w:tcPr>
          <w:p w:rsidR="0085264B" w:rsidRPr="00E061CC" w:rsidRDefault="0085264B" w:rsidP="00D41B57">
            <w:pPr>
              <w:rPr>
                <w:b/>
                <w:bCs/>
                <w:color w:val="000000"/>
                <w:sz w:val="22"/>
                <w:szCs w:val="22"/>
                <w:lang w:eastAsia="en-GB"/>
              </w:rPr>
            </w:pPr>
          </w:p>
        </w:tc>
        <w:tc>
          <w:tcPr>
            <w:tcW w:w="100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BP26</w:t>
            </w:r>
          </w:p>
        </w:tc>
        <w:tc>
          <w:tcPr>
            <w:tcW w:w="302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Câmpulung Moldovenesc </w:t>
            </w:r>
          </w:p>
        </w:tc>
        <w:tc>
          <w:tcPr>
            <w:tcW w:w="2854"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rPr>
                <w:color w:val="000000"/>
                <w:sz w:val="22"/>
                <w:szCs w:val="22"/>
                <w:lang w:eastAsia="en-GB"/>
              </w:rPr>
            </w:pPr>
            <w:r>
              <w:rPr>
                <w:rFonts w:cs="Arial"/>
                <w:color w:val="000000"/>
                <w:sz w:val="20"/>
                <w:szCs w:val="20"/>
              </w:rPr>
              <w:t xml:space="preserve">Comprehensive TEN-T link </w:t>
            </w:r>
          </w:p>
        </w:tc>
        <w:tc>
          <w:tcPr>
            <w:tcW w:w="1028"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7.0</w:t>
            </w:r>
          </w:p>
        </w:tc>
        <w:tc>
          <w:tcPr>
            <w:tcW w:w="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bCs/>
                <w:color w:val="000000"/>
                <w:sz w:val="22"/>
                <w:szCs w:val="22"/>
                <w:lang w:eastAsia="en-GB"/>
              </w:rPr>
            </w:pPr>
            <w:r>
              <w:rPr>
                <w:rFonts w:cs="Arial"/>
                <w:color w:val="000000"/>
                <w:sz w:val="20"/>
                <w:szCs w:val="20"/>
              </w:rPr>
              <w:t>2.5%</w:t>
            </w:r>
          </w:p>
        </w:tc>
        <w:tc>
          <w:tcPr>
            <w:tcW w:w="1375" w:type="dxa"/>
            <w:tcBorders>
              <w:top w:val="nil"/>
              <w:left w:val="nil"/>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99.3</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85264B" w:rsidRPr="00E061CC" w:rsidDel="00E92A6C" w:rsidRDefault="0085264B" w:rsidP="00D41B57">
            <w:pPr>
              <w:jc w:val="center"/>
              <w:rPr>
                <w:color w:val="000000"/>
                <w:sz w:val="22"/>
                <w:szCs w:val="22"/>
                <w:lang w:eastAsia="en-GB"/>
              </w:rPr>
            </w:pPr>
            <w:r>
              <w:rPr>
                <w:rFonts w:cs="Arial"/>
                <w:color w:val="000000"/>
                <w:sz w:val="20"/>
                <w:szCs w:val="20"/>
              </w:rPr>
              <w:t>1,787.6</w:t>
            </w:r>
          </w:p>
        </w:tc>
      </w:tr>
    </w:tbl>
    <w:p w:rsidR="0085264B" w:rsidRPr="00A83752" w:rsidRDefault="0085264B" w:rsidP="0085264B">
      <w:pPr>
        <w:rPr>
          <w:sz w:val="22"/>
          <w:szCs w:val="22"/>
        </w:rPr>
      </w:pPr>
    </w:p>
    <w:p w:rsidR="0085264B" w:rsidRDefault="0085264B" w:rsidP="0085264B">
      <w:pPr>
        <w:ind w:left="284" w:firstLine="567"/>
        <w:rPr>
          <w:i/>
          <w:sz w:val="22"/>
          <w:szCs w:val="22"/>
        </w:rPr>
      </w:pPr>
      <w:r w:rsidRPr="0019173A">
        <w:rPr>
          <w:i/>
          <w:sz w:val="22"/>
          <w:szCs w:val="22"/>
        </w:rPr>
        <w:t>Source: AECOM analysis</w:t>
      </w:r>
    </w:p>
    <w:p w:rsidR="0085264B" w:rsidRDefault="0085264B" w:rsidP="0085264B">
      <w:pPr>
        <w:spacing w:before="120" w:after="120" w:line="276" w:lineRule="auto"/>
        <w:rPr>
          <w:sz w:val="22"/>
          <w:szCs w:val="22"/>
        </w:rPr>
        <w:sectPr w:rsidR="0085264B" w:rsidSect="009706A8">
          <w:pgSz w:w="16840" w:h="11907" w:orient="landscape" w:code="9"/>
          <w:pgMar w:top="907" w:right="1418" w:bottom="709" w:left="1418" w:header="357" w:footer="567" w:gutter="0"/>
          <w:cols w:space="187"/>
          <w:docGrid w:linePitch="360"/>
        </w:sectPr>
      </w:pPr>
    </w:p>
    <w:p w:rsidR="0085264B" w:rsidRPr="007A06E8" w:rsidRDefault="0085264B" w:rsidP="0085264B">
      <w:pPr>
        <w:spacing w:before="120" w:after="120" w:line="276" w:lineRule="auto"/>
        <w:rPr>
          <w:b/>
          <w:sz w:val="22"/>
          <w:szCs w:val="22"/>
        </w:rPr>
      </w:pPr>
      <w:r w:rsidRPr="007A06E8">
        <w:rPr>
          <w:b/>
          <w:sz w:val="22"/>
          <w:szCs w:val="22"/>
        </w:rPr>
        <w:t xml:space="preserve">Table </w:t>
      </w:r>
      <w:r>
        <w:rPr>
          <w:b/>
          <w:sz w:val="22"/>
          <w:szCs w:val="22"/>
        </w:rPr>
        <w:t xml:space="preserve">4.26 </w:t>
      </w:r>
      <w:r w:rsidR="00320855">
        <w:rPr>
          <w:b/>
          <w:sz w:val="22"/>
          <w:szCs w:val="22"/>
        </w:rPr>
        <w:tab/>
        <w:t>TEN-T Comparator Scenario – Prioritisation of schemes</w:t>
      </w:r>
    </w:p>
    <w:tbl>
      <w:tblPr>
        <w:tblW w:w="12176" w:type="dxa"/>
        <w:tblCellMar>
          <w:left w:w="0" w:type="dxa"/>
          <w:right w:w="0" w:type="dxa"/>
        </w:tblCellMar>
        <w:tblLook w:val="04A0" w:firstRow="1" w:lastRow="0" w:firstColumn="1" w:lastColumn="0" w:noHBand="0" w:noVBand="1"/>
      </w:tblPr>
      <w:tblGrid>
        <w:gridCol w:w="528"/>
        <w:gridCol w:w="537"/>
        <w:gridCol w:w="1203"/>
        <w:gridCol w:w="2854"/>
        <w:gridCol w:w="2391"/>
        <w:gridCol w:w="959"/>
        <w:gridCol w:w="1026"/>
        <w:gridCol w:w="1275"/>
        <w:gridCol w:w="1403"/>
      </w:tblGrid>
      <w:tr w:rsidR="00320855" w:rsidRPr="00367A5B" w:rsidTr="00320855">
        <w:trPr>
          <w:trHeight w:val="1002"/>
        </w:trPr>
        <w:tc>
          <w:tcPr>
            <w:tcW w:w="528"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 </w:t>
            </w:r>
          </w:p>
        </w:tc>
        <w:tc>
          <w:tcPr>
            <w:tcW w:w="1740" w:type="dxa"/>
            <w:gridSpan w:val="2"/>
            <w:tcBorders>
              <w:top w:val="single" w:sz="4" w:space="0" w:color="auto"/>
              <w:left w:val="nil"/>
              <w:bottom w:val="single" w:sz="4" w:space="0" w:color="auto"/>
              <w:right w:val="single" w:sz="4" w:space="0" w:color="000000"/>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Code</w:t>
            </w:r>
          </w:p>
        </w:tc>
        <w:tc>
          <w:tcPr>
            <w:tcW w:w="2854"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Project Description</w:t>
            </w:r>
          </w:p>
        </w:tc>
        <w:tc>
          <w:tcPr>
            <w:tcW w:w="2391"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TEN-T</w:t>
            </w:r>
          </w:p>
        </w:tc>
        <w:tc>
          <w:tcPr>
            <w:tcW w:w="959"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Score</w:t>
            </w:r>
          </w:p>
        </w:tc>
        <w:tc>
          <w:tcPr>
            <w:tcW w:w="1026"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Cs/>
                <w:color w:val="FFFFFF"/>
                <w:sz w:val="22"/>
                <w:szCs w:val="22"/>
              </w:rPr>
            </w:pPr>
            <w:r w:rsidRPr="00367A5B">
              <w:rPr>
                <w:bCs/>
                <w:color w:val="FFFFFF"/>
                <w:sz w:val="22"/>
                <w:szCs w:val="22"/>
              </w:rPr>
              <w:t>EIRR</w:t>
            </w:r>
          </w:p>
        </w:tc>
        <w:tc>
          <w:tcPr>
            <w:tcW w:w="1275" w:type="dxa"/>
            <w:tcBorders>
              <w:top w:val="single" w:sz="4" w:space="0" w:color="auto"/>
              <w:left w:val="nil"/>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Cost (2014 prices)</w:t>
            </w:r>
          </w:p>
        </w:tc>
        <w:tc>
          <w:tcPr>
            <w:tcW w:w="1403" w:type="dxa"/>
            <w:tcBorders>
              <w:top w:val="single" w:sz="4" w:space="0" w:color="auto"/>
              <w:left w:val="single" w:sz="4" w:space="0" w:color="auto"/>
              <w:bottom w:val="single" w:sz="4" w:space="0" w:color="auto"/>
              <w:right w:val="single" w:sz="4" w:space="0" w:color="auto"/>
            </w:tcBorders>
            <w:shd w:val="clear" w:color="000000" w:fill="376091"/>
            <w:vAlign w:val="center"/>
            <w:hideMark/>
          </w:tcPr>
          <w:p w:rsidR="00320855" w:rsidRPr="00367A5B" w:rsidRDefault="00320855" w:rsidP="00D41B57">
            <w:pPr>
              <w:jc w:val="center"/>
              <w:rPr>
                <w:b/>
                <w:bCs/>
                <w:color w:val="FFFFFF"/>
                <w:sz w:val="22"/>
                <w:szCs w:val="22"/>
              </w:rPr>
            </w:pPr>
            <w:r w:rsidRPr="00367A5B">
              <w:rPr>
                <w:b/>
                <w:bCs/>
                <w:color w:val="FFFFFF"/>
                <w:sz w:val="22"/>
                <w:szCs w:val="22"/>
              </w:rPr>
              <w:t>Cumulated Cost</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w:t>
            </w:r>
          </w:p>
        </w:tc>
        <w:tc>
          <w:tcPr>
            <w:tcW w:w="537"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rsidR="00320855" w:rsidRPr="00367A5B" w:rsidRDefault="00320855" w:rsidP="00D41B57">
            <w:pPr>
              <w:jc w:val="center"/>
              <w:rPr>
                <w:b/>
                <w:bCs/>
                <w:color w:val="000000"/>
                <w:sz w:val="22"/>
                <w:szCs w:val="22"/>
              </w:rPr>
            </w:pPr>
            <w:r w:rsidRPr="00367A5B">
              <w:rPr>
                <w:b/>
                <w:bCs/>
                <w:color w:val="000000"/>
                <w:sz w:val="22"/>
                <w:szCs w:val="22"/>
              </w:rPr>
              <w:t>Completion of Core TEN-T</w:t>
            </w: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OR18B</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Bucharest Southern Ring Road Upgrade</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100.0</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14.5%</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175.7</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175.7</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H2</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Sibiu-Pitesti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74.7</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12.1%</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2,471.2</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2,646.9</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2a</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H11a</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Ploiesti-Bacau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63.6</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11.0%</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1,700.0</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4,346.9</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3</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H11</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Bacau-Suceava-Siret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63.6</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11.0%</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1,781.3</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6,128.1</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H13a</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Campia Turzii - Targu Mures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47.4</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9.5%</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450.0</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6,578.1</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5</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H15</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Targu Mures-Iasi-Ungheni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39.4</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8.7%</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5,056.3</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11,634.4</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6</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H28</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Lugoj - Craiova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28.5</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7.7%</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2,399.2</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14,033.6</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7</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H9</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Bucharest-Alexandria-Craiova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23.0</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7.2%</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1,189.8</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15,223.4</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8</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H10</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Craiova-Calafat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2.3</w:t>
            </w:r>
          </w:p>
        </w:tc>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bCs/>
                <w:color w:val="000000"/>
                <w:sz w:val="22"/>
                <w:szCs w:val="22"/>
              </w:rPr>
            </w:pPr>
            <w:r w:rsidRPr="00367A5B">
              <w:rPr>
                <w:bCs/>
                <w:color w:val="000000"/>
                <w:sz w:val="22"/>
                <w:szCs w:val="22"/>
              </w:rPr>
              <w:t>5.2%</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419.2</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15,642.6</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9</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H29</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Drobeta - Calafat Motorway (including H28)</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0.0</w:t>
            </w:r>
          </w:p>
        </w:tc>
        <w:tc>
          <w:tcPr>
            <w:tcW w:w="1026"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4.5%</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482.0</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16,124.6</w:t>
            </w:r>
          </w:p>
        </w:tc>
      </w:tr>
      <w:tr w:rsidR="00320855" w:rsidRPr="00367A5B" w:rsidTr="00320855">
        <w:trPr>
          <w:trHeight w:val="499"/>
        </w:trPr>
        <w:tc>
          <w:tcPr>
            <w:tcW w:w="528"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10</w:t>
            </w:r>
          </w:p>
        </w:tc>
        <w:tc>
          <w:tcPr>
            <w:tcW w:w="0" w:type="auto"/>
            <w:vMerge/>
            <w:tcBorders>
              <w:top w:val="nil"/>
              <w:left w:val="single" w:sz="4" w:space="0" w:color="auto"/>
              <w:bottom w:val="single" w:sz="4" w:space="0" w:color="auto"/>
              <w:right w:val="single" w:sz="4" w:space="0" w:color="auto"/>
            </w:tcBorders>
            <w:vAlign w:val="center"/>
            <w:hideMark/>
          </w:tcPr>
          <w:p w:rsidR="00320855" w:rsidRPr="00367A5B" w:rsidRDefault="00320855" w:rsidP="00D41B57">
            <w:pPr>
              <w:rPr>
                <w:b/>
                <w:bCs/>
                <w:color w:val="000000"/>
                <w:sz w:val="22"/>
                <w:szCs w:val="22"/>
              </w:rPr>
            </w:pPr>
          </w:p>
        </w:tc>
        <w:tc>
          <w:tcPr>
            <w:tcW w:w="1203"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H27</w:t>
            </w:r>
          </w:p>
        </w:tc>
        <w:tc>
          <w:tcPr>
            <w:tcW w:w="2854"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Timisoara - Moravita Motorway</w:t>
            </w:r>
          </w:p>
        </w:tc>
        <w:tc>
          <w:tcPr>
            <w:tcW w:w="2391"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rPr>
                <w:color w:val="000000"/>
                <w:sz w:val="22"/>
                <w:szCs w:val="22"/>
              </w:rPr>
            </w:pPr>
            <w:r w:rsidRPr="00367A5B">
              <w:rPr>
                <w:color w:val="000000"/>
                <w:sz w:val="22"/>
                <w:szCs w:val="22"/>
              </w:rPr>
              <w:t xml:space="preserve">Core TEN-T link </w:t>
            </w:r>
          </w:p>
        </w:tc>
        <w:tc>
          <w:tcPr>
            <w:tcW w:w="959"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0.0</w:t>
            </w:r>
          </w:p>
        </w:tc>
        <w:tc>
          <w:tcPr>
            <w:tcW w:w="1026"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3.7%</w:t>
            </w:r>
          </w:p>
        </w:tc>
        <w:tc>
          <w:tcPr>
            <w:tcW w:w="1275" w:type="dxa"/>
            <w:tcBorders>
              <w:top w:val="nil"/>
              <w:left w:val="nil"/>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470.4</w:t>
            </w:r>
          </w:p>
        </w:tc>
        <w:tc>
          <w:tcPr>
            <w:tcW w:w="1403" w:type="dxa"/>
            <w:tcBorders>
              <w:top w:val="nil"/>
              <w:left w:val="single" w:sz="4" w:space="0" w:color="auto"/>
              <w:bottom w:val="single" w:sz="4" w:space="0" w:color="auto"/>
              <w:right w:val="single" w:sz="4" w:space="0" w:color="auto"/>
            </w:tcBorders>
            <w:shd w:val="clear" w:color="000000" w:fill="FFFFFF"/>
            <w:vAlign w:val="center"/>
            <w:hideMark/>
          </w:tcPr>
          <w:p w:rsidR="00320855" w:rsidRPr="00367A5B" w:rsidRDefault="00320855" w:rsidP="00D41B57">
            <w:pPr>
              <w:jc w:val="center"/>
              <w:rPr>
                <w:color w:val="000000"/>
                <w:sz w:val="22"/>
                <w:szCs w:val="22"/>
              </w:rPr>
            </w:pPr>
            <w:r w:rsidRPr="00367A5B">
              <w:rPr>
                <w:color w:val="000000"/>
                <w:sz w:val="22"/>
                <w:szCs w:val="22"/>
              </w:rPr>
              <w:t>16,595.1</w:t>
            </w:r>
          </w:p>
        </w:tc>
      </w:tr>
    </w:tbl>
    <w:p w:rsidR="0085264B" w:rsidRDefault="0085264B" w:rsidP="0085264B">
      <w:pPr>
        <w:ind w:left="284" w:firstLine="567"/>
        <w:rPr>
          <w:i/>
        </w:rPr>
      </w:pPr>
      <w:r w:rsidRPr="0019173A">
        <w:rPr>
          <w:i/>
          <w:sz w:val="22"/>
          <w:szCs w:val="22"/>
        </w:rPr>
        <w:t>Source: AECOM analysis</w:t>
      </w:r>
    </w:p>
    <w:p w:rsidR="0085264B" w:rsidRDefault="0085264B" w:rsidP="0085264B">
      <w:pPr>
        <w:spacing w:before="120" w:after="120" w:line="276" w:lineRule="auto"/>
        <w:rPr>
          <w:sz w:val="22"/>
          <w:szCs w:val="22"/>
        </w:rPr>
      </w:pPr>
    </w:p>
    <w:p w:rsidR="0085264B" w:rsidRDefault="0085264B" w:rsidP="0085264B">
      <w:pPr>
        <w:rPr>
          <w:sz w:val="22"/>
          <w:szCs w:val="22"/>
        </w:rPr>
      </w:pPr>
      <w:r>
        <w:br w:type="page"/>
      </w:r>
    </w:p>
    <w:p w:rsidR="0085264B" w:rsidRPr="007A06E8" w:rsidRDefault="0085264B" w:rsidP="0085264B">
      <w:pPr>
        <w:spacing w:before="120" w:after="120" w:line="276" w:lineRule="auto"/>
        <w:rPr>
          <w:b/>
          <w:sz w:val="22"/>
          <w:szCs w:val="22"/>
        </w:rPr>
      </w:pPr>
      <w:r w:rsidRPr="007A06E8">
        <w:rPr>
          <w:b/>
          <w:sz w:val="22"/>
          <w:szCs w:val="22"/>
        </w:rPr>
        <w:t xml:space="preserve">Figure </w:t>
      </w:r>
      <w:r>
        <w:rPr>
          <w:b/>
          <w:sz w:val="22"/>
          <w:szCs w:val="22"/>
        </w:rPr>
        <w:t xml:space="preserve">4.65 </w:t>
      </w:r>
      <w:r w:rsidRPr="007A06E8">
        <w:rPr>
          <w:b/>
          <w:sz w:val="22"/>
          <w:szCs w:val="22"/>
        </w:rPr>
        <w:t>EES Final Strategy (2020) Highway Network</w:t>
      </w:r>
    </w:p>
    <w:p w:rsidR="0085264B" w:rsidRDefault="0085264B" w:rsidP="0085264B">
      <w:pPr>
        <w:spacing w:before="120" w:after="120" w:line="276" w:lineRule="auto"/>
        <w:rPr>
          <w:sz w:val="22"/>
          <w:szCs w:val="22"/>
        </w:rPr>
      </w:pPr>
      <w:r>
        <w:rPr>
          <w:noProof/>
          <w:sz w:val="22"/>
          <w:szCs w:val="22"/>
          <w:lang w:val="ro-RO" w:eastAsia="ro-RO"/>
        </w:rPr>
        <w:drawing>
          <wp:inline distT="0" distB="0" distL="0" distR="0" wp14:anchorId="4E11B9FD" wp14:editId="1918F442">
            <wp:extent cx="8891270" cy="5932170"/>
            <wp:effectExtent l="19050" t="19050" r="24130" b="11430"/>
            <wp:docPr id="165" name="Picture 0" descr="EES_FinalStrategy_202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_FinalStrategy_2020_Highway_Network_Plot.png"/>
                    <pic:cNvPicPr/>
                  </pic:nvPicPr>
                  <pic:blipFill>
                    <a:blip r:embed="rId156" cstate="email">
                      <a:extLst>
                        <a:ext uri="{28A0092B-C50C-407E-A947-70E740481C1C}">
                          <a14:useLocalDpi xmlns:a14="http://schemas.microsoft.com/office/drawing/2010/main"/>
                        </a:ext>
                      </a:extLst>
                    </a:blip>
                    <a:stretch>
                      <a:fillRect/>
                    </a:stretch>
                  </pic:blipFill>
                  <pic:spPr>
                    <a:xfrm>
                      <a:off x="0" y="0"/>
                      <a:ext cx="8891270" cy="5932170"/>
                    </a:xfrm>
                    <a:prstGeom prst="rect">
                      <a:avLst/>
                    </a:prstGeom>
                    <a:ln>
                      <a:solidFill>
                        <a:schemeClr val="accent1"/>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Pr="007A06E8" w:rsidRDefault="0085264B" w:rsidP="0085264B">
      <w:pPr>
        <w:spacing w:before="120" w:after="120" w:line="276" w:lineRule="auto"/>
        <w:rPr>
          <w:b/>
          <w:sz w:val="22"/>
          <w:szCs w:val="22"/>
        </w:rPr>
      </w:pPr>
      <w:r w:rsidRPr="007A06E8">
        <w:rPr>
          <w:b/>
          <w:sz w:val="22"/>
          <w:szCs w:val="22"/>
        </w:rPr>
        <w:t xml:space="preserve">Figure </w:t>
      </w:r>
      <w:r>
        <w:rPr>
          <w:b/>
          <w:sz w:val="22"/>
          <w:szCs w:val="22"/>
        </w:rPr>
        <w:t xml:space="preserve">4.66 </w:t>
      </w:r>
      <w:r w:rsidRPr="007A06E8">
        <w:rPr>
          <w:b/>
          <w:sz w:val="22"/>
          <w:szCs w:val="22"/>
        </w:rPr>
        <w:t>EES Final Strategy (2030) Highway Network</w:t>
      </w:r>
    </w:p>
    <w:p w:rsidR="0085264B" w:rsidRDefault="0085264B" w:rsidP="0085264B">
      <w:pPr>
        <w:spacing w:before="120" w:after="120" w:line="276" w:lineRule="auto"/>
        <w:rPr>
          <w:sz w:val="22"/>
          <w:szCs w:val="22"/>
        </w:rPr>
      </w:pPr>
      <w:r>
        <w:rPr>
          <w:noProof/>
          <w:sz w:val="22"/>
          <w:szCs w:val="22"/>
          <w:lang w:val="ro-RO" w:eastAsia="ro-RO"/>
        </w:rPr>
        <w:drawing>
          <wp:inline distT="0" distB="0" distL="0" distR="0" wp14:anchorId="6D5F372E" wp14:editId="78D4CA2E">
            <wp:extent cx="8891270" cy="5932170"/>
            <wp:effectExtent l="19050" t="19050" r="24130" b="11430"/>
            <wp:docPr id="168" name="Picture 1" descr="EES_FinalStrategy_203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_FinalStrategy_2030_Highway_Network_Plot.png"/>
                    <pic:cNvPicPr/>
                  </pic:nvPicPr>
                  <pic:blipFill>
                    <a:blip r:embed="rId157" cstate="email">
                      <a:extLst>
                        <a:ext uri="{28A0092B-C50C-407E-A947-70E740481C1C}">
                          <a14:useLocalDpi xmlns:a14="http://schemas.microsoft.com/office/drawing/2010/main"/>
                        </a:ext>
                      </a:extLst>
                    </a:blip>
                    <a:stretch>
                      <a:fillRect/>
                    </a:stretch>
                  </pic:blipFill>
                  <pic:spPr>
                    <a:xfrm>
                      <a:off x="0" y="0"/>
                      <a:ext cx="8891270" cy="5932170"/>
                    </a:xfrm>
                    <a:prstGeom prst="rect">
                      <a:avLst/>
                    </a:prstGeom>
                    <a:ln>
                      <a:solidFill>
                        <a:schemeClr val="accent1"/>
                      </a:solidFill>
                    </a:ln>
                  </pic:spPr>
                </pic:pic>
              </a:graphicData>
            </a:graphic>
          </wp:inline>
        </w:drawing>
      </w:r>
    </w:p>
    <w:p w:rsidR="0085264B" w:rsidRDefault="0085264B" w:rsidP="0085264B">
      <w:pPr>
        <w:pStyle w:val="NumberedParas"/>
        <w:tabs>
          <w:tab w:val="clear" w:pos="2291"/>
          <w:tab w:val="left" w:pos="851"/>
          <w:tab w:val="left" w:pos="2268"/>
          <w:tab w:val="num" w:pos="2433"/>
        </w:tabs>
        <w:ind w:left="851" w:hanging="851"/>
      </w:pPr>
      <w:r>
        <w:t>Source: AECOM analysis of Romanian National Transport Model</w:t>
      </w:r>
    </w:p>
    <w:p w:rsidR="0085264B" w:rsidRPr="007A06E8" w:rsidRDefault="0085264B" w:rsidP="0085264B">
      <w:pPr>
        <w:spacing w:before="120" w:after="120" w:line="276" w:lineRule="auto"/>
        <w:rPr>
          <w:b/>
          <w:sz w:val="22"/>
          <w:szCs w:val="22"/>
        </w:rPr>
      </w:pPr>
      <w:r w:rsidRPr="007A06E8">
        <w:rPr>
          <w:b/>
          <w:sz w:val="22"/>
          <w:szCs w:val="22"/>
        </w:rPr>
        <w:t xml:space="preserve">Figure </w:t>
      </w:r>
      <w:r>
        <w:rPr>
          <w:b/>
          <w:sz w:val="22"/>
          <w:szCs w:val="22"/>
        </w:rPr>
        <w:t xml:space="preserve">4.67 </w:t>
      </w:r>
      <w:r w:rsidRPr="007A06E8">
        <w:rPr>
          <w:b/>
          <w:sz w:val="22"/>
          <w:szCs w:val="22"/>
        </w:rPr>
        <w:t>ES Final Strategy (2020) Highway Network</w:t>
      </w:r>
    </w:p>
    <w:p w:rsidR="0085264B" w:rsidRDefault="0085264B" w:rsidP="0085264B">
      <w:pPr>
        <w:spacing w:before="120" w:after="120" w:line="276" w:lineRule="auto"/>
        <w:rPr>
          <w:sz w:val="22"/>
          <w:szCs w:val="22"/>
          <w:highlight w:val="yellow"/>
        </w:rPr>
      </w:pPr>
      <w:r>
        <w:rPr>
          <w:noProof/>
          <w:sz w:val="22"/>
          <w:szCs w:val="22"/>
          <w:lang w:val="ro-RO" w:eastAsia="ro-RO"/>
        </w:rPr>
        <w:drawing>
          <wp:inline distT="0" distB="0" distL="0" distR="0" wp14:anchorId="165D4B43" wp14:editId="141D0942">
            <wp:extent cx="8891270" cy="5932170"/>
            <wp:effectExtent l="19050" t="19050" r="24130" b="11430"/>
            <wp:docPr id="169" name="Picture 2" descr="ES_FinalStrategy_202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FinalStrategy_2020_Highway_Network_Plot.png"/>
                    <pic:cNvPicPr/>
                  </pic:nvPicPr>
                  <pic:blipFill>
                    <a:blip r:embed="rId158" cstate="email">
                      <a:extLst>
                        <a:ext uri="{28A0092B-C50C-407E-A947-70E740481C1C}">
                          <a14:useLocalDpi xmlns:a14="http://schemas.microsoft.com/office/drawing/2010/main"/>
                        </a:ext>
                      </a:extLst>
                    </a:blip>
                    <a:stretch>
                      <a:fillRect/>
                    </a:stretch>
                  </pic:blipFill>
                  <pic:spPr>
                    <a:xfrm>
                      <a:off x="0" y="0"/>
                      <a:ext cx="8891270" cy="5932170"/>
                    </a:xfrm>
                    <a:prstGeom prst="rect">
                      <a:avLst/>
                    </a:prstGeom>
                    <a:ln>
                      <a:solidFill>
                        <a:schemeClr val="accent1"/>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Pr="007A06E8" w:rsidRDefault="0085264B" w:rsidP="0085264B">
      <w:pPr>
        <w:spacing w:before="120" w:after="120" w:line="276" w:lineRule="auto"/>
        <w:rPr>
          <w:b/>
          <w:sz w:val="22"/>
          <w:szCs w:val="22"/>
        </w:rPr>
      </w:pPr>
      <w:r w:rsidRPr="007A06E8">
        <w:rPr>
          <w:b/>
          <w:sz w:val="22"/>
          <w:szCs w:val="22"/>
        </w:rPr>
        <w:t xml:space="preserve">Figure </w:t>
      </w:r>
      <w:r>
        <w:rPr>
          <w:b/>
          <w:sz w:val="22"/>
          <w:szCs w:val="22"/>
        </w:rPr>
        <w:t xml:space="preserve">4.68 </w:t>
      </w:r>
      <w:r w:rsidRPr="007A06E8">
        <w:rPr>
          <w:b/>
          <w:sz w:val="22"/>
          <w:szCs w:val="22"/>
        </w:rPr>
        <w:t>ES Final Strategy (2030) Highway Network</w:t>
      </w:r>
    </w:p>
    <w:p w:rsidR="0085264B" w:rsidRDefault="0085264B" w:rsidP="0085264B">
      <w:pPr>
        <w:spacing w:before="120" w:after="120" w:line="276" w:lineRule="auto"/>
        <w:rPr>
          <w:sz w:val="22"/>
          <w:szCs w:val="22"/>
          <w:highlight w:val="yellow"/>
        </w:rPr>
      </w:pPr>
      <w:r>
        <w:rPr>
          <w:noProof/>
          <w:sz w:val="22"/>
          <w:szCs w:val="22"/>
          <w:lang w:val="ro-RO" w:eastAsia="ro-RO"/>
        </w:rPr>
        <w:drawing>
          <wp:inline distT="0" distB="0" distL="0" distR="0" wp14:anchorId="38F8DA21" wp14:editId="3DD503D2">
            <wp:extent cx="8891270" cy="5932170"/>
            <wp:effectExtent l="19050" t="19050" r="24130" b="11430"/>
            <wp:docPr id="170" name="Picture 3" descr="ES_FinalStrategy_203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FinalStrategy_2030_Highway_Network_Plot.png"/>
                    <pic:cNvPicPr/>
                  </pic:nvPicPr>
                  <pic:blipFill>
                    <a:blip r:embed="rId159" cstate="email">
                      <a:extLst>
                        <a:ext uri="{28A0092B-C50C-407E-A947-70E740481C1C}">
                          <a14:useLocalDpi xmlns:a14="http://schemas.microsoft.com/office/drawing/2010/main"/>
                        </a:ext>
                      </a:extLst>
                    </a:blip>
                    <a:stretch>
                      <a:fillRect/>
                    </a:stretch>
                  </pic:blipFill>
                  <pic:spPr>
                    <a:xfrm>
                      <a:off x="0" y="0"/>
                      <a:ext cx="8891270" cy="5932170"/>
                    </a:xfrm>
                    <a:prstGeom prst="rect">
                      <a:avLst/>
                    </a:prstGeom>
                    <a:ln>
                      <a:solidFill>
                        <a:schemeClr val="accent1"/>
                      </a:solidFill>
                    </a:ln>
                  </pic:spPr>
                </pic:pic>
              </a:graphicData>
            </a:graphic>
          </wp:inline>
        </w:drawing>
      </w:r>
    </w:p>
    <w:p w:rsidR="0085264B" w:rsidRDefault="0085264B" w:rsidP="0085264B">
      <w:pPr>
        <w:ind w:left="284" w:firstLine="567"/>
        <w:rPr>
          <w:i/>
        </w:rPr>
      </w:pPr>
      <w:r w:rsidRPr="0019173A">
        <w:rPr>
          <w:i/>
          <w:sz w:val="22"/>
          <w:szCs w:val="22"/>
        </w:rPr>
        <w:t>Source: AECOM analysis of Romanian National Transport Model</w:t>
      </w:r>
    </w:p>
    <w:p w:rsidR="0085264B" w:rsidRDefault="0085264B" w:rsidP="0085264B">
      <w:pPr>
        <w:pStyle w:val="NumberedParas"/>
        <w:tabs>
          <w:tab w:val="clear" w:pos="2291"/>
          <w:tab w:val="left" w:pos="851"/>
          <w:tab w:val="left" w:pos="2268"/>
          <w:tab w:val="num" w:pos="2433"/>
        </w:tabs>
        <w:ind w:left="851" w:hanging="851"/>
        <w:sectPr w:rsidR="0085264B" w:rsidSect="009706A8">
          <w:pgSz w:w="16840" w:h="11907" w:orient="landscape" w:code="9"/>
          <w:pgMar w:top="907" w:right="1418" w:bottom="709" w:left="1418" w:header="357" w:footer="567" w:gutter="0"/>
          <w:cols w:space="187"/>
          <w:docGrid w:linePitch="360"/>
        </w:sectPr>
      </w:pPr>
    </w:p>
    <w:p w:rsidR="0085264B" w:rsidRPr="008E03B0" w:rsidRDefault="0085264B" w:rsidP="0085264B">
      <w:pPr>
        <w:pStyle w:val="Hdg2"/>
        <w:tabs>
          <w:tab w:val="clear" w:pos="2138"/>
          <w:tab w:val="num" w:pos="1430"/>
        </w:tabs>
        <w:ind w:left="851" w:hanging="851"/>
      </w:pPr>
      <w:bookmarkStart w:id="86" w:name="_Toc397020193"/>
      <w:bookmarkStart w:id="87" w:name="_Toc397065259"/>
      <w:bookmarkStart w:id="88" w:name="_Toc410648989"/>
      <w:bookmarkStart w:id="89" w:name="_Toc413056049"/>
      <w:r>
        <w:t>Summary of Interventions</w:t>
      </w:r>
      <w:bookmarkEnd w:id="86"/>
      <w:bookmarkEnd w:id="87"/>
      <w:bookmarkEnd w:id="88"/>
      <w:bookmarkEnd w:id="89"/>
    </w:p>
    <w:p w:rsidR="0085264B" w:rsidRDefault="0085264B" w:rsidP="0085264B">
      <w:pPr>
        <w:pStyle w:val="NumberedParas"/>
        <w:tabs>
          <w:tab w:val="clear" w:pos="2291"/>
          <w:tab w:val="left" w:pos="851"/>
          <w:tab w:val="left" w:pos="2268"/>
          <w:tab w:val="num" w:pos="2433"/>
        </w:tabs>
        <w:ind w:left="851" w:hanging="851"/>
      </w:pPr>
      <w:r w:rsidRPr="00E33DD9">
        <w:t>In addition to the infrastructure measures which have been discussed in this Chapter, there are a number of other proposed measures which seek to address the overall objectives of the Masterplan</w:t>
      </w:r>
      <w:r>
        <w:t>.</w:t>
      </w:r>
    </w:p>
    <w:p w:rsidR="0085264B" w:rsidRPr="00D31298" w:rsidRDefault="0085264B" w:rsidP="0085264B">
      <w:pPr>
        <w:pStyle w:val="Hdg3"/>
        <w:ind w:left="851"/>
      </w:pPr>
      <w:r w:rsidRPr="00D31298">
        <w:t>Maintenance Related</w:t>
      </w:r>
    </w:p>
    <w:p w:rsidR="0085264B" w:rsidRDefault="0085264B" w:rsidP="0085264B">
      <w:pPr>
        <w:pStyle w:val="NumberedParas"/>
        <w:tabs>
          <w:tab w:val="clear" w:pos="2291"/>
          <w:tab w:val="left" w:pos="851"/>
          <w:tab w:val="left" w:pos="2268"/>
          <w:tab w:val="num" w:pos="2433"/>
        </w:tabs>
        <w:ind w:left="851" w:hanging="851"/>
      </w:pPr>
      <w:r>
        <w:t xml:space="preserve">As set out </w:t>
      </w:r>
      <w:r w:rsidRPr="00031AF3">
        <w:t xml:space="preserve">in Table </w:t>
      </w:r>
      <w:r>
        <w:t>4.4</w:t>
      </w:r>
      <w:r w:rsidRPr="00031AF3">
        <w:t xml:space="preserve"> earlier in this</w:t>
      </w:r>
      <w:r>
        <w:t xml:space="preserve"> chapter, </w:t>
      </w:r>
      <w:r w:rsidRPr="00C87FEB">
        <w:t>only just over 50% of the national network is classified as good with a further 30% average and 20% poor. The expectation should be that the national network should be at the top end of the standard for any country.</w:t>
      </w:r>
      <w:r>
        <w:t xml:space="preserve"> Figure 4.4 also provided information in respect of the </w:t>
      </w:r>
      <w:r w:rsidRPr="00C87FEB">
        <w:t xml:space="preserve">proportion of </w:t>
      </w:r>
      <w:r>
        <w:t xml:space="preserve">the </w:t>
      </w:r>
      <w:r w:rsidRPr="00C87FEB">
        <w:t>national road network for which the design life has expired</w:t>
      </w:r>
      <w:r>
        <w:t>.</w:t>
      </w:r>
    </w:p>
    <w:p w:rsidR="0085264B" w:rsidRDefault="0085264B" w:rsidP="0085264B">
      <w:pPr>
        <w:pStyle w:val="NumberedParas"/>
        <w:tabs>
          <w:tab w:val="clear" w:pos="2291"/>
          <w:tab w:val="left" w:pos="851"/>
          <w:tab w:val="left" w:pos="2268"/>
          <w:tab w:val="num" w:pos="2433"/>
        </w:tabs>
        <w:ind w:left="851" w:hanging="851"/>
      </w:pPr>
      <w:r>
        <w:t xml:space="preserve">Furthermore, </w:t>
      </w:r>
      <w:r w:rsidRPr="00C87FEB">
        <w:t>48% of all routes have some element classified poor. Of these the average proportion, by length, is 24%. There is no distinction by topography, thereby suggesting a network wide issue.</w:t>
      </w:r>
    </w:p>
    <w:p w:rsidR="0085264B" w:rsidRDefault="0085264B" w:rsidP="0085264B">
      <w:pPr>
        <w:pStyle w:val="NumberedParas"/>
        <w:tabs>
          <w:tab w:val="clear" w:pos="2291"/>
          <w:tab w:val="left" w:pos="851"/>
          <w:tab w:val="left" w:pos="2268"/>
          <w:tab w:val="num" w:pos="2433"/>
        </w:tabs>
        <w:ind w:left="851" w:hanging="851"/>
      </w:pPr>
      <w:r>
        <w:t>T</w:t>
      </w:r>
      <w:r w:rsidRPr="00C87FEB">
        <w:t>he World Economic Forum, in their report on “Global Competitiveness (2011–2012)”, places Romania 137th out of 142 countries considered with regard to the quality of the road infrastructure.</w:t>
      </w:r>
    </w:p>
    <w:p w:rsidR="0085264B" w:rsidRDefault="0085264B" w:rsidP="0085264B">
      <w:pPr>
        <w:pStyle w:val="NumberedParas"/>
        <w:tabs>
          <w:tab w:val="clear" w:pos="2291"/>
          <w:tab w:val="left" w:pos="851"/>
          <w:tab w:val="left" w:pos="2268"/>
          <w:tab w:val="num" w:pos="2433"/>
        </w:tabs>
        <w:ind w:left="851" w:hanging="851"/>
      </w:pPr>
      <w:r>
        <w:t xml:space="preserve">It is evident that at least part of the problem revolves around maintenance activities, the way they are undertaken and managed as well as the way in which they are prioritised. It is proposed that the following measures are implemented to help improve the maintenance regime in Romania and meet the goal of a </w:t>
      </w:r>
      <w:r w:rsidRPr="00ED6989">
        <w:t>safe and operational road transport network</w:t>
      </w:r>
      <w:r>
        <w:t>:</w:t>
      </w:r>
    </w:p>
    <w:p w:rsidR="0085264B" w:rsidRDefault="0085264B" w:rsidP="00273D5E">
      <w:pPr>
        <w:pStyle w:val="BulletLevel1"/>
      </w:pPr>
      <w:r w:rsidRPr="00326CD5">
        <w:t>Adopt ‘Best Practice’ Pavement Management System (PMS)</w:t>
      </w:r>
      <w:r>
        <w:t>;</w:t>
      </w:r>
    </w:p>
    <w:p w:rsidR="0085264B" w:rsidRDefault="0085264B" w:rsidP="00273D5E">
      <w:pPr>
        <w:pStyle w:val="BulletLevel1"/>
      </w:pPr>
      <w:r w:rsidRPr="00326CD5">
        <w:t xml:space="preserve">Undertake </w:t>
      </w:r>
      <w:r w:rsidRPr="00273D5E">
        <w:t>an</w:t>
      </w:r>
      <w:r w:rsidRPr="00326CD5">
        <w:t xml:space="preserve"> Asset Management Review</w:t>
      </w:r>
      <w:r>
        <w:t>;</w:t>
      </w:r>
    </w:p>
    <w:p w:rsidR="0085264B" w:rsidRDefault="0085264B" w:rsidP="00273D5E">
      <w:pPr>
        <w:pStyle w:val="BulletLevel1"/>
      </w:pPr>
      <w:r w:rsidRPr="00326CD5">
        <w:t>Detailed Analysis of Operation and Management Funding Requirements</w:t>
      </w:r>
      <w:r>
        <w:t>;</w:t>
      </w:r>
    </w:p>
    <w:p w:rsidR="0085264B" w:rsidRDefault="0085264B" w:rsidP="00273D5E">
      <w:pPr>
        <w:pStyle w:val="BulletLevel1"/>
      </w:pPr>
      <w:r w:rsidRPr="00326CD5">
        <w:t>Operation and Management Prioritisation and Allocation</w:t>
      </w:r>
      <w:r>
        <w:t>;</w:t>
      </w:r>
    </w:p>
    <w:p w:rsidR="0085264B" w:rsidRDefault="0085264B" w:rsidP="00273D5E">
      <w:pPr>
        <w:pStyle w:val="BulletLevel1"/>
      </w:pPr>
      <w:r w:rsidRPr="00326CD5">
        <w:t>Define</w:t>
      </w:r>
      <w:r>
        <w:t xml:space="preserve"> Quality of Service Parameters; and</w:t>
      </w:r>
    </w:p>
    <w:p w:rsidR="0085264B" w:rsidRPr="007C5AB9" w:rsidRDefault="0085264B" w:rsidP="00273D5E">
      <w:pPr>
        <w:pStyle w:val="BulletLevel1"/>
      </w:pPr>
      <w:r w:rsidRPr="00326CD5">
        <w:t xml:space="preserve">Longer </w:t>
      </w:r>
      <w:r>
        <w:t>Term Contractual Arrangements.</w:t>
      </w:r>
    </w:p>
    <w:p w:rsidR="0085264B" w:rsidRDefault="0085264B" w:rsidP="0085264B">
      <w:pPr>
        <w:pStyle w:val="NumberedParas"/>
        <w:tabs>
          <w:tab w:val="clear" w:pos="2291"/>
          <w:tab w:val="left" w:pos="851"/>
          <w:tab w:val="left" w:pos="2268"/>
          <w:tab w:val="num" w:pos="2433"/>
        </w:tabs>
        <w:ind w:left="851" w:hanging="851"/>
      </w:pPr>
      <w:r w:rsidRPr="00326CD5">
        <w:t>A PMS will:</w:t>
      </w:r>
    </w:p>
    <w:p w:rsidR="0085264B" w:rsidRPr="00326CD5" w:rsidRDefault="0085264B" w:rsidP="00273D5E">
      <w:pPr>
        <w:pStyle w:val="BulletLevel1"/>
      </w:pPr>
      <w:r w:rsidRPr="00326CD5">
        <w:t>Evaluate the road condition;</w:t>
      </w:r>
    </w:p>
    <w:p w:rsidR="0085264B" w:rsidRPr="00326CD5" w:rsidRDefault="0085264B" w:rsidP="00273D5E">
      <w:pPr>
        <w:pStyle w:val="BulletLevel1"/>
      </w:pPr>
      <w:r w:rsidRPr="00326CD5">
        <w:t>Assess priorities; and</w:t>
      </w:r>
    </w:p>
    <w:p w:rsidR="0085264B" w:rsidRPr="00326CD5" w:rsidRDefault="0085264B" w:rsidP="00273D5E">
      <w:pPr>
        <w:pStyle w:val="BulletLevel1"/>
      </w:pPr>
      <w:r w:rsidRPr="00326CD5">
        <w:t>Optimise interventions.</w:t>
      </w:r>
    </w:p>
    <w:p w:rsidR="0085264B" w:rsidRDefault="0085264B" w:rsidP="0085264B">
      <w:pPr>
        <w:pStyle w:val="NumberedParas"/>
        <w:tabs>
          <w:tab w:val="clear" w:pos="2291"/>
          <w:tab w:val="left" w:pos="851"/>
          <w:tab w:val="left" w:pos="2268"/>
          <w:tab w:val="num" w:pos="2433"/>
        </w:tabs>
        <w:ind w:left="851" w:hanging="851"/>
      </w:pPr>
      <w:r w:rsidRPr="00326CD5">
        <w:t>The outcome will be a more transparent, evidence-based approach to maintenance activities. Whilst there will always be limits on the amount of funding available, a best practice PMS will optimise the use of what funds are available and ensure best value is obtained by applying whole life costing approaches.</w:t>
      </w:r>
    </w:p>
    <w:p w:rsidR="0085264B" w:rsidRDefault="0085264B" w:rsidP="0085264B">
      <w:pPr>
        <w:pStyle w:val="NumberedParas"/>
        <w:tabs>
          <w:tab w:val="clear" w:pos="2291"/>
          <w:tab w:val="left" w:pos="851"/>
          <w:tab w:val="left" w:pos="2268"/>
          <w:tab w:val="num" w:pos="2433"/>
        </w:tabs>
        <w:ind w:left="851" w:hanging="851"/>
      </w:pPr>
      <w:r w:rsidRPr="00326CD5">
        <w:t xml:space="preserve">The </w:t>
      </w:r>
      <w:r>
        <w:t>PMS</w:t>
      </w:r>
      <w:r w:rsidRPr="00326CD5">
        <w:t xml:space="preserve"> will form the basis for planning and prioritising all future road maintenance activities in Romania</w:t>
      </w:r>
      <w:r>
        <w:t xml:space="preserve"> and will support the principles set out in Clause 8 of EU Regulation No. 1315/2013 supporting the</w:t>
      </w:r>
      <w:r w:rsidRPr="0051524C">
        <w:t xml:space="preserve"> rehabilitation and upgrading of existing infrastructure</w:t>
      </w:r>
      <w:r>
        <w:t>.</w:t>
      </w:r>
    </w:p>
    <w:p w:rsidR="0085264B" w:rsidRDefault="0085264B" w:rsidP="0085264B">
      <w:pPr>
        <w:pStyle w:val="NumberedParas"/>
        <w:tabs>
          <w:tab w:val="clear" w:pos="2291"/>
          <w:tab w:val="left" w:pos="851"/>
          <w:tab w:val="left" w:pos="2268"/>
          <w:tab w:val="num" w:pos="2433"/>
        </w:tabs>
        <w:ind w:left="851" w:hanging="851"/>
      </w:pPr>
      <w:r w:rsidRPr="00326CD5">
        <w:t>The Asset Management Review</w:t>
      </w:r>
      <w:r>
        <w:t xml:space="preserve"> </w:t>
      </w:r>
      <w:r w:rsidRPr="00326CD5">
        <w:t>proposal will involve carrying out a detailed study review of the existing road assets data and systems in order to establish accuracy, completeness and appropriateness of the currently available inventory, inspection and maintenance records data and functionality of the associated asset management systems such as PMS, BMS etc. together with appropriate improvements measures.</w:t>
      </w:r>
    </w:p>
    <w:p w:rsidR="0085264B" w:rsidRDefault="0085264B" w:rsidP="0085264B">
      <w:pPr>
        <w:pStyle w:val="NumberedParas"/>
        <w:tabs>
          <w:tab w:val="clear" w:pos="2291"/>
          <w:tab w:val="left" w:pos="851"/>
          <w:tab w:val="left" w:pos="2268"/>
          <w:tab w:val="num" w:pos="2433"/>
        </w:tabs>
        <w:ind w:left="851" w:hanging="851"/>
      </w:pPr>
      <w:r>
        <w:t>A</w:t>
      </w:r>
      <w:r w:rsidRPr="00C3229B">
        <w:t xml:space="preserve"> detailed analysis of operation and management funding requirements (both for backlog removal and on-going routine &amp; planned maintenance activities for all current and planned assets) and historic allocations </w:t>
      </w:r>
      <w:r>
        <w:t>will</w:t>
      </w:r>
      <w:r w:rsidRPr="00C3229B">
        <w:t xml:space="preserve"> identify appropriate annual operation and management funding needs and their earmarking. </w:t>
      </w:r>
    </w:p>
    <w:p w:rsidR="0085264B" w:rsidRDefault="0085264B" w:rsidP="0085264B">
      <w:pPr>
        <w:pStyle w:val="NumberedParas"/>
        <w:tabs>
          <w:tab w:val="clear" w:pos="2291"/>
          <w:tab w:val="left" w:pos="851"/>
          <w:tab w:val="left" w:pos="2268"/>
          <w:tab w:val="num" w:pos="2433"/>
        </w:tabs>
        <w:ind w:left="851" w:hanging="851"/>
      </w:pPr>
      <w:r w:rsidRPr="00C3229B">
        <w:t>This should be ensured in long-term by government commitments</w:t>
      </w:r>
      <w:r>
        <w:t>,</w:t>
      </w:r>
      <w:r w:rsidRPr="00C3229B">
        <w:t xml:space="preserve"> supported by appropriate additional revenue sources e.g. increased vignette levels.</w:t>
      </w:r>
    </w:p>
    <w:p w:rsidR="0085264B" w:rsidRDefault="0085264B" w:rsidP="0085264B">
      <w:pPr>
        <w:pStyle w:val="NumberedParas"/>
        <w:tabs>
          <w:tab w:val="clear" w:pos="2291"/>
          <w:tab w:val="left" w:pos="851"/>
          <w:tab w:val="left" w:pos="2268"/>
          <w:tab w:val="num" w:pos="2433"/>
        </w:tabs>
        <w:ind w:left="851" w:hanging="851"/>
      </w:pPr>
      <w:r w:rsidRPr="00C3229B">
        <w:t>Operation and Management Prioritisation and Allocation involves introducing an efficient and effective system for prioritisation and allocation of operation and management expenditures on a multi-year basis. Furthermore, developing dedicated backlog removal plans for all major assets (roads and bridges).</w:t>
      </w:r>
      <w:r>
        <w:t xml:space="preserve"> This </w:t>
      </w:r>
      <w:r w:rsidRPr="00C3229B">
        <w:t>will lead to a structure</w:t>
      </w:r>
      <w:r>
        <w:t>d</w:t>
      </w:r>
      <w:r w:rsidRPr="00C3229B">
        <w:t xml:space="preserve"> approach to operation and maintenance, thus ensuring schemes are prioritised effectively.</w:t>
      </w:r>
    </w:p>
    <w:p w:rsidR="0085264B" w:rsidRDefault="0085264B" w:rsidP="0085264B">
      <w:pPr>
        <w:pStyle w:val="NumberedParas"/>
        <w:tabs>
          <w:tab w:val="clear" w:pos="2291"/>
          <w:tab w:val="left" w:pos="851"/>
          <w:tab w:val="left" w:pos="2268"/>
          <w:tab w:val="num" w:pos="2433"/>
        </w:tabs>
        <w:ind w:left="851" w:hanging="851"/>
      </w:pPr>
      <w:r>
        <w:t>In order to d</w:t>
      </w:r>
      <w:r w:rsidRPr="00C3229B">
        <w:t>efine Qualit</w:t>
      </w:r>
      <w:r>
        <w:t>y of Service Parameters, a r</w:t>
      </w:r>
      <w:r w:rsidRPr="00C3229B">
        <w:t xml:space="preserve">eview </w:t>
      </w:r>
      <w:r>
        <w:t xml:space="preserve">of </w:t>
      </w:r>
      <w:r w:rsidRPr="00C3229B">
        <w:t xml:space="preserve">the existing </w:t>
      </w:r>
      <w:r>
        <w:t xml:space="preserve">relevant </w:t>
      </w:r>
      <w:r w:rsidRPr="00C3229B">
        <w:t>operation and management standards and specifications</w:t>
      </w:r>
      <w:r>
        <w:t>,</w:t>
      </w:r>
      <w:r w:rsidRPr="00C3229B">
        <w:t xml:space="preserve"> in terms of their appropriateness and affordability</w:t>
      </w:r>
      <w:r>
        <w:t>,</w:t>
      </w:r>
      <w:r w:rsidRPr="00C3229B">
        <w:t xml:space="preserve"> </w:t>
      </w:r>
      <w:r>
        <w:t xml:space="preserve">will be required. The result will lead to </w:t>
      </w:r>
      <w:r w:rsidRPr="00C3229B">
        <w:t>a standar</w:t>
      </w:r>
      <w:r>
        <w:t>dised level of service provision.</w:t>
      </w:r>
    </w:p>
    <w:p w:rsidR="0085264B" w:rsidRDefault="0085264B" w:rsidP="0085264B">
      <w:pPr>
        <w:pStyle w:val="NumberedParas"/>
        <w:tabs>
          <w:tab w:val="clear" w:pos="2291"/>
          <w:tab w:val="left" w:pos="851"/>
          <w:tab w:val="left" w:pos="2268"/>
          <w:tab w:val="num" w:pos="2433"/>
        </w:tabs>
        <w:ind w:left="851" w:hanging="851"/>
      </w:pPr>
      <w:r>
        <w:t xml:space="preserve">A move </w:t>
      </w:r>
      <w:r w:rsidRPr="00C3229B">
        <w:t xml:space="preserve">towards longer term contracts </w:t>
      </w:r>
      <w:r>
        <w:t xml:space="preserve">for maintenance operations </w:t>
      </w:r>
      <w:r w:rsidRPr="00C3229B">
        <w:t xml:space="preserve">will improve the service provided with </w:t>
      </w:r>
      <w:r>
        <w:t xml:space="preserve">better </w:t>
      </w:r>
      <w:r w:rsidRPr="00C3229B">
        <w:t xml:space="preserve">consistency at a regional level. These will become more effective given that the contracts will be performance related. </w:t>
      </w:r>
      <w:r>
        <w:t>It is proposed that these contracts are regionally based.</w:t>
      </w:r>
    </w:p>
    <w:p w:rsidR="0085264B" w:rsidRDefault="0085264B" w:rsidP="0085264B">
      <w:pPr>
        <w:pStyle w:val="NumberedParas"/>
        <w:tabs>
          <w:tab w:val="clear" w:pos="2291"/>
          <w:tab w:val="left" w:pos="851"/>
          <w:tab w:val="left" w:pos="2268"/>
          <w:tab w:val="num" w:pos="2433"/>
        </w:tabs>
        <w:ind w:left="851" w:hanging="851"/>
      </w:pPr>
      <w:r w:rsidRPr="00C3229B">
        <w:t xml:space="preserve">The proposal </w:t>
      </w:r>
      <w:r>
        <w:t>will</w:t>
      </w:r>
      <w:r w:rsidRPr="00C3229B">
        <w:t xml:space="preserve"> reform the current maintenance practice of </w:t>
      </w:r>
      <w:r>
        <w:t>around 50</w:t>
      </w:r>
      <w:r w:rsidRPr="00C3229B">
        <w:t xml:space="preserve"> contracts</w:t>
      </w:r>
      <w:r>
        <w:t>,</w:t>
      </w:r>
      <w:r w:rsidRPr="00C3229B">
        <w:t xml:space="preserve"> lasting a maximum of two years</w:t>
      </w:r>
      <w:r>
        <w:t>,</w:t>
      </w:r>
      <w:r w:rsidRPr="00C3229B">
        <w:t xml:space="preserve"> by proceeding systematically with longer term (5-7 years) performance ba</w:t>
      </w:r>
      <w:r>
        <w:t>sed contracts at regional scale, more in line with best practice elsewhere in the EU.</w:t>
      </w:r>
    </w:p>
    <w:p w:rsidR="0085264B" w:rsidRPr="00D31298" w:rsidRDefault="0085264B" w:rsidP="0085264B">
      <w:pPr>
        <w:pStyle w:val="Hdg3"/>
        <w:ind w:left="851"/>
      </w:pPr>
      <w:r w:rsidRPr="00D31298">
        <w:t>Project Management Reform</w:t>
      </w:r>
    </w:p>
    <w:p w:rsidR="0085264B" w:rsidRDefault="0085264B" w:rsidP="0085264B">
      <w:pPr>
        <w:pStyle w:val="NumberedParas"/>
        <w:tabs>
          <w:tab w:val="clear" w:pos="2291"/>
          <w:tab w:val="left" w:pos="851"/>
          <w:tab w:val="left" w:pos="2268"/>
          <w:tab w:val="num" w:pos="2433"/>
        </w:tabs>
        <w:ind w:left="851" w:hanging="851"/>
      </w:pPr>
      <w:r>
        <w:t>A</w:t>
      </w:r>
      <w:r w:rsidRPr="00D31298">
        <w:t xml:space="preserve"> high level objective for the project is to improve the management and operation of the infrastructure in Romania. Improved institutional &amp; organisation stability and capacity </w:t>
      </w:r>
      <w:r>
        <w:t>will</w:t>
      </w:r>
      <w:r w:rsidRPr="00D31298">
        <w:t xml:space="preserve"> ensure efficient and effective management of activities in the road sector during all project phases</w:t>
      </w:r>
      <w:r>
        <w:t>.</w:t>
      </w:r>
    </w:p>
    <w:p w:rsidR="0085264B" w:rsidRDefault="0085264B" w:rsidP="0085264B">
      <w:pPr>
        <w:pStyle w:val="NumberedParas"/>
        <w:tabs>
          <w:tab w:val="clear" w:pos="2291"/>
          <w:tab w:val="left" w:pos="851"/>
          <w:tab w:val="left" w:pos="2268"/>
          <w:tab w:val="num" w:pos="2433"/>
        </w:tabs>
        <w:ind w:left="851" w:hanging="851"/>
      </w:pPr>
      <w:r>
        <w:t>We recommend a full a</w:t>
      </w:r>
      <w:r w:rsidRPr="00D31298">
        <w:t xml:space="preserve">udit and review of the existing situation followed by identification of relevant measures and recommendations in terms </w:t>
      </w:r>
      <w:r>
        <w:t xml:space="preserve">of the </w:t>
      </w:r>
      <w:r w:rsidRPr="00D31298">
        <w:t xml:space="preserve">organisation of the departments to be in charge of all stages of </w:t>
      </w:r>
      <w:r>
        <w:t xml:space="preserve">a project cycle. This would include </w:t>
      </w:r>
      <w:r w:rsidRPr="00D31298">
        <w:t>a Training Needs Assessment for all key staff.</w:t>
      </w:r>
    </w:p>
    <w:p w:rsidR="0085264B" w:rsidRDefault="0085264B" w:rsidP="0085264B">
      <w:pPr>
        <w:pStyle w:val="NumberedParas"/>
        <w:tabs>
          <w:tab w:val="clear" w:pos="2291"/>
          <w:tab w:val="left" w:pos="851"/>
          <w:tab w:val="left" w:pos="2268"/>
          <w:tab w:val="num" w:pos="2433"/>
        </w:tabs>
        <w:ind w:left="851" w:hanging="851"/>
      </w:pPr>
      <w:r>
        <w:t>Furthermore we would recommend that the Ministry a</w:t>
      </w:r>
      <w:r w:rsidRPr="00D31298">
        <w:t xml:space="preserve">ppoint and retain management </w:t>
      </w:r>
      <w:r>
        <w:t xml:space="preserve">staff, </w:t>
      </w:r>
      <w:r w:rsidRPr="00D31298">
        <w:t>based on longer t</w:t>
      </w:r>
      <w:r>
        <w:t>erm performance-based contracts. These r</w:t>
      </w:r>
      <w:r w:rsidRPr="00D31298">
        <w:t>eforms in project management will make the delivery of schemes more effective</w:t>
      </w:r>
      <w:r>
        <w:t>.</w:t>
      </w:r>
    </w:p>
    <w:p w:rsidR="0085264B" w:rsidRDefault="0085264B" w:rsidP="0085264B">
      <w:pPr>
        <w:pStyle w:val="Hdg3"/>
        <w:ind w:left="851"/>
      </w:pPr>
      <w:r w:rsidRPr="00863A2F">
        <w:t>Goods Vehicle Related</w:t>
      </w:r>
    </w:p>
    <w:p w:rsidR="0085264B" w:rsidRDefault="0085264B" w:rsidP="0085264B">
      <w:pPr>
        <w:pStyle w:val="NumberedParas"/>
        <w:tabs>
          <w:tab w:val="clear" w:pos="2291"/>
          <w:tab w:val="left" w:pos="851"/>
          <w:tab w:val="left" w:pos="2268"/>
          <w:tab w:val="num" w:pos="2433"/>
        </w:tabs>
        <w:ind w:left="851" w:hanging="851"/>
      </w:pPr>
      <w:r>
        <w:t>There are a number of proposals associated with goods vehicles:</w:t>
      </w:r>
    </w:p>
    <w:p w:rsidR="0085264B" w:rsidRDefault="0085264B" w:rsidP="00273D5E">
      <w:pPr>
        <w:pStyle w:val="BulletLevel1"/>
      </w:pPr>
      <w:r>
        <w:t>Monitoring of Axle Loading;</w:t>
      </w:r>
    </w:p>
    <w:p w:rsidR="0085264B" w:rsidRDefault="0085264B" w:rsidP="00273D5E">
      <w:pPr>
        <w:pStyle w:val="BulletLevel1"/>
      </w:pPr>
      <w:r w:rsidRPr="00863A2F">
        <w:t>Network Charging</w:t>
      </w:r>
      <w:r>
        <w:t>;</w:t>
      </w:r>
    </w:p>
    <w:p w:rsidR="0085264B" w:rsidRDefault="0085264B" w:rsidP="00273D5E">
      <w:pPr>
        <w:pStyle w:val="BulletLevel1"/>
      </w:pPr>
      <w:r w:rsidRPr="00863A2F">
        <w:t>Parking Areas for Good Vehicles</w:t>
      </w:r>
      <w:r>
        <w:t>; and</w:t>
      </w:r>
    </w:p>
    <w:p w:rsidR="0085264B" w:rsidRDefault="0085264B" w:rsidP="00273D5E">
      <w:pPr>
        <w:pStyle w:val="BulletLevel1"/>
      </w:pPr>
      <w:r>
        <w:t>ITS (Border Delays).</w:t>
      </w:r>
    </w:p>
    <w:p w:rsidR="0085264B" w:rsidRDefault="0085264B" w:rsidP="0085264B">
      <w:pPr>
        <w:pStyle w:val="NumberedParas"/>
        <w:tabs>
          <w:tab w:val="clear" w:pos="2291"/>
          <w:tab w:val="left" w:pos="851"/>
          <w:tab w:val="left" w:pos="2268"/>
          <w:tab w:val="num" w:pos="2433"/>
        </w:tabs>
        <w:ind w:left="851" w:hanging="851"/>
      </w:pPr>
      <w:r w:rsidRPr="00863A2F">
        <w:t xml:space="preserve">Reviewing and reforming legislation </w:t>
      </w:r>
      <w:r>
        <w:t xml:space="preserve">around the monitoring of axle loading, </w:t>
      </w:r>
      <w:r w:rsidRPr="00863A2F">
        <w:t>and the subsequent enforcement of regulations</w:t>
      </w:r>
      <w:r>
        <w:t>,</w:t>
      </w:r>
      <w:r w:rsidRPr="00863A2F">
        <w:t xml:space="preserve"> will reduce the instances of asset damage, therefore reducing maintenance requirements.   </w:t>
      </w:r>
    </w:p>
    <w:p w:rsidR="0085264B" w:rsidRDefault="0085264B" w:rsidP="0085264B">
      <w:pPr>
        <w:pStyle w:val="NumberedParas"/>
        <w:tabs>
          <w:tab w:val="clear" w:pos="2291"/>
          <w:tab w:val="left" w:pos="851"/>
          <w:tab w:val="left" w:pos="2268"/>
          <w:tab w:val="num" w:pos="2433"/>
        </w:tabs>
        <w:ind w:left="851" w:hanging="851"/>
      </w:pPr>
      <w:r w:rsidRPr="00863A2F">
        <w:t>The high level objective for the project is to improve the management and operation of the infrastructure in Romania. In particular, the operational objective is to limit damage to roads caused by excessive overloading of trucks</w:t>
      </w:r>
      <w:r>
        <w:t xml:space="preserve">. The proposal is to </w:t>
      </w:r>
      <w:r w:rsidRPr="00863A2F">
        <w:t>rev</w:t>
      </w:r>
      <w:r>
        <w:t>iew</w:t>
      </w:r>
      <w:r w:rsidRPr="00863A2F">
        <w:t xml:space="preserve"> the appropriateness of ax</w:t>
      </w:r>
      <w:r>
        <w:t>le load legislation and ensure</w:t>
      </w:r>
      <w:r w:rsidRPr="00863A2F">
        <w:t xml:space="preserve"> its effective enforcement via regular spot-checks and fines for non-compliance. </w:t>
      </w:r>
    </w:p>
    <w:p w:rsidR="0085264B" w:rsidRDefault="0085264B" w:rsidP="0085264B">
      <w:pPr>
        <w:pStyle w:val="NumberedParas"/>
        <w:tabs>
          <w:tab w:val="clear" w:pos="2291"/>
          <w:tab w:val="left" w:pos="851"/>
          <w:tab w:val="left" w:pos="2268"/>
          <w:tab w:val="num" w:pos="2433"/>
        </w:tabs>
        <w:ind w:left="851" w:hanging="851"/>
      </w:pPr>
      <w:r w:rsidRPr="00863A2F">
        <w:t xml:space="preserve">There </w:t>
      </w:r>
      <w:r>
        <w:t xml:space="preserve">will also be </w:t>
      </w:r>
      <w:r w:rsidRPr="00863A2F">
        <w:t>a requirement to ensure sufficient monitoring and checking procedures / facilities in place.</w:t>
      </w:r>
    </w:p>
    <w:p w:rsidR="0085264B" w:rsidRDefault="0085264B" w:rsidP="0085264B">
      <w:pPr>
        <w:pStyle w:val="NumberedParas"/>
        <w:tabs>
          <w:tab w:val="clear" w:pos="2291"/>
          <w:tab w:val="left" w:pos="851"/>
          <w:tab w:val="left" w:pos="2268"/>
          <w:tab w:val="num" w:pos="2433"/>
        </w:tabs>
        <w:ind w:left="851" w:hanging="851"/>
      </w:pPr>
      <w:r>
        <w:t>Currently, t</w:t>
      </w:r>
      <w:r w:rsidRPr="00863A2F">
        <w:t xml:space="preserve">here is a lack of a co-ordinated charging regime </w:t>
      </w:r>
      <w:r>
        <w:t xml:space="preserve">for goods vehicles </w:t>
      </w:r>
      <w:r w:rsidRPr="00863A2F">
        <w:t>with county and municipal authorities charging additional fees over and above national vignette. This leads to high administrative costs on local and national hauliers from complex and uncoordinated charging regimes</w:t>
      </w:r>
      <w:r>
        <w:t>.</w:t>
      </w:r>
      <w:r w:rsidRPr="00863A2F">
        <w:t xml:space="preserve"> These vignettes are not co-ordinated or easily payable by international or regional hauliers</w:t>
      </w:r>
      <w:r>
        <w:t>.</w:t>
      </w:r>
    </w:p>
    <w:p w:rsidR="0085264B" w:rsidRDefault="0085264B" w:rsidP="0085264B">
      <w:pPr>
        <w:pStyle w:val="NumberedParas"/>
        <w:tabs>
          <w:tab w:val="clear" w:pos="2291"/>
          <w:tab w:val="left" w:pos="851"/>
          <w:tab w:val="left" w:pos="2268"/>
          <w:tab w:val="num" w:pos="2433"/>
        </w:tabs>
        <w:ind w:left="851" w:hanging="851"/>
      </w:pPr>
      <w:r w:rsidRPr="00863A2F">
        <w:t>A national charging system for goods vehicles will standardise the current local arrangements and provide a mechanism to ease the administration for international hauliers</w:t>
      </w:r>
      <w:r>
        <w:t>.</w:t>
      </w:r>
    </w:p>
    <w:p w:rsidR="0085264B" w:rsidRDefault="0085264B" w:rsidP="0085264B">
      <w:pPr>
        <w:pStyle w:val="NumberedParas"/>
        <w:tabs>
          <w:tab w:val="clear" w:pos="2291"/>
          <w:tab w:val="left" w:pos="851"/>
          <w:tab w:val="left" w:pos="2268"/>
          <w:tab w:val="num" w:pos="2433"/>
        </w:tabs>
        <w:ind w:left="851" w:hanging="851"/>
      </w:pPr>
      <w:r w:rsidRPr="00863A2F">
        <w:t>There is currently no secur</w:t>
      </w:r>
      <w:r>
        <w:t>e truck parking provision in Romania</w:t>
      </w:r>
      <w:r w:rsidRPr="00863A2F">
        <w:t>, even on new highway schemes. This presents a security and safety problem for hauliers and other road users and imposes unnecessary costs on the system.</w:t>
      </w:r>
    </w:p>
    <w:p w:rsidR="0085264B" w:rsidRDefault="0085264B" w:rsidP="0085264B">
      <w:pPr>
        <w:pStyle w:val="NumberedParas"/>
        <w:tabs>
          <w:tab w:val="clear" w:pos="2291"/>
          <w:tab w:val="left" w:pos="851"/>
          <w:tab w:val="left" w:pos="2268"/>
          <w:tab w:val="num" w:pos="2433"/>
        </w:tabs>
        <w:ind w:left="851" w:hanging="851"/>
      </w:pPr>
      <w:r>
        <w:t>EC</w:t>
      </w:r>
      <w:r w:rsidRPr="00863A2F">
        <w:t xml:space="preserve"> Regulation 1315/2013 requires for TEN-T appropriate parking areas every 100 km</w:t>
      </w:r>
      <w:r>
        <w:t>. A</w:t>
      </w:r>
      <w:r w:rsidRPr="00863A2F">
        <w:t>s the entire TEN-T network (core and comprehensive) comprises approximately 4,900 km, this implies 49 such facilities or 27 for the core only. Unit costs for a service area are approximately €20M so the total cost would be €540M for the core and €980M for the core and comprehensive</w:t>
      </w:r>
      <w:r>
        <w:t>.</w:t>
      </w:r>
    </w:p>
    <w:p w:rsidR="0085264B" w:rsidRDefault="0085264B" w:rsidP="0085264B">
      <w:pPr>
        <w:pStyle w:val="NumberedParas"/>
        <w:tabs>
          <w:tab w:val="clear" w:pos="2291"/>
          <w:tab w:val="left" w:pos="851"/>
          <w:tab w:val="left" w:pos="2268"/>
          <w:tab w:val="num" w:pos="2433"/>
        </w:tabs>
        <w:ind w:left="851" w:hanging="851"/>
      </w:pPr>
      <w:r w:rsidRPr="00863A2F">
        <w:t>Secure parking locations will adhere to EU requirements</w:t>
      </w:r>
      <w:r>
        <w:t>,</w:t>
      </w:r>
      <w:r w:rsidRPr="00863A2F">
        <w:t xml:space="preserve"> and best practice</w:t>
      </w:r>
      <w:r>
        <w:t>,</w:t>
      </w:r>
      <w:r w:rsidRPr="00863A2F">
        <w:t xml:space="preserve"> and reduce the cost of haulage operations through improved security during journeys</w:t>
      </w:r>
      <w:r>
        <w:t>.</w:t>
      </w:r>
    </w:p>
    <w:p w:rsidR="0085264B" w:rsidRDefault="0085264B" w:rsidP="0085264B">
      <w:pPr>
        <w:pStyle w:val="NumberedParas"/>
        <w:tabs>
          <w:tab w:val="clear" w:pos="2291"/>
          <w:tab w:val="left" w:pos="851"/>
          <w:tab w:val="left" w:pos="2268"/>
          <w:tab w:val="num" w:pos="2433"/>
        </w:tabs>
        <w:ind w:left="851" w:hanging="851"/>
      </w:pPr>
      <w:r>
        <w:t>Using</w:t>
      </w:r>
      <w:r w:rsidRPr="00885FB0">
        <w:t xml:space="preserve"> ITS to provide alternative route information and improved management of border crossing arrangements </w:t>
      </w:r>
      <w:r>
        <w:t>will</w:t>
      </w:r>
      <w:r w:rsidRPr="00885FB0">
        <w:t xml:space="preserve"> </w:t>
      </w:r>
      <w:r>
        <w:t xml:space="preserve">help to </w:t>
      </w:r>
      <w:r w:rsidRPr="00885FB0">
        <w:t>reduce delays</w:t>
      </w:r>
      <w:r>
        <w:t>.</w:t>
      </w:r>
      <w:r w:rsidRPr="00885FB0">
        <w:t xml:space="preserve"> </w:t>
      </w:r>
      <w:r>
        <w:t>The European Standard, as set out in the</w:t>
      </w:r>
      <w:r w:rsidRPr="00885FB0">
        <w:t xml:space="preserve"> Trade and Transport Facilitation in S</w:t>
      </w:r>
      <w:r>
        <w:t>outheast Europe Program (TTFSE), is</w:t>
      </w:r>
      <w:r w:rsidRPr="00885FB0">
        <w:t xml:space="preserve"> that the maximum waiting time for any vehicle is 40 minutes at the border crossing points.</w:t>
      </w:r>
    </w:p>
    <w:p w:rsidR="0018508A" w:rsidRDefault="0018508A" w:rsidP="0018508A"/>
    <w:p w:rsidR="00660414" w:rsidRDefault="00660414" w:rsidP="0018508A"/>
    <w:p w:rsidR="00660414" w:rsidRPr="00C8675F" w:rsidRDefault="00660414" w:rsidP="0018508A"/>
    <w:p w:rsidR="0018508A" w:rsidRPr="00C8675F" w:rsidRDefault="0018508A" w:rsidP="0018508A">
      <w:pPr>
        <w:sectPr w:rsidR="0018508A" w:rsidRPr="00C8675F" w:rsidSect="00933C17">
          <w:headerReference w:type="default" r:id="rId160"/>
          <w:pgSz w:w="11907" w:h="16840" w:code="9"/>
          <w:pgMar w:top="1418" w:right="709" w:bottom="1418" w:left="907" w:header="357" w:footer="567" w:gutter="0"/>
          <w:cols w:space="187"/>
          <w:docGrid w:linePitch="360"/>
        </w:sectPr>
      </w:pPr>
    </w:p>
    <w:p w:rsidR="0018508A" w:rsidRPr="00C8675F" w:rsidRDefault="0018508A" w:rsidP="0018508A">
      <w:pPr>
        <w:rPr>
          <w:b/>
        </w:rPr>
        <w:sectPr w:rsidR="0018508A" w:rsidRPr="00C8675F">
          <w:headerReference w:type="default" r:id="rId161"/>
          <w:footerReference w:type="default" r:id="rId162"/>
          <w:pgSz w:w="11907" w:h="16840" w:code="9"/>
          <w:pgMar w:top="-3640" w:right="709" w:bottom="1729" w:left="6146" w:header="357" w:footer="567" w:gutter="0"/>
          <w:cols w:space="720"/>
          <w:docGrid w:linePitch="360"/>
        </w:sectPr>
      </w:pPr>
    </w:p>
    <w:p w:rsidR="0018508A" w:rsidRPr="00C8675F" w:rsidRDefault="00022837" w:rsidP="0018508A">
      <w:pPr>
        <w:pStyle w:val="SecDivider0"/>
        <w:rPr>
          <w:lang w:val="en-GB"/>
        </w:rPr>
      </w:pPr>
      <w:r>
        <w:rPr>
          <w:lang w:val="en-GB"/>
        </w:rPr>
        <w:t>Rail Transport</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92121D" w:rsidRPr="006F17A0" w:rsidRDefault="0092121D" w:rsidP="001C6C79">
      <w:pPr>
        <w:pStyle w:val="Hdg1"/>
        <w:framePr w:wrap="notBeside"/>
      </w:pPr>
      <w:bookmarkStart w:id="90" w:name="_Toc400354120"/>
      <w:bookmarkStart w:id="91" w:name="_Toc400356385"/>
      <w:bookmarkStart w:id="92" w:name="_Toc400358650"/>
      <w:bookmarkStart w:id="93" w:name="_Toc400360915"/>
      <w:bookmarkStart w:id="94" w:name="_Toc400363179"/>
      <w:bookmarkStart w:id="95" w:name="_Toc400365410"/>
      <w:bookmarkStart w:id="96" w:name="_Toc400367607"/>
      <w:bookmarkStart w:id="97" w:name="_Toc400369789"/>
      <w:bookmarkStart w:id="98" w:name="_Toc400371970"/>
      <w:bookmarkStart w:id="99" w:name="_Toc400374150"/>
      <w:bookmarkStart w:id="100" w:name="_Toc400376323"/>
      <w:bookmarkStart w:id="101" w:name="_Toc400380659"/>
      <w:bookmarkStart w:id="102" w:name="_Toc400382825"/>
      <w:bookmarkStart w:id="103" w:name="_Toc400384991"/>
      <w:bookmarkStart w:id="104" w:name="_Toc400387154"/>
      <w:bookmarkStart w:id="105" w:name="_Toc400389315"/>
      <w:bookmarkStart w:id="106" w:name="_Toc400391476"/>
      <w:bookmarkStart w:id="107" w:name="_Toc400393640"/>
      <w:bookmarkStart w:id="108" w:name="_Toc400354121"/>
      <w:bookmarkStart w:id="109" w:name="_Toc400356386"/>
      <w:bookmarkStart w:id="110" w:name="_Toc400358651"/>
      <w:bookmarkStart w:id="111" w:name="_Toc400360916"/>
      <w:bookmarkStart w:id="112" w:name="_Toc400363180"/>
      <w:bookmarkStart w:id="113" w:name="_Toc400365411"/>
      <w:bookmarkStart w:id="114" w:name="_Toc400367608"/>
      <w:bookmarkStart w:id="115" w:name="_Toc400369790"/>
      <w:bookmarkStart w:id="116" w:name="_Toc400371971"/>
      <w:bookmarkStart w:id="117" w:name="_Toc400374151"/>
      <w:bookmarkStart w:id="118" w:name="_Toc400376324"/>
      <w:bookmarkStart w:id="119" w:name="_Toc400380660"/>
      <w:bookmarkStart w:id="120" w:name="_Toc400382826"/>
      <w:bookmarkStart w:id="121" w:name="_Toc400384992"/>
      <w:bookmarkStart w:id="122" w:name="_Toc400387155"/>
      <w:bookmarkStart w:id="123" w:name="_Toc400389316"/>
      <w:bookmarkStart w:id="124" w:name="_Toc400391477"/>
      <w:bookmarkStart w:id="125" w:name="_Toc400393641"/>
      <w:bookmarkStart w:id="126" w:name="_Toc400354122"/>
      <w:bookmarkStart w:id="127" w:name="_Toc400356387"/>
      <w:bookmarkStart w:id="128" w:name="_Toc400358652"/>
      <w:bookmarkStart w:id="129" w:name="_Toc400360917"/>
      <w:bookmarkStart w:id="130" w:name="_Toc400363181"/>
      <w:bookmarkStart w:id="131" w:name="_Toc400365412"/>
      <w:bookmarkStart w:id="132" w:name="_Toc400367609"/>
      <w:bookmarkStart w:id="133" w:name="_Toc400369791"/>
      <w:bookmarkStart w:id="134" w:name="_Toc400371972"/>
      <w:bookmarkStart w:id="135" w:name="_Toc400374152"/>
      <w:bookmarkStart w:id="136" w:name="_Toc400376325"/>
      <w:bookmarkStart w:id="137" w:name="_Toc400380661"/>
      <w:bookmarkStart w:id="138" w:name="_Toc400382827"/>
      <w:bookmarkStart w:id="139" w:name="_Toc400384993"/>
      <w:bookmarkStart w:id="140" w:name="_Toc400387156"/>
      <w:bookmarkStart w:id="141" w:name="_Toc400389317"/>
      <w:bookmarkStart w:id="142" w:name="_Toc400391478"/>
      <w:bookmarkStart w:id="143" w:name="_Toc400393642"/>
      <w:bookmarkStart w:id="144" w:name="_Toc400354123"/>
      <w:bookmarkStart w:id="145" w:name="_Toc400356388"/>
      <w:bookmarkStart w:id="146" w:name="_Toc400358653"/>
      <w:bookmarkStart w:id="147" w:name="_Toc400360918"/>
      <w:bookmarkStart w:id="148" w:name="_Toc400363182"/>
      <w:bookmarkStart w:id="149" w:name="_Toc400365413"/>
      <w:bookmarkStart w:id="150" w:name="_Toc400367610"/>
      <w:bookmarkStart w:id="151" w:name="_Toc400369792"/>
      <w:bookmarkStart w:id="152" w:name="_Toc400371973"/>
      <w:bookmarkStart w:id="153" w:name="_Toc400374153"/>
      <w:bookmarkStart w:id="154" w:name="_Toc400376326"/>
      <w:bookmarkStart w:id="155" w:name="_Toc400380662"/>
      <w:bookmarkStart w:id="156" w:name="_Toc400382828"/>
      <w:bookmarkStart w:id="157" w:name="_Toc400384994"/>
      <w:bookmarkStart w:id="158" w:name="_Toc400387157"/>
      <w:bookmarkStart w:id="159" w:name="_Toc400389318"/>
      <w:bookmarkStart w:id="160" w:name="_Toc400391479"/>
      <w:bookmarkStart w:id="161" w:name="_Toc400393643"/>
      <w:bookmarkStart w:id="162" w:name="_Toc400354124"/>
      <w:bookmarkStart w:id="163" w:name="_Toc400356389"/>
      <w:bookmarkStart w:id="164" w:name="_Toc400358654"/>
      <w:bookmarkStart w:id="165" w:name="_Toc400360919"/>
      <w:bookmarkStart w:id="166" w:name="_Toc400363183"/>
      <w:bookmarkStart w:id="167" w:name="_Toc400365414"/>
      <w:bookmarkStart w:id="168" w:name="_Toc400367611"/>
      <w:bookmarkStart w:id="169" w:name="_Toc400369793"/>
      <w:bookmarkStart w:id="170" w:name="_Toc400371974"/>
      <w:bookmarkStart w:id="171" w:name="_Toc400374154"/>
      <w:bookmarkStart w:id="172" w:name="_Toc400376327"/>
      <w:bookmarkStart w:id="173" w:name="_Toc400380663"/>
      <w:bookmarkStart w:id="174" w:name="_Toc400382829"/>
      <w:bookmarkStart w:id="175" w:name="_Toc400384995"/>
      <w:bookmarkStart w:id="176" w:name="_Toc400387158"/>
      <w:bookmarkStart w:id="177" w:name="_Toc400389319"/>
      <w:bookmarkStart w:id="178" w:name="_Toc400391480"/>
      <w:bookmarkStart w:id="179" w:name="_Toc400393644"/>
      <w:bookmarkStart w:id="180" w:name="_Toc400354125"/>
      <w:bookmarkStart w:id="181" w:name="_Toc400356390"/>
      <w:bookmarkStart w:id="182" w:name="_Toc400358655"/>
      <w:bookmarkStart w:id="183" w:name="_Toc400360920"/>
      <w:bookmarkStart w:id="184" w:name="_Toc400363184"/>
      <w:bookmarkStart w:id="185" w:name="_Toc400365415"/>
      <w:bookmarkStart w:id="186" w:name="_Toc400367612"/>
      <w:bookmarkStart w:id="187" w:name="_Toc400369794"/>
      <w:bookmarkStart w:id="188" w:name="_Toc400371975"/>
      <w:bookmarkStart w:id="189" w:name="_Toc400374155"/>
      <w:bookmarkStart w:id="190" w:name="_Toc400376328"/>
      <w:bookmarkStart w:id="191" w:name="_Toc400380664"/>
      <w:bookmarkStart w:id="192" w:name="_Toc400382830"/>
      <w:bookmarkStart w:id="193" w:name="_Toc400384996"/>
      <w:bookmarkStart w:id="194" w:name="_Toc400387159"/>
      <w:bookmarkStart w:id="195" w:name="_Toc400389320"/>
      <w:bookmarkStart w:id="196" w:name="_Toc400391481"/>
      <w:bookmarkStart w:id="197" w:name="_Toc400393645"/>
      <w:bookmarkStart w:id="198" w:name="_Toc400354126"/>
      <w:bookmarkStart w:id="199" w:name="_Toc400356391"/>
      <w:bookmarkStart w:id="200" w:name="_Toc400358656"/>
      <w:bookmarkStart w:id="201" w:name="_Toc400360921"/>
      <w:bookmarkStart w:id="202" w:name="_Toc400363185"/>
      <w:bookmarkStart w:id="203" w:name="_Toc400365416"/>
      <w:bookmarkStart w:id="204" w:name="_Toc400367613"/>
      <w:bookmarkStart w:id="205" w:name="_Toc400369795"/>
      <w:bookmarkStart w:id="206" w:name="_Toc400371976"/>
      <w:bookmarkStart w:id="207" w:name="_Toc400374156"/>
      <w:bookmarkStart w:id="208" w:name="_Toc400376329"/>
      <w:bookmarkStart w:id="209" w:name="_Toc400380665"/>
      <w:bookmarkStart w:id="210" w:name="_Toc400382831"/>
      <w:bookmarkStart w:id="211" w:name="_Toc400384997"/>
      <w:bookmarkStart w:id="212" w:name="_Toc400387160"/>
      <w:bookmarkStart w:id="213" w:name="_Toc400389321"/>
      <w:bookmarkStart w:id="214" w:name="_Toc400391482"/>
      <w:bookmarkStart w:id="215" w:name="_Toc400393646"/>
      <w:bookmarkStart w:id="216" w:name="_Toc400354127"/>
      <w:bookmarkStart w:id="217" w:name="_Toc400356392"/>
      <w:bookmarkStart w:id="218" w:name="_Toc400358657"/>
      <w:bookmarkStart w:id="219" w:name="_Toc400360922"/>
      <w:bookmarkStart w:id="220" w:name="_Toc400363186"/>
      <w:bookmarkStart w:id="221" w:name="_Toc400365417"/>
      <w:bookmarkStart w:id="222" w:name="_Toc400367614"/>
      <w:bookmarkStart w:id="223" w:name="_Toc400369796"/>
      <w:bookmarkStart w:id="224" w:name="_Toc400371977"/>
      <w:bookmarkStart w:id="225" w:name="_Toc400374157"/>
      <w:bookmarkStart w:id="226" w:name="_Toc400376330"/>
      <w:bookmarkStart w:id="227" w:name="_Toc400380666"/>
      <w:bookmarkStart w:id="228" w:name="_Toc400382832"/>
      <w:bookmarkStart w:id="229" w:name="_Toc400384998"/>
      <w:bookmarkStart w:id="230" w:name="_Toc400387161"/>
      <w:bookmarkStart w:id="231" w:name="_Toc400389322"/>
      <w:bookmarkStart w:id="232" w:name="_Toc400391483"/>
      <w:bookmarkStart w:id="233" w:name="_Toc400393647"/>
      <w:bookmarkStart w:id="234" w:name="_Toc400354128"/>
      <w:bookmarkStart w:id="235" w:name="_Toc400356393"/>
      <w:bookmarkStart w:id="236" w:name="_Toc400358658"/>
      <w:bookmarkStart w:id="237" w:name="_Toc400360923"/>
      <w:bookmarkStart w:id="238" w:name="_Toc400363187"/>
      <w:bookmarkStart w:id="239" w:name="_Toc400365418"/>
      <w:bookmarkStart w:id="240" w:name="_Toc400367615"/>
      <w:bookmarkStart w:id="241" w:name="_Toc400369797"/>
      <w:bookmarkStart w:id="242" w:name="_Toc400371978"/>
      <w:bookmarkStart w:id="243" w:name="_Toc400374158"/>
      <w:bookmarkStart w:id="244" w:name="_Toc400376331"/>
      <w:bookmarkStart w:id="245" w:name="_Toc400380667"/>
      <w:bookmarkStart w:id="246" w:name="_Toc400382833"/>
      <w:bookmarkStart w:id="247" w:name="_Toc400384999"/>
      <w:bookmarkStart w:id="248" w:name="_Toc400387162"/>
      <w:bookmarkStart w:id="249" w:name="_Toc400389323"/>
      <w:bookmarkStart w:id="250" w:name="_Toc400391484"/>
      <w:bookmarkStart w:id="251" w:name="_Toc400393648"/>
      <w:bookmarkStart w:id="252" w:name="_Toc400354129"/>
      <w:bookmarkStart w:id="253" w:name="_Toc400356394"/>
      <w:bookmarkStart w:id="254" w:name="_Toc400358659"/>
      <w:bookmarkStart w:id="255" w:name="_Toc400360924"/>
      <w:bookmarkStart w:id="256" w:name="_Toc400363188"/>
      <w:bookmarkStart w:id="257" w:name="_Toc400365419"/>
      <w:bookmarkStart w:id="258" w:name="_Toc400367616"/>
      <w:bookmarkStart w:id="259" w:name="_Toc400369798"/>
      <w:bookmarkStart w:id="260" w:name="_Toc400371979"/>
      <w:bookmarkStart w:id="261" w:name="_Toc400374159"/>
      <w:bookmarkStart w:id="262" w:name="_Toc400376332"/>
      <w:bookmarkStart w:id="263" w:name="_Toc400380668"/>
      <w:bookmarkStart w:id="264" w:name="_Toc400382834"/>
      <w:bookmarkStart w:id="265" w:name="_Toc400385000"/>
      <w:bookmarkStart w:id="266" w:name="_Toc400387163"/>
      <w:bookmarkStart w:id="267" w:name="_Toc400389324"/>
      <w:bookmarkStart w:id="268" w:name="_Toc400391485"/>
      <w:bookmarkStart w:id="269" w:name="_Toc400393649"/>
      <w:bookmarkStart w:id="270" w:name="_Toc400354130"/>
      <w:bookmarkStart w:id="271" w:name="_Toc400356395"/>
      <w:bookmarkStart w:id="272" w:name="_Toc400358660"/>
      <w:bookmarkStart w:id="273" w:name="_Toc400360925"/>
      <w:bookmarkStart w:id="274" w:name="_Toc400363189"/>
      <w:bookmarkStart w:id="275" w:name="_Toc400365420"/>
      <w:bookmarkStart w:id="276" w:name="_Toc400367617"/>
      <w:bookmarkStart w:id="277" w:name="_Toc400369799"/>
      <w:bookmarkStart w:id="278" w:name="_Toc400371980"/>
      <w:bookmarkStart w:id="279" w:name="_Toc400374160"/>
      <w:bookmarkStart w:id="280" w:name="_Toc400376333"/>
      <w:bookmarkStart w:id="281" w:name="_Toc400380669"/>
      <w:bookmarkStart w:id="282" w:name="_Toc400382835"/>
      <w:bookmarkStart w:id="283" w:name="_Toc400385001"/>
      <w:bookmarkStart w:id="284" w:name="_Toc400387164"/>
      <w:bookmarkStart w:id="285" w:name="_Toc400389325"/>
      <w:bookmarkStart w:id="286" w:name="_Toc400391486"/>
      <w:bookmarkStart w:id="287" w:name="_Toc400393650"/>
      <w:bookmarkStart w:id="288" w:name="_Toc400354131"/>
      <w:bookmarkStart w:id="289" w:name="_Toc400356396"/>
      <w:bookmarkStart w:id="290" w:name="_Toc400358661"/>
      <w:bookmarkStart w:id="291" w:name="_Toc400360926"/>
      <w:bookmarkStart w:id="292" w:name="_Toc400363190"/>
      <w:bookmarkStart w:id="293" w:name="_Toc400365421"/>
      <w:bookmarkStart w:id="294" w:name="_Toc400367618"/>
      <w:bookmarkStart w:id="295" w:name="_Toc400369800"/>
      <w:bookmarkStart w:id="296" w:name="_Toc400371981"/>
      <w:bookmarkStart w:id="297" w:name="_Toc400374161"/>
      <w:bookmarkStart w:id="298" w:name="_Toc400376334"/>
      <w:bookmarkStart w:id="299" w:name="_Toc400380670"/>
      <w:bookmarkStart w:id="300" w:name="_Toc400382836"/>
      <w:bookmarkStart w:id="301" w:name="_Toc400385002"/>
      <w:bookmarkStart w:id="302" w:name="_Toc400387165"/>
      <w:bookmarkStart w:id="303" w:name="_Toc400389326"/>
      <w:bookmarkStart w:id="304" w:name="_Toc400391487"/>
      <w:bookmarkStart w:id="305" w:name="_Toc400393651"/>
      <w:bookmarkStart w:id="306" w:name="_Toc400354132"/>
      <w:bookmarkStart w:id="307" w:name="_Toc400356397"/>
      <w:bookmarkStart w:id="308" w:name="_Toc400358662"/>
      <w:bookmarkStart w:id="309" w:name="_Toc400360927"/>
      <w:bookmarkStart w:id="310" w:name="_Toc400363191"/>
      <w:bookmarkStart w:id="311" w:name="_Toc400365422"/>
      <w:bookmarkStart w:id="312" w:name="_Toc400367619"/>
      <w:bookmarkStart w:id="313" w:name="_Toc400369801"/>
      <w:bookmarkStart w:id="314" w:name="_Toc400371982"/>
      <w:bookmarkStart w:id="315" w:name="_Toc400374162"/>
      <w:bookmarkStart w:id="316" w:name="_Toc400376335"/>
      <w:bookmarkStart w:id="317" w:name="_Toc400380671"/>
      <w:bookmarkStart w:id="318" w:name="_Toc400382837"/>
      <w:bookmarkStart w:id="319" w:name="_Toc400385003"/>
      <w:bookmarkStart w:id="320" w:name="_Toc400387166"/>
      <w:bookmarkStart w:id="321" w:name="_Toc400389327"/>
      <w:bookmarkStart w:id="322" w:name="_Toc400391488"/>
      <w:bookmarkStart w:id="323" w:name="_Toc400393652"/>
      <w:bookmarkStart w:id="324" w:name="_Toc400354133"/>
      <w:bookmarkStart w:id="325" w:name="_Toc400356398"/>
      <w:bookmarkStart w:id="326" w:name="_Toc400358663"/>
      <w:bookmarkStart w:id="327" w:name="_Toc400360928"/>
      <w:bookmarkStart w:id="328" w:name="_Toc400363192"/>
      <w:bookmarkStart w:id="329" w:name="_Toc400365423"/>
      <w:bookmarkStart w:id="330" w:name="_Toc400367620"/>
      <w:bookmarkStart w:id="331" w:name="_Toc400369802"/>
      <w:bookmarkStart w:id="332" w:name="_Toc400371983"/>
      <w:bookmarkStart w:id="333" w:name="_Toc400374163"/>
      <w:bookmarkStart w:id="334" w:name="_Toc400376336"/>
      <w:bookmarkStart w:id="335" w:name="_Toc400380672"/>
      <w:bookmarkStart w:id="336" w:name="_Toc400382838"/>
      <w:bookmarkStart w:id="337" w:name="_Toc400385004"/>
      <w:bookmarkStart w:id="338" w:name="_Toc400387167"/>
      <w:bookmarkStart w:id="339" w:name="_Toc400389328"/>
      <w:bookmarkStart w:id="340" w:name="_Toc400391489"/>
      <w:bookmarkStart w:id="341" w:name="_Toc400393653"/>
      <w:bookmarkStart w:id="342" w:name="_Toc400354134"/>
      <w:bookmarkStart w:id="343" w:name="_Toc400356399"/>
      <w:bookmarkStart w:id="344" w:name="_Toc400358664"/>
      <w:bookmarkStart w:id="345" w:name="_Toc400360929"/>
      <w:bookmarkStart w:id="346" w:name="_Toc400363193"/>
      <w:bookmarkStart w:id="347" w:name="_Toc400365424"/>
      <w:bookmarkStart w:id="348" w:name="_Toc400367621"/>
      <w:bookmarkStart w:id="349" w:name="_Toc400369803"/>
      <w:bookmarkStart w:id="350" w:name="_Toc400371984"/>
      <w:bookmarkStart w:id="351" w:name="_Toc400374164"/>
      <w:bookmarkStart w:id="352" w:name="_Toc400376337"/>
      <w:bookmarkStart w:id="353" w:name="_Toc400380673"/>
      <w:bookmarkStart w:id="354" w:name="_Toc400382839"/>
      <w:bookmarkStart w:id="355" w:name="_Toc400385005"/>
      <w:bookmarkStart w:id="356" w:name="_Toc400387168"/>
      <w:bookmarkStart w:id="357" w:name="_Toc400389329"/>
      <w:bookmarkStart w:id="358" w:name="_Toc400391490"/>
      <w:bookmarkStart w:id="359" w:name="_Toc400393654"/>
      <w:bookmarkStart w:id="360" w:name="_Toc400354178"/>
      <w:bookmarkStart w:id="361" w:name="_Toc400356443"/>
      <w:bookmarkStart w:id="362" w:name="_Toc400358708"/>
      <w:bookmarkStart w:id="363" w:name="_Toc400360973"/>
      <w:bookmarkStart w:id="364" w:name="_Toc400363237"/>
      <w:bookmarkStart w:id="365" w:name="_Toc400365468"/>
      <w:bookmarkStart w:id="366" w:name="_Toc400367665"/>
      <w:bookmarkStart w:id="367" w:name="_Toc400369847"/>
      <w:bookmarkStart w:id="368" w:name="_Toc400372028"/>
      <w:bookmarkStart w:id="369" w:name="_Toc400374208"/>
      <w:bookmarkStart w:id="370" w:name="_Toc400376381"/>
      <w:bookmarkStart w:id="371" w:name="_Toc400380717"/>
      <w:bookmarkStart w:id="372" w:name="_Toc400382883"/>
      <w:bookmarkStart w:id="373" w:name="_Toc400385049"/>
      <w:bookmarkStart w:id="374" w:name="_Toc400387212"/>
      <w:bookmarkStart w:id="375" w:name="_Toc400389373"/>
      <w:bookmarkStart w:id="376" w:name="_Toc400391534"/>
      <w:bookmarkStart w:id="377" w:name="_Toc400393698"/>
      <w:bookmarkStart w:id="378" w:name="_Toc400354179"/>
      <w:bookmarkStart w:id="379" w:name="_Toc400356444"/>
      <w:bookmarkStart w:id="380" w:name="_Toc400358709"/>
      <w:bookmarkStart w:id="381" w:name="_Toc400360974"/>
      <w:bookmarkStart w:id="382" w:name="_Toc400363238"/>
      <w:bookmarkStart w:id="383" w:name="_Toc400365469"/>
      <w:bookmarkStart w:id="384" w:name="_Toc400367666"/>
      <w:bookmarkStart w:id="385" w:name="_Toc400369848"/>
      <w:bookmarkStart w:id="386" w:name="_Toc400372029"/>
      <w:bookmarkStart w:id="387" w:name="_Toc400374209"/>
      <w:bookmarkStart w:id="388" w:name="_Toc400376382"/>
      <w:bookmarkStart w:id="389" w:name="_Toc400380718"/>
      <w:bookmarkStart w:id="390" w:name="_Toc400382884"/>
      <w:bookmarkStart w:id="391" w:name="_Toc400385050"/>
      <w:bookmarkStart w:id="392" w:name="_Toc400387213"/>
      <w:bookmarkStart w:id="393" w:name="_Toc400389374"/>
      <w:bookmarkStart w:id="394" w:name="_Toc400391535"/>
      <w:bookmarkStart w:id="395" w:name="_Toc400393699"/>
      <w:bookmarkStart w:id="396" w:name="_Toc400354180"/>
      <w:bookmarkStart w:id="397" w:name="_Toc400356445"/>
      <w:bookmarkStart w:id="398" w:name="_Toc400358710"/>
      <w:bookmarkStart w:id="399" w:name="_Toc400360975"/>
      <w:bookmarkStart w:id="400" w:name="_Toc400363239"/>
      <w:bookmarkStart w:id="401" w:name="_Toc400365470"/>
      <w:bookmarkStart w:id="402" w:name="_Toc400367667"/>
      <w:bookmarkStart w:id="403" w:name="_Toc400369849"/>
      <w:bookmarkStart w:id="404" w:name="_Toc400372030"/>
      <w:bookmarkStart w:id="405" w:name="_Toc400374210"/>
      <w:bookmarkStart w:id="406" w:name="_Toc400376383"/>
      <w:bookmarkStart w:id="407" w:name="_Toc400380719"/>
      <w:bookmarkStart w:id="408" w:name="_Toc400382885"/>
      <w:bookmarkStart w:id="409" w:name="_Toc400385051"/>
      <w:bookmarkStart w:id="410" w:name="_Toc400387214"/>
      <w:bookmarkStart w:id="411" w:name="_Toc400389375"/>
      <w:bookmarkStart w:id="412" w:name="_Toc400391536"/>
      <w:bookmarkStart w:id="413" w:name="_Toc400393700"/>
      <w:bookmarkStart w:id="414" w:name="_Toc400354193"/>
      <w:bookmarkStart w:id="415" w:name="_Toc400356458"/>
      <w:bookmarkStart w:id="416" w:name="_Toc400358723"/>
      <w:bookmarkStart w:id="417" w:name="_Toc400360988"/>
      <w:bookmarkStart w:id="418" w:name="_Toc400363252"/>
      <w:bookmarkStart w:id="419" w:name="_Toc400365483"/>
      <w:bookmarkStart w:id="420" w:name="_Toc400367680"/>
      <w:bookmarkStart w:id="421" w:name="_Toc400369862"/>
      <w:bookmarkStart w:id="422" w:name="_Toc400372043"/>
      <w:bookmarkStart w:id="423" w:name="_Toc400374223"/>
      <w:bookmarkStart w:id="424" w:name="_Toc400376396"/>
      <w:bookmarkStart w:id="425" w:name="_Toc400380732"/>
      <w:bookmarkStart w:id="426" w:name="_Toc400382898"/>
      <w:bookmarkStart w:id="427" w:name="_Toc400385064"/>
      <w:bookmarkStart w:id="428" w:name="_Toc400387227"/>
      <w:bookmarkStart w:id="429" w:name="_Toc400389388"/>
      <w:bookmarkStart w:id="430" w:name="_Toc400391549"/>
      <w:bookmarkStart w:id="431" w:name="_Toc400393713"/>
      <w:bookmarkStart w:id="432" w:name="_Toc400354293"/>
      <w:bookmarkStart w:id="433" w:name="_Toc400356558"/>
      <w:bookmarkStart w:id="434" w:name="_Toc400358823"/>
      <w:bookmarkStart w:id="435" w:name="_Toc400361088"/>
      <w:bookmarkStart w:id="436" w:name="_Toc400363352"/>
      <w:bookmarkStart w:id="437" w:name="_Toc400365583"/>
      <w:bookmarkStart w:id="438" w:name="_Toc400367780"/>
      <w:bookmarkStart w:id="439" w:name="_Toc400369962"/>
      <w:bookmarkStart w:id="440" w:name="_Toc400372143"/>
      <w:bookmarkStart w:id="441" w:name="_Toc400374323"/>
      <w:bookmarkStart w:id="442" w:name="_Toc400376496"/>
      <w:bookmarkStart w:id="443" w:name="_Toc400380832"/>
      <w:bookmarkStart w:id="444" w:name="_Toc400382998"/>
      <w:bookmarkStart w:id="445" w:name="_Toc400385164"/>
      <w:bookmarkStart w:id="446" w:name="_Toc400387327"/>
      <w:bookmarkStart w:id="447" w:name="_Toc400389488"/>
      <w:bookmarkStart w:id="448" w:name="_Toc400391649"/>
      <w:bookmarkStart w:id="449" w:name="_Toc400393813"/>
      <w:bookmarkStart w:id="450" w:name="_Toc400354294"/>
      <w:bookmarkStart w:id="451" w:name="_Toc400356559"/>
      <w:bookmarkStart w:id="452" w:name="_Toc400358824"/>
      <w:bookmarkStart w:id="453" w:name="_Toc400361089"/>
      <w:bookmarkStart w:id="454" w:name="_Toc400363353"/>
      <w:bookmarkStart w:id="455" w:name="_Toc400365584"/>
      <w:bookmarkStart w:id="456" w:name="_Toc400367781"/>
      <w:bookmarkStart w:id="457" w:name="_Toc400369963"/>
      <w:bookmarkStart w:id="458" w:name="_Toc400372144"/>
      <w:bookmarkStart w:id="459" w:name="_Toc400374324"/>
      <w:bookmarkStart w:id="460" w:name="_Toc400376497"/>
      <w:bookmarkStart w:id="461" w:name="_Toc400380833"/>
      <w:bookmarkStart w:id="462" w:name="_Toc400382999"/>
      <w:bookmarkStart w:id="463" w:name="_Toc400385165"/>
      <w:bookmarkStart w:id="464" w:name="_Toc400387328"/>
      <w:bookmarkStart w:id="465" w:name="_Toc400389489"/>
      <w:bookmarkStart w:id="466" w:name="_Toc400391650"/>
      <w:bookmarkStart w:id="467" w:name="_Toc400393814"/>
      <w:bookmarkStart w:id="468" w:name="_Toc400354295"/>
      <w:bookmarkStart w:id="469" w:name="_Toc400356560"/>
      <w:bookmarkStart w:id="470" w:name="_Toc400358825"/>
      <w:bookmarkStart w:id="471" w:name="_Toc400361090"/>
      <w:bookmarkStart w:id="472" w:name="_Toc400363354"/>
      <w:bookmarkStart w:id="473" w:name="_Toc400365585"/>
      <w:bookmarkStart w:id="474" w:name="_Toc400367782"/>
      <w:bookmarkStart w:id="475" w:name="_Toc400369964"/>
      <w:bookmarkStart w:id="476" w:name="_Toc400372145"/>
      <w:bookmarkStart w:id="477" w:name="_Toc400374325"/>
      <w:bookmarkStart w:id="478" w:name="_Toc400376498"/>
      <w:bookmarkStart w:id="479" w:name="_Toc400380834"/>
      <w:bookmarkStart w:id="480" w:name="_Toc400383000"/>
      <w:bookmarkStart w:id="481" w:name="_Toc400385166"/>
      <w:bookmarkStart w:id="482" w:name="_Toc400387329"/>
      <w:bookmarkStart w:id="483" w:name="_Toc400389490"/>
      <w:bookmarkStart w:id="484" w:name="_Toc400391651"/>
      <w:bookmarkStart w:id="485" w:name="_Toc400393815"/>
      <w:bookmarkStart w:id="486" w:name="_Toc400354296"/>
      <w:bookmarkStart w:id="487" w:name="_Toc400356561"/>
      <w:bookmarkStart w:id="488" w:name="_Toc400358826"/>
      <w:bookmarkStart w:id="489" w:name="_Toc400361091"/>
      <w:bookmarkStart w:id="490" w:name="_Toc400363355"/>
      <w:bookmarkStart w:id="491" w:name="_Toc400365586"/>
      <w:bookmarkStart w:id="492" w:name="_Toc400367783"/>
      <w:bookmarkStart w:id="493" w:name="_Toc400369965"/>
      <w:bookmarkStart w:id="494" w:name="_Toc400372146"/>
      <w:bookmarkStart w:id="495" w:name="_Toc400374326"/>
      <w:bookmarkStart w:id="496" w:name="_Toc400376499"/>
      <w:bookmarkStart w:id="497" w:name="_Toc400380835"/>
      <w:bookmarkStart w:id="498" w:name="_Toc400383001"/>
      <w:bookmarkStart w:id="499" w:name="_Toc400385167"/>
      <w:bookmarkStart w:id="500" w:name="_Toc400387330"/>
      <w:bookmarkStart w:id="501" w:name="_Toc400389491"/>
      <w:bookmarkStart w:id="502" w:name="_Toc400391652"/>
      <w:bookmarkStart w:id="503" w:name="_Toc400393816"/>
      <w:bookmarkStart w:id="504" w:name="_Toc400354297"/>
      <w:bookmarkStart w:id="505" w:name="_Toc400356562"/>
      <w:bookmarkStart w:id="506" w:name="_Toc400358827"/>
      <w:bookmarkStart w:id="507" w:name="_Toc400361092"/>
      <w:bookmarkStart w:id="508" w:name="_Toc400363356"/>
      <w:bookmarkStart w:id="509" w:name="_Toc400365587"/>
      <w:bookmarkStart w:id="510" w:name="_Toc400367784"/>
      <w:bookmarkStart w:id="511" w:name="_Toc400369966"/>
      <w:bookmarkStart w:id="512" w:name="_Toc400372147"/>
      <w:bookmarkStart w:id="513" w:name="_Toc400374327"/>
      <w:bookmarkStart w:id="514" w:name="_Toc400376500"/>
      <w:bookmarkStart w:id="515" w:name="_Toc400380836"/>
      <w:bookmarkStart w:id="516" w:name="_Toc400383002"/>
      <w:bookmarkStart w:id="517" w:name="_Toc400385168"/>
      <w:bookmarkStart w:id="518" w:name="_Toc400387331"/>
      <w:bookmarkStart w:id="519" w:name="_Toc400389492"/>
      <w:bookmarkStart w:id="520" w:name="_Toc400391653"/>
      <w:bookmarkStart w:id="521" w:name="_Toc400393817"/>
      <w:bookmarkStart w:id="522" w:name="_Toc400354298"/>
      <w:bookmarkStart w:id="523" w:name="_Toc400356563"/>
      <w:bookmarkStart w:id="524" w:name="_Toc400358828"/>
      <w:bookmarkStart w:id="525" w:name="_Toc400361093"/>
      <w:bookmarkStart w:id="526" w:name="_Toc400363357"/>
      <w:bookmarkStart w:id="527" w:name="_Toc400365588"/>
      <w:bookmarkStart w:id="528" w:name="_Toc400367785"/>
      <w:bookmarkStart w:id="529" w:name="_Toc400369967"/>
      <w:bookmarkStart w:id="530" w:name="_Toc400372148"/>
      <w:bookmarkStart w:id="531" w:name="_Toc400374328"/>
      <w:bookmarkStart w:id="532" w:name="_Toc400376501"/>
      <w:bookmarkStart w:id="533" w:name="_Toc400380837"/>
      <w:bookmarkStart w:id="534" w:name="_Toc400383003"/>
      <w:bookmarkStart w:id="535" w:name="_Toc400385169"/>
      <w:bookmarkStart w:id="536" w:name="_Toc400387332"/>
      <w:bookmarkStart w:id="537" w:name="_Toc400389493"/>
      <w:bookmarkStart w:id="538" w:name="_Toc400391654"/>
      <w:bookmarkStart w:id="539" w:name="_Toc400393818"/>
      <w:bookmarkStart w:id="540" w:name="_Toc400354299"/>
      <w:bookmarkStart w:id="541" w:name="_Toc400356564"/>
      <w:bookmarkStart w:id="542" w:name="_Toc400358829"/>
      <w:bookmarkStart w:id="543" w:name="_Toc400361094"/>
      <w:bookmarkStart w:id="544" w:name="_Toc400363358"/>
      <w:bookmarkStart w:id="545" w:name="_Toc400365589"/>
      <w:bookmarkStart w:id="546" w:name="_Toc400367786"/>
      <w:bookmarkStart w:id="547" w:name="_Toc400369968"/>
      <w:bookmarkStart w:id="548" w:name="_Toc400372149"/>
      <w:bookmarkStart w:id="549" w:name="_Toc400374329"/>
      <w:bookmarkStart w:id="550" w:name="_Toc400376502"/>
      <w:bookmarkStart w:id="551" w:name="_Toc400380838"/>
      <w:bookmarkStart w:id="552" w:name="_Toc400383004"/>
      <w:bookmarkStart w:id="553" w:name="_Toc400385170"/>
      <w:bookmarkStart w:id="554" w:name="_Toc400387333"/>
      <w:bookmarkStart w:id="555" w:name="_Toc400389494"/>
      <w:bookmarkStart w:id="556" w:name="_Toc400391655"/>
      <w:bookmarkStart w:id="557" w:name="_Toc400393819"/>
      <w:bookmarkStart w:id="558" w:name="_Toc400354300"/>
      <w:bookmarkStart w:id="559" w:name="_Toc400356565"/>
      <w:bookmarkStart w:id="560" w:name="_Toc400358830"/>
      <w:bookmarkStart w:id="561" w:name="_Toc400361095"/>
      <w:bookmarkStart w:id="562" w:name="_Toc400363359"/>
      <w:bookmarkStart w:id="563" w:name="_Toc400365590"/>
      <w:bookmarkStart w:id="564" w:name="_Toc400367787"/>
      <w:bookmarkStart w:id="565" w:name="_Toc400369969"/>
      <w:bookmarkStart w:id="566" w:name="_Toc400372150"/>
      <w:bookmarkStart w:id="567" w:name="_Toc400374330"/>
      <w:bookmarkStart w:id="568" w:name="_Toc400376503"/>
      <w:bookmarkStart w:id="569" w:name="_Toc400380839"/>
      <w:bookmarkStart w:id="570" w:name="_Toc400383005"/>
      <w:bookmarkStart w:id="571" w:name="_Toc400385171"/>
      <w:bookmarkStart w:id="572" w:name="_Toc400387334"/>
      <w:bookmarkStart w:id="573" w:name="_Toc400389495"/>
      <w:bookmarkStart w:id="574" w:name="_Toc400391656"/>
      <w:bookmarkStart w:id="575" w:name="_Toc400393820"/>
      <w:bookmarkStart w:id="576" w:name="_Toc400354301"/>
      <w:bookmarkStart w:id="577" w:name="_Toc400356566"/>
      <w:bookmarkStart w:id="578" w:name="_Toc400358831"/>
      <w:bookmarkStart w:id="579" w:name="_Toc400361096"/>
      <w:bookmarkStart w:id="580" w:name="_Toc400363360"/>
      <w:bookmarkStart w:id="581" w:name="_Toc400365591"/>
      <w:bookmarkStart w:id="582" w:name="_Toc400367788"/>
      <w:bookmarkStart w:id="583" w:name="_Toc400369970"/>
      <w:bookmarkStart w:id="584" w:name="_Toc400372151"/>
      <w:bookmarkStart w:id="585" w:name="_Toc400374331"/>
      <w:bookmarkStart w:id="586" w:name="_Toc400376504"/>
      <w:bookmarkStart w:id="587" w:name="_Toc400380840"/>
      <w:bookmarkStart w:id="588" w:name="_Toc400383006"/>
      <w:bookmarkStart w:id="589" w:name="_Toc400385172"/>
      <w:bookmarkStart w:id="590" w:name="_Toc400387335"/>
      <w:bookmarkStart w:id="591" w:name="_Toc400389496"/>
      <w:bookmarkStart w:id="592" w:name="_Toc400391657"/>
      <w:bookmarkStart w:id="593" w:name="_Toc400393821"/>
      <w:bookmarkStart w:id="594" w:name="_Toc400354302"/>
      <w:bookmarkStart w:id="595" w:name="_Toc400356567"/>
      <w:bookmarkStart w:id="596" w:name="_Toc400358832"/>
      <w:bookmarkStart w:id="597" w:name="_Toc400361097"/>
      <w:bookmarkStart w:id="598" w:name="_Toc400363361"/>
      <w:bookmarkStart w:id="599" w:name="_Toc400365592"/>
      <w:bookmarkStart w:id="600" w:name="_Toc400367789"/>
      <w:bookmarkStart w:id="601" w:name="_Toc400369971"/>
      <w:bookmarkStart w:id="602" w:name="_Toc400372152"/>
      <w:bookmarkStart w:id="603" w:name="_Toc400374332"/>
      <w:bookmarkStart w:id="604" w:name="_Toc400376505"/>
      <w:bookmarkStart w:id="605" w:name="_Toc400380841"/>
      <w:bookmarkStart w:id="606" w:name="_Toc400383007"/>
      <w:bookmarkStart w:id="607" w:name="_Toc400385173"/>
      <w:bookmarkStart w:id="608" w:name="_Toc400387336"/>
      <w:bookmarkStart w:id="609" w:name="_Toc400389497"/>
      <w:bookmarkStart w:id="610" w:name="_Toc400391658"/>
      <w:bookmarkStart w:id="611" w:name="_Toc400393822"/>
      <w:bookmarkStart w:id="612" w:name="_Toc400354303"/>
      <w:bookmarkStart w:id="613" w:name="_Toc400356568"/>
      <w:bookmarkStart w:id="614" w:name="_Toc400358833"/>
      <w:bookmarkStart w:id="615" w:name="_Toc400361098"/>
      <w:bookmarkStart w:id="616" w:name="_Toc400363362"/>
      <w:bookmarkStart w:id="617" w:name="_Toc400365593"/>
      <w:bookmarkStart w:id="618" w:name="_Toc400367790"/>
      <w:bookmarkStart w:id="619" w:name="_Toc400369972"/>
      <w:bookmarkStart w:id="620" w:name="_Toc400372153"/>
      <w:bookmarkStart w:id="621" w:name="_Toc400374333"/>
      <w:bookmarkStart w:id="622" w:name="_Toc400376506"/>
      <w:bookmarkStart w:id="623" w:name="_Toc400380842"/>
      <w:bookmarkStart w:id="624" w:name="_Toc400383008"/>
      <w:bookmarkStart w:id="625" w:name="_Toc400385174"/>
      <w:bookmarkStart w:id="626" w:name="_Toc400387337"/>
      <w:bookmarkStart w:id="627" w:name="_Toc400389498"/>
      <w:bookmarkStart w:id="628" w:name="_Toc400391659"/>
      <w:bookmarkStart w:id="629" w:name="_Toc400393823"/>
      <w:bookmarkStart w:id="630" w:name="_Toc400354304"/>
      <w:bookmarkStart w:id="631" w:name="_Toc400356569"/>
      <w:bookmarkStart w:id="632" w:name="_Toc400358834"/>
      <w:bookmarkStart w:id="633" w:name="_Toc400361099"/>
      <w:bookmarkStart w:id="634" w:name="_Toc400363363"/>
      <w:bookmarkStart w:id="635" w:name="_Toc400365594"/>
      <w:bookmarkStart w:id="636" w:name="_Toc400367791"/>
      <w:bookmarkStart w:id="637" w:name="_Toc400369973"/>
      <w:bookmarkStart w:id="638" w:name="_Toc400372154"/>
      <w:bookmarkStart w:id="639" w:name="_Toc400374334"/>
      <w:bookmarkStart w:id="640" w:name="_Toc400376507"/>
      <w:bookmarkStart w:id="641" w:name="_Toc400380843"/>
      <w:bookmarkStart w:id="642" w:name="_Toc400383009"/>
      <w:bookmarkStart w:id="643" w:name="_Toc400385175"/>
      <w:bookmarkStart w:id="644" w:name="_Toc400387338"/>
      <w:bookmarkStart w:id="645" w:name="_Toc400389499"/>
      <w:bookmarkStart w:id="646" w:name="_Toc400391660"/>
      <w:bookmarkStart w:id="647" w:name="_Toc400393824"/>
      <w:bookmarkStart w:id="648" w:name="_Toc400354305"/>
      <w:bookmarkStart w:id="649" w:name="_Toc400356570"/>
      <w:bookmarkStart w:id="650" w:name="_Toc400358835"/>
      <w:bookmarkStart w:id="651" w:name="_Toc400361100"/>
      <w:bookmarkStart w:id="652" w:name="_Toc400363364"/>
      <w:bookmarkStart w:id="653" w:name="_Toc400365595"/>
      <w:bookmarkStart w:id="654" w:name="_Toc400367792"/>
      <w:bookmarkStart w:id="655" w:name="_Toc400369974"/>
      <w:bookmarkStart w:id="656" w:name="_Toc400372155"/>
      <w:bookmarkStart w:id="657" w:name="_Toc400374335"/>
      <w:bookmarkStart w:id="658" w:name="_Toc400376508"/>
      <w:bookmarkStart w:id="659" w:name="_Toc400380844"/>
      <w:bookmarkStart w:id="660" w:name="_Toc400383010"/>
      <w:bookmarkStart w:id="661" w:name="_Toc400385176"/>
      <w:bookmarkStart w:id="662" w:name="_Toc400387339"/>
      <w:bookmarkStart w:id="663" w:name="_Toc400389500"/>
      <w:bookmarkStart w:id="664" w:name="_Toc400391661"/>
      <w:bookmarkStart w:id="665" w:name="_Toc400393825"/>
      <w:bookmarkStart w:id="666" w:name="_Toc400354306"/>
      <w:bookmarkStart w:id="667" w:name="_Toc400356571"/>
      <w:bookmarkStart w:id="668" w:name="_Toc400358836"/>
      <w:bookmarkStart w:id="669" w:name="_Toc400361101"/>
      <w:bookmarkStart w:id="670" w:name="_Toc400363365"/>
      <w:bookmarkStart w:id="671" w:name="_Toc400365596"/>
      <w:bookmarkStart w:id="672" w:name="_Toc400367793"/>
      <w:bookmarkStart w:id="673" w:name="_Toc400369975"/>
      <w:bookmarkStart w:id="674" w:name="_Toc400372156"/>
      <w:bookmarkStart w:id="675" w:name="_Toc400374336"/>
      <w:bookmarkStart w:id="676" w:name="_Toc400376509"/>
      <w:bookmarkStart w:id="677" w:name="_Toc400380845"/>
      <w:bookmarkStart w:id="678" w:name="_Toc400383011"/>
      <w:bookmarkStart w:id="679" w:name="_Toc400385177"/>
      <w:bookmarkStart w:id="680" w:name="_Toc400387340"/>
      <w:bookmarkStart w:id="681" w:name="_Toc400389501"/>
      <w:bookmarkStart w:id="682" w:name="_Toc400391662"/>
      <w:bookmarkStart w:id="683" w:name="_Toc400393826"/>
      <w:bookmarkStart w:id="684" w:name="_Toc400354307"/>
      <w:bookmarkStart w:id="685" w:name="_Toc400356572"/>
      <w:bookmarkStart w:id="686" w:name="_Toc400358837"/>
      <w:bookmarkStart w:id="687" w:name="_Toc400361102"/>
      <w:bookmarkStart w:id="688" w:name="_Toc400363366"/>
      <w:bookmarkStart w:id="689" w:name="_Toc400365597"/>
      <w:bookmarkStart w:id="690" w:name="_Toc400367794"/>
      <w:bookmarkStart w:id="691" w:name="_Toc400369976"/>
      <w:bookmarkStart w:id="692" w:name="_Toc400372157"/>
      <w:bookmarkStart w:id="693" w:name="_Toc400374337"/>
      <w:bookmarkStart w:id="694" w:name="_Toc400376510"/>
      <w:bookmarkStart w:id="695" w:name="_Toc400380846"/>
      <w:bookmarkStart w:id="696" w:name="_Toc400383012"/>
      <w:bookmarkStart w:id="697" w:name="_Toc400385178"/>
      <w:bookmarkStart w:id="698" w:name="_Toc400387341"/>
      <w:bookmarkStart w:id="699" w:name="_Toc400389502"/>
      <w:bookmarkStart w:id="700" w:name="_Toc400391663"/>
      <w:bookmarkStart w:id="701" w:name="_Toc400393827"/>
      <w:bookmarkStart w:id="702" w:name="_Toc400354308"/>
      <w:bookmarkStart w:id="703" w:name="_Toc400356573"/>
      <w:bookmarkStart w:id="704" w:name="_Toc400358838"/>
      <w:bookmarkStart w:id="705" w:name="_Toc400361103"/>
      <w:bookmarkStart w:id="706" w:name="_Toc400363367"/>
      <w:bookmarkStart w:id="707" w:name="_Toc400365598"/>
      <w:bookmarkStart w:id="708" w:name="_Toc400367795"/>
      <w:bookmarkStart w:id="709" w:name="_Toc400369977"/>
      <w:bookmarkStart w:id="710" w:name="_Toc400372158"/>
      <w:bookmarkStart w:id="711" w:name="_Toc400374338"/>
      <w:bookmarkStart w:id="712" w:name="_Toc400376511"/>
      <w:bookmarkStart w:id="713" w:name="_Toc400380847"/>
      <w:bookmarkStart w:id="714" w:name="_Toc400383013"/>
      <w:bookmarkStart w:id="715" w:name="_Toc400385179"/>
      <w:bookmarkStart w:id="716" w:name="_Toc400387342"/>
      <w:bookmarkStart w:id="717" w:name="_Toc400389503"/>
      <w:bookmarkStart w:id="718" w:name="_Toc400391664"/>
      <w:bookmarkStart w:id="719" w:name="_Toc400393828"/>
      <w:bookmarkStart w:id="720" w:name="_Toc400354309"/>
      <w:bookmarkStart w:id="721" w:name="_Toc400356574"/>
      <w:bookmarkStart w:id="722" w:name="_Toc400358839"/>
      <w:bookmarkStart w:id="723" w:name="_Toc400361104"/>
      <w:bookmarkStart w:id="724" w:name="_Toc400363368"/>
      <w:bookmarkStart w:id="725" w:name="_Toc400365599"/>
      <w:bookmarkStart w:id="726" w:name="_Toc400367796"/>
      <w:bookmarkStart w:id="727" w:name="_Toc400369978"/>
      <w:bookmarkStart w:id="728" w:name="_Toc400372159"/>
      <w:bookmarkStart w:id="729" w:name="_Toc400374339"/>
      <w:bookmarkStart w:id="730" w:name="_Toc400376512"/>
      <w:bookmarkStart w:id="731" w:name="_Toc400380848"/>
      <w:bookmarkStart w:id="732" w:name="_Toc400383014"/>
      <w:bookmarkStart w:id="733" w:name="_Toc400385180"/>
      <w:bookmarkStart w:id="734" w:name="_Toc400387343"/>
      <w:bookmarkStart w:id="735" w:name="_Toc400389504"/>
      <w:bookmarkStart w:id="736" w:name="_Toc400391665"/>
      <w:bookmarkStart w:id="737" w:name="_Toc400393829"/>
      <w:bookmarkStart w:id="738" w:name="_Toc400354310"/>
      <w:bookmarkStart w:id="739" w:name="_Toc400356575"/>
      <w:bookmarkStart w:id="740" w:name="_Toc400358840"/>
      <w:bookmarkStart w:id="741" w:name="_Toc400361105"/>
      <w:bookmarkStart w:id="742" w:name="_Toc400363369"/>
      <w:bookmarkStart w:id="743" w:name="_Toc400365600"/>
      <w:bookmarkStart w:id="744" w:name="_Toc400367797"/>
      <w:bookmarkStart w:id="745" w:name="_Toc400369979"/>
      <w:bookmarkStart w:id="746" w:name="_Toc400372160"/>
      <w:bookmarkStart w:id="747" w:name="_Toc400374340"/>
      <w:bookmarkStart w:id="748" w:name="_Toc400376513"/>
      <w:bookmarkStart w:id="749" w:name="_Toc400380849"/>
      <w:bookmarkStart w:id="750" w:name="_Toc400383015"/>
      <w:bookmarkStart w:id="751" w:name="_Toc400385181"/>
      <w:bookmarkStart w:id="752" w:name="_Toc400387344"/>
      <w:bookmarkStart w:id="753" w:name="_Toc400389505"/>
      <w:bookmarkStart w:id="754" w:name="_Toc400391666"/>
      <w:bookmarkStart w:id="755" w:name="_Toc400393830"/>
      <w:bookmarkStart w:id="756" w:name="_Toc400354311"/>
      <w:bookmarkStart w:id="757" w:name="_Toc400356576"/>
      <w:bookmarkStart w:id="758" w:name="_Toc400358841"/>
      <w:bookmarkStart w:id="759" w:name="_Toc400361106"/>
      <w:bookmarkStart w:id="760" w:name="_Toc400363370"/>
      <w:bookmarkStart w:id="761" w:name="_Toc400365601"/>
      <w:bookmarkStart w:id="762" w:name="_Toc400367798"/>
      <w:bookmarkStart w:id="763" w:name="_Toc400369980"/>
      <w:bookmarkStart w:id="764" w:name="_Toc400372161"/>
      <w:bookmarkStart w:id="765" w:name="_Toc400374341"/>
      <w:bookmarkStart w:id="766" w:name="_Toc400376514"/>
      <w:bookmarkStart w:id="767" w:name="_Toc400380850"/>
      <w:bookmarkStart w:id="768" w:name="_Toc400383016"/>
      <w:bookmarkStart w:id="769" w:name="_Toc400385182"/>
      <w:bookmarkStart w:id="770" w:name="_Toc400387345"/>
      <w:bookmarkStart w:id="771" w:name="_Toc400389506"/>
      <w:bookmarkStart w:id="772" w:name="_Toc400391667"/>
      <w:bookmarkStart w:id="773" w:name="_Toc400393831"/>
      <w:bookmarkStart w:id="774" w:name="_Toc400354312"/>
      <w:bookmarkStart w:id="775" w:name="_Toc400356577"/>
      <w:bookmarkStart w:id="776" w:name="_Toc400358842"/>
      <w:bookmarkStart w:id="777" w:name="_Toc400361107"/>
      <w:bookmarkStart w:id="778" w:name="_Toc400363371"/>
      <w:bookmarkStart w:id="779" w:name="_Toc400365602"/>
      <w:bookmarkStart w:id="780" w:name="_Toc400367799"/>
      <w:bookmarkStart w:id="781" w:name="_Toc400369981"/>
      <w:bookmarkStart w:id="782" w:name="_Toc400372162"/>
      <w:bookmarkStart w:id="783" w:name="_Toc400374342"/>
      <w:bookmarkStart w:id="784" w:name="_Toc400376515"/>
      <w:bookmarkStart w:id="785" w:name="_Toc400380851"/>
      <w:bookmarkStart w:id="786" w:name="_Toc400383017"/>
      <w:bookmarkStart w:id="787" w:name="_Toc400385183"/>
      <w:bookmarkStart w:id="788" w:name="_Toc400387346"/>
      <w:bookmarkStart w:id="789" w:name="_Toc400389507"/>
      <w:bookmarkStart w:id="790" w:name="_Toc400391668"/>
      <w:bookmarkStart w:id="791" w:name="_Toc400393832"/>
      <w:bookmarkStart w:id="792" w:name="_Toc400354313"/>
      <w:bookmarkStart w:id="793" w:name="_Toc400356578"/>
      <w:bookmarkStart w:id="794" w:name="_Toc400358843"/>
      <w:bookmarkStart w:id="795" w:name="_Toc400361108"/>
      <w:bookmarkStart w:id="796" w:name="_Toc400363372"/>
      <w:bookmarkStart w:id="797" w:name="_Toc400365603"/>
      <w:bookmarkStart w:id="798" w:name="_Toc400367800"/>
      <w:bookmarkStart w:id="799" w:name="_Toc400369982"/>
      <w:bookmarkStart w:id="800" w:name="_Toc400372163"/>
      <w:bookmarkStart w:id="801" w:name="_Toc400374343"/>
      <w:bookmarkStart w:id="802" w:name="_Toc400376516"/>
      <w:bookmarkStart w:id="803" w:name="_Toc400380852"/>
      <w:bookmarkStart w:id="804" w:name="_Toc400383018"/>
      <w:bookmarkStart w:id="805" w:name="_Toc400385184"/>
      <w:bookmarkStart w:id="806" w:name="_Toc400387347"/>
      <w:bookmarkStart w:id="807" w:name="_Toc400389508"/>
      <w:bookmarkStart w:id="808" w:name="_Toc400391669"/>
      <w:bookmarkStart w:id="809" w:name="_Toc400393833"/>
      <w:bookmarkStart w:id="810" w:name="_Toc400354314"/>
      <w:bookmarkStart w:id="811" w:name="_Toc400356579"/>
      <w:bookmarkStart w:id="812" w:name="_Toc400358844"/>
      <w:bookmarkStart w:id="813" w:name="_Toc400361109"/>
      <w:bookmarkStart w:id="814" w:name="_Toc400363373"/>
      <w:bookmarkStart w:id="815" w:name="_Toc400365604"/>
      <w:bookmarkStart w:id="816" w:name="_Toc400367801"/>
      <w:bookmarkStart w:id="817" w:name="_Toc400369983"/>
      <w:bookmarkStart w:id="818" w:name="_Toc400372164"/>
      <w:bookmarkStart w:id="819" w:name="_Toc400374344"/>
      <w:bookmarkStart w:id="820" w:name="_Toc400376517"/>
      <w:bookmarkStart w:id="821" w:name="_Toc400380853"/>
      <w:bookmarkStart w:id="822" w:name="_Toc400383019"/>
      <w:bookmarkStart w:id="823" w:name="_Toc400385185"/>
      <w:bookmarkStart w:id="824" w:name="_Toc400387348"/>
      <w:bookmarkStart w:id="825" w:name="_Toc400389509"/>
      <w:bookmarkStart w:id="826" w:name="_Toc400391670"/>
      <w:bookmarkStart w:id="827" w:name="_Toc400393834"/>
      <w:bookmarkStart w:id="828" w:name="_Toc400354315"/>
      <w:bookmarkStart w:id="829" w:name="_Toc400356580"/>
      <w:bookmarkStart w:id="830" w:name="_Toc400358845"/>
      <w:bookmarkStart w:id="831" w:name="_Toc400361110"/>
      <w:bookmarkStart w:id="832" w:name="_Toc400363374"/>
      <w:bookmarkStart w:id="833" w:name="_Toc400365605"/>
      <w:bookmarkStart w:id="834" w:name="_Toc400367802"/>
      <w:bookmarkStart w:id="835" w:name="_Toc400369984"/>
      <w:bookmarkStart w:id="836" w:name="_Toc400372165"/>
      <w:bookmarkStart w:id="837" w:name="_Toc400374345"/>
      <w:bookmarkStart w:id="838" w:name="_Toc400376518"/>
      <w:bookmarkStart w:id="839" w:name="_Toc400380854"/>
      <w:bookmarkStart w:id="840" w:name="_Toc400383020"/>
      <w:bookmarkStart w:id="841" w:name="_Toc400385186"/>
      <w:bookmarkStart w:id="842" w:name="_Toc400387349"/>
      <w:bookmarkStart w:id="843" w:name="_Toc400389510"/>
      <w:bookmarkStart w:id="844" w:name="_Toc400391671"/>
      <w:bookmarkStart w:id="845" w:name="_Toc400393835"/>
      <w:bookmarkStart w:id="846" w:name="_Toc400354316"/>
      <w:bookmarkStart w:id="847" w:name="_Toc400356581"/>
      <w:bookmarkStart w:id="848" w:name="_Toc400358846"/>
      <w:bookmarkStart w:id="849" w:name="_Toc400361111"/>
      <w:bookmarkStart w:id="850" w:name="_Toc400363375"/>
      <w:bookmarkStart w:id="851" w:name="_Toc400365606"/>
      <w:bookmarkStart w:id="852" w:name="_Toc400367803"/>
      <w:bookmarkStart w:id="853" w:name="_Toc400369985"/>
      <w:bookmarkStart w:id="854" w:name="_Toc400372166"/>
      <w:bookmarkStart w:id="855" w:name="_Toc400374346"/>
      <w:bookmarkStart w:id="856" w:name="_Toc400376519"/>
      <w:bookmarkStart w:id="857" w:name="_Toc400380855"/>
      <w:bookmarkStart w:id="858" w:name="_Toc400383021"/>
      <w:bookmarkStart w:id="859" w:name="_Toc400385187"/>
      <w:bookmarkStart w:id="860" w:name="_Toc400387350"/>
      <w:bookmarkStart w:id="861" w:name="_Toc400389511"/>
      <w:bookmarkStart w:id="862" w:name="_Toc400391672"/>
      <w:bookmarkStart w:id="863" w:name="_Toc400393836"/>
      <w:bookmarkStart w:id="864" w:name="_Toc400354317"/>
      <w:bookmarkStart w:id="865" w:name="_Toc400356582"/>
      <w:bookmarkStart w:id="866" w:name="_Toc400358847"/>
      <w:bookmarkStart w:id="867" w:name="_Toc400361112"/>
      <w:bookmarkStart w:id="868" w:name="_Toc400363376"/>
      <w:bookmarkStart w:id="869" w:name="_Toc400365607"/>
      <w:bookmarkStart w:id="870" w:name="_Toc400367804"/>
      <w:bookmarkStart w:id="871" w:name="_Toc400369986"/>
      <w:bookmarkStart w:id="872" w:name="_Toc400372167"/>
      <w:bookmarkStart w:id="873" w:name="_Toc400374347"/>
      <w:bookmarkStart w:id="874" w:name="_Toc400376520"/>
      <w:bookmarkStart w:id="875" w:name="_Toc400380856"/>
      <w:bookmarkStart w:id="876" w:name="_Toc400383022"/>
      <w:bookmarkStart w:id="877" w:name="_Toc400385188"/>
      <w:bookmarkStart w:id="878" w:name="_Toc400387351"/>
      <w:bookmarkStart w:id="879" w:name="_Toc400389512"/>
      <w:bookmarkStart w:id="880" w:name="_Toc400391673"/>
      <w:bookmarkStart w:id="881" w:name="_Toc400393837"/>
      <w:bookmarkStart w:id="882" w:name="_Toc400354318"/>
      <w:bookmarkStart w:id="883" w:name="_Toc400356583"/>
      <w:bookmarkStart w:id="884" w:name="_Toc400358848"/>
      <w:bookmarkStart w:id="885" w:name="_Toc400361113"/>
      <w:bookmarkStart w:id="886" w:name="_Toc400363377"/>
      <w:bookmarkStart w:id="887" w:name="_Toc400365608"/>
      <w:bookmarkStart w:id="888" w:name="_Toc400367805"/>
      <w:bookmarkStart w:id="889" w:name="_Toc400369987"/>
      <w:bookmarkStart w:id="890" w:name="_Toc400372168"/>
      <w:bookmarkStart w:id="891" w:name="_Toc400374348"/>
      <w:bookmarkStart w:id="892" w:name="_Toc400376521"/>
      <w:bookmarkStart w:id="893" w:name="_Toc400380857"/>
      <w:bookmarkStart w:id="894" w:name="_Toc400383023"/>
      <w:bookmarkStart w:id="895" w:name="_Toc400385189"/>
      <w:bookmarkStart w:id="896" w:name="_Toc400387352"/>
      <w:bookmarkStart w:id="897" w:name="_Toc400389513"/>
      <w:bookmarkStart w:id="898" w:name="_Toc400391674"/>
      <w:bookmarkStart w:id="899" w:name="_Toc400393838"/>
      <w:bookmarkStart w:id="900" w:name="_Toc400354319"/>
      <w:bookmarkStart w:id="901" w:name="_Toc400356584"/>
      <w:bookmarkStart w:id="902" w:name="_Toc400358849"/>
      <w:bookmarkStart w:id="903" w:name="_Toc400361114"/>
      <w:bookmarkStart w:id="904" w:name="_Toc400363378"/>
      <w:bookmarkStart w:id="905" w:name="_Toc400365609"/>
      <w:bookmarkStart w:id="906" w:name="_Toc400367806"/>
      <w:bookmarkStart w:id="907" w:name="_Toc400369988"/>
      <w:bookmarkStart w:id="908" w:name="_Toc400372169"/>
      <w:bookmarkStart w:id="909" w:name="_Toc400374349"/>
      <w:bookmarkStart w:id="910" w:name="_Toc400376522"/>
      <w:bookmarkStart w:id="911" w:name="_Toc400380858"/>
      <w:bookmarkStart w:id="912" w:name="_Toc400383024"/>
      <w:bookmarkStart w:id="913" w:name="_Toc400385190"/>
      <w:bookmarkStart w:id="914" w:name="_Toc400387353"/>
      <w:bookmarkStart w:id="915" w:name="_Toc400389514"/>
      <w:bookmarkStart w:id="916" w:name="_Toc400391675"/>
      <w:bookmarkStart w:id="917" w:name="_Toc400393839"/>
      <w:bookmarkStart w:id="918" w:name="_Toc400354344"/>
      <w:bookmarkStart w:id="919" w:name="_Toc400356609"/>
      <w:bookmarkStart w:id="920" w:name="_Toc400358874"/>
      <w:bookmarkStart w:id="921" w:name="_Toc400361139"/>
      <w:bookmarkStart w:id="922" w:name="_Toc400363403"/>
      <w:bookmarkStart w:id="923" w:name="_Toc400365634"/>
      <w:bookmarkStart w:id="924" w:name="_Toc400367831"/>
      <w:bookmarkStart w:id="925" w:name="_Toc400370013"/>
      <w:bookmarkStart w:id="926" w:name="_Toc400372194"/>
      <w:bookmarkStart w:id="927" w:name="_Toc400374374"/>
      <w:bookmarkStart w:id="928" w:name="_Toc400376547"/>
      <w:bookmarkStart w:id="929" w:name="_Toc400380883"/>
      <w:bookmarkStart w:id="930" w:name="_Toc400383049"/>
      <w:bookmarkStart w:id="931" w:name="_Toc400385215"/>
      <w:bookmarkStart w:id="932" w:name="_Toc400387378"/>
      <w:bookmarkStart w:id="933" w:name="_Toc400389539"/>
      <w:bookmarkStart w:id="934" w:name="_Toc400391700"/>
      <w:bookmarkStart w:id="935" w:name="_Toc400393864"/>
      <w:bookmarkStart w:id="936" w:name="_Toc400354345"/>
      <w:bookmarkStart w:id="937" w:name="_Toc400356610"/>
      <w:bookmarkStart w:id="938" w:name="_Toc400358875"/>
      <w:bookmarkStart w:id="939" w:name="_Toc400361140"/>
      <w:bookmarkStart w:id="940" w:name="_Toc400363404"/>
      <w:bookmarkStart w:id="941" w:name="_Toc400365635"/>
      <w:bookmarkStart w:id="942" w:name="_Toc400367832"/>
      <w:bookmarkStart w:id="943" w:name="_Toc400370014"/>
      <w:bookmarkStart w:id="944" w:name="_Toc400372195"/>
      <w:bookmarkStart w:id="945" w:name="_Toc400374375"/>
      <w:bookmarkStart w:id="946" w:name="_Toc400376548"/>
      <w:bookmarkStart w:id="947" w:name="_Toc400380884"/>
      <w:bookmarkStart w:id="948" w:name="_Toc400383050"/>
      <w:bookmarkStart w:id="949" w:name="_Toc400385216"/>
      <w:bookmarkStart w:id="950" w:name="_Toc400387379"/>
      <w:bookmarkStart w:id="951" w:name="_Toc400389540"/>
      <w:bookmarkStart w:id="952" w:name="_Toc400391701"/>
      <w:bookmarkStart w:id="953" w:name="_Toc400393865"/>
      <w:bookmarkStart w:id="954" w:name="_Toc400354346"/>
      <w:bookmarkStart w:id="955" w:name="_Toc400356611"/>
      <w:bookmarkStart w:id="956" w:name="_Toc400358876"/>
      <w:bookmarkStart w:id="957" w:name="_Toc400361141"/>
      <w:bookmarkStart w:id="958" w:name="_Toc400363405"/>
      <w:bookmarkStart w:id="959" w:name="_Toc400365636"/>
      <w:bookmarkStart w:id="960" w:name="_Toc400367833"/>
      <w:bookmarkStart w:id="961" w:name="_Toc400370015"/>
      <w:bookmarkStart w:id="962" w:name="_Toc400372196"/>
      <w:bookmarkStart w:id="963" w:name="_Toc400374376"/>
      <w:bookmarkStart w:id="964" w:name="_Toc400376549"/>
      <w:bookmarkStart w:id="965" w:name="_Toc400380885"/>
      <w:bookmarkStart w:id="966" w:name="_Toc400383051"/>
      <w:bookmarkStart w:id="967" w:name="_Toc400385217"/>
      <w:bookmarkStart w:id="968" w:name="_Toc400387380"/>
      <w:bookmarkStart w:id="969" w:name="_Toc400389541"/>
      <w:bookmarkStart w:id="970" w:name="_Toc400391702"/>
      <w:bookmarkStart w:id="971" w:name="_Toc400393866"/>
      <w:bookmarkStart w:id="972" w:name="_Toc400354347"/>
      <w:bookmarkStart w:id="973" w:name="_Toc400356612"/>
      <w:bookmarkStart w:id="974" w:name="_Toc400358877"/>
      <w:bookmarkStart w:id="975" w:name="_Toc400361142"/>
      <w:bookmarkStart w:id="976" w:name="_Toc400363406"/>
      <w:bookmarkStart w:id="977" w:name="_Toc400365637"/>
      <w:bookmarkStart w:id="978" w:name="_Toc400367834"/>
      <w:bookmarkStart w:id="979" w:name="_Toc400370016"/>
      <w:bookmarkStart w:id="980" w:name="_Toc400372197"/>
      <w:bookmarkStart w:id="981" w:name="_Toc400374377"/>
      <w:bookmarkStart w:id="982" w:name="_Toc400376550"/>
      <w:bookmarkStart w:id="983" w:name="_Toc400380886"/>
      <w:bookmarkStart w:id="984" w:name="_Toc400383052"/>
      <w:bookmarkStart w:id="985" w:name="_Toc400385218"/>
      <w:bookmarkStart w:id="986" w:name="_Toc400387381"/>
      <w:bookmarkStart w:id="987" w:name="_Toc400389542"/>
      <w:bookmarkStart w:id="988" w:name="_Toc400391703"/>
      <w:bookmarkStart w:id="989" w:name="_Toc400393867"/>
      <w:bookmarkStart w:id="990" w:name="_Toc400354348"/>
      <w:bookmarkStart w:id="991" w:name="_Toc400356613"/>
      <w:bookmarkStart w:id="992" w:name="_Toc400358878"/>
      <w:bookmarkStart w:id="993" w:name="_Toc400361143"/>
      <w:bookmarkStart w:id="994" w:name="_Toc400363407"/>
      <w:bookmarkStart w:id="995" w:name="_Toc400365638"/>
      <w:bookmarkStart w:id="996" w:name="_Toc400367835"/>
      <w:bookmarkStart w:id="997" w:name="_Toc400370017"/>
      <w:bookmarkStart w:id="998" w:name="_Toc400372198"/>
      <w:bookmarkStart w:id="999" w:name="_Toc400374378"/>
      <w:bookmarkStart w:id="1000" w:name="_Toc400376551"/>
      <w:bookmarkStart w:id="1001" w:name="_Toc400380887"/>
      <w:bookmarkStart w:id="1002" w:name="_Toc400383053"/>
      <w:bookmarkStart w:id="1003" w:name="_Toc400385219"/>
      <w:bookmarkStart w:id="1004" w:name="_Toc400387382"/>
      <w:bookmarkStart w:id="1005" w:name="_Toc400389543"/>
      <w:bookmarkStart w:id="1006" w:name="_Toc400391704"/>
      <w:bookmarkStart w:id="1007" w:name="_Toc400393868"/>
      <w:bookmarkStart w:id="1008" w:name="_Toc400354349"/>
      <w:bookmarkStart w:id="1009" w:name="_Toc400356614"/>
      <w:bookmarkStart w:id="1010" w:name="_Toc400358879"/>
      <w:bookmarkStart w:id="1011" w:name="_Toc400361144"/>
      <w:bookmarkStart w:id="1012" w:name="_Toc400363408"/>
      <w:bookmarkStart w:id="1013" w:name="_Toc400365639"/>
      <w:bookmarkStart w:id="1014" w:name="_Toc400367836"/>
      <w:bookmarkStart w:id="1015" w:name="_Toc400370018"/>
      <w:bookmarkStart w:id="1016" w:name="_Toc400372199"/>
      <w:bookmarkStart w:id="1017" w:name="_Toc400374379"/>
      <w:bookmarkStart w:id="1018" w:name="_Toc400376552"/>
      <w:bookmarkStart w:id="1019" w:name="_Toc400380888"/>
      <w:bookmarkStart w:id="1020" w:name="_Toc400383054"/>
      <w:bookmarkStart w:id="1021" w:name="_Toc400385220"/>
      <w:bookmarkStart w:id="1022" w:name="_Toc400387383"/>
      <w:bookmarkStart w:id="1023" w:name="_Toc400389544"/>
      <w:bookmarkStart w:id="1024" w:name="_Toc400391705"/>
      <w:bookmarkStart w:id="1025" w:name="_Toc400393869"/>
      <w:bookmarkStart w:id="1026" w:name="_Toc400354350"/>
      <w:bookmarkStart w:id="1027" w:name="_Toc400356615"/>
      <w:bookmarkStart w:id="1028" w:name="_Toc400358880"/>
      <w:bookmarkStart w:id="1029" w:name="_Toc400361145"/>
      <w:bookmarkStart w:id="1030" w:name="_Toc400363409"/>
      <w:bookmarkStart w:id="1031" w:name="_Toc400365640"/>
      <w:bookmarkStart w:id="1032" w:name="_Toc400367837"/>
      <w:bookmarkStart w:id="1033" w:name="_Toc400370019"/>
      <w:bookmarkStart w:id="1034" w:name="_Toc400372200"/>
      <w:bookmarkStart w:id="1035" w:name="_Toc400374380"/>
      <w:bookmarkStart w:id="1036" w:name="_Toc400376553"/>
      <w:bookmarkStart w:id="1037" w:name="_Toc400380889"/>
      <w:bookmarkStart w:id="1038" w:name="_Toc400383055"/>
      <w:bookmarkStart w:id="1039" w:name="_Toc400385221"/>
      <w:bookmarkStart w:id="1040" w:name="_Toc400387384"/>
      <w:bookmarkStart w:id="1041" w:name="_Toc400389545"/>
      <w:bookmarkStart w:id="1042" w:name="_Toc400391706"/>
      <w:bookmarkStart w:id="1043" w:name="_Toc400393870"/>
      <w:bookmarkStart w:id="1044" w:name="_Toc400354351"/>
      <w:bookmarkStart w:id="1045" w:name="_Toc400356616"/>
      <w:bookmarkStart w:id="1046" w:name="_Toc400358881"/>
      <w:bookmarkStart w:id="1047" w:name="_Toc400361146"/>
      <w:bookmarkStart w:id="1048" w:name="_Toc400363410"/>
      <w:bookmarkStart w:id="1049" w:name="_Toc400365641"/>
      <w:bookmarkStart w:id="1050" w:name="_Toc400367838"/>
      <w:bookmarkStart w:id="1051" w:name="_Toc400370020"/>
      <w:bookmarkStart w:id="1052" w:name="_Toc400372201"/>
      <w:bookmarkStart w:id="1053" w:name="_Toc400374381"/>
      <w:bookmarkStart w:id="1054" w:name="_Toc400376554"/>
      <w:bookmarkStart w:id="1055" w:name="_Toc400380890"/>
      <w:bookmarkStart w:id="1056" w:name="_Toc400383056"/>
      <w:bookmarkStart w:id="1057" w:name="_Toc400385222"/>
      <w:bookmarkStart w:id="1058" w:name="_Toc400387385"/>
      <w:bookmarkStart w:id="1059" w:name="_Toc400389546"/>
      <w:bookmarkStart w:id="1060" w:name="_Toc400391707"/>
      <w:bookmarkStart w:id="1061" w:name="_Toc400393871"/>
      <w:bookmarkStart w:id="1062" w:name="_Toc400354352"/>
      <w:bookmarkStart w:id="1063" w:name="_Toc400356617"/>
      <w:bookmarkStart w:id="1064" w:name="_Toc400358882"/>
      <w:bookmarkStart w:id="1065" w:name="_Toc400361147"/>
      <w:bookmarkStart w:id="1066" w:name="_Toc400363411"/>
      <w:bookmarkStart w:id="1067" w:name="_Toc400365642"/>
      <w:bookmarkStart w:id="1068" w:name="_Toc400367839"/>
      <w:bookmarkStart w:id="1069" w:name="_Toc400370021"/>
      <w:bookmarkStart w:id="1070" w:name="_Toc400372202"/>
      <w:bookmarkStart w:id="1071" w:name="_Toc400374382"/>
      <w:bookmarkStart w:id="1072" w:name="_Toc400376555"/>
      <w:bookmarkStart w:id="1073" w:name="_Toc400380891"/>
      <w:bookmarkStart w:id="1074" w:name="_Toc400383057"/>
      <w:bookmarkStart w:id="1075" w:name="_Toc400385223"/>
      <w:bookmarkStart w:id="1076" w:name="_Toc400387386"/>
      <w:bookmarkStart w:id="1077" w:name="_Toc400389547"/>
      <w:bookmarkStart w:id="1078" w:name="_Toc400391708"/>
      <w:bookmarkStart w:id="1079" w:name="_Toc400393872"/>
      <w:bookmarkStart w:id="1080" w:name="_Toc400354353"/>
      <w:bookmarkStart w:id="1081" w:name="_Toc400356618"/>
      <w:bookmarkStart w:id="1082" w:name="_Toc400358883"/>
      <w:bookmarkStart w:id="1083" w:name="_Toc400361148"/>
      <w:bookmarkStart w:id="1084" w:name="_Toc400363412"/>
      <w:bookmarkStart w:id="1085" w:name="_Toc400365643"/>
      <w:bookmarkStart w:id="1086" w:name="_Toc400367840"/>
      <w:bookmarkStart w:id="1087" w:name="_Toc400370022"/>
      <w:bookmarkStart w:id="1088" w:name="_Toc400372203"/>
      <w:bookmarkStart w:id="1089" w:name="_Toc400374383"/>
      <w:bookmarkStart w:id="1090" w:name="_Toc400376556"/>
      <w:bookmarkStart w:id="1091" w:name="_Toc400380892"/>
      <w:bookmarkStart w:id="1092" w:name="_Toc400383058"/>
      <w:bookmarkStart w:id="1093" w:name="_Toc400385224"/>
      <w:bookmarkStart w:id="1094" w:name="_Toc400387387"/>
      <w:bookmarkStart w:id="1095" w:name="_Toc400389548"/>
      <w:bookmarkStart w:id="1096" w:name="_Toc400391709"/>
      <w:bookmarkStart w:id="1097" w:name="_Toc400393873"/>
      <w:bookmarkStart w:id="1098" w:name="_Toc400354354"/>
      <w:bookmarkStart w:id="1099" w:name="_Toc400356619"/>
      <w:bookmarkStart w:id="1100" w:name="_Toc400358884"/>
      <w:bookmarkStart w:id="1101" w:name="_Toc400361149"/>
      <w:bookmarkStart w:id="1102" w:name="_Toc400363413"/>
      <w:bookmarkStart w:id="1103" w:name="_Toc400365644"/>
      <w:bookmarkStart w:id="1104" w:name="_Toc400367841"/>
      <w:bookmarkStart w:id="1105" w:name="_Toc400370023"/>
      <w:bookmarkStart w:id="1106" w:name="_Toc400372204"/>
      <w:bookmarkStart w:id="1107" w:name="_Toc400374384"/>
      <w:bookmarkStart w:id="1108" w:name="_Toc400376557"/>
      <w:bookmarkStart w:id="1109" w:name="_Toc400380893"/>
      <w:bookmarkStart w:id="1110" w:name="_Toc400383059"/>
      <w:bookmarkStart w:id="1111" w:name="_Toc400385225"/>
      <w:bookmarkStart w:id="1112" w:name="_Toc400387388"/>
      <w:bookmarkStart w:id="1113" w:name="_Toc400389549"/>
      <w:bookmarkStart w:id="1114" w:name="_Toc400391710"/>
      <w:bookmarkStart w:id="1115" w:name="_Toc400393874"/>
      <w:bookmarkStart w:id="1116" w:name="_Toc400354355"/>
      <w:bookmarkStart w:id="1117" w:name="_Toc400356620"/>
      <w:bookmarkStart w:id="1118" w:name="_Toc400358885"/>
      <w:bookmarkStart w:id="1119" w:name="_Toc400361150"/>
      <w:bookmarkStart w:id="1120" w:name="_Toc400363414"/>
      <w:bookmarkStart w:id="1121" w:name="_Toc400365645"/>
      <w:bookmarkStart w:id="1122" w:name="_Toc400367842"/>
      <w:bookmarkStart w:id="1123" w:name="_Toc400370024"/>
      <w:bookmarkStart w:id="1124" w:name="_Toc400372205"/>
      <w:bookmarkStart w:id="1125" w:name="_Toc400374385"/>
      <w:bookmarkStart w:id="1126" w:name="_Toc400376558"/>
      <w:bookmarkStart w:id="1127" w:name="_Toc400380894"/>
      <w:bookmarkStart w:id="1128" w:name="_Toc400383060"/>
      <w:bookmarkStart w:id="1129" w:name="_Toc400385226"/>
      <w:bookmarkStart w:id="1130" w:name="_Toc400387389"/>
      <w:bookmarkStart w:id="1131" w:name="_Toc400389550"/>
      <w:bookmarkStart w:id="1132" w:name="_Toc400391711"/>
      <w:bookmarkStart w:id="1133" w:name="_Toc400393875"/>
      <w:bookmarkStart w:id="1134" w:name="_Toc400354356"/>
      <w:bookmarkStart w:id="1135" w:name="_Toc400356621"/>
      <w:bookmarkStart w:id="1136" w:name="_Toc400358886"/>
      <w:bookmarkStart w:id="1137" w:name="_Toc400361151"/>
      <w:bookmarkStart w:id="1138" w:name="_Toc400363415"/>
      <w:bookmarkStart w:id="1139" w:name="_Toc400365646"/>
      <w:bookmarkStart w:id="1140" w:name="_Toc400367843"/>
      <w:bookmarkStart w:id="1141" w:name="_Toc400370025"/>
      <w:bookmarkStart w:id="1142" w:name="_Toc400372206"/>
      <w:bookmarkStart w:id="1143" w:name="_Toc400374386"/>
      <w:bookmarkStart w:id="1144" w:name="_Toc400376559"/>
      <w:bookmarkStart w:id="1145" w:name="_Toc400380895"/>
      <w:bookmarkStart w:id="1146" w:name="_Toc400383061"/>
      <w:bookmarkStart w:id="1147" w:name="_Toc400385227"/>
      <w:bookmarkStart w:id="1148" w:name="_Toc400387390"/>
      <w:bookmarkStart w:id="1149" w:name="_Toc400389551"/>
      <w:bookmarkStart w:id="1150" w:name="_Toc400391712"/>
      <w:bookmarkStart w:id="1151" w:name="_Toc400393876"/>
      <w:bookmarkStart w:id="1152" w:name="_Toc400354357"/>
      <w:bookmarkStart w:id="1153" w:name="_Toc400356622"/>
      <w:bookmarkStart w:id="1154" w:name="_Toc400358887"/>
      <w:bookmarkStart w:id="1155" w:name="_Toc400361152"/>
      <w:bookmarkStart w:id="1156" w:name="_Toc400363416"/>
      <w:bookmarkStart w:id="1157" w:name="_Toc400365647"/>
      <w:bookmarkStart w:id="1158" w:name="_Toc400367844"/>
      <w:bookmarkStart w:id="1159" w:name="_Toc400370026"/>
      <w:bookmarkStart w:id="1160" w:name="_Toc400372207"/>
      <w:bookmarkStart w:id="1161" w:name="_Toc400374387"/>
      <w:bookmarkStart w:id="1162" w:name="_Toc400376560"/>
      <w:bookmarkStart w:id="1163" w:name="_Toc400380896"/>
      <w:bookmarkStart w:id="1164" w:name="_Toc400383062"/>
      <w:bookmarkStart w:id="1165" w:name="_Toc400385228"/>
      <w:bookmarkStart w:id="1166" w:name="_Toc400387391"/>
      <w:bookmarkStart w:id="1167" w:name="_Toc400389552"/>
      <w:bookmarkStart w:id="1168" w:name="_Toc400391713"/>
      <w:bookmarkStart w:id="1169" w:name="_Toc400393877"/>
      <w:bookmarkStart w:id="1170" w:name="_Toc400354358"/>
      <w:bookmarkStart w:id="1171" w:name="_Toc400356623"/>
      <w:bookmarkStart w:id="1172" w:name="_Toc400358888"/>
      <w:bookmarkStart w:id="1173" w:name="_Toc400361153"/>
      <w:bookmarkStart w:id="1174" w:name="_Toc400363417"/>
      <w:bookmarkStart w:id="1175" w:name="_Toc400365648"/>
      <w:bookmarkStart w:id="1176" w:name="_Toc400367845"/>
      <w:bookmarkStart w:id="1177" w:name="_Toc400370027"/>
      <w:bookmarkStart w:id="1178" w:name="_Toc400372208"/>
      <w:bookmarkStart w:id="1179" w:name="_Toc400374388"/>
      <w:bookmarkStart w:id="1180" w:name="_Toc400376561"/>
      <w:bookmarkStart w:id="1181" w:name="_Toc400380897"/>
      <w:bookmarkStart w:id="1182" w:name="_Toc400383063"/>
      <w:bookmarkStart w:id="1183" w:name="_Toc400385229"/>
      <w:bookmarkStart w:id="1184" w:name="_Toc400387392"/>
      <w:bookmarkStart w:id="1185" w:name="_Toc400389553"/>
      <w:bookmarkStart w:id="1186" w:name="_Toc400391714"/>
      <w:bookmarkStart w:id="1187" w:name="_Toc400393878"/>
      <w:bookmarkStart w:id="1188" w:name="_Toc400354359"/>
      <w:bookmarkStart w:id="1189" w:name="_Toc400356624"/>
      <w:bookmarkStart w:id="1190" w:name="_Toc400358889"/>
      <w:bookmarkStart w:id="1191" w:name="_Toc400361154"/>
      <w:bookmarkStart w:id="1192" w:name="_Toc400363418"/>
      <w:bookmarkStart w:id="1193" w:name="_Toc400365649"/>
      <w:bookmarkStart w:id="1194" w:name="_Toc400367846"/>
      <w:bookmarkStart w:id="1195" w:name="_Toc400370028"/>
      <w:bookmarkStart w:id="1196" w:name="_Toc400372209"/>
      <w:bookmarkStart w:id="1197" w:name="_Toc400374389"/>
      <w:bookmarkStart w:id="1198" w:name="_Toc400376562"/>
      <w:bookmarkStart w:id="1199" w:name="_Toc400380898"/>
      <w:bookmarkStart w:id="1200" w:name="_Toc400383064"/>
      <w:bookmarkStart w:id="1201" w:name="_Toc400385230"/>
      <w:bookmarkStart w:id="1202" w:name="_Toc400387393"/>
      <w:bookmarkStart w:id="1203" w:name="_Toc400389554"/>
      <w:bookmarkStart w:id="1204" w:name="_Toc400391715"/>
      <w:bookmarkStart w:id="1205" w:name="_Toc400393879"/>
      <w:bookmarkStart w:id="1206" w:name="_Toc400354360"/>
      <w:bookmarkStart w:id="1207" w:name="_Toc400356625"/>
      <w:bookmarkStart w:id="1208" w:name="_Toc400358890"/>
      <w:bookmarkStart w:id="1209" w:name="_Toc400361155"/>
      <w:bookmarkStart w:id="1210" w:name="_Toc400363419"/>
      <w:bookmarkStart w:id="1211" w:name="_Toc400365650"/>
      <w:bookmarkStart w:id="1212" w:name="_Toc400367847"/>
      <w:bookmarkStart w:id="1213" w:name="_Toc400370029"/>
      <w:bookmarkStart w:id="1214" w:name="_Toc400372210"/>
      <w:bookmarkStart w:id="1215" w:name="_Toc400374390"/>
      <w:bookmarkStart w:id="1216" w:name="_Toc400376563"/>
      <w:bookmarkStart w:id="1217" w:name="_Toc400380899"/>
      <w:bookmarkStart w:id="1218" w:name="_Toc400383065"/>
      <w:bookmarkStart w:id="1219" w:name="_Toc400385231"/>
      <w:bookmarkStart w:id="1220" w:name="_Toc400387394"/>
      <w:bookmarkStart w:id="1221" w:name="_Toc400389555"/>
      <w:bookmarkStart w:id="1222" w:name="_Toc400391716"/>
      <w:bookmarkStart w:id="1223" w:name="_Toc400393880"/>
      <w:bookmarkStart w:id="1224" w:name="_Toc400354361"/>
      <w:bookmarkStart w:id="1225" w:name="_Toc400356626"/>
      <w:bookmarkStart w:id="1226" w:name="_Toc400358891"/>
      <w:bookmarkStart w:id="1227" w:name="_Toc400361156"/>
      <w:bookmarkStart w:id="1228" w:name="_Toc400363420"/>
      <w:bookmarkStart w:id="1229" w:name="_Toc400365651"/>
      <w:bookmarkStart w:id="1230" w:name="_Toc400367848"/>
      <w:bookmarkStart w:id="1231" w:name="_Toc400370030"/>
      <w:bookmarkStart w:id="1232" w:name="_Toc400372211"/>
      <w:bookmarkStart w:id="1233" w:name="_Toc400374391"/>
      <w:bookmarkStart w:id="1234" w:name="_Toc400376564"/>
      <w:bookmarkStart w:id="1235" w:name="_Toc400380900"/>
      <w:bookmarkStart w:id="1236" w:name="_Toc400383066"/>
      <w:bookmarkStart w:id="1237" w:name="_Toc400385232"/>
      <w:bookmarkStart w:id="1238" w:name="_Toc400387395"/>
      <w:bookmarkStart w:id="1239" w:name="_Toc400389556"/>
      <w:bookmarkStart w:id="1240" w:name="_Toc400391717"/>
      <w:bookmarkStart w:id="1241" w:name="_Toc400393881"/>
      <w:bookmarkStart w:id="1242" w:name="_Toc400354362"/>
      <w:bookmarkStart w:id="1243" w:name="_Toc400356627"/>
      <w:bookmarkStart w:id="1244" w:name="_Toc400358892"/>
      <w:bookmarkStart w:id="1245" w:name="_Toc400361157"/>
      <w:bookmarkStart w:id="1246" w:name="_Toc400363421"/>
      <w:bookmarkStart w:id="1247" w:name="_Toc400365652"/>
      <w:bookmarkStart w:id="1248" w:name="_Toc400367849"/>
      <w:bookmarkStart w:id="1249" w:name="_Toc400370031"/>
      <w:bookmarkStart w:id="1250" w:name="_Toc400372212"/>
      <w:bookmarkStart w:id="1251" w:name="_Toc400374392"/>
      <w:bookmarkStart w:id="1252" w:name="_Toc400376565"/>
      <w:bookmarkStart w:id="1253" w:name="_Toc400380901"/>
      <w:bookmarkStart w:id="1254" w:name="_Toc400383067"/>
      <w:bookmarkStart w:id="1255" w:name="_Toc400385233"/>
      <w:bookmarkStart w:id="1256" w:name="_Toc400387396"/>
      <w:bookmarkStart w:id="1257" w:name="_Toc400389557"/>
      <w:bookmarkStart w:id="1258" w:name="_Toc400391718"/>
      <w:bookmarkStart w:id="1259" w:name="_Toc400393882"/>
      <w:bookmarkStart w:id="1260" w:name="_Toc400354363"/>
      <w:bookmarkStart w:id="1261" w:name="_Toc400356628"/>
      <w:bookmarkStart w:id="1262" w:name="_Toc400358893"/>
      <w:bookmarkStart w:id="1263" w:name="_Toc400361158"/>
      <w:bookmarkStart w:id="1264" w:name="_Toc400363422"/>
      <w:bookmarkStart w:id="1265" w:name="_Toc400365653"/>
      <w:bookmarkStart w:id="1266" w:name="_Toc400367850"/>
      <w:bookmarkStart w:id="1267" w:name="_Toc400370032"/>
      <w:bookmarkStart w:id="1268" w:name="_Toc400372213"/>
      <w:bookmarkStart w:id="1269" w:name="_Toc400374393"/>
      <w:bookmarkStart w:id="1270" w:name="_Toc400376566"/>
      <w:bookmarkStart w:id="1271" w:name="_Toc400380902"/>
      <w:bookmarkStart w:id="1272" w:name="_Toc400383068"/>
      <w:bookmarkStart w:id="1273" w:name="_Toc400385234"/>
      <w:bookmarkStart w:id="1274" w:name="_Toc400387397"/>
      <w:bookmarkStart w:id="1275" w:name="_Toc400389558"/>
      <w:bookmarkStart w:id="1276" w:name="_Toc400391719"/>
      <w:bookmarkStart w:id="1277" w:name="_Toc400393883"/>
      <w:bookmarkStart w:id="1278" w:name="_Toc400354364"/>
      <w:bookmarkStart w:id="1279" w:name="_Toc400356629"/>
      <w:bookmarkStart w:id="1280" w:name="_Toc400358894"/>
      <w:bookmarkStart w:id="1281" w:name="_Toc400361159"/>
      <w:bookmarkStart w:id="1282" w:name="_Toc400363423"/>
      <w:bookmarkStart w:id="1283" w:name="_Toc400365654"/>
      <w:bookmarkStart w:id="1284" w:name="_Toc400367851"/>
      <w:bookmarkStart w:id="1285" w:name="_Toc400370033"/>
      <w:bookmarkStart w:id="1286" w:name="_Toc400372214"/>
      <w:bookmarkStart w:id="1287" w:name="_Toc400374394"/>
      <w:bookmarkStart w:id="1288" w:name="_Toc400376567"/>
      <w:bookmarkStart w:id="1289" w:name="_Toc400380903"/>
      <w:bookmarkStart w:id="1290" w:name="_Toc400383069"/>
      <w:bookmarkStart w:id="1291" w:name="_Toc400385235"/>
      <w:bookmarkStart w:id="1292" w:name="_Toc400387398"/>
      <w:bookmarkStart w:id="1293" w:name="_Toc400389559"/>
      <w:bookmarkStart w:id="1294" w:name="_Toc400391720"/>
      <w:bookmarkStart w:id="1295" w:name="_Toc400393884"/>
      <w:bookmarkStart w:id="1296" w:name="_Toc400354365"/>
      <w:bookmarkStart w:id="1297" w:name="_Toc400356630"/>
      <w:bookmarkStart w:id="1298" w:name="_Toc400358895"/>
      <w:bookmarkStart w:id="1299" w:name="_Toc400361160"/>
      <w:bookmarkStart w:id="1300" w:name="_Toc400363424"/>
      <w:bookmarkStart w:id="1301" w:name="_Toc400365655"/>
      <w:bookmarkStart w:id="1302" w:name="_Toc400367852"/>
      <w:bookmarkStart w:id="1303" w:name="_Toc400370034"/>
      <w:bookmarkStart w:id="1304" w:name="_Toc400372215"/>
      <w:bookmarkStart w:id="1305" w:name="_Toc400374395"/>
      <w:bookmarkStart w:id="1306" w:name="_Toc400376568"/>
      <w:bookmarkStart w:id="1307" w:name="_Toc400380904"/>
      <w:bookmarkStart w:id="1308" w:name="_Toc400383070"/>
      <w:bookmarkStart w:id="1309" w:name="_Toc400385236"/>
      <w:bookmarkStart w:id="1310" w:name="_Toc400387399"/>
      <w:bookmarkStart w:id="1311" w:name="_Toc400389560"/>
      <w:bookmarkStart w:id="1312" w:name="_Toc400391721"/>
      <w:bookmarkStart w:id="1313" w:name="_Toc400393885"/>
      <w:bookmarkStart w:id="1314" w:name="_Toc400354366"/>
      <w:bookmarkStart w:id="1315" w:name="_Toc400356631"/>
      <w:bookmarkStart w:id="1316" w:name="_Toc400358896"/>
      <w:bookmarkStart w:id="1317" w:name="_Toc400361161"/>
      <w:bookmarkStart w:id="1318" w:name="_Toc400363425"/>
      <w:bookmarkStart w:id="1319" w:name="_Toc400365656"/>
      <w:bookmarkStart w:id="1320" w:name="_Toc400367853"/>
      <w:bookmarkStart w:id="1321" w:name="_Toc400370035"/>
      <w:bookmarkStart w:id="1322" w:name="_Toc400372216"/>
      <w:bookmarkStart w:id="1323" w:name="_Toc400374396"/>
      <w:bookmarkStart w:id="1324" w:name="_Toc400376569"/>
      <w:bookmarkStart w:id="1325" w:name="_Toc400380905"/>
      <w:bookmarkStart w:id="1326" w:name="_Toc400383071"/>
      <w:bookmarkStart w:id="1327" w:name="_Toc400385237"/>
      <w:bookmarkStart w:id="1328" w:name="_Toc400387400"/>
      <w:bookmarkStart w:id="1329" w:name="_Toc400389561"/>
      <w:bookmarkStart w:id="1330" w:name="_Toc400391722"/>
      <w:bookmarkStart w:id="1331" w:name="_Toc400393886"/>
      <w:bookmarkStart w:id="1332" w:name="_Toc400354367"/>
      <w:bookmarkStart w:id="1333" w:name="_Toc400356632"/>
      <w:bookmarkStart w:id="1334" w:name="_Toc400358897"/>
      <w:bookmarkStart w:id="1335" w:name="_Toc400361162"/>
      <w:bookmarkStart w:id="1336" w:name="_Toc400363426"/>
      <w:bookmarkStart w:id="1337" w:name="_Toc400365657"/>
      <w:bookmarkStart w:id="1338" w:name="_Toc400367854"/>
      <w:bookmarkStart w:id="1339" w:name="_Toc400370036"/>
      <w:bookmarkStart w:id="1340" w:name="_Toc400372217"/>
      <w:bookmarkStart w:id="1341" w:name="_Toc400374397"/>
      <w:bookmarkStart w:id="1342" w:name="_Toc400376570"/>
      <w:bookmarkStart w:id="1343" w:name="_Toc400380906"/>
      <w:bookmarkStart w:id="1344" w:name="_Toc400383072"/>
      <w:bookmarkStart w:id="1345" w:name="_Toc400385238"/>
      <w:bookmarkStart w:id="1346" w:name="_Toc400387401"/>
      <w:bookmarkStart w:id="1347" w:name="_Toc400389562"/>
      <w:bookmarkStart w:id="1348" w:name="_Toc400391723"/>
      <w:bookmarkStart w:id="1349" w:name="_Toc400393887"/>
      <w:bookmarkStart w:id="1350" w:name="_Toc400354368"/>
      <w:bookmarkStart w:id="1351" w:name="_Toc400356633"/>
      <w:bookmarkStart w:id="1352" w:name="_Toc400358898"/>
      <w:bookmarkStart w:id="1353" w:name="_Toc400361163"/>
      <w:bookmarkStart w:id="1354" w:name="_Toc400363427"/>
      <w:bookmarkStart w:id="1355" w:name="_Toc400365658"/>
      <w:bookmarkStart w:id="1356" w:name="_Toc400367855"/>
      <w:bookmarkStart w:id="1357" w:name="_Toc400370037"/>
      <w:bookmarkStart w:id="1358" w:name="_Toc400372218"/>
      <w:bookmarkStart w:id="1359" w:name="_Toc400374398"/>
      <w:bookmarkStart w:id="1360" w:name="_Toc400376571"/>
      <w:bookmarkStart w:id="1361" w:name="_Toc400380907"/>
      <w:bookmarkStart w:id="1362" w:name="_Toc400383073"/>
      <w:bookmarkStart w:id="1363" w:name="_Toc400385239"/>
      <w:bookmarkStart w:id="1364" w:name="_Toc400387402"/>
      <w:bookmarkStart w:id="1365" w:name="_Toc400389563"/>
      <w:bookmarkStart w:id="1366" w:name="_Toc400391724"/>
      <w:bookmarkStart w:id="1367" w:name="_Toc400393888"/>
      <w:bookmarkStart w:id="1368" w:name="_Toc400354369"/>
      <w:bookmarkStart w:id="1369" w:name="_Toc400356634"/>
      <w:bookmarkStart w:id="1370" w:name="_Toc400358899"/>
      <w:bookmarkStart w:id="1371" w:name="_Toc400361164"/>
      <w:bookmarkStart w:id="1372" w:name="_Toc400363428"/>
      <w:bookmarkStart w:id="1373" w:name="_Toc400365659"/>
      <w:bookmarkStart w:id="1374" w:name="_Toc400367856"/>
      <w:bookmarkStart w:id="1375" w:name="_Toc400370038"/>
      <w:bookmarkStart w:id="1376" w:name="_Toc400372219"/>
      <w:bookmarkStart w:id="1377" w:name="_Toc400374399"/>
      <w:bookmarkStart w:id="1378" w:name="_Toc400376572"/>
      <w:bookmarkStart w:id="1379" w:name="_Toc400380908"/>
      <w:bookmarkStart w:id="1380" w:name="_Toc400383074"/>
      <w:bookmarkStart w:id="1381" w:name="_Toc400385240"/>
      <w:bookmarkStart w:id="1382" w:name="_Toc400387403"/>
      <w:bookmarkStart w:id="1383" w:name="_Toc400389564"/>
      <w:bookmarkStart w:id="1384" w:name="_Toc400391725"/>
      <w:bookmarkStart w:id="1385" w:name="_Toc400393889"/>
      <w:bookmarkStart w:id="1386" w:name="_Toc400354370"/>
      <w:bookmarkStart w:id="1387" w:name="_Toc400356635"/>
      <w:bookmarkStart w:id="1388" w:name="_Toc400358900"/>
      <w:bookmarkStart w:id="1389" w:name="_Toc400361165"/>
      <w:bookmarkStart w:id="1390" w:name="_Toc400363429"/>
      <w:bookmarkStart w:id="1391" w:name="_Toc400365660"/>
      <w:bookmarkStart w:id="1392" w:name="_Toc400367857"/>
      <w:bookmarkStart w:id="1393" w:name="_Toc400370039"/>
      <w:bookmarkStart w:id="1394" w:name="_Toc400372220"/>
      <w:bookmarkStart w:id="1395" w:name="_Toc400374400"/>
      <w:bookmarkStart w:id="1396" w:name="_Toc400376573"/>
      <w:bookmarkStart w:id="1397" w:name="_Toc400380909"/>
      <w:bookmarkStart w:id="1398" w:name="_Toc400383075"/>
      <w:bookmarkStart w:id="1399" w:name="_Toc400385241"/>
      <w:bookmarkStart w:id="1400" w:name="_Toc400387404"/>
      <w:bookmarkStart w:id="1401" w:name="_Toc400389565"/>
      <w:bookmarkStart w:id="1402" w:name="_Toc400391726"/>
      <w:bookmarkStart w:id="1403" w:name="_Toc400393890"/>
      <w:bookmarkStart w:id="1404" w:name="_Toc400354371"/>
      <w:bookmarkStart w:id="1405" w:name="_Toc400356636"/>
      <w:bookmarkStart w:id="1406" w:name="_Toc400358901"/>
      <w:bookmarkStart w:id="1407" w:name="_Toc400361166"/>
      <w:bookmarkStart w:id="1408" w:name="_Toc400363430"/>
      <w:bookmarkStart w:id="1409" w:name="_Toc400365661"/>
      <w:bookmarkStart w:id="1410" w:name="_Toc400367858"/>
      <w:bookmarkStart w:id="1411" w:name="_Toc400370040"/>
      <w:bookmarkStart w:id="1412" w:name="_Toc400372221"/>
      <w:bookmarkStart w:id="1413" w:name="_Toc400374401"/>
      <w:bookmarkStart w:id="1414" w:name="_Toc400376574"/>
      <w:bookmarkStart w:id="1415" w:name="_Toc400380910"/>
      <w:bookmarkStart w:id="1416" w:name="_Toc400383076"/>
      <w:bookmarkStart w:id="1417" w:name="_Toc400385242"/>
      <w:bookmarkStart w:id="1418" w:name="_Toc400387405"/>
      <w:bookmarkStart w:id="1419" w:name="_Toc400389566"/>
      <w:bookmarkStart w:id="1420" w:name="_Toc400391727"/>
      <w:bookmarkStart w:id="1421" w:name="_Toc400393891"/>
      <w:bookmarkStart w:id="1422" w:name="_Toc400354372"/>
      <w:bookmarkStart w:id="1423" w:name="_Toc400356637"/>
      <w:bookmarkStart w:id="1424" w:name="_Toc400358902"/>
      <w:bookmarkStart w:id="1425" w:name="_Toc400361167"/>
      <w:bookmarkStart w:id="1426" w:name="_Toc400363431"/>
      <w:bookmarkStart w:id="1427" w:name="_Toc400365662"/>
      <w:bookmarkStart w:id="1428" w:name="_Toc400367859"/>
      <w:bookmarkStart w:id="1429" w:name="_Toc400370041"/>
      <w:bookmarkStart w:id="1430" w:name="_Toc400372222"/>
      <w:bookmarkStart w:id="1431" w:name="_Toc400374402"/>
      <w:bookmarkStart w:id="1432" w:name="_Toc400376575"/>
      <w:bookmarkStart w:id="1433" w:name="_Toc400380911"/>
      <w:bookmarkStart w:id="1434" w:name="_Toc400383077"/>
      <w:bookmarkStart w:id="1435" w:name="_Toc400385243"/>
      <w:bookmarkStart w:id="1436" w:name="_Toc400387406"/>
      <w:bookmarkStart w:id="1437" w:name="_Toc400389567"/>
      <w:bookmarkStart w:id="1438" w:name="_Toc400391728"/>
      <w:bookmarkStart w:id="1439" w:name="_Toc400393892"/>
      <w:bookmarkStart w:id="1440" w:name="_Toc400354373"/>
      <w:bookmarkStart w:id="1441" w:name="_Toc400356638"/>
      <w:bookmarkStart w:id="1442" w:name="_Toc400358903"/>
      <w:bookmarkStart w:id="1443" w:name="_Toc400361168"/>
      <w:bookmarkStart w:id="1444" w:name="_Toc400363432"/>
      <w:bookmarkStart w:id="1445" w:name="_Toc400365663"/>
      <w:bookmarkStart w:id="1446" w:name="_Toc400367860"/>
      <w:bookmarkStart w:id="1447" w:name="_Toc400370042"/>
      <w:bookmarkStart w:id="1448" w:name="_Toc400372223"/>
      <w:bookmarkStart w:id="1449" w:name="_Toc400374403"/>
      <w:bookmarkStart w:id="1450" w:name="_Toc400376576"/>
      <w:bookmarkStart w:id="1451" w:name="_Toc400380912"/>
      <w:bookmarkStart w:id="1452" w:name="_Toc400383078"/>
      <w:bookmarkStart w:id="1453" w:name="_Toc400385244"/>
      <w:bookmarkStart w:id="1454" w:name="_Toc400387407"/>
      <w:bookmarkStart w:id="1455" w:name="_Toc400389568"/>
      <w:bookmarkStart w:id="1456" w:name="_Toc400391729"/>
      <w:bookmarkStart w:id="1457" w:name="_Toc400393893"/>
      <w:bookmarkStart w:id="1458" w:name="_Toc400354374"/>
      <w:bookmarkStart w:id="1459" w:name="_Toc400356639"/>
      <w:bookmarkStart w:id="1460" w:name="_Toc400358904"/>
      <w:bookmarkStart w:id="1461" w:name="_Toc400361169"/>
      <w:bookmarkStart w:id="1462" w:name="_Toc400363433"/>
      <w:bookmarkStart w:id="1463" w:name="_Toc400365664"/>
      <w:bookmarkStart w:id="1464" w:name="_Toc400367861"/>
      <w:bookmarkStart w:id="1465" w:name="_Toc400370043"/>
      <w:bookmarkStart w:id="1466" w:name="_Toc400372224"/>
      <w:bookmarkStart w:id="1467" w:name="_Toc400374404"/>
      <w:bookmarkStart w:id="1468" w:name="_Toc400376577"/>
      <w:bookmarkStart w:id="1469" w:name="_Toc400380913"/>
      <w:bookmarkStart w:id="1470" w:name="_Toc400383079"/>
      <w:bookmarkStart w:id="1471" w:name="_Toc400385245"/>
      <w:bookmarkStart w:id="1472" w:name="_Toc400387408"/>
      <w:bookmarkStart w:id="1473" w:name="_Toc400389569"/>
      <w:bookmarkStart w:id="1474" w:name="_Toc400391730"/>
      <w:bookmarkStart w:id="1475" w:name="_Toc400393894"/>
      <w:bookmarkStart w:id="1476" w:name="_Toc400354375"/>
      <w:bookmarkStart w:id="1477" w:name="_Toc400356640"/>
      <w:bookmarkStart w:id="1478" w:name="_Toc400358905"/>
      <w:bookmarkStart w:id="1479" w:name="_Toc400361170"/>
      <w:bookmarkStart w:id="1480" w:name="_Toc400363434"/>
      <w:bookmarkStart w:id="1481" w:name="_Toc400365665"/>
      <w:bookmarkStart w:id="1482" w:name="_Toc400367862"/>
      <w:bookmarkStart w:id="1483" w:name="_Toc400370044"/>
      <w:bookmarkStart w:id="1484" w:name="_Toc400372225"/>
      <w:bookmarkStart w:id="1485" w:name="_Toc400374405"/>
      <w:bookmarkStart w:id="1486" w:name="_Toc400376578"/>
      <w:bookmarkStart w:id="1487" w:name="_Toc400380914"/>
      <w:bookmarkStart w:id="1488" w:name="_Toc400383080"/>
      <w:bookmarkStart w:id="1489" w:name="_Toc400385246"/>
      <w:bookmarkStart w:id="1490" w:name="_Toc400387409"/>
      <w:bookmarkStart w:id="1491" w:name="_Toc400389570"/>
      <w:bookmarkStart w:id="1492" w:name="_Toc400391731"/>
      <w:bookmarkStart w:id="1493" w:name="_Toc400393895"/>
      <w:bookmarkStart w:id="1494" w:name="_Toc400354376"/>
      <w:bookmarkStart w:id="1495" w:name="_Toc400356641"/>
      <w:bookmarkStart w:id="1496" w:name="_Toc400358906"/>
      <w:bookmarkStart w:id="1497" w:name="_Toc400361171"/>
      <w:bookmarkStart w:id="1498" w:name="_Toc400363435"/>
      <w:bookmarkStart w:id="1499" w:name="_Toc400365666"/>
      <w:bookmarkStart w:id="1500" w:name="_Toc400367863"/>
      <w:bookmarkStart w:id="1501" w:name="_Toc400370045"/>
      <w:bookmarkStart w:id="1502" w:name="_Toc400372226"/>
      <w:bookmarkStart w:id="1503" w:name="_Toc400374406"/>
      <w:bookmarkStart w:id="1504" w:name="_Toc400376579"/>
      <w:bookmarkStart w:id="1505" w:name="_Toc400380915"/>
      <w:bookmarkStart w:id="1506" w:name="_Toc400383081"/>
      <w:bookmarkStart w:id="1507" w:name="_Toc400385247"/>
      <w:bookmarkStart w:id="1508" w:name="_Toc400387410"/>
      <w:bookmarkStart w:id="1509" w:name="_Toc400389571"/>
      <w:bookmarkStart w:id="1510" w:name="_Toc400391732"/>
      <w:bookmarkStart w:id="1511" w:name="_Toc400393896"/>
      <w:bookmarkStart w:id="1512" w:name="_Toc400354377"/>
      <w:bookmarkStart w:id="1513" w:name="_Toc400356642"/>
      <w:bookmarkStart w:id="1514" w:name="_Toc400358907"/>
      <w:bookmarkStart w:id="1515" w:name="_Toc400361172"/>
      <w:bookmarkStart w:id="1516" w:name="_Toc400363436"/>
      <w:bookmarkStart w:id="1517" w:name="_Toc400365667"/>
      <w:bookmarkStart w:id="1518" w:name="_Toc400367864"/>
      <w:bookmarkStart w:id="1519" w:name="_Toc400370046"/>
      <w:bookmarkStart w:id="1520" w:name="_Toc400372227"/>
      <w:bookmarkStart w:id="1521" w:name="_Toc400374407"/>
      <w:bookmarkStart w:id="1522" w:name="_Toc400376580"/>
      <w:bookmarkStart w:id="1523" w:name="_Toc400380916"/>
      <w:bookmarkStart w:id="1524" w:name="_Toc400383082"/>
      <w:bookmarkStart w:id="1525" w:name="_Toc400385248"/>
      <w:bookmarkStart w:id="1526" w:name="_Toc400387411"/>
      <w:bookmarkStart w:id="1527" w:name="_Toc400389572"/>
      <w:bookmarkStart w:id="1528" w:name="_Toc400391733"/>
      <w:bookmarkStart w:id="1529" w:name="_Toc400393897"/>
      <w:bookmarkStart w:id="1530" w:name="_Toc400354378"/>
      <w:bookmarkStart w:id="1531" w:name="_Toc400356643"/>
      <w:bookmarkStart w:id="1532" w:name="_Toc400358908"/>
      <w:bookmarkStart w:id="1533" w:name="_Toc400361173"/>
      <w:bookmarkStart w:id="1534" w:name="_Toc400363437"/>
      <w:bookmarkStart w:id="1535" w:name="_Toc400365668"/>
      <w:bookmarkStart w:id="1536" w:name="_Toc400367865"/>
      <w:bookmarkStart w:id="1537" w:name="_Toc400370047"/>
      <w:bookmarkStart w:id="1538" w:name="_Toc400372228"/>
      <w:bookmarkStart w:id="1539" w:name="_Toc400374408"/>
      <w:bookmarkStart w:id="1540" w:name="_Toc400376581"/>
      <w:bookmarkStart w:id="1541" w:name="_Toc400380917"/>
      <w:bookmarkStart w:id="1542" w:name="_Toc400383083"/>
      <w:bookmarkStart w:id="1543" w:name="_Toc400385249"/>
      <w:bookmarkStart w:id="1544" w:name="_Toc400387412"/>
      <w:bookmarkStart w:id="1545" w:name="_Toc400389573"/>
      <w:bookmarkStart w:id="1546" w:name="_Toc400391734"/>
      <w:bookmarkStart w:id="1547" w:name="_Toc400393898"/>
      <w:bookmarkStart w:id="1548" w:name="_Toc400354379"/>
      <w:bookmarkStart w:id="1549" w:name="_Toc400356644"/>
      <w:bookmarkStart w:id="1550" w:name="_Toc400358909"/>
      <w:bookmarkStart w:id="1551" w:name="_Toc400361174"/>
      <w:bookmarkStart w:id="1552" w:name="_Toc400363438"/>
      <w:bookmarkStart w:id="1553" w:name="_Toc400365669"/>
      <w:bookmarkStart w:id="1554" w:name="_Toc400367866"/>
      <w:bookmarkStart w:id="1555" w:name="_Toc400370048"/>
      <w:bookmarkStart w:id="1556" w:name="_Toc400372229"/>
      <w:bookmarkStart w:id="1557" w:name="_Toc400374409"/>
      <w:bookmarkStart w:id="1558" w:name="_Toc400376582"/>
      <w:bookmarkStart w:id="1559" w:name="_Toc400380918"/>
      <w:bookmarkStart w:id="1560" w:name="_Toc400383084"/>
      <w:bookmarkStart w:id="1561" w:name="_Toc400385250"/>
      <w:bookmarkStart w:id="1562" w:name="_Toc400387413"/>
      <w:bookmarkStart w:id="1563" w:name="_Toc400389574"/>
      <w:bookmarkStart w:id="1564" w:name="_Toc400391735"/>
      <w:bookmarkStart w:id="1565" w:name="_Toc400393899"/>
      <w:bookmarkStart w:id="1566" w:name="_Toc400354380"/>
      <w:bookmarkStart w:id="1567" w:name="_Toc400356645"/>
      <w:bookmarkStart w:id="1568" w:name="_Toc400358910"/>
      <w:bookmarkStart w:id="1569" w:name="_Toc400361175"/>
      <w:bookmarkStart w:id="1570" w:name="_Toc400363439"/>
      <w:bookmarkStart w:id="1571" w:name="_Toc400365670"/>
      <w:bookmarkStart w:id="1572" w:name="_Toc400367867"/>
      <w:bookmarkStart w:id="1573" w:name="_Toc400370049"/>
      <w:bookmarkStart w:id="1574" w:name="_Toc400372230"/>
      <w:bookmarkStart w:id="1575" w:name="_Toc400374410"/>
      <w:bookmarkStart w:id="1576" w:name="_Toc400376583"/>
      <w:bookmarkStart w:id="1577" w:name="_Toc400380919"/>
      <w:bookmarkStart w:id="1578" w:name="_Toc400383085"/>
      <w:bookmarkStart w:id="1579" w:name="_Toc400385251"/>
      <w:bookmarkStart w:id="1580" w:name="_Toc400387414"/>
      <w:bookmarkStart w:id="1581" w:name="_Toc400389575"/>
      <w:bookmarkStart w:id="1582" w:name="_Toc400391736"/>
      <w:bookmarkStart w:id="1583" w:name="_Toc400393900"/>
      <w:bookmarkStart w:id="1584" w:name="_Toc400354381"/>
      <w:bookmarkStart w:id="1585" w:name="_Toc400356646"/>
      <w:bookmarkStart w:id="1586" w:name="_Toc400358911"/>
      <w:bookmarkStart w:id="1587" w:name="_Toc400361176"/>
      <w:bookmarkStart w:id="1588" w:name="_Toc400363440"/>
      <w:bookmarkStart w:id="1589" w:name="_Toc400365671"/>
      <w:bookmarkStart w:id="1590" w:name="_Toc400367868"/>
      <w:bookmarkStart w:id="1591" w:name="_Toc400370050"/>
      <w:bookmarkStart w:id="1592" w:name="_Toc400372231"/>
      <w:bookmarkStart w:id="1593" w:name="_Toc400374411"/>
      <w:bookmarkStart w:id="1594" w:name="_Toc400376584"/>
      <w:bookmarkStart w:id="1595" w:name="_Toc400380920"/>
      <w:bookmarkStart w:id="1596" w:name="_Toc400383086"/>
      <w:bookmarkStart w:id="1597" w:name="_Toc400385252"/>
      <w:bookmarkStart w:id="1598" w:name="_Toc400387415"/>
      <w:bookmarkStart w:id="1599" w:name="_Toc400389576"/>
      <w:bookmarkStart w:id="1600" w:name="_Toc400391737"/>
      <w:bookmarkStart w:id="1601" w:name="_Toc400393901"/>
      <w:bookmarkStart w:id="1602" w:name="_Toc400354382"/>
      <w:bookmarkStart w:id="1603" w:name="_Toc400356647"/>
      <w:bookmarkStart w:id="1604" w:name="_Toc400358912"/>
      <w:bookmarkStart w:id="1605" w:name="_Toc400361177"/>
      <w:bookmarkStart w:id="1606" w:name="_Toc400363441"/>
      <w:bookmarkStart w:id="1607" w:name="_Toc400365672"/>
      <w:bookmarkStart w:id="1608" w:name="_Toc400367869"/>
      <w:bookmarkStart w:id="1609" w:name="_Toc400370051"/>
      <w:bookmarkStart w:id="1610" w:name="_Toc400372232"/>
      <w:bookmarkStart w:id="1611" w:name="_Toc400374412"/>
      <w:bookmarkStart w:id="1612" w:name="_Toc400376585"/>
      <w:bookmarkStart w:id="1613" w:name="_Toc400380921"/>
      <w:bookmarkStart w:id="1614" w:name="_Toc400383087"/>
      <w:bookmarkStart w:id="1615" w:name="_Toc400385253"/>
      <w:bookmarkStart w:id="1616" w:name="_Toc400387416"/>
      <w:bookmarkStart w:id="1617" w:name="_Toc400389577"/>
      <w:bookmarkStart w:id="1618" w:name="_Toc400391738"/>
      <w:bookmarkStart w:id="1619" w:name="_Toc400393902"/>
      <w:bookmarkStart w:id="1620" w:name="_Toc400354383"/>
      <w:bookmarkStart w:id="1621" w:name="_Toc400356648"/>
      <w:bookmarkStart w:id="1622" w:name="_Toc400358913"/>
      <w:bookmarkStart w:id="1623" w:name="_Toc400361178"/>
      <w:bookmarkStart w:id="1624" w:name="_Toc400363442"/>
      <w:bookmarkStart w:id="1625" w:name="_Toc400365673"/>
      <w:bookmarkStart w:id="1626" w:name="_Toc400367870"/>
      <w:bookmarkStart w:id="1627" w:name="_Toc400370052"/>
      <w:bookmarkStart w:id="1628" w:name="_Toc400372233"/>
      <w:bookmarkStart w:id="1629" w:name="_Toc400374413"/>
      <w:bookmarkStart w:id="1630" w:name="_Toc400376586"/>
      <w:bookmarkStart w:id="1631" w:name="_Toc400380922"/>
      <w:bookmarkStart w:id="1632" w:name="_Toc400383088"/>
      <w:bookmarkStart w:id="1633" w:name="_Toc400385254"/>
      <w:bookmarkStart w:id="1634" w:name="_Toc400387417"/>
      <w:bookmarkStart w:id="1635" w:name="_Toc400389578"/>
      <w:bookmarkStart w:id="1636" w:name="_Toc400391739"/>
      <w:bookmarkStart w:id="1637" w:name="_Toc400393903"/>
      <w:bookmarkStart w:id="1638" w:name="_Toc400354384"/>
      <w:bookmarkStart w:id="1639" w:name="_Toc400356649"/>
      <w:bookmarkStart w:id="1640" w:name="_Toc400358914"/>
      <w:bookmarkStart w:id="1641" w:name="_Toc400361179"/>
      <w:bookmarkStart w:id="1642" w:name="_Toc400363443"/>
      <w:bookmarkStart w:id="1643" w:name="_Toc400365674"/>
      <w:bookmarkStart w:id="1644" w:name="_Toc400367871"/>
      <w:bookmarkStart w:id="1645" w:name="_Toc400370053"/>
      <w:bookmarkStart w:id="1646" w:name="_Toc400372234"/>
      <w:bookmarkStart w:id="1647" w:name="_Toc400374414"/>
      <w:bookmarkStart w:id="1648" w:name="_Toc400376587"/>
      <w:bookmarkStart w:id="1649" w:name="_Toc400380923"/>
      <w:bookmarkStart w:id="1650" w:name="_Toc400383089"/>
      <w:bookmarkStart w:id="1651" w:name="_Toc400385255"/>
      <w:bookmarkStart w:id="1652" w:name="_Toc400387418"/>
      <w:bookmarkStart w:id="1653" w:name="_Toc400389579"/>
      <w:bookmarkStart w:id="1654" w:name="_Toc400391740"/>
      <w:bookmarkStart w:id="1655" w:name="_Toc400393904"/>
      <w:bookmarkStart w:id="1656" w:name="_Toc400354385"/>
      <w:bookmarkStart w:id="1657" w:name="_Toc400356650"/>
      <w:bookmarkStart w:id="1658" w:name="_Toc400358915"/>
      <w:bookmarkStart w:id="1659" w:name="_Toc400361180"/>
      <w:bookmarkStart w:id="1660" w:name="_Toc400363444"/>
      <w:bookmarkStart w:id="1661" w:name="_Toc400365675"/>
      <w:bookmarkStart w:id="1662" w:name="_Toc400367872"/>
      <w:bookmarkStart w:id="1663" w:name="_Toc400370054"/>
      <w:bookmarkStart w:id="1664" w:name="_Toc400372235"/>
      <w:bookmarkStart w:id="1665" w:name="_Toc400374415"/>
      <w:bookmarkStart w:id="1666" w:name="_Toc400376588"/>
      <w:bookmarkStart w:id="1667" w:name="_Toc400380924"/>
      <w:bookmarkStart w:id="1668" w:name="_Toc400383090"/>
      <w:bookmarkStart w:id="1669" w:name="_Toc400385256"/>
      <w:bookmarkStart w:id="1670" w:name="_Toc400387419"/>
      <w:bookmarkStart w:id="1671" w:name="_Toc400389580"/>
      <w:bookmarkStart w:id="1672" w:name="_Toc400391741"/>
      <w:bookmarkStart w:id="1673" w:name="_Toc400393905"/>
      <w:bookmarkStart w:id="1674" w:name="_Toc400354386"/>
      <w:bookmarkStart w:id="1675" w:name="_Toc400356651"/>
      <w:bookmarkStart w:id="1676" w:name="_Toc400358916"/>
      <w:bookmarkStart w:id="1677" w:name="_Toc400361181"/>
      <w:bookmarkStart w:id="1678" w:name="_Toc400363445"/>
      <w:bookmarkStart w:id="1679" w:name="_Toc400365676"/>
      <w:bookmarkStart w:id="1680" w:name="_Toc400367873"/>
      <w:bookmarkStart w:id="1681" w:name="_Toc400370055"/>
      <w:bookmarkStart w:id="1682" w:name="_Toc400372236"/>
      <w:bookmarkStart w:id="1683" w:name="_Toc400374416"/>
      <w:bookmarkStart w:id="1684" w:name="_Toc400376589"/>
      <w:bookmarkStart w:id="1685" w:name="_Toc400380925"/>
      <w:bookmarkStart w:id="1686" w:name="_Toc400383091"/>
      <w:bookmarkStart w:id="1687" w:name="_Toc400385257"/>
      <w:bookmarkStart w:id="1688" w:name="_Toc400387420"/>
      <w:bookmarkStart w:id="1689" w:name="_Toc400389581"/>
      <w:bookmarkStart w:id="1690" w:name="_Toc400391742"/>
      <w:bookmarkStart w:id="1691" w:name="_Toc400393906"/>
      <w:bookmarkStart w:id="1692" w:name="_Toc400354387"/>
      <w:bookmarkStart w:id="1693" w:name="_Toc400356652"/>
      <w:bookmarkStart w:id="1694" w:name="_Toc400358917"/>
      <w:bookmarkStart w:id="1695" w:name="_Toc400361182"/>
      <w:bookmarkStart w:id="1696" w:name="_Toc400363446"/>
      <w:bookmarkStart w:id="1697" w:name="_Toc400365677"/>
      <w:bookmarkStart w:id="1698" w:name="_Toc400367874"/>
      <w:bookmarkStart w:id="1699" w:name="_Toc400370056"/>
      <w:bookmarkStart w:id="1700" w:name="_Toc400372237"/>
      <w:bookmarkStart w:id="1701" w:name="_Toc400374417"/>
      <w:bookmarkStart w:id="1702" w:name="_Toc400376590"/>
      <w:bookmarkStart w:id="1703" w:name="_Toc400380926"/>
      <w:bookmarkStart w:id="1704" w:name="_Toc400383092"/>
      <w:bookmarkStart w:id="1705" w:name="_Toc400385258"/>
      <w:bookmarkStart w:id="1706" w:name="_Toc400387421"/>
      <w:bookmarkStart w:id="1707" w:name="_Toc400389582"/>
      <w:bookmarkStart w:id="1708" w:name="_Toc400391743"/>
      <w:bookmarkStart w:id="1709" w:name="_Toc400393907"/>
      <w:bookmarkStart w:id="1710" w:name="_Toc400354388"/>
      <w:bookmarkStart w:id="1711" w:name="_Toc400356653"/>
      <w:bookmarkStart w:id="1712" w:name="_Toc400358918"/>
      <w:bookmarkStart w:id="1713" w:name="_Toc400361183"/>
      <w:bookmarkStart w:id="1714" w:name="_Toc400363447"/>
      <w:bookmarkStart w:id="1715" w:name="_Toc400365678"/>
      <w:bookmarkStart w:id="1716" w:name="_Toc400367875"/>
      <w:bookmarkStart w:id="1717" w:name="_Toc400370057"/>
      <w:bookmarkStart w:id="1718" w:name="_Toc400372238"/>
      <w:bookmarkStart w:id="1719" w:name="_Toc400374418"/>
      <w:bookmarkStart w:id="1720" w:name="_Toc400376591"/>
      <w:bookmarkStart w:id="1721" w:name="_Toc400380927"/>
      <w:bookmarkStart w:id="1722" w:name="_Toc400383093"/>
      <w:bookmarkStart w:id="1723" w:name="_Toc400385259"/>
      <w:bookmarkStart w:id="1724" w:name="_Toc400387422"/>
      <w:bookmarkStart w:id="1725" w:name="_Toc400389583"/>
      <w:bookmarkStart w:id="1726" w:name="_Toc400391744"/>
      <w:bookmarkStart w:id="1727" w:name="_Toc400393908"/>
      <w:bookmarkStart w:id="1728" w:name="_Toc400354389"/>
      <w:bookmarkStart w:id="1729" w:name="_Toc400356654"/>
      <w:bookmarkStart w:id="1730" w:name="_Toc400358919"/>
      <w:bookmarkStart w:id="1731" w:name="_Toc400361184"/>
      <w:bookmarkStart w:id="1732" w:name="_Toc400363448"/>
      <w:bookmarkStart w:id="1733" w:name="_Toc400365679"/>
      <w:bookmarkStart w:id="1734" w:name="_Toc400367876"/>
      <w:bookmarkStart w:id="1735" w:name="_Toc400370058"/>
      <w:bookmarkStart w:id="1736" w:name="_Toc400372239"/>
      <w:bookmarkStart w:id="1737" w:name="_Toc400374419"/>
      <w:bookmarkStart w:id="1738" w:name="_Toc400376592"/>
      <w:bookmarkStart w:id="1739" w:name="_Toc400380928"/>
      <w:bookmarkStart w:id="1740" w:name="_Toc400383094"/>
      <w:bookmarkStart w:id="1741" w:name="_Toc400385260"/>
      <w:bookmarkStart w:id="1742" w:name="_Toc400387423"/>
      <w:bookmarkStart w:id="1743" w:name="_Toc400389584"/>
      <w:bookmarkStart w:id="1744" w:name="_Toc400391745"/>
      <w:bookmarkStart w:id="1745" w:name="_Toc400393909"/>
      <w:bookmarkStart w:id="1746" w:name="_Toc400354390"/>
      <w:bookmarkStart w:id="1747" w:name="_Toc400356655"/>
      <w:bookmarkStart w:id="1748" w:name="_Toc400358920"/>
      <w:bookmarkStart w:id="1749" w:name="_Toc400361185"/>
      <w:bookmarkStart w:id="1750" w:name="_Toc400363449"/>
      <w:bookmarkStart w:id="1751" w:name="_Toc400365680"/>
      <w:bookmarkStart w:id="1752" w:name="_Toc400367877"/>
      <w:bookmarkStart w:id="1753" w:name="_Toc400370059"/>
      <w:bookmarkStart w:id="1754" w:name="_Toc400372240"/>
      <w:bookmarkStart w:id="1755" w:name="_Toc400374420"/>
      <w:bookmarkStart w:id="1756" w:name="_Toc400376593"/>
      <w:bookmarkStart w:id="1757" w:name="_Toc400380929"/>
      <w:bookmarkStart w:id="1758" w:name="_Toc400383095"/>
      <w:bookmarkStart w:id="1759" w:name="_Toc400385261"/>
      <w:bookmarkStart w:id="1760" w:name="_Toc400387424"/>
      <w:bookmarkStart w:id="1761" w:name="_Toc400389585"/>
      <w:bookmarkStart w:id="1762" w:name="_Toc400391746"/>
      <w:bookmarkStart w:id="1763" w:name="_Toc400393910"/>
      <w:bookmarkStart w:id="1764" w:name="_Toc400354391"/>
      <w:bookmarkStart w:id="1765" w:name="_Toc400356656"/>
      <w:bookmarkStart w:id="1766" w:name="_Toc400358921"/>
      <w:bookmarkStart w:id="1767" w:name="_Toc400361186"/>
      <w:bookmarkStart w:id="1768" w:name="_Toc400363450"/>
      <w:bookmarkStart w:id="1769" w:name="_Toc400365681"/>
      <w:bookmarkStart w:id="1770" w:name="_Toc400367878"/>
      <w:bookmarkStart w:id="1771" w:name="_Toc400370060"/>
      <w:bookmarkStart w:id="1772" w:name="_Toc400372241"/>
      <w:bookmarkStart w:id="1773" w:name="_Toc400374421"/>
      <w:bookmarkStart w:id="1774" w:name="_Toc400376594"/>
      <w:bookmarkStart w:id="1775" w:name="_Toc400380930"/>
      <w:bookmarkStart w:id="1776" w:name="_Toc400383096"/>
      <w:bookmarkStart w:id="1777" w:name="_Toc400385262"/>
      <w:bookmarkStart w:id="1778" w:name="_Toc400387425"/>
      <w:bookmarkStart w:id="1779" w:name="_Toc400389586"/>
      <w:bookmarkStart w:id="1780" w:name="_Toc400391747"/>
      <w:bookmarkStart w:id="1781" w:name="_Toc400393911"/>
      <w:bookmarkStart w:id="1782" w:name="_Toc400354392"/>
      <w:bookmarkStart w:id="1783" w:name="_Toc400356657"/>
      <w:bookmarkStart w:id="1784" w:name="_Toc400358922"/>
      <w:bookmarkStart w:id="1785" w:name="_Toc400361187"/>
      <w:bookmarkStart w:id="1786" w:name="_Toc400363451"/>
      <w:bookmarkStart w:id="1787" w:name="_Toc400365682"/>
      <w:bookmarkStart w:id="1788" w:name="_Toc400367879"/>
      <w:bookmarkStart w:id="1789" w:name="_Toc400370061"/>
      <w:bookmarkStart w:id="1790" w:name="_Toc400372242"/>
      <w:bookmarkStart w:id="1791" w:name="_Toc400374422"/>
      <w:bookmarkStart w:id="1792" w:name="_Toc400376595"/>
      <w:bookmarkStart w:id="1793" w:name="_Toc400380931"/>
      <w:bookmarkStart w:id="1794" w:name="_Toc400383097"/>
      <w:bookmarkStart w:id="1795" w:name="_Toc400385263"/>
      <w:bookmarkStart w:id="1796" w:name="_Toc400387426"/>
      <w:bookmarkStart w:id="1797" w:name="_Toc400389587"/>
      <w:bookmarkStart w:id="1798" w:name="_Toc400391748"/>
      <w:bookmarkStart w:id="1799" w:name="_Toc400393912"/>
      <w:bookmarkStart w:id="1800" w:name="_Toc400354393"/>
      <w:bookmarkStart w:id="1801" w:name="_Toc400356658"/>
      <w:bookmarkStart w:id="1802" w:name="_Toc400358923"/>
      <w:bookmarkStart w:id="1803" w:name="_Toc400361188"/>
      <w:bookmarkStart w:id="1804" w:name="_Toc400363452"/>
      <w:bookmarkStart w:id="1805" w:name="_Toc400365683"/>
      <w:bookmarkStart w:id="1806" w:name="_Toc400367880"/>
      <w:bookmarkStart w:id="1807" w:name="_Toc400370062"/>
      <w:bookmarkStart w:id="1808" w:name="_Toc400372243"/>
      <w:bookmarkStart w:id="1809" w:name="_Toc400374423"/>
      <w:bookmarkStart w:id="1810" w:name="_Toc400376596"/>
      <w:bookmarkStart w:id="1811" w:name="_Toc400380932"/>
      <w:bookmarkStart w:id="1812" w:name="_Toc400383098"/>
      <w:bookmarkStart w:id="1813" w:name="_Toc400385264"/>
      <w:bookmarkStart w:id="1814" w:name="_Toc400387427"/>
      <w:bookmarkStart w:id="1815" w:name="_Toc400389588"/>
      <w:bookmarkStart w:id="1816" w:name="_Toc400391749"/>
      <w:bookmarkStart w:id="1817" w:name="_Toc400393913"/>
      <w:bookmarkStart w:id="1818" w:name="_Toc400354394"/>
      <w:bookmarkStart w:id="1819" w:name="_Toc400356659"/>
      <w:bookmarkStart w:id="1820" w:name="_Toc400358924"/>
      <w:bookmarkStart w:id="1821" w:name="_Toc400361189"/>
      <w:bookmarkStart w:id="1822" w:name="_Toc400363453"/>
      <w:bookmarkStart w:id="1823" w:name="_Toc400365684"/>
      <w:bookmarkStart w:id="1824" w:name="_Toc400367881"/>
      <w:bookmarkStart w:id="1825" w:name="_Toc400370063"/>
      <w:bookmarkStart w:id="1826" w:name="_Toc400372244"/>
      <w:bookmarkStart w:id="1827" w:name="_Toc400374424"/>
      <w:bookmarkStart w:id="1828" w:name="_Toc400376597"/>
      <w:bookmarkStart w:id="1829" w:name="_Toc400380933"/>
      <w:bookmarkStart w:id="1830" w:name="_Toc400383099"/>
      <w:bookmarkStart w:id="1831" w:name="_Toc400385265"/>
      <w:bookmarkStart w:id="1832" w:name="_Toc400387428"/>
      <w:bookmarkStart w:id="1833" w:name="_Toc400389589"/>
      <w:bookmarkStart w:id="1834" w:name="_Toc400391750"/>
      <w:bookmarkStart w:id="1835" w:name="_Toc400393914"/>
      <w:bookmarkStart w:id="1836" w:name="_Toc400354395"/>
      <w:bookmarkStart w:id="1837" w:name="_Toc400356660"/>
      <w:bookmarkStart w:id="1838" w:name="_Toc400358925"/>
      <w:bookmarkStart w:id="1839" w:name="_Toc400361190"/>
      <w:bookmarkStart w:id="1840" w:name="_Toc400363454"/>
      <w:bookmarkStart w:id="1841" w:name="_Toc400365685"/>
      <w:bookmarkStart w:id="1842" w:name="_Toc400367882"/>
      <w:bookmarkStart w:id="1843" w:name="_Toc400370064"/>
      <w:bookmarkStart w:id="1844" w:name="_Toc400372245"/>
      <w:bookmarkStart w:id="1845" w:name="_Toc400374425"/>
      <w:bookmarkStart w:id="1846" w:name="_Toc400376598"/>
      <w:bookmarkStart w:id="1847" w:name="_Toc400380934"/>
      <w:bookmarkStart w:id="1848" w:name="_Toc400383100"/>
      <w:bookmarkStart w:id="1849" w:name="_Toc400385266"/>
      <w:bookmarkStart w:id="1850" w:name="_Toc400387429"/>
      <w:bookmarkStart w:id="1851" w:name="_Toc400389590"/>
      <w:bookmarkStart w:id="1852" w:name="_Toc400391751"/>
      <w:bookmarkStart w:id="1853" w:name="_Toc400393915"/>
      <w:bookmarkStart w:id="1854" w:name="_Toc400354396"/>
      <w:bookmarkStart w:id="1855" w:name="_Toc400356661"/>
      <w:bookmarkStart w:id="1856" w:name="_Toc400358926"/>
      <w:bookmarkStart w:id="1857" w:name="_Toc400361191"/>
      <w:bookmarkStart w:id="1858" w:name="_Toc400363455"/>
      <w:bookmarkStart w:id="1859" w:name="_Toc400365686"/>
      <w:bookmarkStart w:id="1860" w:name="_Toc400367883"/>
      <w:bookmarkStart w:id="1861" w:name="_Toc400370065"/>
      <w:bookmarkStart w:id="1862" w:name="_Toc400372246"/>
      <w:bookmarkStart w:id="1863" w:name="_Toc400374426"/>
      <w:bookmarkStart w:id="1864" w:name="_Toc400376599"/>
      <w:bookmarkStart w:id="1865" w:name="_Toc400380935"/>
      <w:bookmarkStart w:id="1866" w:name="_Toc400383101"/>
      <w:bookmarkStart w:id="1867" w:name="_Toc400385267"/>
      <w:bookmarkStart w:id="1868" w:name="_Toc400387430"/>
      <w:bookmarkStart w:id="1869" w:name="_Toc400389591"/>
      <w:bookmarkStart w:id="1870" w:name="_Toc400391752"/>
      <w:bookmarkStart w:id="1871" w:name="_Toc400393916"/>
      <w:bookmarkStart w:id="1872" w:name="_Toc400354397"/>
      <w:bookmarkStart w:id="1873" w:name="_Toc400356662"/>
      <w:bookmarkStart w:id="1874" w:name="_Toc400358927"/>
      <w:bookmarkStart w:id="1875" w:name="_Toc400361192"/>
      <w:bookmarkStart w:id="1876" w:name="_Toc400363456"/>
      <w:bookmarkStart w:id="1877" w:name="_Toc400365687"/>
      <w:bookmarkStart w:id="1878" w:name="_Toc400367884"/>
      <w:bookmarkStart w:id="1879" w:name="_Toc400370066"/>
      <w:bookmarkStart w:id="1880" w:name="_Toc400372247"/>
      <w:bookmarkStart w:id="1881" w:name="_Toc400374427"/>
      <w:bookmarkStart w:id="1882" w:name="_Toc400376600"/>
      <w:bookmarkStart w:id="1883" w:name="_Toc400380936"/>
      <w:bookmarkStart w:id="1884" w:name="_Toc400383102"/>
      <w:bookmarkStart w:id="1885" w:name="_Toc400385268"/>
      <w:bookmarkStart w:id="1886" w:name="_Toc400387431"/>
      <w:bookmarkStart w:id="1887" w:name="_Toc400389592"/>
      <w:bookmarkStart w:id="1888" w:name="_Toc400391753"/>
      <w:bookmarkStart w:id="1889" w:name="_Toc400393917"/>
      <w:bookmarkStart w:id="1890" w:name="_Toc400354398"/>
      <w:bookmarkStart w:id="1891" w:name="_Toc400356663"/>
      <w:bookmarkStart w:id="1892" w:name="_Toc400358928"/>
      <w:bookmarkStart w:id="1893" w:name="_Toc400361193"/>
      <w:bookmarkStart w:id="1894" w:name="_Toc400363457"/>
      <w:bookmarkStart w:id="1895" w:name="_Toc400365688"/>
      <w:bookmarkStart w:id="1896" w:name="_Toc400367885"/>
      <w:bookmarkStart w:id="1897" w:name="_Toc400370067"/>
      <w:bookmarkStart w:id="1898" w:name="_Toc400372248"/>
      <w:bookmarkStart w:id="1899" w:name="_Toc400374428"/>
      <w:bookmarkStart w:id="1900" w:name="_Toc400376601"/>
      <w:bookmarkStart w:id="1901" w:name="_Toc400380937"/>
      <w:bookmarkStart w:id="1902" w:name="_Toc400383103"/>
      <w:bookmarkStart w:id="1903" w:name="_Toc400385269"/>
      <w:bookmarkStart w:id="1904" w:name="_Toc400387432"/>
      <w:bookmarkStart w:id="1905" w:name="_Toc400389593"/>
      <w:bookmarkStart w:id="1906" w:name="_Toc400391754"/>
      <w:bookmarkStart w:id="1907" w:name="_Toc400393918"/>
      <w:bookmarkStart w:id="1908" w:name="_Toc400354399"/>
      <w:bookmarkStart w:id="1909" w:name="_Toc400356664"/>
      <w:bookmarkStart w:id="1910" w:name="_Toc400358929"/>
      <w:bookmarkStart w:id="1911" w:name="_Toc400361194"/>
      <w:bookmarkStart w:id="1912" w:name="_Toc400363458"/>
      <w:bookmarkStart w:id="1913" w:name="_Toc400365689"/>
      <w:bookmarkStart w:id="1914" w:name="_Toc400367886"/>
      <w:bookmarkStart w:id="1915" w:name="_Toc400370068"/>
      <w:bookmarkStart w:id="1916" w:name="_Toc400372249"/>
      <w:bookmarkStart w:id="1917" w:name="_Toc400374429"/>
      <w:bookmarkStart w:id="1918" w:name="_Toc400376602"/>
      <w:bookmarkStart w:id="1919" w:name="_Toc400380938"/>
      <w:bookmarkStart w:id="1920" w:name="_Toc400383104"/>
      <w:bookmarkStart w:id="1921" w:name="_Toc400385270"/>
      <w:bookmarkStart w:id="1922" w:name="_Toc400387433"/>
      <w:bookmarkStart w:id="1923" w:name="_Toc400389594"/>
      <w:bookmarkStart w:id="1924" w:name="_Toc400391755"/>
      <w:bookmarkStart w:id="1925" w:name="_Toc400393919"/>
      <w:bookmarkStart w:id="1926" w:name="_Toc400354400"/>
      <w:bookmarkStart w:id="1927" w:name="_Toc400356665"/>
      <w:bookmarkStart w:id="1928" w:name="_Toc400358930"/>
      <w:bookmarkStart w:id="1929" w:name="_Toc400361195"/>
      <w:bookmarkStart w:id="1930" w:name="_Toc400363459"/>
      <w:bookmarkStart w:id="1931" w:name="_Toc400365690"/>
      <w:bookmarkStart w:id="1932" w:name="_Toc400367887"/>
      <w:bookmarkStart w:id="1933" w:name="_Toc400370069"/>
      <w:bookmarkStart w:id="1934" w:name="_Toc400372250"/>
      <w:bookmarkStart w:id="1935" w:name="_Toc400374430"/>
      <w:bookmarkStart w:id="1936" w:name="_Toc400376603"/>
      <w:bookmarkStart w:id="1937" w:name="_Toc400380939"/>
      <w:bookmarkStart w:id="1938" w:name="_Toc400383105"/>
      <w:bookmarkStart w:id="1939" w:name="_Toc400385271"/>
      <w:bookmarkStart w:id="1940" w:name="_Toc400387434"/>
      <w:bookmarkStart w:id="1941" w:name="_Toc400389595"/>
      <w:bookmarkStart w:id="1942" w:name="_Toc400391756"/>
      <w:bookmarkStart w:id="1943" w:name="_Toc400393920"/>
      <w:bookmarkStart w:id="1944" w:name="_Toc400354401"/>
      <w:bookmarkStart w:id="1945" w:name="_Toc400356666"/>
      <w:bookmarkStart w:id="1946" w:name="_Toc400358931"/>
      <w:bookmarkStart w:id="1947" w:name="_Toc400361196"/>
      <w:bookmarkStart w:id="1948" w:name="_Toc400363460"/>
      <w:bookmarkStart w:id="1949" w:name="_Toc400365691"/>
      <w:bookmarkStart w:id="1950" w:name="_Toc400367888"/>
      <w:bookmarkStart w:id="1951" w:name="_Toc400370070"/>
      <w:bookmarkStart w:id="1952" w:name="_Toc400372251"/>
      <w:bookmarkStart w:id="1953" w:name="_Toc400374431"/>
      <w:bookmarkStart w:id="1954" w:name="_Toc400376604"/>
      <w:bookmarkStart w:id="1955" w:name="_Toc400380940"/>
      <w:bookmarkStart w:id="1956" w:name="_Toc400383106"/>
      <w:bookmarkStart w:id="1957" w:name="_Toc400385272"/>
      <w:bookmarkStart w:id="1958" w:name="_Toc400387435"/>
      <w:bookmarkStart w:id="1959" w:name="_Toc400389596"/>
      <w:bookmarkStart w:id="1960" w:name="_Toc400391757"/>
      <w:bookmarkStart w:id="1961" w:name="_Toc400393921"/>
      <w:bookmarkStart w:id="1962" w:name="_Toc400354402"/>
      <w:bookmarkStart w:id="1963" w:name="_Toc400356667"/>
      <w:bookmarkStart w:id="1964" w:name="_Toc400358932"/>
      <w:bookmarkStart w:id="1965" w:name="_Toc400361197"/>
      <w:bookmarkStart w:id="1966" w:name="_Toc400363461"/>
      <w:bookmarkStart w:id="1967" w:name="_Toc400365692"/>
      <w:bookmarkStart w:id="1968" w:name="_Toc400367889"/>
      <w:bookmarkStart w:id="1969" w:name="_Toc400370071"/>
      <w:bookmarkStart w:id="1970" w:name="_Toc400372252"/>
      <w:bookmarkStart w:id="1971" w:name="_Toc400374432"/>
      <w:bookmarkStart w:id="1972" w:name="_Toc400376605"/>
      <w:bookmarkStart w:id="1973" w:name="_Toc400380941"/>
      <w:bookmarkStart w:id="1974" w:name="_Toc400383107"/>
      <w:bookmarkStart w:id="1975" w:name="_Toc400385273"/>
      <w:bookmarkStart w:id="1976" w:name="_Toc400387436"/>
      <w:bookmarkStart w:id="1977" w:name="_Toc400389597"/>
      <w:bookmarkStart w:id="1978" w:name="_Toc400391758"/>
      <w:bookmarkStart w:id="1979" w:name="_Toc400393922"/>
      <w:bookmarkStart w:id="1980" w:name="_Toc400354403"/>
      <w:bookmarkStart w:id="1981" w:name="_Toc400356668"/>
      <w:bookmarkStart w:id="1982" w:name="_Toc400358933"/>
      <w:bookmarkStart w:id="1983" w:name="_Toc400361198"/>
      <w:bookmarkStart w:id="1984" w:name="_Toc400363462"/>
      <w:bookmarkStart w:id="1985" w:name="_Toc400365693"/>
      <w:bookmarkStart w:id="1986" w:name="_Toc400367890"/>
      <w:bookmarkStart w:id="1987" w:name="_Toc400370072"/>
      <w:bookmarkStart w:id="1988" w:name="_Toc400372253"/>
      <w:bookmarkStart w:id="1989" w:name="_Toc400374433"/>
      <w:bookmarkStart w:id="1990" w:name="_Toc400376606"/>
      <w:bookmarkStart w:id="1991" w:name="_Toc400380942"/>
      <w:bookmarkStart w:id="1992" w:name="_Toc400383108"/>
      <w:bookmarkStart w:id="1993" w:name="_Toc400385274"/>
      <w:bookmarkStart w:id="1994" w:name="_Toc400387437"/>
      <w:bookmarkStart w:id="1995" w:name="_Toc400389598"/>
      <w:bookmarkStart w:id="1996" w:name="_Toc400391759"/>
      <w:bookmarkStart w:id="1997" w:name="_Toc400393923"/>
      <w:bookmarkStart w:id="1998" w:name="_Toc400354404"/>
      <w:bookmarkStart w:id="1999" w:name="_Toc400356669"/>
      <w:bookmarkStart w:id="2000" w:name="_Toc400358934"/>
      <w:bookmarkStart w:id="2001" w:name="_Toc400361199"/>
      <w:bookmarkStart w:id="2002" w:name="_Toc400363463"/>
      <w:bookmarkStart w:id="2003" w:name="_Toc400365694"/>
      <w:bookmarkStart w:id="2004" w:name="_Toc400367891"/>
      <w:bookmarkStart w:id="2005" w:name="_Toc400370073"/>
      <w:bookmarkStart w:id="2006" w:name="_Toc400372254"/>
      <w:bookmarkStart w:id="2007" w:name="_Toc400374434"/>
      <w:bookmarkStart w:id="2008" w:name="_Toc400376607"/>
      <w:bookmarkStart w:id="2009" w:name="_Toc400380943"/>
      <w:bookmarkStart w:id="2010" w:name="_Toc400383109"/>
      <w:bookmarkStart w:id="2011" w:name="_Toc400385275"/>
      <w:bookmarkStart w:id="2012" w:name="_Toc400387438"/>
      <w:bookmarkStart w:id="2013" w:name="_Toc400389599"/>
      <w:bookmarkStart w:id="2014" w:name="_Toc400391760"/>
      <w:bookmarkStart w:id="2015" w:name="_Toc400393924"/>
      <w:bookmarkStart w:id="2016" w:name="_Toc400354405"/>
      <w:bookmarkStart w:id="2017" w:name="_Toc400356670"/>
      <w:bookmarkStart w:id="2018" w:name="_Toc400358935"/>
      <w:bookmarkStart w:id="2019" w:name="_Toc400361200"/>
      <w:bookmarkStart w:id="2020" w:name="_Toc400363464"/>
      <w:bookmarkStart w:id="2021" w:name="_Toc400365695"/>
      <w:bookmarkStart w:id="2022" w:name="_Toc400367892"/>
      <w:bookmarkStart w:id="2023" w:name="_Toc400370074"/>
      <w:bookmarkStart w:id="2024" w:name="_Toc400372255"/>
      <w:bookmarkStart w:id="2025" w:name="_Toc400374435"/>
      <w:bookmarkStart w:id="2026" w:name="_Toc400376608"/>
      <w:bookmarkStart w:id="2027" w:name="_Toc400380944"/>
      <w:bookmarkStart w:id="2028" w:name="_Toc400383110"/>
      <w:bookmarkStart w:id="2029" w:name="_Toc400385276"/>
      <w:bookmarkStart w:id="2030" w:name="_Toc400387439"/>
      <w:bookmarkStart w:id="2031" w:name="_Toc400389600"/>
      <w:bookmarkStart w:id="2032" w:name="_Toc400391761"/>
      <w:bookmarkStart w:id="2033" w:name="_Toc400393925"/>
      <w:bookmarkStart w:id="2034" w:name="_Toc400354406"/>
      <w:bookmarkStart w:id="2035" w:name="_Toc400356671"/>
      <w:bookmarkStart w:id="2036" w:name="_Toc400358936"/>
      <w:bookmarkStart w:id="2037" w:name="_Toc400361201"/>
      <w:bookmarkStart w:id="2038" w:name="_Toc400363465"/>
      <w:bookmarkStart w:id="2039" w:name="_Toc400365696"/>
      <w:bookmarkStart w:id="2040" w:name="_Toc400367893"/>
      <w:bookmarkStart w:id="2041" w:name="_Toc400370075"/>
      <w:bookmarkStart w:id="2042" w:name="_Toc400372256"/>
      <w:bookmarkStart w:id="2043" w:name="_Toc400374436"/>
      <w:bookmarkStart w:id="2044" w:name="_Toc400376609"/>
      <w:bookmarkStart w:id="2045" w:name="_Toc400380945"/>
      <w:bookmarkStart w:id="2046" w:name="_Toc400383111"/>
      <w:bookmarkStart w:id="2047" w:name="_Toc400385277"/>
      <w:bookmarkStart w:id="2048" w:name="_Toc400387440"/>
      <w:bookmarkStart w:id="2049" w:name="_Toc400389601"/>
      <w:bookmarkStart w:id="2050" w:name="_Toc400391762"/>
      <w:bookmarkStart w:id="2051" w:name="_Toc400393926"/>
      <w:bookmarkStart w:id="2052" w:name="_Toc400354407"/>
      <w:bookmarkStart w:id="2053" w:name="_Toc400356672"/>
      <w:bookmarkStart w:id="2054" w:name="_Toc400358937"/>
      <w:bookmarkStart w:id="2055" w:name="_Toc400361202"/>
      <w:bookmarkStart w:id="2056" w:name="_Toc400363466"/>
      <w:bookmarkStart w:id="2057" w:name="_Toc400365697"/>
      <w:bookmarkStart w:id="2058" w:name="_Toc400367894"/>
      <w:bookmarkStart w:id="2059" w:name="_Toc400370076"/>
      <w:bookmarkStart w:id="2060" w:name="_Toc400372257"/>
      <w:bookmarkStart w:id="2061" w:name="_Toc400374437"/>
      <w:bookmarkStart w:id="2062" w:name="_Toc400376610"/>
      <w:bookmarkStart w:id="2063" w:name="_Toc400380946"/>
      <w:bookmarkStart w:id="2064" w:name="_Toc400383112"/>
      <w:bookmarkStart w:id="2065" w:name="_Toc400385278"/>
      <w:bookmarkStart w:id="2066" w:name="_Toc400387441"/>
      <w:bookmarkStart w:id="2067" w:name="_Toc400389602"/>
      <w:bookmarkStart w:id="2068" w:name="_Toc400391763"/>
      <w:bookmarkStart w:id="2069" w:name="_Toc400393927"/>
      <w:bookmarkStart w:id="2070" w:name="_Toc400354408"/>
      <w:bookmarkStart w:id="2071" w:name="_Toc400356673"/>
      <w:bookmarkStart w:id="2072" w:name="_Toc400358938"/>
      <w:bookmarkStart w:id="2073" w:name="_Toc400361203"/>
      <w:bookmarkStart w:id="2074" w:name="_Toc400363467"/>
      <w:bookmarkStart w:id="2075" w:name="_Toc400365698"/>
      <w:bookmarkStart w:id="2076" w:name="_Toc400367895"/>
      <w:bookmarkStart w:id="2077" w:name="_Toc400370077"/>
      <w:bookmarkStart w:id="2078" w:name="_Toc400372258"/>
      <w:bookmarkStart w:id="2079" w:name="_Toc400374438"/>
      <w:bookmarkStart w:id="2080" w:name="_Toc400376611"/>
      <w:bookmarkStart w:id="2081" w:name="_Toc400380947"/>
      <w:bookmarkStart w:id="2082" w:name="_Toc400383113"/>
      <w:bookmarkStart w:id="2083" w:name="_Toc400385279"/>
      <w:bookmarkStart w:id="2084" w:name="_Toc400387442"/>
      <w:bookmarkStart w:id="2085" w:name="_Toc400389603"/>
      <w:bookmarkStart w:id="2086" w:name="_Toc400391764"/>
      <w:bookmarkStart w:id="2087" w:name="_Toc400393928"/>
      <w:bookmarkStart w:id="2088" w:name="_Toc400354409"/>
      <w:bookmarkStart w:id="2089" w:name="_Toc400356674"/>
      <w:bookmarkStart w:id="2090" w:name="_Toc400358939"/>
      <w:bookmarkStart w:id="2091" w:name="_Toc400361204"/>
      <w:bookmarkStart w:id="2092" w:name="_Toc400363468"/>
      <w:bookmarkStart w:id="2093" w:name="_Toc400365699"/>
      <w:bookmarkStart w:id="2094" w:name="_Toc400367896"/>
      <w:bookmarkStart w:id="2095" w:name="_Toc400370078"/>
      <w:bookmarkStart w:id="2096" w:name="_Toc400372259"/>
      <w:bookmarkStart w:id="2097" w:name="_Toc400374439"/>
      <w:bookmarkStart w:id="2098" w:name="_Toc400376612"/>
      <w:bookmarkStart w:id="2099" w:name="_Toc400380948"/>
      <w:bookmarkStart w:id="2100" w:name="_Toc400383114"/>
      <w:bookmarkStart w:id="2101" w:name="_Toc400385280"/>
      <w:bookmarkStart w:id="2102" w:name="_Toc400387443"/>
      <w:bookmarkStart w:id="2103" w:name="_Toc400389604"/>
      <w:bookmarkStart w:id="2104" w:name="_Toc400391765"/>
      <w:bookmarkStart w:id="2105" w:name="_Toc400393929"/>
      <w:bookmarkStart w:id="2106" w:name="_Toc400354410"/>
      <w:bookmarkStart w:id="2107" w:name="_Toc400356675"/>
      <w:bookmarkStart w:id="2108" w:name="_Toc400358940"/>
      <w:bookmarkStart w:id="2109" w:name="_Toc400361205"/>
      <w:bookmarkStart w:id="2110" w:name="_Toc400363469"/>
      <w:bookmarkStart w:id="2111" w:name="_Toc400365700"/>
      <w:bookmarkStart w:id="2112" w:name="_Toc400367897"/>
      <w:bookmarkStart w:id="2113" w:name="_Toc400370079"/>
      <w:bookmarkStart w:id="2114" w:name="_Toc400372260"/>
      <w:bookmarkStart w:id="2115" w:name="_Toc400374440"/>
      <w:bookmarkStart w:id="2116" w:name="_Toc400376613"/>
      <w:bookmarkStart w:id="2117" w:name="_Toc400380949"/>
      <w:bookmarkStart w:id="2118" w:name="_Toc400383115"/>
      <w:bookmarkStart w:id="2119" w:name="_Toc400385281"/>
      <w:bookmarkStart w:id="2120" w:name="_Toc400387444"/>
      <w:bookmarkStart w:id="2121" w:name="_Toc400389605"/>
      <w:bookmarkStart w:id="2122" w:name="_Toc400391766"/>
      <w:bookmarkStart w:id="2123" w:name="_Toc400393930"/>
      <w:bookmarkStart w:id="2124" w:name="_Toc400354411"/>
      <w:bookmarkStart w:id="2125" w:name="_Toc400356676"/>
      <w:bookmarkStart w:id="2126" w:name="_Toc400358941"/>
      <w:bookmarkStart w:id="2127" w:name="_Toc400361206"/>
      <w:bookmarkStart w:id="2128" w:name="_Toc400363470"/>
      <w:bookmarkStart w:id="2129" w:name="_Toc400365701"/>
      <w:bookmarkStart w:id="2130" w:name="_Toc400367898"/>
      <w:bookmarkStart w:id="2131" w:name="_Toc400370080"/>
      <w:bookmarkStart w:id="2132" w:name="_Toc400372261"/>
      <w:bookmarkStart w:id="2133" w:name="_Toc400374441"/>
      <w:bookmarkStart w:id="2134" w:name="_Toc400376614"/>
      <w:bookmarkStart w:id="2135" w:name="_Toc400380950"/>
      <w:bookmarkStart w:id="2136" w:name="_Toc400383116"/>
      <w:bookmarkStart w:id="2137" w:name="_Toc400385282"/>
      <w:bookmarkStart w:id="2138" w:name="_Toc400387445"/>
      <w:bookmarkStart w:id="2139" w:name="_Toc400389606"/>
      <w:bookmarkStart w:id="2140" w:name="_Toc400391767"/>
      <w:bookmarkStart w:id="2141" w:name="_Toc400393931"/>
      <w:bookmarkStart w:id="2142" w:name="_Toc400354412"/>
      <w:bookmarkStart w:id="2143" w:name="_Toc400356677"/>
      <w:bookmarkStart w:id="2144" w:name="_Toc400358942"/>
      <w:bookmarkStart w:id="2145" w:name="_Toc400361207"/>
      <w:bookmarkStart w:id="2146" w:name="_Toc400363471"/>
      <w:bookmarkStart w:id="2147" w:name="_Toc400365702"/>
      <w:bookmarkStart w:id="2148" w:name="_Toc400367899"/>
      <w:bookmarkStart w:id="2149" w:name="_Toc400370081"/>
      <w:bookmarkStart w:id="2150" w:name="_Toc400372262"/>
      <w:bookmarkStart w:id="2151" w:name="_Toc400374442"/>
      <w:bookmarkStart w:id="2152" w:name="_Toc400376615"/>
      <w:bookmarkStart w:id="2153" w:name="_Toc400380951"/>
      <w:bookmarkStart w:id="2154" w:name="_Toc400383117"/>
      <w:bookmarkStart w:id="2155" w:name="_Toc400385283"/>
      <w:bookmarkStart w:id="2156" w:name="_Toc400387446"/>
      <w:bookmarkStart w:id="2157" w:name="_Toc400389607"/>
      <w:bookmarkStart w:id="2158" w:name="_Toc400391768"/>
      <w:bookmarkStart w:id="2159" w:name="_Toc400393932"/>
      <w:bookmarkStart w:id="2160" w:name="_Toc400354413"/>
      <w:bookmarkStart w:id="2161" w:name="_Toc400356678"/>
      <w:bookmarkStart w:id="2162" w:name="_Toc400358943"/>
      <w:bookmarkStart w:id="2163" w:name="_Toc400361208"/>
      <w:bookmarkStart w:id="2164" w:name="_Toc400363472"/>
      <w:bookmarkStart w:id="2165" w:name="_Toc400365703"/>
      <w:bookmarkStart w:id="2166" w:name="_Toc400367900"/>
      <w:bookmarkStart w:id="2167" w:name="_Toc400370082"/>
      <w:bookmarkStart w:id="2168" w:name="_Toc400372263"/>
      <w:bookmarkStart w:id="2169" w:name="_Toc400374443"/>
      <w:bookmarkStart w:id="2170" w:name="_Toc400376616"/>
      <w:bookmarkStart w:id="2171" w:name="_Toc400380952"/>
      <w:bookmarkStart w:id="2172" w:name="_Toc400383118"/>
      <w:bookmarkStart w:id="2173" w:name="_Toc400385284"/>
      <w:bookmarkStart w:id="2174" w:name="_Toc400387447"/>
      <w:bookmarkStart w:id="2175" w:name="_Toc400389608"/>
      <w:bookmarkStart w:id="2176" w:name="_Toc400391769"/>
      <w:bookmarkStart w:id="2177" w:name="_Toc400393933"/>
      <w:bookmarkStart w:id="2178" w:name="_Toc400354414"/>
      <w:bookmarkStart w:id="2179" w:name="_Toc400356679"/>
      <w:bookmarkStart w:id="2180" w:name="_Toc400358944"/>
      <w:bookmarkStart w:id="2181" w:name="_Toc400361209"/>
      <w:bookmarkStart w:id="2182" w:name="_Toc400363473"/>
      <w:bookmarkStart w:id="2183" w:name="_Toc400365704"/>
      <w:bookmarkStart w:id="2184" w:name="_Toc400367901"/>
      <w:bookmarkStart w:id="2185" w:name="_Toc400370083"/>
      <w:bookmarkStart w:id="2186" w:name="_Toc400372264"/>
      <w:bookmarkStart w:id="2187" w:name="_Toc400374444"/>
      <w:bookmarkStart w:id="2188" w:name="_Toc400376617"/>
      <w:bookmarkStart w:id="2189" w:name="_Toc400380953"/>
      <w:bookmarkStart w:id="2190" w:name="_Toc400383119"/>
      <w:bookmarkStart w:id="2191" w:name="_Toc400385285"/>
      <w:bookmarkStart w:id="2192" w:name="_Toc400387448"/>
      <w:bookmarkStart w:id="2193" w:name="_Toc400389609"/>
      <w:bookmarkStart w:id="2194" w:name="_Toc400391770"/>
      <w:bookmarkStart w:id="2195" w:name="_Toc400393934"/>
      <w:bookmarkStart w:id="2196" w:name="_Toc400354415"/>
      <w:bookmarkStart w:id="2197" w:name="_Toc400356680"/>
      <w:bookmarkStart w:id="2198" w:name="_Toc400358945"/>
      <w:bookmarkStart w:id="2199" w:name="_Toc400361210"/>
      <w:bookmarkStart w:id="2200" w:name="_Toc400363474"/>
      <w:bookmarkStart w:id="2201" w:name="_Toc400365705"/>
      <w:bookmarkStart w:id="2202" w:name="_Toc400367902"/>
      <w:bookmarkStart w:id="2203" w:name="_Toc400370084"/>
      <w:bookmarkStart w:id="2204" w:name="_Toc400372265"/>
      <w:bookmarkStart w:id="2205" w:name="_Toc400374445"/>
      <w:bookmarkStart w:id="2206" w:name="_Toc400376618"/>
      <w:bookmarkStart w:id="2207" w:name="_Toc400380954"/>
      <w:bookmarkStart w:id="2208" w:name="_Toc400383120"/>
      <w:bookmarkStart w:id="2209" w:name="_Toc400385286"/>
      <w:bookmarkStart w:id="2210" w:name="_Toc400387449"/>
      <w:bookmarkStart w:id="2211" w:name="_Toc400389610"/>
      <w:bookmarkStart w:id="2212" w:name="_Toc400391771"/>
      <w:bookmarkStart w:id="2213" w:name="_Toc400393935"/>
      <w:bookmarkStart w:id="2214" w:name="_Toc400354416"/>
      <w:bookmarkStart w:id="2215" w:name="_Toc400356681"/>
      <w:bookmarkStart w:id="2216" w:name="_Toc400358946"/>
      <w:bookmarkStart w:id="2217" w:name="_Toc400361211"/>
      <w:bookmarkStart w:id="2218" w:name="_Toc400363475"/>
      <w:bookmarkStart w:id="2219" w:name="_Toc400365706"/>
      <w:bookmarkStart w:id="2220" w:name="_Toc400367903"/>
      <w:bookmarkStart w:id="2221" w:name="_Toc400370085"/>
      <w:bookmarkStart w:id="2222" w:name="_Toc400372266"/>
      <w:bookmarkStart w:id="2223" w:name="_Toc400374446"/>
      <w:bookmarkStart w:id="2224" w:name="_Toc400376619"/>
      <w:bookmarkStart w:id="2225" w:name="_Toc400380955"/>
      <w:bookmarkStart w:id="2226" w:name="_Toc400383121"/>
      <w:bookmarkStart w:id="2227" w:name="_Toc400385287"/>
      <w:bookmarkStart w:id="2228" w:name="_Toc400387450"/>
      <w:bookmarkStart w:id="2229" w:name="_Toc400389611"/>
      <w:bookmarkStart w:id="2230" w:name="_Toc400391772"/>
      <w:bookmarkStart w:id="2231" w:name="_Toc400393936"/>
      <w:bookmarkStart w:id="2232" w:name="_Toc400354417"/>
      <w:bookmarkStart w:id="2233" w:name="_Toc400356682"/>
      <w:bookmarkStart w:id="2234" w:name="_Toc400358947"/>
      <w:bookmarkStart w:id="2235" w:name="_Toc400361212"/>
      <w:bookmarkStart w:id="2236" w:name="_Toc400363476"/>
      <w:bookmarkStart w:id="2237" w:name="_Toc400365707"/>
      <w:bookmarkStart w:id="2238" w:name="_Toc400367904"/>
      <w:bookmarkStart w:id="2239" w:name="_Toc400370086"/>
      <w:bookmarkStart w:id="2240" w:name="_Toc400372267"/>
      <w:bookmarkStart w:id="2241" w:name="_Toc400374447"/>
      <w:bookmarkStart w:id="2242" w:name="_Toc400376620"/>
      <w:bookmarkStart w:id="2243" w:name="_Toc400380956"/>
      <w:bookmarkStart w:id="2244" w:name="_Toc400383122"/>
      <w:bookmarkStart w:id="2245" w:name="_Toc400385288"/>
      <w:bookmarkStart w:id="2246" w:name="_Toc400387451"/>
      <w:bookmarkStart w:id="2247" w:name="_Toc400389612"/>
      <w:bookmarkStart w:id="2248" w:name="_Toc400391773"/>
      <w:bookmarkStart w:id="2249" w:name="_Toc400393937"/>
      <w:bookmarkStart w:id="2250" w:name="_Toc400354418"/>
      <w:bookmarkStart w:id="2251" w:name="_Toc400356683"/>
      <w:bookmarkStart w:id="2252" w:name="_Toc400358948"/>
      <w:bookmarkStart w:id="2253" w:name="_Toc400361213"/>
      <w:bookmarkStart w:id="2254" w:name="_Toc400363477"/>
      <w:bookmarkStart w:id="2255" w:name="_Toc400365708"/>
      <w:bookmarkStart w:id="2256" w:name="_Toc400367905"/>
      <w:bookmarkStart w:id="2257" w:name="_Toc400370087"/>
      <w:bookmarkStart w:id="2258" w:name="_Toc400372268"/>
      <w:bookmarkStart w:id="2259" w:name="_Toc400374448"/>
      <w:bookmarkStart w:id="2260" w:name="_Toc400376621"/>
      <w:bookmarkStart w:id="2261" w:name="_Toc400380957"/>
      <w:bookmarkStart w:id="2262" w:name="_Toc400383123"/>
      <w:bookmarkStart w:id="2263" w:name="_Toc400385289"/>
      <w:bookmarkStart w:id="2264" w:name="_Toc400387452"/>
      <w:bookmarkStart w:id="2265" w:name="_Toc400389613"/>
      <w:bookmarkStart w:id="2266" w:name="_Toc400391774"/>
      <w:bookmarkStart w:id="2267" w:name="_Toc400393938"/>
      <w:bookmarkStart w:id="2268" w:name="_Toc400354419"/>
      <w:bookmarkStart w:id="2269" w:name="_Toc400356684"/>
      <w:bookmarkStart w:id="2270" w:name="_Toc400358949"/>
      <w:bookmarkStart w:id="2271" w:name="_Toc400361214"/>
      <w:bookmarkStart w:id="2272" w:name="_Toc400363478"/>
      <w:bookmarkStart w:id="2273" w:name="_Toc400365709"/>
      <w:bookmarkStart w:id="2274" w:name="_Toc400367906"/>
      <w:bookmarkStart w:id="2275" w:name="_Toc400370088"/>
      <w:bookmarkStart w:id="2276" w:name="_Toc400372269"/>
      <w:bookmarkStart w:id="2277" w:name="_Toc400374449"/>
      <w:bookmarkStart w:id="2278" w:name="_Toc400376622"/>
      <w:bookmarkStart w:id="2279" w:name="_Toc400380958"/>
      <w:bookmarkStart w:id="2280" w:name="_Toc400383124"/>
      <w:bookmarkStart w:id="2281" w:name="_Toc400385290"/>
      <w:bookmarkStart w:id="2282" w:name="_Toc400387453"/>
      <w:bookmarkStart w:id="2283" w:name="_Toc400389614"/>
      <w:bookmarkStart w:id="2284" w:name="_Toc400391775"/>
      <w:bookmarkStart w:id="2285" w:name="_Toc400393939"/>
      <w:bookmarkStart w:id="2286" w:name="_Toc400354420"/>
      <w:bookmarkStart w:id="2287" w:name="_Toc400356685"/>
      <w:bookmarkStart w:id="2288" w:name="_Toc400358950"/>
      <w:bookmarkStart w:id="2289" w:name="_Toc400361215"/>
      <w:bookmarkStart w:id="2290" w:name="_Toc400363479"/>
      <w:bookmarkStart w:id="2291" w:name="_Toc400365710"/>
      <w:bookmarkStart w:id="2292" w:name="_Toc400367907"/>
      <w:bookmarkStart w:id="2293" w:name="_Toc400370089"/>
      <w:bookmarkStart w:id="2294" w:name="_Toc400372270"/>
      <w:bookmarkStart w:id="2295" w:name="_Toc400374450"/>
      <w:bookmarkStart w:id="2296" w:name="_Toc400376623"/>
      <w:bookmarkStart w:id="2297" w:name="_Toc400380959"/>
      <w:bookmarkStart w:id="2298" w:name="_Toc400383125"/>
      <w:bookmarkStart w:id="2299" w:name="_Toc400385291"/>
      <w:bookmarkStart w:id="2300" w:name="_Toc400387454"/>
      <w:bookmarkStart w:id="2301" w:name="_Toc400389615"/>
      <w:bookmarkStart w:id="2302" w:name="_Toc400391776"/>
      <w:bookmarkStart w:id="2303" w:name="_Toc400393940"/>
      <w:bookmarkStart w:id="2304" w:name="_Toc400354421"/>
      <w:bookmarkStart w:id="2305" w:name="_Toc400356686"/>
      <w:bookmarkStart w:id="2306" w:name="_Toc400358951"/>
      <w:bookmarkStart w:id="2307" w:name="_Toc400361216"/>
      <w:bookmarkStart w:id="2308" w:name="_Toc400363480"/>
      <w:bookmarkStart w:id="2309" w:name="_Toc400365711"/>
      <w:bookmarkStart w:id="2310" w:name="_Toc400367908"/>
      <w:bookmarkStart w:id="2311" w:name="_Toc400370090"/>
      <w:bookmarkStart w:id="2312" w:name="_Toc400372271"/>
      <w:bookmarkStart w:id="2313" w:name="_Toc400374451"/>
      <w:bookmarkStart w:id="2314" w:name="_Toc400376624"/>
      <w:bookmarkStart w:id="2315" w:name="_Toc400380960"/>
      <w:bookmarkStart w:id="2316" w:name="_Toc400383126"/>
      <w:bookmarkStart w:id="2317" w:name="_Toc400385292"/>
      <w:bookmarkStart w:id="2318" w:name="_Toc400387455"/>
      <w:bookmarkStart w:id="2319" w:name="_Toc400389616"/>
      <w:bookmarkStart w:id="2320" w:name="_Toc400391777"/>
      <w:bookmarkStart w:id="2321" w:name="_Toc400393941"/>
      <w:bookmarkStart w:id="2322" w:name="_Toc400354486"/>
      <w:bookmarkStart w:id="2323" w:name="_Toc400356751"/>
      <w:bookmarkStart w:id="2324" w:name="_Toc400359016"/>
      <w:bookmarkStart w:id="2325" w:name="_Toc400361281"/>
      <w:bookmarkStart w:id="2326" w:name="_Toc400363545"/>
      <w:bookmarkStart w:id="2327" w:name="_Toc400365776"/>
      <w:bookmarkStart w:id="2328" w:name="_Toc400367973"/>
      <w:bookmarkStart w:id="2329" w:name="_Toc400370155"/>
      <w:bookmarkStart w:id="2330" w:name="_Toc400372336"/>
      <w:bookmarkStart w:id="2331" w:name="_Toc400374516"/>
      <w:bookmarkStart w:id="2332" w:name="_Toc400376689"/>
      <w:bookmarkStart w:id="2333" w:name="_Toc400381025"/>
      <w:bookmarkStart w:id="2334" w:name="_Toc400383191"/>
      <w:bookmarkStart w:id="2335" w:name="_Toc400385357"/>
      <w:bookmarkStart w:id="2336" w:name="_Toc400387520"/>
      <w:bookmarkStart w:id="2337" w:name="_Toc400389681"/>
      <w:bookmarkStart w:id="2338" w:name="_Toc400391842"/>
      <w:bookmarkStart w:id="2339" w:name="_Toc400394006"/>
      <w:bookmarkStart w:id="2340" w:name="_Toc400354487"/>
      <w:bookmarkStart w:id="2341" w:name="_Toc400356752"/>
      <w:bookmarkStart w:id="2342" w:name="_Toc400359017"/>
      <w:bookmarkStart w:id="2343" w:name="_Toc400361282"/>
      <w:bookmarkStart w:id="2344" w:name="_Toc400363546"/>
      <w:bookmarkStart w:id="2345" w:name="_Toc400365777"/>
      <w:bookmarkStart w:id="2346" w:name="_Toc400367974"/>
      <w:bookmarkStart w:id="2347" w:name="_Toc400370156"/>
      <w:bookmarkStart w:id="2348" w:name="_Toc400372337"/>
      <w:bookmarkStart w:id="2349" w:name="_Toc400374517"/>
      <w:bookmarkStart w:id="2350" w:name="_Toc400376690"/>
      <w:bookmarkStart w:id="2351" w:name="_Toc400381026"/>
      <w:bookmarkStart w:id="2352" w:name="_Toc400383192"/>
      <w:bookmarkStart w:id="2353" w:name="_Toc400385358"/>
      <w:bookmarkStart w:id="2354" w:name="_Toc400387521"/>
      <w:bookmarkStart w:id="2355" w:name="_Toc400389682"/>
      <w:bookmarkStart w:id="2356" w:name="_Toc400391843"/>
      <w:bookmarkStart w:id="2357" w:name="_Toc400394007"/>
      <w:bookmarkStart w:id="2358" w:name="_Toc400354488"/>
      <w:bookmarkStart w:id="2359" w:name="_Toc400356753"/>
      <w:bookmarkStart w:id="2360" w:name="_Toc400359018"/>
      <w:bookmarkStart w:id="2361" w:name="_Toc400361283"/>
      <w:bookmarkStart w:id="2362" w:name="_Toc400363547"/>
      <w:bookmarkStart w:id="2363" w:name="_Toc400365778"/>
      <w:bookmarkStart w:id="2364" w:name="_Toc400367975"/>
      <w:bookmarkStart w:id="2365" w:name="_Toc400370157"/>
      <w:bookmarkStart w:id="2366" w:name="_Toc400372338"/>
      <w:bookmarkStart w:id="2367" w:name="_Toc400374518"/>
      <w:bookmarkStart w:id="2368" w:name="_Toc400376691"/>
      <w:bookmarkStart w:id="2369" w:name="_Toc400381027"/>
      <w:bookmarkStart w:id="2370" w:name="_Toc400383193"/>
      <w:bookmarkStart w:id="2371" w:name="_Toc400385359"/>
      <w:bookmarkStart w:id="2372" w:name="_Toc400387522"/>
      <w:bookmarkStart w:id="2373" w:name="_Toc400389683"/>
      <w:bookmarkStart w:id="2374" w:name="_Toc400391844"/>
      <w:bookmarkStart w:id="2375" w:name="_Toc400394008"/>
      <w:bookmarkStart w:id="2376" w:name="_Toc400354489"/>
      <w:bookmarkStart w:id="2377" w:name="_Toc400356754"/>
      <w:bookmarkStart w:id="2378" w:name="_Toc400359019"/>
      <w:bookmarkStart w:id="2379" w:name="_Toc400361284"/>
      <w:bookmarkStart w:id="2380" w:name="_Toc400363548"/>
      <w:bookmarkStart w:id="2381" w:name="_Toc400365779"/>
      <w:bookmarkStart w:id="2382" w:name="_Toc400367976"/>
      <w:bookmarkStart w:id="2383" w:name="_Toc400370158"/>
      <w:bookmarkStart w:id="2384" w:name="_Toc400372339"/>
      <w:bookmarkStart w:id="2385" w:name="_Toc400374519"/>
      <w:bookmarkStart w:id="2386" w:name="_Toc400376692"/>
      <w:bookmarkStart w:id="2387" w:name="_Toc400381028"/>
      <w:bookmarkStart w:id="2388" w:name="_Toc400383194"/>
      <w:bookmarkStart w:id="2389" w:name="_Toc400385360"/>
      <w:bookmarkStart w:id="2390" w:name="_Toc400387523"/>
      <w:bookmarkStart w:id="2391" w:name="_Toc400389684"/>
      <w:bookmarkStart w:id="2392" w:name="_Toc400391845"/>
      <w:bookmarkStart w:id="2393" w:name="_Toc400394009"/>
      <w:bookmarkStart w:id="2394" w:name="_Toc400354490"/>
      <w:bookmarkStart w:id="2395" w:name="_Toc400356755"/>
      <w:bookmarkStart w:id="2396" w:name="_Toc400359020"/>
      <w:bookmarkStart w:id="2397" w:name="_Toc400361285"/>
      <w:bookmarkStart w:id="2398" w:name="_Toc400363549"/>
      <w:bookmarkStart w:id="2399" w:name="_Toc400365780"/>
      <w:bookmarkStart w:id="2400" w:name="_Toc400367977"/>
      <w:bookmarkStart w:id="2401" w:name="_Toc400370159"/>
      <w:bookmarkStart w:id="2402" w:name="_Toc400372340"/>
      <w:bookmarkStart w:id="2403" w:name="_Toc400374520"/>
      <w:bookmarkStart w:id="2404" w:name="_Toc400376693"/>
      <w:bookmarkStart w:id="2405" w:name="_Toc400381029"/>
      <w:bookmarkStart w:id="2406" w:name="_Toc400383195"/>
      <w:bookmarkStart w:id="2407" w:name="_Toc400385361"/>
      <w:bookmarkStart w:id="2408" w:name="_Toc400387524"/>
      <w:bookmarkStart w:id="2409" w:name="_Toc400389685"/>
      <w:bookmarkStart w:id="2410" w:name="_Toc400391846"/>
      <w:bookmarkStart w:id="2411" w:name="_Toc400394010"/>
      <w:bookmarkStart w:id="2412" w:name="_Toc400354491"/>
      <w:bookmarkStart w:id="2413" w:name="_Toc400356756"/>
      <w:bookmarkStart w:id="2414" w:name="_Toc400359021"/>
      <w:bookmarkStart w:id="2415" w:name="_Toc400361286"/>
      <w:bookmarkStart w:id="2416" w:name="_Toc400363550"/>
      <w:bookmarkStart w:id="2417" w:name="_Toc400365781"/>
      <w:bookmarkStart w:id="2418" w:name="_Toc400367978"/>
      <w:bookmarkStart w:id="2419" w:name="_Toc400370160"/>
      <w:bookmarkStart w:id="2420" w:name="_Toc400372341"/>
      <w:bookmarkStart w:id="2421" w:name="_Toc400374521"/>
      <w:bookmarkStart w:id="2422" w:name="_Toc400376694"/>
      <w:bookmarkStart w:id="2423" w:name="_Toc400381030"/>
      <w:bookmarkStart w:id="2424" w:name="_Toc400383196"/>
      <w:bookmarkStart w:id="2425" w:name="_Toc400385362"/>
      <w:bookmarkStart w:id="2426" w:name="_Toc400387525"/>
      <w:bookmarkStart w:id="2427" w:name="_Toc400389686"/>
      <w:bookmarkStart w:id="2428" w:name="_Toc400391847"/>
      <w:bookmarkStart w:id="2429" w:name="_Toc400394011"/>
      <w:bookmarkStart w:id="2430" w:name="_Toc400354492"/>
      <w:bookmarkStart w:id="2431" w:name="_Toc400356757"/>
      <w:bookmarkStart w:id="2432" w:name="_Toc400359022"/>
      <w:bookmarkStart w:id="2433" w:name="_Toc400361287"/>
      <w:bookmarkStart w:id="2434" w:name="_Toc400363551"/>
      <w:bookmarkStart w:id="2435" w:name="_Toc400365782"/>
      <w:bookmarkStart w:id="2436" w:name="_Toc400367979"/>
      <w:bookmarkStart w:id="2437" w:name="_Toc400370161"/>
      <w:bookmarkStart w:id="2438" w:name="_Toc400372342"/>
      <w:bookmarkStart w:id="2439" w:name="_Toc400374522"/>
      <w:bookmarkStart w:id="2440" w:name="_Toc400376695"/>
      <w:bookmarkStart w:id="2441" w:name="_Toc400381031"/>
      <w:bookmarkStart w:id="2442" w:name="_Toc400383197"/>
      <w:bookmarkStart w:id="2443" w:name="_Toc400385363"/>
      <w:bookmarkStart w:id="2444" w:name="_Toc400387526"/>
      <w:bookmarkStart w:id="2445" w:name="_Toc400389687"/>
      <w:bookmarkStart w:id="2446" w:name="_Toc400391848"/>
      <w:bookmarkStart w:id="2447" w:name="_Toc400394012"/>
      <w:bookmarkStart w:id="2448" w:name="_Toc400354510"/>
      <w:bookmarkStart w:id="2449" w:name="_Toc400356775"/>
      <w:bookmarkStart w:id="2450" w:name="_Toc400359040"/>
      <w:bookmarkStart w:id="2451" w:name="_Toc400361305"/>
      <w:bookmarkStart w:id="2452" w:name="_Toc400363569"/>
      <w:bookmarkStart w:id="2453" w:name="_Toc400365800"/>
      <w:bookmarkStart w:id="2454" w:name="_Toc400367997"/>
      <w:bookmarkStart w:id="2455" w:name="_Toc400370179"/>
      <w:bookmarkStart w:id="2456" w:name="_Toc400372360"/>
      <w:bookmarkStart w:id="2457" w:name="_Toc400374540"/>
      <w:bookmarkStart w:id="2458" w:name="_Toc400376713"/>
      <w:bookmarkStart w:id="2459" w:name="_Toc400381049"/>
      <w:bookmarkStart w:id="2460" w:name="_Toc400383215"/>
      <w:bookmarkStart w:id="2461" w:name="_Toc400385381"/>
      <w:bookmarkStart w:id="2462" w:name="_Toc400387544"/>
      <w:bookmarkStart w:id="2463" w:name="_Toc400389705"/>
      <w:bookmarkStart w:id="2464" w:name="_Toc400391866"/>
      <w:bookmarkStart w:id="2465" w:name="_Toc400394030"/>
      <w:bookmarkStart w:id="2466" w:name="_Toc400354528"/>
      <w:bookmarkStart w:id="2467" w:name="_Toc400356793"/>
      <w:bookmarkStart w:id="2468" w:name="_Toc400359058"/>
      <w:bookmarkStart w:id="2469" w:name="_Toc400361323"/>
      <w:bookmarkStart w:id="2470" w:name="_Toc400363587"/>
      <w:bookmarkStart w:id="2471" w:name="_Toc400365818"/>
      <w:bookmarkStart w:id="2472" w:name="_Toc400368015"/>
      <w:bookmarkStart w:id="2473" w:name="_Toc400370197"/>
      <w:bookmarkStart w:id="2474" w:name="_Toc400372378"/>
      <w:bookmarkStart w:id="2475" w:name="_Toc400374558"/>
      <w:bookmarkStart w:id="2476" w:name="_Toc400376731"/>
      <w:bookmarkStart w:id="2477" w:name="_Toc400381067"/>
      <w:bookmarkStart w:id="2478" w:name="_Toc400383233"/>
      <w:bookmarkStart w:id="2479" w:name="_Toc400385399"/>
      <w:bookmarkStart w:id="2480" w:name="_Toc400387562"/>
      <w:bookmarkStart w:id="2481" w:name="_Toc400389723"/>
      <w:bookmarkStart w:id="2482" w:name="_Toc400391884"/>
      <w:bookmarkStart w:id="2483" w:name="_Toc400394048"/>
      <w:bookmarkStart w:id="2484" w:name="_Toc400354537"/>
      <w:bookmarkStart w:id="2485" w:name="_Toc400356802"/>
      <w:bookmarkStart w:id="2486" w:name="_Toc400359067"/>
      <w:bookmarkStart w:id="2487" w:name="_Toc400361332"/>
      <w:bookmarkStart w:id="2488" w:name="_Toc400363596"/>
      <w:bookmarkStart w:id="2489" w:name="_Toc400365827"/>
      <w:bookmarkStart w:id="2490" w:name="_Toc400368024"/>
      <w:bookmarkStart w:id="2491" w:name="_Toc400370206"/>
      <w:bookmarkStart w:id="2492" w:name="_Toc400372387"/>
      <w:bookmarkStart w:id="2493" w:name="_Toc400374567"/>
      <w:bookmarkStart w:id="2494" w:name="_Toc400376740"/>
      <w:bookmarkStart w:id="2495" w:name="_Toc400381076"/>
      <w:bookmarkStart w:id="2496" w:name="_Toc400383242"/>
      <w:bookmarkStart w:id="2497" w:name="_Toc400385408"/>
      <w:bookmarkStart w:id="2498" w:name="_Toc400387571"/>
      <w:bookmarkStart w:id="2499" w:name="_Toc400389732"/>
      <w:bookmarkStart w:id="2500" w:name="_Toc400391893"/>
      <w:bookmarkStart w:id="2501" w:name="_Toc400394057"/>
      <w:bookmarkStart w:id="2502" w:name="_Toc400354538"/>
      <w:bookmarkStart w:id="2503" w:name="_Toc400356803"/>
      <w:bookmarkStart w:id="2504" w:name="_Toc400359068"/>
      <w:bookmarkStart w:id="2505" w:name="_Toc400361333"/>
      <w:bookmarkStart w:id="2506" w:name="_Toc400363597"/>
      <w:bookmarkStart w:id="2507" w:name="_Toc400365828"/>
      <w:bookmarkStart w:id="2508" w:name="_Toc400368025"/>
      <w:bookmarkStart w:id="2509" w:name="_Toc400370207"/>
      <w:bookmarkStart w:id="2510" w:name="_Toc400372388"/>
      <w:bookmarkStart w:id="2511" w:name="_Toc400374568"/>
      <w:bookmarkStart w:id="2512" w:name="_Toc400376741"/>
      <w:bookmarkStart w:id="2513" w:name="_Toc400381077"/>
      <w:bookmarkStart w:id="2514" w:name="_Toc400383243"/>
      <w:bookmarkStart w:id="2515" w:name="_Toc400385409"/>
      <w:bookmarkStart w:id="2516" w:name="_Toc400387572"/>
      <w:bookmarkStart w:id="2517" w:name="_Toc400389733"/>
      <w:bookmarkStart w:id="2518" w:name="_Toc400391894"/>
      <w:bookmarkStart w:id="2519" w:name="_Toc400394058"/>
      <w:bookmarkStart w:id="2520" w:name="_Toc400354539"/>
      <w:bookmarkStart w:id="2521" w:name="_Toc400356804"/>
      <w:bookmarkStart w:id="2522" w:name="_Toc400359069"/>
      <w:bookmarkStart w:id="2523" w:name="_Toc400361334"/>
      <w:bookmarkStart w:id="2524" w:name="_Toc400363598"/>
      <w:bookmarkStart w:id="2525" w:name="_Toc400365829"/>
      <w:bookmarkStart w:id="2526" w:name="_Toc400368026"/>
      <w:bookmarkStart w:id="2527" w:name="_Toc400370208"/>
      <w:bookmarkStart w:id="2528" w:name="_Toc400372389"/>
      <w:bookmarkStart w:id="2529" w:name="_Toc400374569"/>
      <w:bookmarkStart w:id="2530" w:name="_Toc400376742"/>
      <w:bookmarkStart w:id="2531" w:name="_Toc400381078"/>
      <w:bookmarkStart w:id="2532" w:name="_Toc400383244"/>
      <w:bookmarkStart w:id="2533" w:name="_Toc400385410"/>
      <w:bookmarkStart w:id="2534" w:name="_Toc400387573"/>
      <w:bookmarkStart w:id="2535" w:name="_Toc400389734"/>
      <w:bookmarkStart w:id="2536" w:name="_Toc400391895"/>
      <w:bookmarkStart w:id="2537" w:name="_Toc400394059"/>
      <w:bookmarkStart w:id="2538" w:name="_Toc400354540"/>
      <w:bookmarkStart w:id="2539" w:name="_Toc400356805"/>
      <w:bookmarkStart w:id="2540" w:name="_Toc400359070"/>
      <w:bookmarkStart w:id="2541" w:name="_Toc400361335"/>
      <w:bookmarkStart w:id="2542" w:name="_Toc400363599"/>
      <w:bookmarkStart w:id="2543" w:name="_Toc400365830"/>
      <w:bookmarkStart w:id="2544" w:name="_Toc400368027"/>
      <w:bookmarkStart w:id="2545" w:name="_Toc400370209"/>
      <w:bookmarkStart w:id="2546" w:name="_Toc400372390"/>
      <w:bookmarkStart w:id="2547" w:name="_Toc400374570"/>
      <w:bookmarkStart w:id="2548" w:name="_Toc400376743"/>
      <w:bookmarkStart w:id="2549" w:name="_Toc400381079"/>
      <w:bookmarkStart w:id="2550" w:name="_Toc400383245"/>
      <w:bookmarkStart w:id="2551" w:name="_Toc400385411"/>
      <w:bookmarkStart w:id="2552" w:name="_Toc400387574"/>
      <w:bookmarkStart w:id="2553" w:name="_Toc400389735"/>
      <w:bookmarkStart w:id="2554" w:name="_Toc400391896"/>
      <w:bookmarkStart w:id="2555" w:name="_Toc400394060"/>
      <w:bookmarkStart w:id="2556" w:name="_Toc400354541"/>
      <w:bookmarkStart w:id="2557" w:name="_Toc400356806"/>
      <w:bookmarkStart w:id="2558" w:name="_Toc400359071"/>
      <w:bookmarkStart w:id="2559" w:name="_Toc400361336"/>
      <w:bookmarkStart w:id="2560" w:name="_Toc400363600"/>
      <w:bookmarkStart w:id="2561" w:name="_Toc400365831"/>
      <w:bookmarkStart w:id="2562" w:name="_Toc400368028"/>
      <w:bookmarkStart w:id="2563" w:name="_Toc400370210"/>
      <w:bookmarkStart w:id="2564" w:name="_Toc400372391"/>
      <w:bookmarkStart w:id="2565" w:name="_Toc400374571"/>
      <w:bookmarkStart w:id="2566" w:name="_Toc400376744"/>
      <w:bookmarkStart w:id="2567" w:name="_Toc400381080"/>
      <w:bookmarkStart w:id="2568" w:name="_Toc400383246"/>
      <w:bookmarkStart w:id="2569" w:name="_Toc400385412"/>
      <w:bookmarkStart w:id="2570" w:name="_Toc400387575"/>
      <w:bookmarkStart w:id="2571" w:name="_Toc400389736"/>
      <w:bookmarkStart w:id="2572" w:name="_Toc400391897"/>
      <w:bookmarkStart w:id="2573" w:name="_Toc400394061"/>
      <w:bookmarkStart w:id="2574" w:name="_Toc400354542"/>
      <w:bookmarkStart w:id="2575" w:name="_Toc400356807"/>
      <w:bookmarkStart w:id="2576" w:name="_Toc400359072"/>
      <w:bookmarkStart w:id="2577" w:name="_Toc400361337"/>
      <w:bookmarkStart w:id="2578" w:name="_Toc400363601"/>
      <w:bookmarkStart w:id="2579" w:name="_Toc400365832"/>
      <w:bookmarkStart w:id="2580" w:name="_Toc400368029"/>
      <w:bookmarkStart w:id="2581" w:name="_Toc400370211"/>
      <w:bookmarkStart w:id="2582" w:name="_Toc400372392"/>
      <w:bookmarkStart w:id="2583" w:name="_Toc400374572"/>
      <w:bookmarkStart w:id="2584" w:name="_Toc400376745"/>
      <w:bookmarkStart w:id="2585" w:name="_Toc400381081"/>
      <w:bookmarkStart w:id="2586" w:name="_Toc400383247"/>
      <w:bookmarkStart w:id="2587" w:name="_Toc400385413"/>
      <w:bookmarkStart w:id="2588" w:name="_Toc400387576"/>
      <w:bookmarkStart w:id="2589" w:name="_Toc400389737"/>
      <w:bookmarkStart w:id="2590" w:name="_Toc400391898"/>
      <w:bookmarkStart w:id="2591" w:name="_Toc400394062"/>
      <w:bookmarkStart w:id="2592" w:name="_Toc400354546"/>
      <w:bookmarkStart w:id="2593" w:name="_Toc400356811"/>
      <w:bookmarkStart w:id="2594" w:name="_Toc400359076"/>
      <w:bookmarkStart w:id="2595" w:name="_Toc400361341"/>
      <w:bookmarkStart w:id="2596" w:name="_Toc400363605"/>
      <w:bookmarkStart w:id="2597" w:name="_Toc400365836"/>
      <w:bookmarkStart w:id="2598" w:name="_Toc400368033"/>
      <w:bookmarkStart w:id="2599" w:name="_Toc400370215"/>
      <w:bookmarkStart w:id="2600" w:name="_Toc400372396"/>
      <w:bookmarkStart w:id="2601" w:name="_Toc400374576"/>
      <w:bookmarkStart w:id="2602" w:name="_Toc400376749"/>
      <w:bookmarkStart w:id="2603" w:name="_Toc400381085"/>
      <w:bookmarkStart w:id="2604" w:name="_Toc400383251"/>
      <w:bookmarkStart w:id="2605" w:name="_Toc400385417"/>
      <w:bookmarkStart w:id="2606" w:name="_Toc400387580"/>
      <w:bookmarkStart w:id="2607" w:name="_Toc400389741"/>
      <w:bookmarkStart w:id="2608" w:name="_Toc400391902"/>
      <w:bookmarkStart w:id="2609" w:name="_Toc400394066"/>
      <w:bookmarkStart w:id="2610" w:name="_Toc400354547"/>
      <w:bookmarkStart w:id="2611" w:name="_Toc400356812"/>
      <w:bookmarkStart w:id="2612" w:name="_Toc400359077"/>
      <w:bookmarkStart w:id="2613" w:name="_Toc400361342"/>
      <w:bookmarkStart w:id="2614" w:name="_Toc400363606"/>
      <w:bookmarkStart w:id="2615" w:name="_Toc400365837"/>
      <w:bookmarkStart w:id="2616" w:name="_Toc400368034"/>
      <w:bookmarkStart w:id="2617" w:name="_Toc400370216"/>
      <w:bookmarkStart w:id="2618" w:name="_Toc400372397"/>
      <w:bookmarkStart w:id="2619" w:name="_Toc400374577"/>
      <w:bookmarkStart w:id="2620" w:name="_Toc400376750"/>
      <w:bookmarkStart w:id="2621" w:name="_Toc400381086"/>
      <w:bookmarkStart w:id="2622" w:name="_Toc400383252"/>
      <w:bookmarkStart w:id="2623" w:name="_Toc400385418"/>
      <w:bookmarkStart w:id="2624" w:name="_Toc400387581"/>
      <w:bookmarkStart w:id="2625" w:name="_Toc400389742"/>
      <w:bookmarkStart w:id="2626" w:name="_Toc400391903"/>
      <w:bookmarkStart w:id="2627" w:name="_Toc400394067"/>
      <w:bookmarkStart w:id="2628" w:name="_Toc400354548"/>
      <w:bookmarkStart w:id="2629" w:name="_Toc400356813"/>
      <w:bookmarkStart w:id="2630" w:name="_Toc400359078"/>
      <w:bookmarkStart w:id="2631" w:name="_Toc400361343"/>
      <w:bookmarkStart w:id="2632" w:name="_Toc400363607"/>
      <w:bookmarkStart w:id="2633" w:name="_Toc400365838"/>
      <w:bookmarkStart w:id="2634" w:name="_Toc400368035"/>
      <w:bookmarkStart w:id="2635" w:name="_Toc400370217"/>
      <w:bookmarkStart w:id="2636" w:name="_Toc400372398"/>
      <w:bookmarkStart w:id="2637" w:name="_Toc400374578"/>
      <w:bookmarkStart w:id="2638" w:name="_Toc400376751"/>
      <w:bookmarkStart w:id="2639" w:name="_Toc400381087"/>
      <w:bookmarkStart w:id="2640" w:name="_Toc400383253"/>
      <w:bookmarkStart w:id="2641" w:name="_Toc400385419"/>
      <w:bookmarkStart w:id="2642" w:name="_Toc400387582"/>
      <w:bookmarkStart w:id="2643" w:name="_Toc400389743"/>
      <w:bookmarkStart w:id="2644" w:name="_Toc400391904"/>
      <w:bookmarkStart w:id="2645" w:name="_Toc400394068"/>
      <w:bookmarkStart w:id="2646" w:name="_Toc400354549"/>
      <w:bookmarkStart w:id="2647" w:name="_Toc400356814"/>
      <w:bookmarkStart w:id="2648" w:name="_Toc400359079"/>
      <w:bookmarkStart w:id="2649" w:name="_Toc400361344"/>
      <w:bookmarkStart w:id="2650" w:name="_Toc400363608"/>
      <w:bookmarkStart w:id="2651" w:name="_Toc400365839"/>
      <w:bookmarkStart w:id="2652" w:name="_Toc400368036"/>
      <w:bookmarkStart w:id="2653" w:name="_Toc400370218"/>
      <w:bookmarkStart w:id="2654" w:name="_Toc400372399"/>
      <w:bookmarkStart w:id="2655" w:name="_Toc400374579"/>
      <w:bookmarkStart w:id="2656" w:name="_Toc400376752"/>
      <w:bookmarkStart w:id="2657" w:name="_Toc400381088"/>
      <w:bookmarkStart w:id="2658" w:name="_Toc400383254"/>
      <w:bookmarkStart w:id="2659" w:name="_Toc400385420"/>
      <w:bookmarkStart w:id="2660" w:name="_Toc400387583"/>
      <w:bookmarkStart w:id="2661" w:name="_Toc400389744"/>
      <w:bookmarkStart w:id="2662" w:name="_Toc400391905"/>
      <w:bookmarkStart w:id="2663" w:name="_Toc400394069"/>
      <w:bookmarkStart w:id="2664" w:name="_Toc400354550"/>
      <w:bookmarkStart w:id="2665" w:name="_Toc400356815"/>
      <w:bookmarkStart w:id="2666" w:name="_Toc400359080"/>
      <w:bookmarkStart w:id="2667" w:name="_Toc400361345"/>
      <w:bookmarkStart w:id="2668" w:name="_Toc400363609"/>
      <w:bookmarkStart w:id="2669" w:name="_Toc400365840"/>
      <w:bookmarkStart w:id="2670" w:name="_Toc400368037"/>
      <w:bookmarkStart w:id="2671" w:name="_Toc400370219"/>
      <w:bookmarkStart w:id="2672" w:name="_Toc400372400"/>
      <w:bookmarkStart w:id="2673" w:name="_Toc400374580"/>
      <w:bookmarkStart w:id="2674" w:name="_Toc400376753"/>
      <w:bookmarkStart w:id="2675" w:name="_Toc400381089"/>
      <w:bookmarkStart w:id="2676" w:name="_Toc400383255"/>
      <w:bookmarkStart w:id="2677" w:name="_Toc400385421"/>
      <w:bookmarkStart w:id="2678" w:name="_Toc400387584"/>
      <w:bookmarkStart w:id="2679" w:name="_Toc400389745"/>
      <w:bookmarkStart w:id="2680" w:name="_Toc400391906"/>
      <w:bookmarkStart w:id="2681" w:name="_Toc400394070"/>
      <w:bookmarkStart w:id="2682" w:name="_Toc400354551"/>
      <w:bookmarkStart w:id="2683" w:name="_Toc400356816"/>
      <w:bookmarkStart w:id="2684" w:name="_Toc400359081"/>
      <w:bookmarkStart w:id="2685" w:name="_Toc400361346"/>
      <w:bookmarkStart w:id="2686" w:name="_Toc400363610"/>
      <w:bookmarkStart w:id="2687" w:name="_Toc400365841"/>
      <w:bookmarkStart w:id="2688" w:name="_Toc400368038"/>
      <w:bookmarkStart w:id="2689" w:name="_Toc400370220"/>
      <w:bookmarkStart w:id="2690" w:name="_Toc400372401"/>
      <w:bookmarkStart w:id="2691" w:name="_Toc400374581"/>
      <w:bookmarkStart w:id="2692" w:name="_Toc400376754"/>
      <w:bookmarkStart w:id="2693" w:name="_Toc400381090"/>
      <w:bookmarkStart w:id="2694" w:name="_Toc400383256"/>
      <w:bookmarkStart w:id="2695" w:name="_Toc400385422"/>
      <w:bookmarkStart w:id="2696" w:name="_Toc400387585"/>
      <w:bookmarkStart w:id="2697" w:name="_Toc400389746"/>
      <w:bookmarkStart w:id="2698" w:name="_Toc400391907"/>
      <w:bookmarkStart w:id="2699" w:name="_Toc400394071"/>
      <w:bookmarkStart w:id="2700" w:name="_Toc400354552"/>
      <w:bookmarkStart w:id="2701" w:name="_Toc400356817"/>
      <w:bookmarkStart w:id="2702" w:name="_Toc400359082"/>
      <w:bookmarkStart w:id="2703" w:name="_Toc400361347"/>
      <w:bookmarkStart w:id="2704" w:name="_Toc400363611"/>
      <w:bookmarkStart w:id="2705" w:name="_Toc400365842"/>
      <w:bookmarkStart w:id="2706" w:name="_Toc400368039"/>
      <w:bookmarkStart w:id="2707" w:name="_Toc400370221"/>
      <w:bookmarkStart w:id="2708" w:name="_Toc400372402"/>
      <w:bookmarkStart w:id="2709" w:name="_Toc400374582"/>
      <w:bookmarkStart w:id="2710" w:name="_Toc400376755"/>
      <w:bookmarkStart w:id="2711" w:name="_Toc400381091"/>
      <w:bookmarkStart w:id="2712" w:name="_Toc400383257"/>
      <w:bookmarkStart w:id="2713" w:name="_Toc400385423"/>
      <w:bookmarkStart w:id="2714" w:name="_Toc400387586"/>
      <w:bookmarkStart w:id="2715" w:name="_Toc400389747"/>
      <w:bookmarkStart w:id="2716" w:name="_Toc400391908"/>
      <w:bookmarkStart w:id="2717" w:name="_Toc400394072"/>
      <w:bookmarkStart w:id="2718" w:name="_Toc400354553"/>
      <w:bookmarkStart w:id="2719" w:name="_Toc400356818"/>
      <w:bookmarkStart w:id="2720" w:name="_Toc400359083"/>
      <w:bookmarkStart w:id="2721" w:name="_Toc400361348"/>
      <w:bookmarkStart w:id="2722" w:name="_Toc400363612"/>
      <w:bookmarkStart w:id="2723" w:name="_Toc400365843"/>
      <w:bookmarkStart w:id="2724" w:name="_Toc400368040"/>
      <w:bookmarkStart w:id="2725" w:name="_Toc400370222"/>
      <w:bookmarkStart w:id="2726" w:name="_Toc400372403"/>
      <w:bookmarkStart w:id="2727" w:name="_Toc400374583"/>
      <w:bookmarkStart w:id="2728" w:name="_Toc400376756"/>
      <w:bookmarkStart w:id="2729" w:name="_Toc400381092"/>
      <w:bookmarkStart w:id="2730" w:name="_Toc400383258"/>
      <w:bookmarkStart w:id="2731" w:name="_Toc400385424"/>
      <w:bookmarkStart w:id="2732" w:name="_Toc400387587"/>
      <w:bookmarkStart w:id="2733" w:name="_Toc400389748"/>
      <w:bookmarkStart w:id="2734" w:name="_Toc400391909"/>
      <w:bookmarkStart w:id="2735" w:name="_Toc400394073"/>
      <w:bookmarkStart w:id="2736" w:name="_Toc400354554"/>
      <w:bookmarkStart w:id="2737" w:name="_Toc400356819"/>
      <w:bookmarkStart w:id="2738" w:name="_Toc400359084"/>
      <w:bookmarkStart w:id="2739" w:name="_Toc400361349"/>
      <w:bookmarkStart w:id="2740" w:name="_Toc400363613"/>
      <w:bookmarkStart w:id="2741" w:name="_Toc400365844"/>
      <w:bookmarkStart w:id="2742" w:name="_Toc400368041"/>
      <w:bookmarkStart w:id="2743" w:name="_Toc400370223"/>
      <w:bookmarkStart w:id="2744" w:name="_Toc400372404"/>
      <w:bookmarkStart w:id="2745" w:name="_Toc400374584"/>
      <w:bookmarkStart w:id="2746" w:name="_Toc400376757"/>
      <w:bookmarkStart w:id="2747" w:name="_Toc400381093"/>
      <w:bookmarkStart w:id="2748" w:name="_Toc400383259"/>
      <w:bookmarkStart w:id="2749" w:name="_Toc400385425"/>
      <w:bookmarkStart w:id="2750" w:name="_Toc400387588"/>
      <w:bookmarkStart w:id="2751" w:name="_Toc400389749"/>
      <w:bookmarkStart w:id="2752" w:name="_Toc400391910"/>
      <w:bookmarkStart w:id="2753" w:name="_Toc400394074"/>
      <w:bookmarkStart w:id="2754" w:name="_Toc400354555"/>
      <w:bookmarkStart w:id="2755" w:name="_Toc400356820"/>
      <w:bookmarkStart w:id="2756" w:name="_Toc400359085"/>
      <w:bookmarkStart w:id="2757" w:name="_Toc400361350"/>
      <w:bookmarkStart w:id="2758" w:name="_Toc400363614"/>
      <w:bookmarkStart w:id="2759" w:name="_Toc400365845"/>
      <w:bookmarkStart w:id="2760" w:name="_Toc400368042"/>
      <w:bookmarkStart w:id="2761" w:name="_Toc400370224"/>
      <w:bookmarkStart w:id="2762" w:name="_Toc400372405"/>
      <w:bookmarkStart w:id="2763" w:name="_Toc400374585"/>
      <w:bookmarkStart w:id="2764" w:name="_Toc400376758"/>
      <w:bookmarkStart w:id="2765" w:name="_Toc400381094"/>
      <w:bookmarkStart w:id="2766" w:name="_Toc400383260"/>
      <w:bookmarkStart w:id="2767" w:name="_Toc400385426"/>
      <w:bookmarkStart w:id="2768" w:name="_Toc400387589"/>
      <w:bookmarkStart w:id="2769" w:name="_Toc400389750"/>
      <w:bookmarkStart w:id="2770" w:name="_Toc400391911"/>
      <w:bookmarkStart w:id="2771" w:name="_Toc400394075"/>
      <w:bookmarkStart w:id="2772" w:name="_Toc400354556"/>
      <w:bookmarkStart w:id="2773" w:name="_Toc400356821"/>
      <w:bookmarkStart w:id="2774" w:name="_Toc400359086"/>
      <w:bookmarkStart w:id="2775" w:name="_Toc400361351"/>
      <w:bookmarkStart w:id="2776" w:name="_Toc400363615"/>
      <w:bookmarkStart w:id="2777" w:name="_Toc400365846"/>
      <w:bookmarkStart w:id="2778" w:name="_Toc400368043"/>
      <w:bookmarkStart w:id="2779" w:name="_Toc400370225"/>
      <w:bookmarkStart w:id="2780" w:name="_Toc400372406"/>
      <w:bookmarkStart w:id="2781" w:name="_Toc400374586"/>
      <w:bookmarkStart w:id="2782" w:name="_Toc400376759"/>
      <w:bookmarkStart w:id="2783" w:name="_Toc400381095"/>
      <w:bookmarkStart w:id="2784" w:name="_Toc400383261"/>
      <w:bookmarkStart w:id="2785" w:name="_Toc400385427"/>
      <w:bookmarkStart w:id="2786" w:name="_Toc400387590"/>
      <w:bookmarkStart w:id="2787" w:name="_Toc400389751"/>
      <w:bookmarkStart w:id="2788" w:name="_Toc400391912"/>
      <w:bookmarkStart w:id="2789" w:name="_Toc400394076"/>
      <w:bookmarkStart w:id="2790" w:name="_Toc400354557"/>
      <w:bookmarkStart w:id="2791" w:name="_Toc400356822"/>
      <w:bookmarkStart w:id="2792" w:name="_Toc400359087"/>
      <w:bookmarkStart w:id="2793" w:name="_Toc400361352"/>
      <w:bookmarkStart w:id="2794" w:name="_Toc400363616"/>
      <w:bookmarkStart w:id="2795" w:name="_Toc400365847"/>
      <w:bookmarkStart w:id="2796" w:name="_Toc400368044"/>
      <w:bookmarkStart w:id="2797" w:name="_Toc400370226"/>
      <w:bookmarkStart w:id="2798" w:name="_Toc400372407"/>
      <w:bookmarkStart w:id="2799" w:name="_Toc400374587"/>
      <w:bookmarkStart w:id="2800" w:name="_Toc400376760"/>
      <w:bookmarkStart w:id="2801" w:name="_Toc400381096"/>
      <w:bookmarkStart w:id="2802" w:name="_Toc400383262"/>
      <w:bookmarkStart w:id="2803" w:name="_Toc400385428"/>
      <w:bookmarkStart w:id="2804" w:name="_Toc400387591"/>
      <w:bookmarkStart w:id="2805" w:name="_Toc400389752"/>
      <w:bookmarkStart w:id="2806" w:name="_Toc400391913"/>
      <w:bookmarkStart w:id="2807" w:name="_Toc400394077"/>
      <w:bookmarkStart w:id="2808" w:name="_Toc400354558"/>
      <w:bookmarkStart w:id="2809" w:name="_Toc400356823"/>
      <w:bookmarkStart w:id="2810" w:name="_Toc400359088"/>
      <w:bookmarkStart w:id="2811" w:name="_Toc400361353"/>
      <w:bookmarkStart w:id="2812" w:name="_Toc400363617"/>
      <w:bookmarkStart w:id="2813" w:name="_Toc400365848"/>
      <w:bookmarkStart w:id="2814" w:name="_Toc400368045"/>
      <w:bookmarkStart w:id="2815" w:name="_Toc400370227"/>
      <w:bookmarkStart w:id="2816" w:name="_Toc400372408"/>
      <w:bookmarkStart w:id="2817" w:name="_Toc400374588"/>
      <w:bookmarkStart w:id="2818" w:name="_Toc400376761"/>
      <w:bookmarkStart w:id="2819" w:name="_Toc400381097"/>
      <w:bookmarkStart w:id="2820" w:name="_Toc400383263"/>
      <w:bookmarkStart w:id="2821" w:name="_Toc400385429"/>
      <w:bookmarkStart w:id="2822" w:name="_Toc400387592"/>
      <w:bookmarkStart w:id="2823" w:name="_Toc400389753"/>
      <w:bookmarkStart w:id="2824" w:name="_Toc400391914"/>
      <w:bookmarkStart w:id="2825" w:name="_Toc400394078"/>
      <w:bookmarkStart w:id="2826" w:name="_Toc400354559"/>
      <w:bookmarkStart w:id="2827" w:name="_Toc400356824"/>
      <w:bookmarkStart w:id="2828" w:name="_Toc400359089"/>
      <w:bookmarkStart w:id="2829" w:name="_Toc400361354"/>
      <w:bookmarkStart w:id="2830" w:name="_Toc400363618"/>
      <w:bookmarkStart w:id="2831" w:name="_Toc400365849"/>
      <w:bookmarkStart w:id="2832" w:name="_Toc400368046"/>
      <w:bookmarkStart w:id="2833" w:name="_Toc400370228"/>
      <w:bookmarkStart w:id="2834" w:name="_Toc400372409"/>
      <w:bookmarkStart w:id="2835" w:name="_Toc400374589"/>
      <w:bookmarkStart w:id="2836" w:name="_Toc400376762"/>
      <w:bookmarkStart w:id="2837" w:name="_Toc400381098"/>
      <w:bookmarkStart w:id="2838" w:name="_Toc400383264"/>
      <w:bookmarkStart w:id="2839" w:name="_Toc400385430"/>
      <w:bookmarkStart w:id="2840" w:name="_Toc400387593"/>
      <w:bookmarkStart w:id="2841" w:name="_Toc400389754"/>
      <w:bookmarkStart w:id="2842" w:name="_Toc400391915"/>
      <w:bookmarkStart w:id="2843" w:name="_Toc400394079"/>
      <w:bookmarkStart w:id="2844" w:name="_Toc400354560"/>
      <w:bookmarkStart w:id="2845" w:name="_Toc400356825"/>
      <w:bookmarkStart w:id="2846" w:name="_Toc400359090"/>
      <w:bookmarkStart w:id="2847" w:name="_Toc400361355"/>
      <w:bookmarkStart w:id="2848" w:name="_Toc400363619"/>
      <w:bookmarkStart w:id="2849" w:name="_Toc400365850"/>
      <w:bookmarkStart w:id="2850" w:name="_Toc400368047"/>
      <w:bookmarkStart w:id="2851" w:name="_Toc400370229"/>
      <w:bookmarkStart w:id="2852" w:name="_Toc400372410"/>
      <w:bookmarkStart w:id="2853" w:name="_Toc400374590"/>
      <w:bookmarkStart w:id="2854" w:name="_Toc400376763"/>
      <w:bookmarkStart w:id="2855" w:name="_Toc400381099"/>
      <w:bookmarkStart w:id="2856" w:name="_Toc400383265"/>
      <w:bookmarkStart w:id="2857" w:name="_Toc400385431"/>
      <w:bookmarkStart w:id="2858" w:name="_Toc400387594"/>
      <w:bookmarkStart w:id="2859" w:name="_Toc400389755"/>
      <w:bookmarkStart w:id="2860" w:name="_Toc400391916"/>
      <w:bookmarkStart w:id="2861" w:name="_Toc400394080"/>
      <w:bookmarkStart w:id="2862" w:name="_Toc400354561"/>
      <w:bookmarkStart w:id="2863" w:name="_Toc400356826"/>
      <w:bookmarkStart w:id="2864" w:name="_Toc400359091"/>
      <w:bookmarkStart w:id="2865" w:name="_Toc400361356"/>
      <w:bookmarkStart w:id="2866" w:name="_Toc400363620"/>
      <w:bookmarkStart w:id="2867" w:name="_Toc400365851"/>
      <w:bookmarkStart w:id="2868" w:name="_Toc400368048"/>
      <w:bookmarkStart w:id="2869" w:name="_Toc400370230"/>
      <w:bookmarkStart w:id="2870" w:name="_Toc400372411"/>
      <w:bookmarkStart w:id="2871" w:name="_Toc400374591"/>
      <w:bookmarkStart w:id="2872" w:name="_Toc400376764"/>
      <w:bookmarkStart w:id="2873" w:name="_Toc400381100"/>
      <w:bookmarkStart w:id="2874" w:name="_Toc400383266"/>
      <w:bookmarkStart w:id="2875" w:name="_Toc400385432"/>
      <w:bookmarkStart w:id="2876" w:name="_Toc400387595"/>
      <w:bookmarkStart w:id="2877" w:name="_Toc400389756"/>
      <w:bookmarkStart w:id="2878" w:name="_Toc400391917"/>
      <w:bookmarkStart w:id="2879" w:name="_Toc400394081"/>
      <w:bookmarkStart w:id="2880" w:name="_Toc400354562"/>
      <w:bookmarkStart w:id="2881" w:name="_Toc400356827"/>
      <w:bookmarkStart w:id="2882" w:name="_Toc400359092"/>
      <w:bookmarkStart w:id="2883" w:name="_Toc400361357"/>
      <w:bookmarkStart w:id="2884" w:name="_Toc400363621"/>
      <w:bookmarkStart w:id="2885" w:name="_Toc400365852"/>
      <w:bookmarkStart w:id="2886" w:name="_Toc400368049"/>
      <w:bookmarkStart w:id="2887" w:name="_Toc400370231"/>
      <w:bookmarkStart w:id="2888" w:name="_Toc400372412"/>
      <w:bookmarkStart w:id="2889" w:name="_Toc400374592"/>
      <w:bookmarkStart w:id="2890" w:name="_Toc400376765"/>
      <w:bookmarkStart w:id="2891" w:name="_Toc400381101"/>
      <w:bookmarkStart w:id="2892" w:name="_Toc400383267"/>
      <w:bookmarkStart w:id="2893" w:name="_Toc400385433"/>
      <w:bookmarkStart w:id="2894" w:name="_Toc400387596"/>
      <w:bookmarkStart w:id="2895" w:name="_Toc400389757"/>
      <w:bookmarkStart w:id="2896" w:name="_Toc400391918"/>
      <w:bookmarkStart w:id="2897" w:name="_Toc400394082"/>
      <w:bookmarkStart w:id="2898" w:name="_Toc400354563"/>
      <w:bookmarkStart w:id="2899" w:name="_Toc400356828"/>
      <w:bookmarkStart w:id="2900" w:name="_Toc400359093"/>
      <w:bookmarkStart w:id="2901" w:name="_Toc400361358"/>
      <w:bookmarkStart w:id="2902" w:name="_Toc400363622"/>
      <w:bookmarkStart w:id="2903" w:name="_Toc400365853"/>
      <w:bookmarkStart w:id="2904" w:name="_Toc400368050"/>
      <w:bookmarkStart w:id="2905" w:name="_Toc400370232"/>
      <w:bookmarkStart w:id="2906" w:name="_Toc400372413"/>
      <w:bookmarkStart w:id="2907" w:name="_Toc400374593"/>
      <w:bookmarkStart w:id="2908" w:name="_Toc400376766"/>
      <w:bookmarkStart w:id="2909" w:name="_Toc400381102"/>
      <w:bookmarkStart w:id="2910" w:name="_Toc400383268"/>
      <w:bookmarkStart w:id="2911" w:name="_Toc400385434"/>
      <w:bookmarkStart w:id="2912" w:name="_Toc400387597"/>
      <w:bookmarkStart w:id="2913" w:name="_Toc400389758"/>
      <w:bookmarkStart w:id="2914" w:name="_Toc400391919"/>
      <w:bookmarkStart w:id="2915" w:name="_Toc400394083"/>
      <w:bookmarkStart w:id="2916" w:name="_Toc400354564"/>
      <w:bookmarkStart w:id="2917" w:name="_Toc400356829"/>
      <w:bookmarkStart w:id="2918" w:name="_Toc400359094"/>
      <w:bookmarkStart w:id="2919" w:name="_Toc400361359"/>
      <w:bookmarkStart w:id="2920" w:name="_Toc400363623"/>
      <w:bookmarkStart w:id="2921" w:name="_Toc400365854"/>
      <w:bookmarkStart w:id="2922" w:name="_Toc400368051"/>
      <w:bookmarkStart w:id="2923" w:name="_Toc400370233"/>
      <w:bookmarkStart w:id="2924" w:name="_Toc400372414"/>
      <w:bookmarkStart w:id="2925" w:name="_Toc400374594"/>
      <w:bookmarkStart w:id="2926" w:name="_Toc400376767"/>
      <w:bookmarkStart w:id="2927" w:name="_Toc400381103"/>
      <w:bookmarkStart w:id="2928" w:name="_Toc400383269"/>
      <w:bookmarkStart w:id="2929" w:name="_Toc400385435"/>
      <w:bookmarkStart w:id="2930" w:name="_Toc400387598"/>
      <w:bookmarkStart w:id="2931" w:name="_Toc400389759"/>
      <w:bookmarkStart w:id="2932" w:name="_Toc400391920"/>
      <w:bookmarkStart w:id="2933" w:name="_Toc400394084"/>
      <w:bookmarkStart w:id="2934" w:name="_Toc400354565"/>
      <w:bookmarkStart w:id="2935" w:name="_Toc400356830"/>
      <w:bookmarkStart w:id="2936" w:name="_Toc400359095"/>
      <w:bookmarkStart w:id="2937" w:name="_Toc400361360"/>
      <w:bookmarkStart w:id="2938" w:name="_Toc400363624"/>
      <w:bookmarkStart w:id="2939" w:name="_Toc400365855"/>
      <w:bookmarkStart w:id="2940" w:name="_Toc400368052"/>
      <w:bookmarkStart w:id="2941" w:name="_Toc400370234"/>
      <w:bookmarkStart w:id="2942" w:name="_Toc400372415"/>
      <w:bookmarkStart w:id="2943" w:name="_Toc400374595"/>
      <w:bookmarkStart w:id="2944" w:name="_Toc400376768"/>
      <w:bookmarkStart w:id="2945" w:name="_Toc400381104"/>
      <w:bookmarkStart w:id="2946" w:name="_Toc400383270"/>
      <w:bookmarkStart w:id="2947" w:name="_Toc400385436"/>
      <w:bookmarkStart w:id="2948" w:name="_Toc400387599"/>
      <w:bookmarkStart w:id="2949" w:name="_Toc400389760"/>
      <w:bookmarkStart w:id="2950" w:name="_Toc400391921"/>
      <w:bookmarkStart w:id="2951" w:name="_Toc400394085"/>
      <w:bookmarkStart w:id="2952" w:name="_Toc400354566"/>
      <w:bookmarkStart w:id="2953" w:name="_Toc400356831"/>
      <w:bookmarkStart w:id="2954" w:name="_Toc400359096"/>
      <w:bookmarkStart w:id="2955" w:name="_Toc400361361"/>
      <w:bookmarkStart w:id="2956" w:name="_Toc400363625"/>
      <w:bookmarkStart w:id="2957" w:name="_Toc400365856"/>
      <w:bookmarkStart w:id="2958" w:name="_Toc400368053"/>
      <w:bookmarkStart w:id="2959" w:name="_Toc400370235"/>
      <w:bookmarkStart w:id="2960" w:name="_Toc400372416"/>
      <w:bookmarkStart w:id="2961" w:name="_Toc400374596"/>
      <w:bookmarkStart w:id="2962" w:name="_Toc400376769"/>
      <w:bookmarkStart w:id="2963" w:name="_Toc400381105"/>
      <w:bookmarkStart w:id="2964" w:name="_Toc400383271"/>
      <w:bookmarkStart w:id="2965" w:name="_Toc400385437"/>
      <w:bookmarkStart w:id="2966" w:name="_Toc400387600"/>
      <w:bookmarkStart w:id="2967" w:name="_Toc400389761"/>
      <w:bookmarkStart w:id="2968" w:name="_Toc400391922"/>
      <w:bookmarkStart w:id="2969" w:name="_Toc400394086"/>
      <w:bookmarkStart w:id="2970" w:name="_Toc400354567"/>
      <w:bookmarkStart w:id="2971" w:name="_Toc400356832"/>
      <w:bookmarkStart w:id="2972" w:name="_Toc400359097"/>
      <w:bookmarkStart w:id="2973" w:name="_Toc400361362"/>
      <w:bookmarkStart w:id="2974" w:name="_Toc400363626"/>
      <w:bookmarkStart w:id="2975" w:name="_Toc400365857"/>
      <w:bookmarkStart w:id="2976" w:name="_Toc400368054"/>
      <w:bookmarkStart w:id="2977" w:name="_Toc400370236"/>
      <w:bookmarkStart w:id="2978" w:name="_Toc400372417"/>
      <w:bookmarkStart w:id="2979" w:name="_Toc400374597"/>
      <w:bookmarkStart w:id="2980" w:name="_Toc400376770"/>
      <w:bookmarkStart w:id="2981" w:name="_Toc400381106"/>
      <w:bookmarkStart w:id="2982" w:name="_Toc400383272"/>
      <w:bookmarkStart w:id="2983" w:name="_Toc400385438"/>
      <w:bookmarkStart w:id="2984" w:name="_Toc400387601"/>
      <w:bookmarkStart w:id="2985" w:name="_Toc400389762"/>
      <w:bookmarkStart w:id="2986" w:name="_Toc400391923"/>
      <w:bookmarkStart w:id="2987" w:name="_Toc400394087"/>
      <w:bookmarkStart w:id="2988" w:name="_Toc400354623"/>
      <w:bookmarkStart w:id="2989" w:name="_Toc400356888"/>
      <w:bookmarkStart w:id="2990" w:name="_Toc400359153"/>
      <w:bookmarkStart w:id="2991" w:name="_Toc400361418"/>
      <w:bookmarkStart w:id="2992" w:name="_Toc400363682"/>
      <w:bookmarkStart w:id="2993" w:name="_Toc400365913"/>
      <w:bookmarkStart w:id="2994" w:name="_Toc400368110"/>
      <w:bookmarkStart w:id="2995" w:name="_Toc400370292"/>
      <w:bookmarkStart w:id="2996" w:name="_Toc400372473"/>
      <w:bookmarkStart w:id="2997" w:name="_Toc400374653"/>
      <w:bookmarkStart w:id="2998" w:name="_Toc400376826"/>
      <w:bookmarkStart w:id="2999" w:name="_Toc400381162"/>
      <w:bookmarkStart w:id="3000" w:name="_Toc400383328"/>
      <w:bookmarkStart w:id="3001" w:name="_Toc400385494"/>
      <w:bookmarkStart w:id="3002" w:name="_Toc400387657"/>
      <w:bookmarkStart w:id="3003" w:name="_Toc400389818"/>
      <w:bookmarkStart w:id="3004" w:name="_Toc400391979"/>
      <w:bookmarkStart w:id="3005" w:name="_Toc400394143"/>
      <w:bookmarkStart w:id="3006" w:name="_Toc400354624"/>
      <w:bookmarkStart w:id="3007" w:name="_Toc400356889"/>
      <w:bookmarkStart w:id="3008" w:name="_Toc400359154"/>
      <w:bookmarkStart w:id="3009" w:name="_Toc400361419"/>
      <w:bookmarkStart w:id="3010" w:name="_Toc400363683"/>
      <w:bookmarkStart w:id="3011" w:name="_Toc400365914"/>
      <w:bookmarkStart w:id="3012" w:name="_Toc400368111"/>
      <w:bookmarkStart w:id="3013" w:name="_Toc400370293"/>
      <w:bookmarkStart w:id="3014" w:name="_Toc400372474"/>
      <w:bookmarkStart w:id="3015" w:name="_Toc400374654"/>
      <w:bookmarkStart w:id="3016" w:name="_Toc400376827"/>
      <w:bookmarkStart w:id="3017" w:name="_Toc400381163"/>
      <w:bookmarkStart w:id="3018" w:name="_Toc400383329"/>
      <w:bookmarkStart w:id="3019" w:name="_Toc400385495"/>
      <w:bookmarkStart w:id="3020" w:name="_Toc400387658"/>
      <w:bookmarkStart w:id="3021" w:name="_Toc400389819"/>
      <w:bookmarkStart w:id="3022" w:name="_Toc400391980"/>
      <w:bookmarkStart w:id="3023" w:name="_Toc400394144"/>
      <w:bookmarkStart w:id="3024" w:name="_Toc400354625"/>
      <w:bookmarkStart w:id="3025" w:name="_Toc400356890"/>
      <w:bookmarkStart w:id="3026" w:name="_Toc400359155"/>
      <w:bookmarkStart w:id="3027" w:name="_Toc400361420"/>
      <w:bookmarkStart w:id="3028" w:name="_Toc400363684"/>
      <w:bookmarkStart w:id="3029" w:name="_Toc400365915"/>
      <w:bookmarkStart w:id="3030" w:name="_Toc400368112"/>
      <w:bookmarkStart w:id="3031" w:name="_Toc400370294"/>
      <w:bookmarkStart w:id="3032" w:name="_Toc400372475"/>
      <w:bookmarkStart w:id="3033" w:name="_Toc400374655"/>
      <w:bookmarkStart w:id="3034" w:name="_Toc400376828"/>
      <w:bookmarkStart w:id="3035" w:name="_Toc400381164"/>
      <w:bookmarkStart w:id="3036" w:name="_Toc400383330"/>
      <w:bookmarkStart w:id="3037" w:name="_Toc400385496"/>
      <w:bookmarkStart w:id="3038" w:name="_Toc400387659"/>
      <w:bookmarkStart w:id="3039" w:name="_Toc400389820"/>
      <w:bookmarkStart w:id="3040" w:name="_Toc400391981"/>
      <w:bookmarkStart w:id="3041" w:name="_Toc400394145"/>
      <w:bookmarkStart w:id="3042" w:name="_Toc400354626"/>
      <w:bookmarkStart w:id="3043" w:name="_Toc400356891"/>
      <w:bookmarkStart w:id="3044" w:name="_Toc400359156"/>
      <w:bookmarkStart w:id="3045" w:name="_Toc400361421"/>
      <w:bookmarkStart w:id="3046" w:name="_Toc400363685"/>
      <w:bookmarkStart w:id="3047" w:name="_Toc400365916"/>
      <w:bookmarkStart w:id="3048" w:name="_Toc400368113"/>
      <w:bookmarkStart w:id="3049" w:name="_Toc400370295"/>
      <w:bookmarkStart w:id="3050" w:name="_Toc400372476"/>
      <w:bookmarkStart w:id="3051" w:name="_Toc400374656"/>
      <w:bookmarkStart w:id="3052" w:name="_Toc400376829"/>
      <w:bookmarkStart w:id="3053" w:name="_Toc400381165"/>
      <w:bookmarkStart w:id="3054" w:name="_Toc400383331"/>
      <w:bookmarkStart w:id="3055" w:name="_Toc400385497"/>
      <w:bookmarkStart w:id="3056" w:name="_Toc400387660"/>
      <w:bookmarkStart w:id="3057" w:name="_Toc400389821"/>
      <w:bookmarkStart w:id="3058" w:name="_Toc400391982"/>
      <w:bookmarkStart w:id="3059" w:name="_Toc400394146"/>
      <w:bookmarkStart w:id="3060" w:name="_Toc400354627"/>
      <w:bookmarkStart w:id="3061" w:name="_Toc400356892"/>
      <w:bookmarkStart w:id="3062" w:name="_Toc400359157"/>
      <w:bookmarkStart w:id="3063" w:name="_Toc400361422"/>
      <w:bookmarkStart w:id="3064" w:name="_Toc400363686"/>
      <w:bookmarkStart w:id="3065" w:name="_Toc400365917"/>
      <w:bookmarkStart w:id="3066" w:name="_Toc400368114"/>
      <w:bookmarkStart w:id="3067" w:name="_Toc400370296"/>
      <w:bookmarkStart w:id="3068" w:name="_Toc400372477"/>
      <w:bookmarkStart w:id="3069" w:name="_Toc400374657"/>
      <w:bookmarkStart w:id="3070" w:name="_Toc400376830"/>
      <w:bookmarkStart w:id="3071" w:name="_Toc400381166"/>
      <w:bookmarkStart w:id="3072" w:name="_Toc400383332"/>
      <w:bookmarkStart w:id="3073" w:name="_Toc400385498"/>
      <w:bookmarkStart w:id="3074" w:name="_Toc400387661"/>
      <w:bookmarkStart w:id="3075" w:name="_Toc400389822"/>
      <w:bookmarkStart w:id="3076" w:name="_Toc400391983"/>
      <w:bookmarkStart w:id="3077" w:name="_Toc400394147"/>
      <w:bookmarkStart w:id="3078" w:name="_Toc400354628"/>
      <w:bookmarkStart w:id="3079" w:name="_Toc400356893"/>
      <w:bookmarkStart w:id="3080" w:name="_Toc400359158"/>
      <w:bookmarkStart w:id="3081" w:name="_Toc400361423"/>
      <w:bookmarkStart w:id="3082" w:name="_Toc400363687"/>
      <w:bookmarkStart w:id="3083" w:name="_Toc400365918"/>
      <w:bookmarkStart w:id="3084" w:name="_Toc400368115"/>
      <w:bookmarkStart w:id="3085" w:name="_Toc400370297"/>
      <w:bookmarkStart w:id="3086" w:name="_Toc400372478"/>
      <w:bookmarkStart w:id="3087" w:name="_Toc400374658"/>
      <w:bookmarkStart w:id="3088" w:name="_Toc400376831"/>
      <w:bookmarkStart w:id="3089" w:name="_Toc400381167"/>
      <w:bookmarkStart w:id="3090" w:name="_Toc400383333"/>
      <w:bookmarkStart w:id="3091" w:name="_Toc400385499"/>
      <w:bookmarkStart w:id="3092" w:name="_Toc400387662"/>
      <w:bookmarkStart w:id="3093" w:name="_Toc400389823"/>
      <w:bookmarkStart w:id="3094" w:name="_Toc400391984"/>
      <w:bookmarkStart w:id="3095" w:name="_Toc400394148"/>
      <w:bookmarkStart w:id="3096" w:name="_Toc400354629"/>
      <w:bookmarkStart w:id="3097" w:name="_Toc400356894"/>
      <w:bookmarkStart w:id="3098" w:name="_Toc400359159"/>
      <w:bookmarkStart w:id="3099" w:name="_Toc400361424"/>
      <w:bookmarkStart w:id="3100" w:name="_Toc400363688"/>
      <w:bookmarkStart w:id="3101" w:name="_Toc400365919"/>
      <w:bookmarkStart w:id="3102" w:name="_Toc400368116"/>
      <w:bookmarkStart w:id="3103" w:name="_Toc400370298"/>
      <w:bookmarkStart w:id="3104" w:name="_Toc400372479"/>
      <w:bookmarkStart w:id="3105" w:name="_Toc400374659"/>
      <w:bookmarkStart w:id="3106" w:name="_Toc400376832"/>
      <w:bookmarkStart w:id="3107" w:name="_Toc400381168"/>
      <w:bookmarkStart w:id="3108" w:name="_Toc400383334"/>
      <w:bookmarkStart w:id="3109" w:name="_Toc400385500"/>
      <w:bookmarkStart w:id="3110" w:name="_Toc400387663"/>
      <w:bookmarkStart w:id="3111" w:name="_Toc400389824"/>
      <w:bookmarkStart w:id="3112" w:name="_Toc400391985"/>
      <w:bookmarkStart w:id="3113" w:name="_Toc400394149"/>
      <w:bookmarkStart w:id="3114" w:name="_Toc400354630"/>
      <w:bookmarkStart w:id="3115" w:name="_Toc400356895"/>
      <w:bookmarkStart w:id="3116" w:name="_Toc400359160"/>
      <w:bookmarkStart w:id="3117" w:name="_Toc400361425"/>
      <w:bookmarkStart w:id="3118" w:name="_Toc400363689"/>
      <w:bookmarkStart w:id="3119" w:name="_Toc400365920"/>
      <w:bookmarkStart w:id="3120" w:name="_Toc400368117"/>
      <w:bookmarkStart w:id="3121" w:name="_Toc400370299"/>
      <w:bookmarkStart w:id="3122" w:name="_Toc400372480"/>
      <w:bookmarkStart w:id="3123" w:name="_Toc400374660"/>
      <w:bookmarkStart w:id="3124" w:name="_Toc400376833"/>
      <w:bookmarkStart w:id="3125" w:name="_Toc400381169"/>
      <w:bookmarkStart w:id="3126" w:name="_Toc400383335"/>
      <w:bookmarkStart w:id="3127" w:name="_Toc400385501"/>
      <w:bookmarkStart w:id="3128" w:name="_Toc400387664"/>
      <w:bookmarkStart w:id="3129" w:name="_Toc400389825"/>
      <w:bookmarkStart w:id="3130" w:name="_Toc400391986"/>
      <w:bookmarkStart w:id="3131" w:name="_Toc400394150"/>
      <w:bookmarkStart w:id="3132" w:name="_Toc400354631"/>
      <w:bookmarkStart w:id="3133" w:name="_Toc400356896"/>
      <w:bookmarkStart w:id="3134" w:name="_Toc400359161"/>
      <w:bookmarkStart w:id="3135" w:name="_Toc400361426"/>
      <w:bookmarkStart w:id="3136" w:name="_Toc400363690"/>
      <w:bookmarkStart w:id="3137" w:name="_Toc400365921"/>
      <w:bookmarkStart w:id="3138" w:name="_Toc400368118"/>
      <w:bookmarkStart w:id="3139" w:name="_Toc400370300"/>
      <w:bookmarkStart w:id="3140" w:name="_Toc400372481"/>
      <w:bookmarkStart w:id="3141" w:name="_Toc400374661"/>
      <w:bookmarkStart w:id="3142" w:name="_Toc400376834"/>
      <w:bookmarkStart w:id="3143" w:name="_Toc400381170"/>
      <w:bookmarkStart w:id="3144" w:name="_Toc400383336"/>
      <w:bookmarkStart w:id="3145" w:name="_Toc400385502"/>
      <w:bookmarkStart w:id="3146" w:name="_Toc400387665"/>
      <w:bookmarkStart w:id="3147" w:name="_Toc400389826"/>
      <w:bookmarkStart w:id="3148" w:name="_Toc400391987"/>
      <w:bookmarkStart w:id="3149" w:name="_Toc400394151"/>
      <w:bookmarkStart w:id="3150" w:name="_Toc400354632"/>
      <w:bookmarkStart w:id="3151" w:name="_Toc400356897"/>
      <w:bookmarkStart w:id="3152" w:name="_Toc400359162"/>
      <w:bookmarkStart w:id="3153" w:name="_Toc400361427"/>
      <w:bookmarkStart w:id="3154" w:name="_Toc400363691"/>
      <w:bookmarkStart w:id="3155" w:name="_Toc400365922"/>
      <w:bookmarkStart w:id="3156" w:name="_Toc400368119"/>
      <w:bookmarkStart w:id="3157" w:name="_Toc400370301"/>
      <w:bookmarkStart w:id="3158" w:name="_Toc400372482"/>
      <w:bookmarkStart w:id="3159" w:name="_Toc400374662"/>
      <w:bookmarkStart w:id="3160" w:name="_Toc400376835"/>
      <w:bookmarkStart w:id="3161" w:name="_Toc400381171"/>
      <w:bookmarkStart w:id="3162" w:name="_Toc400383337"/>
      <w:bookmarkStart w:id="3163" w:name="_Toc400385503"/>
      <w:bookmarkStart w:id="3164" w:name="_Toc400387666"/>
      <w:bookmarkStart w:id="3165" w:name="_Toc400389827"/>
      <w:bookmarkStart w:id="3166" w:name="_Toc400391988"/>
      <w:bookmarkStart w:id="3167" w:name="_Toc400394152"/>
      <w:bookmarkStart w:id="3168" w:name="_Toc400354633"/>
      <w:bookmarkStart w:id="3169" w:name="_Toc400356898"/>
      <w:bookmarkStart w:id="3170" w:name="_Toc400359163"/>
      <w:bookmarkStart w:id="3171" w:name="_Toc400361428"/>
      <w:bookmarkStart w:id="3172" w:name="_Toc400363692"/>
      <w:bookmarkStart w:id="3173" w:name="_Toc400365923"/>
      <w:bookmarkStart w:id="3174" w:name="_Toc400368120"/>
      <w:bookmarkStart w:id="3175" w:name="_Toc400370302"/>
      <w:bookmarkStart w:id="3176" w:name="_Toc400372483"/>
      <w:bookmarkStart w:id="3177" w:name="_Toc400374663"/>
      <w:bookmarkStart w:id="3178" w:name="_Toc400376836"/>
      <w:bookmarkStart w:id="3179" w:name="_Toc400381172"/>
      <w:bookmarkStart w:id="3180" w:name="_Toc400383338"/>
      <w:bookmarkStart w:id="3181" w:name="_Toc400385504"/>
      <w:bookmarkStart w:id="3182" w:name="_Toc400387667"/>
      <w:bookmarkStart w:id="3183" w:name="_Toc400389828"/>
      <w:bookmarkStart w:id="3184" w:name="_Toc400391989"/>
      <w:bookmarkStart w:id="3185" w:name="_Toc400394153"/>
      <w:bookmarkStart w:id="3186" w:name="_Toc400354634"/>
      <w:bookmarkStart w:id="3187" w:name="_Toc400356899"/>
      <w:bookmarkStart w:id="3188" w:name="_Toc400359164"/>
      <w:bookmarkStart w:id="3189" w:name="_Toc400361429"/>
      <w:bookmarkStart w:id="3190" w:name="_Toc400363693"/>
      <w:bookmarkStart w:id="3191" w:name="_Toc400365924"/>
      <w:bookmarkStart w:id="3192" w:name="_Toc400368121"/>
      <w:bookmarkStart w:id="3193" w:name="_Toc400370303"/>
      <w:bookmarkStart w:id="3194" w:name="_Toc400372484"/>
      <w:bookmarkStart w:id="3195" w:name="_Toc400374664"/>
      <w:bookmarkStart w:id="3196" w:name="_Toc400376837"/>
      <w:bookmarkStart w:id="3197" w:name="_Toc400381173"/>
      <w:bookmarkStart w:id="3198" w:name="_Toc400383339"/>
      <w:bookmarkStart w:id="3199" w:name="_Toc400385505"/>
      <w:bookmarkStart w:id="3200" w:name="_Toc400387668"/>
      <w:bookmarkStart w:id="3201" w:name="_Toc400389829"/>
      <w:bookmarkStart w:id="3202" w:name="_Toc400391990"/>
      <w:bookmarkStart w:id="3203" w:name="_Toc400394154"/>
      <w:bookmarkStart w:id="3204" w:name="_Toc400354635"/>
      <w:bookmarkStart w:id="3205" w:name="_Toc400356900"/>
      <w:bookmarkStart w:id="3206" w:name="_Toc400359165"/>
      <w:bookmarkStart w:id="3207" w:name="_Toc400361430"/>
      <w:bookmarkStart w:id="3208" w:name="_Toc400363694"/>
      <w:bookmarkStart w:id="3209" w:name="_Toc400365925"/>
      <w:bookmarkStart w:id="3210" w:name="_Toc400368122"/>
      <w:bookmarkStart w:id="3211" w:name="_Toc400370304"/>
      <w:bookmarkStart w:id="3212" w:name="_Toc400372485"/>
      <w:bookmarkStart w:id="3213" w:name="_Toc400374665"/>
      <w:bookmarkStart w:id="3214" w:name="_Toc400376838"/>
      <w:bookmarkStart w:id="3215" w:name="_Toc400381174"/>
      <w:bookmarkStart w:id="3216" w:name="_Toc400383340"/>
      <w:bookmarkStart w:id="3217" w:name="_Toc400385506"/>
      <w:bookmarkStart w:id="3218" w:name="_Toc400387669"/>
      <w:bookmarkStart w:id="3219" w:name="_Toc400389830"/>
      <w:bookmarkStart w:id="3220" w:name="_Toc400391991"/>
      <w:bookmarkStart w:id="3221" w:name="_Toc400394155"/>
      <w:bookmarkStart w:id="3222" w:name="_Toc400354636"/>
      <w:bookmarkStart w:id="3223" w:name="_Toc400356901"/>
      <w:bookmarkStart w:id="3224" w:name="_Toc400359166"/>
      <w:bookmarkStart w:id="3225" w:name="_Toc400361431"/>
      <w:bookmarkStart w:id="3226" w:name="_Toc400363695"/>
      <w:bookmarkStart w:id="3227" w:name="_Toc400365926"/>
      <w:bookmarkStart w:id="3228" w:name="_Toc400368123"/>
      <w:bookmarkStart w:id="3229" w:name="_Toc400370305"/>
      <w:bookmarkStart w:id="3230" w:name="_Toc400372486"/>
      <w:bookmarkStart w:id="3231" w:name="_Toc400374666"/>
      <w:bookmarkStart w:id="3232" w:name="_Toc400376839"/>
      <w:bookmarkStart w:id="3233" w:name="_Toc400381175"/>
      <w:bookmarkStart w:id="3234" w:name="_Toc400383341"/>
      <w:bookmarkStart w:id="3235" w:name="_Toc400385507"/>
      <w:bookmarkStart w:id="3236" w:name="_Toc400387670"/>
      <w:bookmarkStart w:id="3237" w:name="_Toc400389831"/>
      <w:bookmarkStart w:id="3238" w:name="_Toc400391992"/>
      <w:bookmarkStart w:id="3239" w:name="_Toc400394156"/>
      <w:bookmarkStart w:id="3240" w:name="_Toc400354637"/>
      <w:bookmarkStart w:id="3241" w:name="_Toc400356902"/>
      <w:bookmarkStart w:id="3242" w:name="_Toc400359167"/>
      <w:bookmarkStart w:id="3243" w:name="_Toc400361432"/>
      <w:bookmarkStart w:id="3244" w:name="_Toc400363696"/>
      <w:bookmarkStart w:id="3245" w:name="_Toc400365927"/>
      <w:bookmarkStart w:id="3246" w:name="_Toc400368124"/>
      <w:bookmarkStart w:id="3247" w:name="_Toc400370306"/>
      <w:bookmarkStart w:id="3248" w:name="_Toc400372487"/>
      <w:bookmarkStart w:id="3249" w:name="_Toc400374667"/>
      <w:bookmarkStart w:id="3250" w:name="_Toc400376840"/>
      <w:bookmarkStart w:id="3251" w:name="_Toc400381176"/>
      <w:bookmarkStart w:id="3252" w:name="_Toc400383342"/>
      <w:bookmarkStart w:id="3253" w:name="_Toc400385508"/>
      <w:bookmarkStart w:id="3254" w:name="_Toc400387671"/>
      <w:bookmarkStart w:id="3255" w:name="_Toc400389832"/>
      <w:bookmarkStart w:id="3256" w:name="_Toc400391993"/>
      <w:bookmarkStart w:id="3257" w:name="_Toc400394157"/>
      <w:bookmarkStart w:id="3258" w:name="_Toc400354638"/>
      <w:bookmarkStart w:id="3259" w:name="_Toc400356903"/>
      <w:bookmarkStart w:id="3260" w:name="_Toc400359168"/>
      <w:bookmarkStart w:id="3261" w:name="_Toc400361433"/>
      <w:bookmarkStart w:id="3262" w:name="_Toc400363697"/>
      <w:bookmarkStart w:id="3263" w:name="_Toc400365928"/>
      <w:bookmarkStart w:id="3264" w:name="_Toc400368125"/>
      <w:bookmarkStart w:id="3265" w:name="_Toc400370307"/>
      <w:bookmarkStart w:id="3266" w:name="_Toc400372488"/>
      <w:bookmarkStart w:id="3267" w:name="_Toc400374668"/>
      <w:bookmarkStart w:id="3268" w:name="_Toc400376841"/>
      <w:bookmarkStart w:id="3269" w:name="_Toc400381177"/>
      <w:bookmarkStart w:id="3270" w:name="_Toc400383343"/>
      <w:bookmarkStart w:id="3271" w:name="_Toc400385509"/>
      <w:bookmarkStart w:id="3272" w:name="_Toc400387672"/>
      <w:bookmarkStart w:id="3273" w:name="_Toc400389833"/>
      <w:bookmarkStart w:id="3274" w:name="_Toc400391994"/>
      <w:bookmarkStart w:id="3275" w:name="_Toc400394158"/>
      <w:bookmarkStart w:id="3276" w:name="_Toc400354639"/>
      <w:bookmarkStart w:id="3277" w:name="_Toc400356904"/>
      <w:bookmarkStart w:id="3278" w:name="_Toc400359169"/>
      <w:bookmarkStart w:id="3279" w:name="_Toc400361434"/>
      <w:bookmarkStart w:id="3280" w:name="_Toc400363698"/>
      <w:bookmarkStart w:id="3281" w:name="_Toc400365929"/>
      <w:bookmarkStart w:id="3282" w:name="_Toc400368126"/>
      <w:bookmarkStart w:id="3283" w:name="_Toc400370308"/>
      <w:bookmarkStart w:id="3284" w:name="_Toc400372489"/>
      <w:bookmarkStart w:id="3285" w:name="_Toc400374669"/>
      <w:bookmarkStart w:id="3286" w:name="_Toc400376842"/>
      <w:bookmarkStart w:id="3287" w:name="_Toc400381178"/>
      <w:bookmarkStart w:id="3288" w:name="_Toc400383344"/>
      <w:bookmarkStart w:id="3289" w:name="_Toc400385510"/>
      <w:bookmarkStart w:id="3290" w:name="_Toc400387673"/>
      <w:bookmarkStart w:id="3291" w:name="_Toc400389834"/>
      <w:bookmarkStart w:id="3292" w:name="_Toc400391995"/>
      <w:bookmarkStart w:id="3293" w:name="_Toc400394159"/>
      <w:bookmarkStart w:id="3294" w:name="_Toc400354640"/>
      <w:bookmarkStart w:id="3295" w:name="_Toc400356905"/>
      <w:bookmarkStart w:id="3296" w:name="_Toc400359170"/>
      <w:bookmarkStart w:id="3297" w:name="_Toc400361435"/>
      <w:bookmarkStart w:id="3298" w:name="_Toc400363699"/>
      <w:bookmarkStart w:id="3299" w:name="_Toc400365930"/>
      <w:bookmarkStart w:id="3300" w:name="_Toc400368127"/>
      <w:bookmarkStart w:id="3301" w:name="_Toc400370309"/>
      <w:bookmarkStart w:id="3302" w:name="_Toc400372490"/>
      <w:bookmarkStart w:id="3303" w:name="_Toc400374670"/>
      <w:bookmarkStart w:id="3304" w:name="_Toc400376843"/>
      <w:bookmarkStart w:id="3305" w:name="_Toc400381179"/>
      <w:bookmarkStart w:id="3306" w:name="_Toc400383345"/>
      <w:bookmarkStart w:id="3307" w:name="_Toc400385511"/>
      <w:bookmarkStart w:id="3308" w:name="_Toc400387674"/>
      <w:bookmarkStart w:id="3309" w:name="_Toc400389835"/>
      <w:bookmarkStart w:id="3310" w:name="_Toc400391996"/>
      <w:bookmarkStart w:id="3311" w:name="_Toc400394160"/>
      <w:bookmarkStart w:id="3312" w:name="_Toc400354641"/>
      <w:bookmarkStart w:id="3313" w:name="_Toc400356906"/>
      <w:bookmarkStart w:id="3314" w:name="_Toc400359171"/>
      <w:bookmarkStart w:id="3315" w:name="_Toc400361436"/>
      <w:bookmarkStart w:id="3316" w:name="_Toc400363700"/>
      <w:bookmarkStart w:id="3317" w:name="_Toc400365931"/>
      <w:bookmarkStart w:id="3318" w:name="_Toc400368128"/>
      <w:bookmarkStart w:id="3319" w:name="_Toc400370310"/>
      <w:bookmarkStart w:id="3320" w:name="_Toc400372491"/>
      <w:bookmarkStart w:id="3321" w:name="_Toc400374671"/>
      <w:bookmarkStart w:id="3322" w:name="_Toc400376844"/>
      <w:bookmarkStart w:id="3323" w:name="_Toc400381180"/>
      <w:bookmarkStart w:id="3324" w:name="_Toc400383346"/>
      <w:bookmarkStart w:id="3325" w:name="_Toc400385512"/>
      <w:bookmarkStart w:id="3326" w:name="_Toc400387675"/>
      <w:bookmarkStart w:id="3327" w:name="_Toc400389836"/>
      <w:bookmarkStart w:id="3328" w:name="_Toc400391997"/>
      <w:bookmarkStart w:id="3329" w:name="_Toc400394161"/>
      <w:bookmarkStart w:id="3330" w:name="_Toc400354642"/>
      <w:bookmarkStart w:id="3331" w:name="_Toc400356907"/>
      <w:bookmarkStart w:id="3332" w:name="_Toc400359172"/>
      <w:bookmarkStart w:id="3333" w:name="_Toc400361437"/>
      <w:bookmarkStart w:id="3334" w:name="_Toc400363701"/>
      <w:bookmarkStart w:id="3335" w:name="_Toc400365932"/>
      <w:bookmarkStart w:id="3336" w:name="_Toc400368129"/>
      <w:bookmarkStart w:id="3337" w:name="_Toc400370311"/>
      <w:bookmarkStart w:id="3338" w:name="_Toc400372492"/>
      <w:bookmarkStart w:id="3339" w:name="_Toc400374672"/>
      <w:bookmarkStart w:id="3340" w:name="_Toc400376845"/>
      <w:bookmarkStart w:id="3341" w:name="_Toc400381181"/>
      <w:bookmarkStart w:id="3342" w:name="_Toc400383347"/>
      <w:bookmarkStart w:id="3343" w:name="_Toc400385513"/>
      <w:bookmarkStart w:id="3344" w:name="_Toc400387676"/>
      <w:bookmarkStart w:id="3345" w:name="_Toc400389837"/>
      <w:bookmarkStart w:id="3346" w:name="_Toc400391998"/>
      <w:bookmarkStart w:id="3347" w:name="_Toc400394162"/>
      <w:bookmarkStart w:id="3348" w:name="_Toc400354643"/>
      <w:bookmarkStart w:id="3349" w:name="_Toc400356908"/>
      <w:bookmarkStart w:id="3350" w:name="_Toc400359173"/>
      <w:bookmarkStart w:id="3351" w:name="_Toc400361438"/>
      <w:bookmarkStart w:id="3352" w:name="_Toc400363702"/>
      <w:bookmarkStart w:id="3353" w:name="_Toc400365933"/>
      <w:bookmarkStart w:id="3354" w:name="_Toc400368130"/>
      <w:bookmarkStart w:id="3355" w:name="_Toc400370312"/>
      <w:bookmarkStart w:id="3356" w:name="_Toc400372493"/>
      <w:bookmarkStart w:id="3357" w:name="_Toc400374673"/>
      <w:bookmarkStart w:id="3358" w:name="_Toc400376846"/>
      <w:bookmarkStart w:id="3359" w:name="_Toc400381182"/>
      <w:bookmarkStart w:id="3360" w:name="_Toc400383348"/>
      <w:bookmarkStart w:id="3361" w:name="_Toc400385514"/>
      <w:bookmarkStart w:id="3362" w:name="_Toc400387677"/>
      <w:bookmarkStart w:id="3363" w:name="_Toc400389838"/>
      <w:bookmarkStart w:id="3364" w:name="_Toc400391999"/>
      <w:bookmarkStart w:id="3365" w:name="_Toc400394163"/>
      <w:bookmarkStart w:id="3366" w:name="_Toc400354644"/>
      <w:bookmarkStart w:id="3367" w:name="_Toc400356909"/>
      <w:bookmarkStart w:id="3368" w:name="_Toc400359174"/>
      <w:bookmarkStart w:id="3369" w:name="_Toc400361439"/>
      <w:bookmarkStart w:id="3370" w:name="_Toc400363703"/>
      <w:bookmarkStart w:id="3371" w:name="_Toc400365934"/>
      <w:bookmarkStart w:id="3372" w:name="_Toc400368131"/>
      <w:bookmarkStart w:id="3373" w:name="_Toc400370313"/>
      <w:bookmarkStart w:id="3374" w:name="_Toc400372494"/>
      <w:bookmarkStart w:id="3375" w:name="_Toc400374674"/>
      <w:bookmarkStart w:id="3376" w:name="_Toc400376847"/>
      <w:bookmarkStart w:id="3377" w:name="_Toc400381183"/>
      <w:bookmarkStart w:id="3378" w:name="_Toc400383349"/>
      <w:bookmarkStart w:id="3379" w:name="_Toc400385515"/>
      <w:bookmarkStart w:id="3380" w:name="_Toc400387678"/>
      <w:bookmarkStart w:id="3381" w:name="_Toc400389839"/>
      <w:bookmarkStart w:id="3382" w:name="_Toc400392000"/>
      <w:bookmarkStart w:id="3383" w:name="_Toc400394164"/>
      <w:bookmarkStart w:id="3384" w:name="_Toc400354645"/>
      <w:bookmarkStart w:id="3385" w:name="_Toc400356910"/>
      <w:bookmarkStart w:id="3386" w:name="_Toc400359175"/>
      <w:bookmarkStart w:id="3387" w:name="_Toc400361440"/>
      <w:bookmarkStart w:id="3388" w:name="_Toc400363704"/>
      <w:bookmarkStart w:id="3389" w:name="_Toc400365935"/>
      <w:bookmarkStart w:id="3390" w:name="_Toc400368132"/>
      <w:bookmarkStart w:id="3391" w:name="_Toc400370314"/>
      <w:bookmarkStart w:id="3392" w:name="_Toc400372495"/>
      <w:bookmarkStart w:id="3393" w:name="_Toc400374675"/>
      <w:bookmarkStart w:id="3394" w:name="_Toc400376848"/>
      <w:bookmarkStart w:id="3395" w:name="_Toc400381184"/>
      <w:bookmarkStart w:id="3396" w:name="_Toc400383350"/>
      <w:bookmarkStart w:id="3397" w:name="_Toc400385516"/>
      <w:bookmarkStart w:id="3398" w:name="_Toc400387679"/>
      <w:bookmarkStart w:id="3399" w:name="_Toc400389840"/>
      <w:bookmarkStart w:id="3400" w:name="_Toc400392001"/>
      <w:bookmarkStart w:id="3401" w:name="_Toc400394165"/>
      <w:bookmarkStart w:id="3402" w:name="_Toc400354646"/>
      <w:bookmarkStart w:id="3403" w:name="_Toc400356911"/>
      <w:bookmarkStart w:id="3404" w:name="_Toc400359176"/>
      <w:bookmarkStart w:id="3405" w:name="_Toc400361441"/>
      <w:bookmarkStart w:id="3406" w:name="_Toc400363705"/>
      <w:bookmarkStart w:id="3407" w:name="_Toc400365936"/>
      <w:bookmarkStart w:id="3408" w:name="_Toc400368133"/>
      <w:bookmarkStart w:id="3409" w:name="_Toc400370315"/>
      <w:bookmarkStart w:id="3410" w:name="_Toc400372496"/>
      <w:bookmarkStart w:id="3411" w:name="_Toc400374676"/>
      <w:bookmarkStart w:id="3412" w:name="_Toc400376849"/>
      <w:bookmarkStart w:id="3413" w:name="_Toc400381185"/>
      <w:bookmarkStart w:id="3414" w:name="_Toc400383351"/>
      <w:bookmarkStart w:id="3415" w:name="_Toc400385517"/>
      <w:bookmarkStart w:id="3416" w:name="_Toc400387680"/>
      <w:bookmarkStart w:id="3417" w:name="_Toc400389841"/>
      <w:bookmarkStart w:id="3418" w:name="_Toc400392002"/>
      <w:bookmarkStart w:id="3419" w:name="_Toc400394166"/>
      <w:bookmarkStart w:id="3420" w:name="_Toc400354647"/>
      <w:bookmarkStart w:id="3421" w:name="_Toc400356912"/>
      <w:bookmarkStart w:id="3422" w:name="_Toc400359177"/>
      <w:bookmarkStart w:id="3423" w:name="_Toc400361442"/>
      <w:bookmarkStart w:id="3424" w:name="_Toc400363706"/>
      <w:bookmarkStart w:id="3425" w:name="_Toc400365937"/>
      <w:bookmarkStart w:id="3426" w:name="_Toc400368134"/>
      <w:bookmarkStart w:id="3427" w:name="_Toc400370316"/>
      <w:bookmarkStart w:id="3428" w:name="_Toc400372497"/>
      <w:bookmarkStart w:id="3429" w:name="_Toc400374677"/>
      <w:bookmarkStart w:id="3430" w:name="_Toc400376850"/>
      <w:bookmarkStart w:id="3431" w:name="_Toc400381186"/>
      <w:bookmarkStart w:id="3432" w:name="_Toc400383352"/>
      <w:bookmarkStart w:id="3433" w:name="_Toc400385518"/>
      <w:bookmarkStart w:id="3434" w:name="_Toc400387681"/>
      <w:bookmarkStart w:id="3435" w:name="_Toc400389842"/>
      <w:bookmarkStart w:id="3436" w:name="_Toc400392003"/>
      <w:bookmarkStart w:id="3437" w:name="_Toc400394167"/>
      <w:bookmarkStart w:id="3438" w:name="_Toc400354648"/>
      <w:bookmarkStart w:id="3439" w:name="_Toc400356913"/>
      <w:bookmarkStart w:id="3440" w:name="_Toc400359178"/>
      <w:bookmarkStart w:id="3441" w:name="_Toc400361443"/>
      <w:bookmarkStart w:id="3442" w:name="_Toc400363707"/>
      <w:bookmarkStart w:id="3443" w:name="_Toc400365938"/>
      <w:bookmarkStart w:id="3444" w:name="_Toc400368135"/>
      <w:bookmarkStart w:id="3445" w:name="_Toc400370317"/>
      <w:bookmarkStart w:id="3446" w:name="_Toc400372498"/>
      <w:bookmarkStart w:id="3447" w:name="_Toc400374678"/>
      <w:bookmarkStart w:id="3448" w:name="_Toc400376851"/>
      <w:bookmarkStart w:id="3449" w:name="_Toc400381187"/>
      <w:bookmarkStart w:id="3450" w:name="_Toc400383353"/>
      <w:bookmarkStart w:id="3451" w:name="_Toc400385519"/>
      <w:bookmarkStart w:id="3452" w:name="_Toc400387682"/>
      <w:bookmarkStart w:id="3453" w:name="_Toc400389843"/>
      <w:bookmarkStart w:id="3454" w:name="_Toc400392004"/>
      <w:bookmarkStart w:id="3455" w:name="_Toc400394168"/>
      <w:bookmarkStart w:id="3456" w:name="_Toc400354649"/>
      <w:bookmarkStart w:id="3457" w:name="_Toc400356914"/>
      <w:bookmarkStart w:id="3458" w:name="_Toc400359179"/>
      <w:bookmarkStart w:id="3459" w:name="_Toc400361444"/>
      <w:bookmarkStart w:id="3460" w:name="_Toc400363708"/>
      <w:bookmarkStart w:id="3461" w:name="_Toc400365939"/>
      <w:bookmarkStart w:id="3462" w:name="_Toc400368136"/>
      <w:bookmarkStart w:id="3463" w:name="_Toc400370318"/>
      <w:bookmarkStart w:id="3464" w:name="_Toc400372499"/>
      <w:bookmarkStart w:id="3465" w:name="_Toc400374679"/>
      <w:bookmarkStart w:id="3466" w:name="_Toc400376852"/>
      <w:bookmarkStart w:id="3467" w:name="_Toc400381188"/>
      <w:bookmarkStart w:id="3468" w:name="_Toc400383354"/>
      <w:bookmarkStart w:id="3469" w:name="_Toc400385520"/>
      <w:bookmarkStart w:id="3470" w:name="_Toc400387683"/>
      <w:bookmarkStart w:id="3471" w:name="_Toc400389844"/>
      <w:bookmarkStart w:id="3472" w:name="_Toc400392005"/>
      <w:bookmarkStart w:id="3473" w:name="_Toc400394169"/>
      <w:bookmarkStart w:id="3474" w:name="_Toc400354650"/>
      <w:bookmarkStart w:id="3475" w:name="_Toc400356915"/>
      <w:bookmarkStart w:id="3476" w:name="_Toc400359180"/>
      <w:bookmarkStart w:id="3477" w:name="_Toc400361445"/>
      <w:bookmarkStart w:id="3478" w:name="_Toc400363709"/>
      <w:bookmarkStart w:id="3479" w:name="_Toc400365940"/>
      <w:bookmarkStart w:id="3480" w:name="_Toc400368137"/>
      <w:bookmarkStart w:id="3481" w:name="_Toc400370319"/>
      <w:bookmarkStart w:id="3482" w:name="_Toc400372500"/>
      <w:bookmarkStart w:id="3483" w:name="_Toc400374680"/>
      <w:bookmarkStart w:id="3484" w:name="_Toc400376853"/>
      <w:bookmarkStart w:id="3485" w:name="_Toc400381189"/>
      <w:bookmarkStart w:id="3486" w:name="_Toc400383355"/>
      <w:bookmarkStart w:id="3487" w:name="_Toc400385521"/>
      <w:bookmarkStart w:id="3488" w:name="_Toc400387684"/>
      <w:bookmarkStart w:id="3489" w:name="_Toc400389845"/>
      <w:bookmarkStart w:id="3490" w:name="_Toc400392006"/>
      <w:bookmarkStart w:id="3491" w:name="_Toc400394170"/>
      <w:bookmarkStart w:id="3492" w:name="_Toc400354651"/>
      <w:bookmarkStart w:id="3493" w:name="_Toc400356916"/>
      <w:bookmarkStart w:id="3494" w:name="_Toc400359181"/>
      <w:bookmarkStart w:id="3495" w:name="_Toc400361446"/>
      <w:bookmarkStart w:id="3496" w:name="_Toc400363710"/>
      <w:bookmarkStart w:id="3497" w:name="_Toc400365941"/>
      <w:bookmarkStart w:id="3498" w:name="_Toc400368138"/>
      <w:bookmarkStart w:id="3499" w:name="_Toc400370320"/>
      <w:bookmarkStart w:id="3500" w:name="_Toc400372501"/>
      <w:bookmarkStart w:id="3501" w:name="_Toc400374681"/>
      <w:bookmarkStart w:id="3502" w:name="_Toc400376854"/>
      <w:bookmarkStart w:id="3503" w:name="_Toc400381190"/>
      <w:bookmarkStart w:id="3504" w:name="_Toc400383356"/>
      <w:bookmarkStart w:id="3505" w:name="_Toc400385522"/>
      <w:bookmarkStart w:id="3506" w:name="_Toc400387685"/>
      <w:bookmarkStart w:id="3507" w:name="_Toc400389846"/>
      <w:bookmarkStart w:id="3508" w:name="_Toc400392007"/>
      <w:bookmarkStart w:id="3509" w:name="_Toc400394171"/>
      <w:bookmarkStart w:id="3510" w:name="_Toc400354652"/>
      <w:bookmarkStart w:id="3511" w:name="_Toc400356917"/>
      <w:bookmarkStart w:id="3512" w:name="_Toc400359182"/>
      <w:bookmarkStart w:id="3513" w:name="_Toc400361447"/>
      <w:bookmarkStart w:id="3514" w:name="_Toc400363711"/>
      <w:bookmarkStart w:id="3515" w:name="_Toc400365942"/>
      <w:bookmarkStart w:id="3516" w:name="_Toc400368139"/>
      <w:bookmarkStart w:id="3517" w:name="_Toc400370321"/>
      <w:bookmarkStart w:id="3518" w:name="_Toc400372502"/>
      <w:bookmarkStart w:id="3519" w:name="_Toc400374682"/>
      <w:bookmarkStart w:id="3520" w:name="_Toc400376855"/>
      <w:bookmarkStart w:id="3521" w:name="_Toc400381191"/>
      <w:bookmarkStart w:id="3522" w:name="_Toc400383357"/>
      <w:bookmarkStart w:id="3523" w:name="_Toc400385523"/>
      <w:bookmarkStart w:id="3524" w:name="_Toc400387686"/>
      <w:bookmarkStart w:id="3525" w:name="_Toc400389847"/>
      <w:bookmarkStart w:id="3526" w:name="_Toc400392008"/>
      <w:bookmarkStart w:id="3527" w:name="_Toc400394172"/>
      <w:bookmarkStart w:id="3528" w:name="_Toc400354653"/>
      <w:bookmarkStart w:id="3529" w:name="_Toc400356918"/>
      <w:bookmarkStart w:id="3530" w:name="_Toc400359183"/>
      <w:bookmarkStart w:id="3531" w:name="_Toc400361448"/>
      <w:bookmarkStart w:id="3532" w:name="_Toc400363712"/>
      <w:bookmarkStart w:id="3533" w:name="_Toc400365943"/>
      <w:bookmarkStart w:id="3534" w:name="_Toc400368140"/>
      <w:bookmarkStart w:id="3535" w:name="_Toc400370322"/>
      <w:bookmarkStart w:id="3536" w:name="_Toc400372503"/>
      <w:bookmarkStart w:id="3537" w:name="_Toc400374683"/>
      <w:bookmarkStart w:id="3538" w:name="_Toc400376856"/>
      <w:bookmarkStart w:id="3539" w:name="_Toc400381192"/>
      <w:bookmarkStart w:id="3540" w:name="_Toc400383358"/>
      <w:bookmarkStart w:id="3541" w:name="_Toc400385524"/>
      <w:bookmarkStart w:id="3542" w:name="_Toc400387687"/>
      <w:bookmarkStart w:id="3543" w:name="_Toc400389848"/>
      <w:bookmarkStart w:id="3544" w:name="_Toc400392009"/>
      <w:bookmarkStart w:id="3545" w:name="_Toc400394173"/>
      <w:bookmarkStart w:id="3546" w:name="_Toc400354654"/>
      <w:bookmarkStart w:id="3547" w:name="_Toc400356919"/>
      <w:bookmarkStart w:id="3548" w:name="_Toc400359184"/>
      <w:bookmarkStart w:id="3549" w:name="_Toc400361449"/>
      <w:bookmarkStart w:id="3550" w:name="_Toc400363713"/>
      <w:bookmarkStart w:id="3551" w:name="_Toc400365944"/>
      <w:bookmarkStart w:id="3552" w:name="_Toc400368141"/>
      <w:bookmarkStart w:id="3553" w:name="_Toc400370323"/>
      <w:bookmarkStart w:id="3554" w:name="_Toc400372504"/>
      <w:bookmarkStart w:id="3555" w:name="_Toc400374684"/>
      <w:bookmarkStart w:id="3556" w:name="_Toc400376857"/>
      <w:bookmarkStart w:id="3557" w:name="_Toc400381193"/>
      <w:bookmarkStart w:id="3558" w:name="_Toc400383359"/>
      <w:bookmarkStart w:id="3559" w:name="_Toc400385525"/>
      <w:bookmarkStart w:id="3560" w:name="_Toc400387688"/>
      <w:bookmarkStart w:id="3561" w:name="_Toc400389849"/>
      <w:bookmarkStart w:id="3562" w:name="_Toc400392010"/>
      <w:bookmarkStart w:id="3563" w:name="_Toc400394174"/>
      <w:bookmarkStart w:id="3564" w:name="_Toc400354655"/>
      <w:bookmarkStart w:id="3565" w:name="_Toc400356920"/>
      <w:bookmarkStart w:id="3566" w:name="_Toc400359185"/>
      <w:bookmarkStart w:id="3567" w:name="_Toc400361450"/>
      <w:bookmarkStart w:id="3568" w:name="_Toc400363714"/>
      <w:bookmarkStart w:id="3569" w:name="_Toc400365945"/>
      <w:bookmarkStart w:id="3570" w:name="_Toc400368142"/>
      <w:bookmarkStart w:id="3571" w:name="_Toc400370324"/>
      <w:bookmarkStart w:id="3572" w:name="_Toc400372505"/>
      <w:bookmarkStart w:id="3573" w:name="_Toc400374685"/>
      <w:bookmarkStart w:id="3574" w:name="_Toc400376858"/>
      <w:bookmarkStart w:id="3575" w:name="_Toc400381194"/>
      <w:bookmarkStart w:id="3576" w:name="_Toc400383360"/>
      <w:bookmarkStart w:id="3577" w:name="_Toc400385526"/>
      <w:bookmarkStart w:id="3578" w:name="_Toc400387689"/>
      <w:bookmarkStart w:id="3579" w:name="_Toc400389850"/>
      <w:bookmarkStart w:id="3580" w:name="_Toc400392011"/>
      <w:bookmarkStart w:id="3581" w:name="_Toc400394175"/>
      <w:bookmarkStart w:id="3582" w:name="_Toc400354656"/>
      <w:bookmarkStart w:id="3583" w:name="_Toc400356921"/>
      <w:bookmarkStart w:id="3584" w:name="_Toc400359186"/>
      <w:bookmarkStart w:id="3585" w:name="_Toc400361451"/>
      <w:bookmarkStart w:id="3586" w:name="_Toc400363715"/>
      <w:bookmarkStart w:id="3587" w:name="_Toc400365946"/>
      <w:bookmarkStart w:id="3588" w:name="_Toc400368143"/>
      <w:bookmarkStart w:id="3589" w:name="_Toc400370325"/>
      <w:bookmarkStart w:id="3590" w:name="_Toc400372506"/>
      <w:bookmarkStart w:id="3591" w:name="_Toc400374686"/>
      <w:bookmarkStart w:id="3592" w:name="_Toc400376859"/>
      <w:bookmarkStart w:id="3593" w:name="_Toc400381195"/>
      <w:bookmarkStart w:id="3594" w:name="_Toc400383361"/>
      <w:bookmarkStart w:id="3595" w:name="_Toc400385527"/>
      <w:bookmarkStart w:id="3596" w:name="_Toc400387690"/>
      <w:bookmarkStart w:id="3597" w:name="_Toc400389851"/>
      <w:bookmarkStart w:id="3598" w:name="_Toc400392012"/>
      <w:bookmarkStart w:id="3599" w:name="_Toc400394176"/>
      <w:bookmarkStart w:id="3600" w:name="_Toc400354657"/>
      <w:bookmarkStart w:id="3601" w:name="_Toc400356922"/>
      <w:bookmarkStart w:id="3602" w:name="_Toc400359187"/>
      <w:bookmarkStart w:id="3603" w:name="_Toc400361452"/>
      <w:bookmarkStart w:id="3604" w:name="_Toc400363716"/>
      <w:bookmarkStart w:id="3605" w:name="_Toc400365947"/>
      <w:bookmarkStart w:id="3606" w:name="_Toc400368144"/>
      <w:bookmarkStart w:id="3607" w:name="_Toc400370326"/>
      <w:bookmarkStart w:id="3608" w:name="_Toc400372507"/>
      <w:bookmarkStart w:id="3609" w:name="_Toc400374687"/>
      <w:bookmarkStart w:id="3610" w:name="_Toc400376860"/>
      <w:bookmarkStart w:id="3611" w:name="_Toc400381196"/>
      <w:bookmarkStart w:id="3612" w:name="_Toc400383362"/>
      <w:bookmarkStart w:id="3613" w:name="_Toc400385528"/>
      <w:bookmarkStart w:id="3614" w:name="_Toc400387691"/>
      <w:bookmarkStart w:id="3615" w:name="_Toc400389852"/>
      <w:bookmarkStart w:id="3616" w:name="_Toc400392013"/>
      <w:bookmarkStart w:id="3617" w:name="_Toc400394177"/>
      <w:bookmarkStart w:id="3618" w:name="_Toc400354658"/>
      <w:bookmarkStart w:id="3619" w:name="_Toc400356923"/>
      <w:bookmarkStart w:id="3620" w:name="_Toc400359188"/>
      <w:bookmarkStart w:id="3621" w:name="_Toc400361453"/>
      <w:bookmarkStart w:id="3622" w:name="_Toc400363717"/>
      <w:bookmarkStart w:id="3623" w:name="_Toc400365948"/>
      <w:bookmarkStart w:id="3624" w:name="_Toc400368145"/>
      <w:bookmarkStart w:id="3625" w:name="_Toc400370327"/>
      <w:bookmarkStart w:id="3626" w:name="_Toc400372508"/>
      <w:bookmarkStart w:id="3627" w:name="_Toc400374688"/>
      <w:bookmarkStart w:id="3628" w:name="_Toc400376861"/>
      <w:bookmarkStart w:id="3629" w:name="_Toc400381197"/>
      <w:bookmarkStart w:id="3630" w:name="_Toc400383363"/>
      <w:bookmarkStart w:id="3631" w:name="_Toc400385529"/>
      <w:bookmarkStart w:id="3632" w:name="_Toc400387692"/>
      <w:bookmarkStart w:id="3633" w:name="_Toc400389853"/>
      <w:bookmarkStart w:id="3634" w:name="_Toc400392014"/>
      <w:bookmarkStart w:id="3635" w:name="_Toc400394178"/>
      <w:bookmarkStart w:id="3636" w:name="_Toc400354659"/>
      <w:bookmarkStart w:id="3637" w:name="_Toc400356924"/>
      <w:bookmarkStart w:id="3638" w:name="_Toc400359189"/>
      <w:bookmarkStart w:id="3639" w:name="_Toc400361454"/>
      <w:bookmarkStart w:id="3640" w:name="_Toc400363718"/>
      <w:bookmarkStart w:id="3641" w:name="_Toc400365949"/>
      <w:bookmarkStart w:id="3642" w:name="_Toc400368146"/>
      <w:bookmarkStart w:id="3643" w:name="_Toc400370328"/>
      <w:bookmarkStart w:id="3644" w:name="_Toc400372509"/>
      <w:bookmarkStart w:id="3645" w:name="_Toc400374689"/>
      <w:bookmarkStart w:id="3646" w:name="_Toc400376862"/>
      <w:bookmarkStart w:id="3647" w:name="_Toc400381198"/>
      <w:bookmarkStart w:id="3648" w:name="_Toc400383364"/>
      <w:bookmarkStart w:id="3649" w:name="_Toc400385530"/>
      <w:bookmarkStart w:id="3650" w:name="_Toc400387693"/>
      <w:bookmarkStart w:id="3651" w:name="_Toc400389854"/>
      <w:bookmarkStart w:id="3652" w:name="_Toc400392015"/>
      <w:bookmarkStart w:id="3653" w:name="_Toc400394179"/>
      <w:bookmarkStart w:id="3654" w:name="_Toc400354660"/>
      <w:bookmarkStart w:id="3655" w:name="_Toc400356925"/>
      <w:bookmarkStart w:id="3656" w:name="_Toc400359190"/>
      <w:bookmarkStart w:id="3657" w:name="_Toc400361455"/>
      <w:bookmarkStart w:id="3658" w:name="_Toc400363719"/>
      <w:bookmarkStart w:id="3659" w:name="_Toc400365950"/>
      <w:bookmarkStart w:id="3660" w:name="_Toc400368147"/>
      <w:bookmarkStart w:id="3661" w:name="_Toc400370329"/>
      <w:bookmarkStart w:id="3662" w:name="_Toc400372510"/>
      <w:bookmarkStart w:id="3663" w:name="_Toc400374690"/>
      <w:bookmarkStart w:id="3664" w:name="_Toc400376863"/>
      <w:bookmarkStart w:id="3665" w:name="_Toc400381199"/>
      <w:bookmarkStart w:id="3666" w:name="_Toc400383365"/>
      <w:bookmarkStart w:id="3667" w:name="_Toc400385531"/>
      <w:bookmarkStart w:id="3668" w:name="_Toc400387694"/>
      <w:bookmarkStart w:id="3669" w:name="_Toc400389855"/>
      <w:bookmarkStart w:id="3670" w:name="_Toc400392016"/>
      <w:bookmarkStart w:id="3671" w:name="_Toc400394180"/>
      <w:bookmarkStart w:id="3672" w:name="_Toc400354661"/>
      <w:bookmarkStart w:id="3673" w:name="_Toc400356926"/>
      <w:bookmarkStart w:id="3674" w:name="_Toc400359191"/>
      <w:bookmarkStart w:id="3675" w:name="_Toc400361456"/>
      <w:bookmarkStart w:id="3676" w:name="_Toc400363720"/>
      <w:bookmarkStart w:id="3677" w:name="_Toc400365951"/>
      <w:bookmarkStart w:id="3678" w:name="_Toc400368148"/>
      <w:bookmarkStart w:id="3679" w:name="_Toc400370330"/>
      <w:bookmarkStart w:id="3680" w:name="_Toc400372511"/>
      <w:bookmarkStart w:id="3681" w:name="_Toc400374691"/>
      <w:bookmarkStart w:id="3682" w:name="_Toc400376864"/>
      <w:bookmarkStart w:id="3683" w:name="_Toc400381200"/>
      <w:bookmarkStart w:id="3684" w:name="_Toc400383366"/>
      <w:bookmarkStart w:id="3685" w:name="_Toc400385532"/>
      <w:bookmarkStart w:id="3686" w:name="_Toc400387695"/>
      <w:bookmarkStart w:id="3687" w:name="_Toc400389856"/>
      <w:bookmarkStart w:id="3688" w:name="_Toc400392017"/>
      <w:bookmarkStart w:id="3689" w:name="_Toc400394181"/>
      <w:bookmarkStart w:id="3690" w:name="_Toc400354662"/>
      <w:bookmarkStart w:id="3691" w:name="_Toc400356927"/>
      <w:bookmarkStart w:id="3692" w:name="_Toc400359192"/>
      <w:bookmarkStart w:id="3693" w:name="_Toc400361457"/>
      <w:bookmarkStart w:id="3694" w:name="_Toc400363721"/>
      <w:bookmarkStart w:id="3695" w:name="_Toc400365952"/>
      <w:bookmarkStart w:id="3696" w:name="_Toc400368149"/>
      <w:bookmarkStart w:id="3697" w:name="_Toc400370331"/>
      <w:bookmarkStart w:id="3698" w:name="_Toc400372512"/>
      <w:bookmarkStart w:id="3699" w:name="_Toc400374692"/>
      <w:bookmarkStart w:id="3700" w:name="_Toc400376865"/>
      <w:bookmarkStart w:id="3701" w:name="_Toc400381201"/>
      <w:bookmarkStart w:id="3702" w:name="_Toc400383367"/>
      <w:bookmarkStart w:id="3703" w:name="_Toc400385533"/>
      <w:bookmarkStart w:id="3704" w:name="_Toc400387696"/>
      <w:bookmarkStart w:id="3705" w:name="_Toc400389857"/>
      <w:bookmarkStart w:id="3706" w:name="_Toc400392018"/>
      <w:bookmarkStart w:id="3707" w:name="_Toc400394182"/>
      <w:bookmarkStart w:id="3708" w:name="_Toc400354663"/>
      <w:bookmarkStart w:id="3709" w:name="_Toc400356928"/>
      <w:bookmarkStart w:id="3710" w:name="_Toc400359193"/>
      <w:bookmarkStart w:id="3711" w:name="_Toc400361458"/>
      <w:bookmarkStart w:id="3712" w:name="_Toc400363722"/>
      <w:bookmarkStart w:id="3713" w:name="_Toc400365953"/>
      <w:bookmarkStart w:id="3714" w:name="_Toc400368150"/>
      <w:bookmarkStart w:id="3715" w:name="_Toc400370332"/>
      <w:bookmarkStart w:id="3716" w:name="_Toc400372513"/>
      <w:bookmarkStart w:id="3717" w:name="_Toc400374693"/>
      <w:bookmarkStart w:id="3718" w:name="_Toc400376866"/>
      <w:bookmarkStart w:id="3719" w:name="_Toc400381202"/>
      <w:bookmarkStart w:id="3720" w:name="_Toc400383368"/>
      <w:bookmarkStart w:id="3721" w:name="_Toc400385534"/>
      <w:bookmarkStart w:id="3722" w:name="_Toc400387697"/>
      <w:bookmarkStart w:id="3723" w:name="_Toc400389858"/>
      <w:bookmarkStart w:id="3724" w:name="_Toc400392019"/>
      <w:bookmarkStart w:id="3725" w:name="_Toc400394183"/>
      <w:bookmarkStart w:id="3726" w:name="_Toc400354664"/>
      <w:bookmarkStart w:id="3727" w:name="_Toc400356929"/>
      <w:bookmarkStart w:id="3728" w:name="_Toc400359194"/>
      <w:bookmarkStart w:id="3729" w:name="_Toc400361459"/>
      <w:bookmarkStart w:id="3730" w:name="_Toc400363723"/>
      <w:bookmarkStart w:id="3731" w:name="_Toc400365954"/>
      <w:bookmarkStart w:id="3732" w:name="_Toc400368151"/>
      <w:bookmarkStart w:id="3733" w:name="_Toc400370333"/>
      <w:bookmarkStart w:id="3734" w:name="_Toc400372514"/>
      <w:bookmarkStart w:id="3735" w:name="_Toc400374694"/>
      <w:bookmarkStart w:id="3736" w:name="_Toc400376867"/>
      <w:bookmarkStart w:id="3737" w:name="_Toc400381203"/>
      <w:bookmarkStart w:id="3738" w:name="_Toc400383369"/>
      <w:bookmarkStart w:id="3739" w:name="_Toc400385535"/>
      <w:bookmarkStart w:id="3740" w:name="_Toc400387698"/>
      <w:bookmarkStart w:id="3741" w:name="_Toc400389859"/>
      <w:bookmarkStart w:id="3742" w:name="_Toc400392020"/>
      <w:bookmarkStart w:id="3743" w:name="_Toc400394184"/>
      <w:bookmarkStart w:id="3744" w:name="_Toc400354665"/>
      <w:bookmarkStart w:id="3745" w:name="_Toc400356930"/>
      <w:bookmarkStart w:id="3746" w:name="_Toc400359195"/>
      <w:bookmarkStart w:id="3747" w:name="_Toc400361460"/>
      <w:bookmarkStart w:id="3748" w:name="_Toc400363724"/>
      <w:bookmarkStart w:id="3749" w:name="_Toc400365955"/>
      <w:bookmarkStart w:id="3750" w:name="_Toc400368152"/>
      <w:bookmarkStart w:id="3751" w:name="_Toc400370334"/>
      <w:bookmarkStart w:id="3752" w:name="_Toc400372515"/>
      <w:bookmarkStart w:id="3753" w:name="_Toc400374695"/>
      <w:bookmarkStart w:id="3754" w:name="_Toc400376868"/>
      <w:bookmarkStart w:id="3755" w:name="_Toc400381204"/>
      <w:bookmarkStart w:id="3756" w:name="_Toc400383370"/>
      <w:bookmarkStart w:id="3757" w:name="_Toc400385536"/>
      <w:bookmarkStart w:id="3758" w:name="_Toc400387699"/>
      <w:bookmarkStart w:id="3759" w:name="_Toc400389860"/>
      <w:bookmarkStart w:id="3760" w:name="_Toc400392021"/>
      <w:bookmarkStart w:id="3761" w:name="_Toc400394185"/>
      <w:bookmarkStart w:id="3762" w:name="_Toc400354666"/>
      <w:bookmarkStart w:id="3763" w:name="_Toc400356931"/>
      <w:bookmarkStart w:id="3764" w:name="_Toc400359196"/>
      <w:bookmarkStart w:id="3765" w:name="_Toc400361461"/>
      <w:bookmarkStart w:id="3766" w:name="_Toc400363725"/>
      <w:bookmarkStart w:id="3767" w:name="_Toc400365956"/>
      <w:bookmarkStart w:id="3768" w:name="_Toc400368153"/>
      <w:bookmarkStart w:id="3769" w:name="_Toc400370335"/>
      <w:bookmarkStart w:id="3770" w:name="_Toc400372516"/>
      <w:bookmarkStart w:id="3771" w:name="_Toc400374696"/>
      <w:bookmarkStart w:id="3772" w:name="_Toc400376869"/>
      <w:bookmarkStart w:id="3773" w:name="_Toc400381205"/>
      <w:bookmarkStart w:id="3774" w:name="_Toc400383371"/>
      <w:bookmarkStart w:id="3775" w:name="_Toc400385537"/>
      <w:bookmarkStart w:id="3776" w:name="_Toc400387700"/>
      <w:bookmarkStart w:id="3777" w:name="_Toc400389861"/>
      <w:bookmarkStart w:id="3778" w:name="_Toc400392022"/>
      <w:bookmarkStart w:id="3779" w:name="_Toc400394186"/>
      <w:bookmarkStart w:id="3780" w:name="_Toc400354667"/>
      <w:bookmarkStart w:id="3781" w:name="_Toc400356932"/>
      <w:bookmarkStart w:id="3782" w:name="_Toc400359197"/>
      <w:bookmarkStart w:id="3783" w:name="_Toc400361462"/>
      <w:bookmarkStart w:id="3784" w:name="_Toc400363726"/>
      <w:bookmarkStart w:id="3785" w:name="_Toc400365957"/>
      <w:bookmarkStart w:id="3786" w:name="_Toc400368154"/>
      <w:bookmarkStart w:id="3787" w:name="_Toc400370336"/>
      <w:bookmarkStart w:id="3788" w:name="_Toc400372517"/>
      <w:bookmarkStart w:id="3789" w:name="_Toc400374697"/>
      <w:bookmarkStart w:id="3790" w:name="_Toc400376870"/>
      <w:bookmarkStart w:id="3791" w:name="_Toc400381206"/>
      <w:bookmarkStart w:id="3792" w:name="_Toc400383372"/>
      <w:bookmarkStart w:id="3793" w:name="_Toc400385538"/>
      <w:bookmarkStart w:id="3794" w:name="_Toc400387701"/>
      <w:bookmarkStart w:id="3795" w:name="_Toc400389862"/>
      <w:bookmarkStart w:id="3796" w:name="_Toc400392023"/>
      <w:bookmarkStart w:id="3797" w:name="_Toc400394187"/>
      <w:bookmarkStart w:id="3798" w:name="_Toc400354668"/>
      <w:bookmarkStart w:id="3799" w:name="_Toc400356933"/>
      <w:bookmarkStart w:id="3800" w:name="_Toc400359198"/>
      <w:bookmarkStart w:id="3801" w:name="_Toc400361463"/>
      <w:bookmarkStart w:id="3802" w:name="_Toc400363727"/>
      <w:bookmarkStart w:id="3803" w:name="_Toc400365958"/>
      <w:bookmarkStart w:id="3804" w:name="_Toc400368155"/>
      <w:bookmarkStart w:id="3805" w:name="_Toc400370337"/>
      <w:bookmarkStart w:id="3806" w:name="_Toc400372518"/>
      <w:bookmarkStart w:id="3807" w:name="_Toc400374698"/>
      <w:bookmarkStart w:id="3808" w:name="_Toc400376871"/>
      <w:bookmarkStart w:id="3809" w:name="_Toc400381207"/>
      <w:bookmarkStart w:id="3810" w:name="_Toc400383373"/>
      <w:bookmarkStart w:id="3811" w:name="_Toc400385539"/>
      <w:bookmarkStart w:id="3812" w:name="_Toc400387702"/>
      <w:bookmarkStart w:id="3813" w:name="_Toc400389863"/>
      <w:bookmarkStart w:id="3814" w:name="_Toc400392024"/>
      <w:bookmarkStart w:id="3815" w:name="_Toc400394188"/>
      <w:bookmarkStart w:id="3816" w:name="_Toc400354669"/>
      <w:bookmarkStart w:id="3817" w:name="_Toc400356934"/>
      <w:bookmarkStart w:id="3818" w:name="_Toc400359199"/>
      <w:bookmarkStart w:id="3819" w:name="_Toc400361464"/>
      <w:bookmarkStart w:id="3820" w:name="_Toc400363728"/>
      <w:bookmarkStart w:id="3821" w:name="_Toc400365959"/>
      <w:bookmarkStart w:id="3822" w:name="_Toc400368156"/>
      <w:bookmarkStart w:id="3823" w:name="_Toc400370338"/>
      <w:bookmarkStart w:id="3824" w:name="_Toc400372519"/>
      <w:bookmarkStart w:id="3825" w:name="_Toc400374699"/>
      <w:bookmarkStart w:id="3826" w:name="_Toc400376872"/>
      <w:bookmarkStart w:id="3827" w:name="_Toc400381208"/>
      <w:bookmarkStart w:id="3828" w:name="_Toc400383374"/>
      <w:bookmarkStart w:id="3829" w:name="_Toc400385540"/>
      <w:bookmarkStart w:id="3830" w:name="_Toc400387703"/>
      <w:bookmarkStart w:id="3831" w:name="_Toc400389864"/>
      <w:bookmarkStart w:id="3832" w:name="_Toc400392025"/>
      <w:bookmarkStart w:id="3833" w:name="_Toc400394189"/>
      <w:bookmarkStart w:id="3834" w:name="_Toc400354670"/>
      <w:bookmarkStart w:id="3835" w:name="_Toc400356935"/>
      <w:bookmarkStart w:id="3836" w:name="_Toc400359200"/>
      <w:bookmarkStart w:id="3837" w:name="_Toc400361465"/>
      <w:bookmarkStart w:id="3838" w:name="_Toc400363729"/>
      <w:bookmarkStart w:id="3839" w:name="_Toc400365960"/>
      <w:bookmarkStart w:id="3840" w:name="_Toc400368157"/>
      <w:bookmarkStart w:id="3841" w:name="_Toc400370339"/>
      <w:bookmarkStart w:id="3842" w:name="_Toc400372520"/>
      <w:bookmarkStart w:id="3843" w:name="_Toc400374700"/>
      <w:bookmarkStart w:id="3844" w:name="_Toc400376873"/>
      <w:bookmarkStart w:id="3845" w:name="_Toc400381209"/>
      <w:bookmarkStart w:id="3846" w:name="_Toc400383375"/>
      <w:bookmarkStart w:id="3847" w:name="_Toc400385541"/>
      <w:bookmarkStart w:id="3848" w:name="_Toc400387704"/>
      <w:bookmarkStart w:id="3849" w:name="_Toc400389865"/>
      <w:bookmarkStart w:id="3850" w:name="_Toc400392026"/>
      <w:bookmarkStart w:id="3851" w:name="_Toc400394190"/>
      <w:bookmarkStart w:id="3852" w:name="_Toc400354671"/>
      <w:bookmarkStart w:id="3853" w:name="_Toc400356936"/>
      <w:bookmarkStart w:id="3854" w:name="_Toc400359201"/>
      <w:bookmarkStart w:id="3855" w:name="_Toc400361466"/>
      <w:bookmarkStart w:id="3856" w:name="_Toc400363730"/>
      <w:bookmarkStart w:id="3857" w:name="_Toc400365961"/>
      <w:bookmarkStart w:id="3858" w:name="_Toc400368158"/>
      <w:bookmarkStart w:id="3859" w:name="_Toc400370340"/>
      <w:bookmarkStart w:id="3860" w:name="_Toc400372521"/>
      <w:bookmarkStart w:id="3861" w:name="_Toc400374701"/>
      <w:bookmarkStart w:id="3862" w:name="_Toc400376874"/>
      <w:bookmarkStart w:id="3863" w:name="_Toc400381210"/>
      <w:bookmarkStart w:id="3864" w:name="_Toc400383376"/>
      <w:bookmarkStart w:id="3865" w:name="_Toc400385542"/>
      <w:bookmarkStart w:id="3866" w:name="_Toc400387705"/>
      <w:bookmarkStart w:id="3867" w:name="_Toc400389866"/>
      <w:bookmarkStart w:id="3868" w:name="_Toc400392027"/>
      <w:bookmarkStart w:id="3869" w:name="_Toc400394191"/>
      <w:bookmarkStart w:id="3870" w:name="_Toc400354672"/>
      <w:bookmarkStart w:id="3871" w:name="_Toc400356937"/>
      <w:bookmarkStart w:id="3872" w:name="_Toc400359202"/>
      <w:bookmarkStart w:id="3873" w:name="_Toc400361467"/>
      <w:bookmarkStart w:id="3874" w:name="_Toc400363731"/>
      <w:bookmarkStart w:id="3875" w:name="_Toc400365962"/>
      <w:bookmarkStart w:id="3876" w:name="_Toc400368159"/>
      <w:bookmarkStart w:id="3877" w:name="_Toc400370341"/>
      <w:bookmarkStart w:id="3878" w:name="_Toc400372522"/>
      <w:bookmarkStart w:id="3879" w:name="_Toc400374702"/>
      <w:bookmarkStart w:id="3880" w:name="_Toc400376875"/>
      <w:bookmarkStart w:id="3881" w:name="_Toc400381211"/>
      <w:bookmarkStart w:id="3882" w:name="_Toc400383377"/>
      <w:bookmarkStart w:id="3883" w:name="_Toc400385543"/>
      <w:bookmarkStart w:id="3884" w:name="_Toc400387706"/>
      <w:bookmarkStart w:id="3885" w:name="_Toc400389867"/>
      <w:bookmarkStart w:id="3886" w:name="_Toc400392028"/>
      <w:bookmarkStart w:id="3887" w:name="_Toc400394192"/>
      <w:bookmarkStart w:id="3888" w:name="_Toc400354673"/>
      <w:bookmarkStart w:id="3889" w:name="_Toc400356938"/>
      <w:bookmarkStart w:id="3890" w:name="_Toc400359203"/>
      <w:bookmarkStart w:id="3891" w:name="_Toc400361468"/>
      <w:bookmarkStart w:id="3892" w:name="_Toc400363732"/>
      <w:bookmarkStart w:id="3893" w:name="_Toc400365963"/>
      <w:bookmarkStart w:id="3894" w:name="_Toc400368160"/>
      <w:bookmarkStart w:id="3895" w:name="_Toc400370342"/>
      <w:bookmarkStart w:id="3896" w:name="_Toc400372523"/>
      <w:bookmarkStart w:id="3897" w:name="_Toc400374703"/>
      <w:bookmarkStart w:id="3898" w:name="_Toc400376876"/>
      <w:bookmarkStart w:id="3899" w:name="_Toc400381212"/>
      <w:bookmarkStart w:id="3900" w:name="_Toc400383378"/>
      <w:bookmarkStart w:id="3901" w:name="_Toc400385544"/>
      <w:bookmarkStart w:id="3902" w:name="_Toc400387707"/>
      <w:bookmarkStart w:id="3903" w:name="_Toc400389868"/>
      <w:bookmarkStart w:id="3904" w:name="_Toc400392029"/>
      <w:bookmarkStart w:id="3905" w:name="_Toc400394193"/>
      <w:bookmarkStart w:id="3906" w:name="_Toc400354674"/>
      <w:bookmarkStart w:id="3907" w:name="_Toc400356939"/>
      <w:bookmarkStart w:id="3908" w:name="_Toc400359204"/>
      <w:bookmarkStart w:id="3909" w:name="_Toc400361469"/>
      <w:bookmarkStart w:id="3910" w:name="_Toc400363733"/>
      <w:bookmarkStart w:id="3911" w:name="_Toc400365964"/>
      <w:bookmarkStart w:id="3912" w:name="_Toc400368161"/>
      <w:bookmarkStart w:id="3913" w:name="_Toc400370343"/>
      <w:bookmarkStart w:id="3914" w:name="_Toc400372524"/>
      <w:bookmarkStart w:id="3915" w:name="_Toc400374704"/>
      <w:bookmarkStart w:id="3916" w:name="_Toc400376877"/>
      <w:bookmarkStart w:id="3917" w:name="_Toc400381213"/>
      <w:bookmarkStart w:id="3918" w:name="_Toc400383379"/>
      <w:bookmarkStart w:id="3919" w:name="_Toc400385545"/>
      <w:bookmarkStart w:id="3920" w:name="_Toc400387708"/>
      <w:bookmarkStart w:id="3921" w:name="_Toc400389869"/>
      <w:bookmarkStart w:id="3922" w:name="_Toc400392030"/>
      <w:bookmarkStart w:id="3923" w:name="_Toc400394194"/>
      <w:bookmarkStart w:id="3924" w:name="_Toc400354675"/>
      <w:bookmarkStart w:id="3925" w:name="_Toc400356940"/>
      <w:bookmarkStart w:id="3926" w:name="_Toc400359205"/>
      <w:bookmarkStart w:id="3927" w:name="_Toc400361470"/>
      <w:bookmarkStart w:id="3928" w:name="_Toc400363734"/>
      <w:bookmarkStart w:id="3929" w:name="_Toc400365965"/>
      <w:bookmarkStart w:id="3930" w:name="_Toc400368162"/>
      <w:bookmarkStart w:id="3931" w:name="_Toc400370344"/>
      <w:bookmarkStart w:id="3932" w:name="_Toc400372525"/>
      <w:bookmarkStart w:id="3933" w:name="_Toc400374705"/>
      <w:bookmarkStart w:id="3934" w:name="_Toc400376878"/>
      <w:bookmarkStart w:id="3935" w:name="_Toc400381214"/>
      <w:bookmarkStart w:id="3936" w:name="_Toc400383380"/>
      <w:bookmarkStart w:id="3937" w:name="_Toc400385546"/>
      <w:bookmarkStart w:id="3938" w:name="_Toc400387709"/>
      <w:bookmarkStart w:id="3939" w:name="_Toc400389870"/>
      <w:bookmarkStart w:id="3940" w:name="_Toc400392031"/>
      <w:bookmarkStart w:id="3941" w:name="_Toc400394195"/>
      <w:bookmarkStart w:id="3942" w:name="_Toc400354676"/>
      <w:bookmarkStart w:id="3943" w:name="_Toc400356941"/>
      <w:bookmarkStart w:id="3944" w:name="_Toc400359206"/>
      <w:bookmarkStart w:id="3945" w:name="_Toc400361471"/>
      <w:bookmarkStart w:id="3946" w:name="_Toc400363735"/>
      <w:bookmarkStart w:id="3947" w:name="_Toc400365966"/>
      <w:bookmarkStart w:id="3948" w:name="_Toc400368163"/>
      <w:bookmarkStart w:id="3949" w:name="_Toc400370345"/>
      <w:bookmarkStart w:id="3950" w:name="_Toc400372526"/>
      <w:bookmarkStart w:id="3951" w:name="_Toc400374706"/>
      <w:bookmarkStart w:id="3952" w:name="_Toc400376879"/>
      <w:bookmarkStart w:id="3953" w:name="_Toc400381215"/>
      <w:bookmarkStart w:id="3954" w:name="_Toc400383381"/>
      <w:bookmarkStart w:id="3955" w:name="_Toc400385547"/>
      <w:bookmarkStart w:id="3956" w:name="_Toc400387710"/>
      <w:bookmarkStart w:id="3957" w:name="_Toc400389871"/>
      <w:bookmarkStart w:id="3958" w:name="_Toc400392032"/>
      <w:bookmarkStart w:id="3959" w:name="_Toc400394196"/>
      <w:bookmarkStart w:id="3960" w:name="_Toc400354677"/>
      <w:bookmarkStart w:id="3961" w:name="_Toc400356942"/>
      <w:bookmarkStart w:id="3962" w:name="_Toc400359207"/>
      <w:bookmarkStart w:id="3963" w:name="_Toc400361472"/>
      <w:bookmarkStart w:id="3964" w:name="_Toc400363736"/>
      <w:bookmarkStart w:id="3965" w:name="_Toc400365967"/>
      <w:bookmarkStart w:id="3966" w:name="_Toc400368164"/>
      <w:bookmarkStart w:id="3967" w:name="_Toc400370346"/>
      <w:bookmarkStart w:id="3968" w:name="_Toc400372527"/>
      <w:bookmarkStart w:id="3969" w:name="_Toc400374707"/>
      <w:bookmarkStart w:id="3970" w:name="_Toc400376880"/>
      <w:bookmarkStart w:id="3971" w:name="_Toc400381216"/>
      <w:bookmarkStart w:id="3972" w:name="_Toc400383382"/>
      <w:bookmarkStart w:id="3973" w:name="_Toc400385548"/>
      <w:bookmarkStart w:id="3974" w:name="_Toc400387711"/>
      <w:bookmarkStart w:id="3975" w:name="_Toc400389872"/>
      <w:bookmarkStart w:id="3976" w:name="_Toc400392033"/>
      <w:bookmarkStart w:id="3977" w:name="_Toc400394197"/>
      <w:bookmarkStart w:id="3978" w:name="_Toc400354678"/>
      <w:bookmarkStart w:id="3979" w:name="_Toc400356943"/>
      <w:bookmarkStart w:id="3980" w:name="_Toc400359208"/>
      <w:bookmarkStart w:id="3981" w:name="_Toc400361473"/>
      <w:bookmarkStart w:id="3982" w:name="_Toc400363737"/>
      <w:bookmarkStart w:id="3983" w:name="_Toc400365968"/>
      <w:bookmarkStart w:id="3984" w:name="_Toc400368165"/>
      <w:bookmarkStart w:id="3985" w:name="_Toc400370347"/>
      <w:bookmarkStart w:id="3986" w:name="_Toc400372528"/>
      <w:bookmarkStart w:id="3987" w:name="_Toc400374708"/>
      <w:bookmarkStart w:id="3988" w:name="_Toc400376881"/>
      <w:bookmarkStart w:id="3989" w:name="_Toc400381217"/>
      <w:bookmarkStart w:id="3990" w:name="_Toc400383383"/>
      <w:bookmarkStart w:id="3991" w:name="_Toc400385549"/>
      <w:bookmarkStart w:id="3992" w:name="_Toc400387712"/>
      <w:bookmarkStart w:id="3993" w:name="_Toc400389873"/>
      <w:bookmarkStart w:id="3994" w:name="_Toc400392034"/>
      <w:bookmarkStart w:id="3995" w:name="_Toc400394198"/>
      <w:bookmarkStart w:id="3996" w:name="_Toc400354679"/>
      <w:bookmarkStart w:id="3997" w:name="_Toc400356944"/>
      <w:bookmarkStart w:id="3998" w:name="_Toc400359209"/>
      <w:bookmarkStart w:id="3999" w:name="_Toc400361474"/>
      <w:bookmarkStart w:id="4000" w:name="_Toc400363738"/>
      <w:bookmarkStart w:id="4001" w:name="_Toc400365969"/>
      <w:bookmarkStart w:id="4002" w:name="_Toc400368166"/>
      <w:bookmarkStart w:id="4003" w:name="_Toc400370348"/>
      <w:bookmarkStart w:id="4004" w:name="_Toc400372529"/>
      <w:bookmarkStart w:id="4005" w:name="_Toc400374709"/>
      <w:bookmarkStart w:id="4006" w:name="_Toc400376882"/>
      <w:bookmarkStart w:id="4007" w:name="_Toc400381218"/>
      <w:bookmarkStart w:id="4008" w:name="_Toc400383384"/>
      <w:bookmarkStart w:id="4009" w:name="_Toc400385550"/>
      <w:bookmarkStart w:id="4010" w:name="_Toc400387713"/>
      <w:bookmarkStart w:id="4011" w:name="_Toc400389874"/>
      <w:bookmarkStart w:id="4012" w:name="_Toc400392035"/>
      <w:bookmarkStart w:id="4013" w:name="_Toc400394199"/>
      <w:bookmarkStart w:id="4014" w:name="_Toc400354680"/>
      <w:bookmarkStart w:id="4015" w:name="_Toc400356945"/>
      <w:bookmarkStart w:id="4016" w:name="_Toc400359210"/>
      <w:bookmarkStart w:id="4017" w:name="_Toc400361475"/>
      <w:bookmarkStart w:id="4018" w:name="_Toc400363739"/>
      <w:bookmarkStart w:id="4019" w:name="_Toc400365970"/>
      <w:bookmarkStart w:id="4020" w:name="_Toc400368167"/>
      <w:bookmarkStart w:id="4021" w:name="_Toc400370349"/>
      <w:bookmarkStart w:id="4022" w:name="_Toc400372530"/>
      <w:bookmarkStart w:id="4023" w:name="_Toc400374710"/>
      <w:bookmarkStart w:id="4024" w:name="_Toc400376883"/>
      <w:bookmarkStart w:id="4025" w:name="_Toc400381219"/>
      <w:bookmarkStart w:id="4026" w:name="_Toc400383385"/>
      <w:bookmarkStart w:id="4027" w:name="_Toc400385551"/>
      <w:bookmarkStart w:id="4028" w:name="_Toc400387714"/>
      <w:bookmarkStart w:id="4029" w:name="_Toc400389875"/>
      <w:bookmarkStart w:id="4030" w:name="_Toc400392036"/>
      <w:bookmarkStart w:id="4031" w:name="_Toc400394200"/>
      <w:bookmarkStart w:id="4032" w:name="_Toc400354681"/>
      <w:bookmarkStart w:id="4033" w:name="_Toc400356946"/>
      <w:bookmarkStart w:id="4034" w:name="_Toc400359211"/>
      <w:bookmarkStart w:id="4035" w:name="_Toc400361476"/>
      <w:bookmarkStart w:id="4036" w:name="_Toc400363740"/>
      <w:bookmarkStart w:id="4037" w:name="_Toc400365971"/>
      <w:bookmarkStart w:id="4038" w:name="_Toc400368168"/>
      <w:bookmarkStart w:id="4039" w:name="_Toc400370350"/>
      <w:bookmarkStart w:id="4040" w:name="_Toc400372531"/>
      <w:bookmarkStart w:id="4041" w:name="_Toc400374711"/>
      <w:bookmarkStart w:id="4042" w:name="_Toc400376884"/>
      <w:bookmarkStart w:id="4043" w:name="_Toc400381220"/>
      <w:bookmarkStart w:id="4044" w:name="_Toc400383386"/>
      <w:bookmarkStart w:id="4045" w:name="_Toc400385552"/>
      <w:bookmarkStart w:id="4046" w:name="_Toc400387715"/>
      <w:bookmarkStart w:id="4047" w:name="_Toc400389876"/>
      <w:bookmarkStart w:id="4048" w:name="_Toc400392037"/>
      <w:bookmarkStart w:id="4049" w:name="_Toc400394201"/>
      <w:bookmarkStart w:id="4050" w:name="_Toc400354682"/>
      <w:bookmarkStart w:id="4051" w:name="_Toc400356947"/>
      <w:bookmarkStart w:id="4052" w:name="_Toc400359212"/>
      <w:bookmarkStart w:id="4053" w:name="_Toc400361477"/>
      <w:bookmarkStart w:id="4054" w:name="_Toc400363741"/>
      <w:bookmarkStart w:id="4055" w:name="_Toc400365972"/>
      <w:bookmarkStart w:id="4056" w:name="_Toc400368169"/>
      <w:bookmarkStart w:id="4057" w:name="_Toc400370351"/>
      <w:bookmarkStart w:id="4058" w:name="_Toc400372532"/>
      <w:bookmarkStart w:id="4059" w:name="_Toc400374712"/>
      <w:bookmarkStart w:id="4060" w:name="_Toc400376885"/>
      <w:bookmarkStart w:id="4061" w:name="_Toc400381221"/>
      <w:bookmarkStart w:id="4062" w:name="_Toc400383387"/>
      <w:bookmarkStart w:id="4063" w:name="_Toc400385553"/>
      <w:bookmarkStart w:id="4064" w:name="_Toc400387716"/>
      <w:bookmarkStart w:id="4065" w:name="_Toc400389877"/>
      <w:bookmarkStart w:id="4066" w:name="_Toc400392038"/>
      <w:bookmarkStart w:id="4067" w:name="_Toc400394202"/>
      <w:bookmarkStart w:id="4068" w:name="_Toc400354691"/>
      <w:bookmarkStart w:id="4069" w:name="_Toc400356956"/>
      <w:bookmarkStart w:id="4070" w:name="_Toc400359221"/>
      <w:bookmarkStart w:id="4071" w:name="_Toc400361486"/>
      <w:bookmarkStart w:id="4072" w:name="_Toc400363750"/>
      <w:bookmarkStart w:id="4073" w:name="_Toc400365981"/>
      <w:bookmarkStart w:id="4074" w:name="_Toc400368178"/>
      <w:bookmarkStart w:id="4075" w:name="_Toc400370360"/>
      <w:bookmarkStart w:id="4076" w:name="_Toc400372541"/>
      <w:bookmarkStart w:id="4077" w:name="_Toc400374721"/>
      <w:bookmarkStart w:id="4078" w:name="_Toc400376894"/>
      <w:bookmarkStart w:id="4079" w:name="_Toc400381230"/>
      <w:bookmarkStart w:id="4080" w:name="_Toc400383396"/>
      <w:bookmarkStart w:id="4081" w:name="_Toc400385562"/>
      <w:bookmarkStart w:id="4082" w:name="_Toc400387725"/>
      <w:bookmarkStart w:id="4083" w:name="_Toc400389886"/>
      <w:bookmarkStart w:id="4084" w:name="_Toc400392047"/>
      <w:bookmarkStart w:id="4085" w:name="_Toc400394211"/>
      <w:bookmarkStart w:id="4086" w:name="_Toc400354788"/>
      <w:bookmarkStart w:id="4087" w:name="_Toc400357053"/>
      <w:bookmarkStart w:id="4088" w:name="_Toc400359318"/>
      <w:bookmarkStart w:id="4089" w:name="_Toc400361583"/>
      <w:bookmarkStart w:id="4090" w:name="_Toc400363847"/>
      <w:bookmarkStart w:id="4091" w:name="_Toc400366078"/>
      <w:bookmarkStart w:id="4092" w:name="_Toc400368275"/>
      <w:bookmarkStart w:id="4093" w:name="_Toc400370457"/>
      <w:bookmarkStart w:id="4094" w:name="_Toc400372638"/>
      <w:bookmarkStart w:id="4095" w:name="_Toc400374818"/>
      <w:bookmarkStart w:id="4096" w:name="_Toc400376991"/>
      <w:bookmarkStart w:id="4097" w:name="_Toc400381327"/>
      <w:bookmarkStart w:id="4098" w:name="_Toc400383493"/>
      <w:bookmarkStart w:id="4099" w:name="_Toc400385659"/>
      <w:bookmarkStart w:id="4100" w:name="_Toc400387822"/>
      <w:bookmarkStart w:id="4101" w:name="_Toc400389983"/>
      <w:bookmarkStart w:id="4102" w:name="_Toc400392144"/>
      <w:bookmarkStart w:id="4103" w:name="_Toc400394308"/>
      <w:bookmarkStart w:id="4104" w:name="_Toc400354824"/>
      <w:bookmarkStart w:id="4105" w:name="_Toc400357089"/>
      <w:bookmarkStart w:id="4106" w:name="_Toc400359354"/>
      <w:bookmarkStart w:id="4107" w:name="_Toc400361619"/>
      <w:bookmarkStart w:id="4108" w:name="_Toc400363883"/>
      <w:bookmarkStart w:id="4109" w:name="_Toc400366114"/>
      <w:bookmarkStart w:id="4110" w:name="_Toc400368311"/>
      <w:bookmarkStart w:id="4111" w:name="_Toc400370493"/>
      <w:bookmarkStart w:id="4112" w:name="_Toc400372674"/>
      <w:bookmarkStart w:id="4113" w:name="_Toc400374854"/>
      <w:bookmarkStart w:id="4114" w:name="_Toc400377027"/>
      <w:bookmarkStart w:id="4115" w:name="_Toc400381363"/>
      <w:bookmarkStart w:id="4116" w:name="_Toc400383529"/>
      <w:bookmarkStart w:id="4117" w:name="_Toc400385695"/>
      <w:bookmarkStart w:id="4118" w:name="_Toc400387858"/>
      <w:bookmarkStart w:id="4119" w:name="_Toc400390019"/>
      <w:bookmarkStart w:id="4120" w:name="_Toc400392180"/>
      <w:bookmarkStart w:id="4121" w:name="_Toc400394344"/>
      <w:bookmarkStart w:id="4122" w:name="_Toc400354838"/>
      <w:bookmarkStart w:id="4123" w:name="_Toc400357103"/>
      <w:bookmarkStart w:id="4124" w:name="_Toc400359368"/>
      <w:bookmarkStart w:id="4125" w:name="_Toc400361633"/>
      <w:bookmarkStart w:id="4126" w:name="_Toc400363897"/>
      <w:bookmarkStart w:id="4127" w:name="_Toc400366128"/>
      <w:bookmarkStart w:id="4128" w:name="_Toc400368325"/>
      <w:bookmarkStart w:id="4129" w:name="_Toc400370507"/>
      <w:bookmarkStart w:id="4130" w:name="_Toc400372688"/>
      <w:bookmarkStart w:id="4131" w:name="_Toc400374868"/>
      <w:bookmarkStart w:id="4132" w:name="_Toc400377041"/>
      <w:bookmarkStart w:id="4133" w:name="_Toc400381377"/>
      <w:bookmarkStart w:id="4134" w:name="_Toc400383543"/>
      <w:bookmarkStart w:id="4135" w:name="_Toc400385709"/>
      <w:bookmarkStart w:id="4136" w:name="_Toc400387872"/>
      <w:bookmarkStart w:id="4137" w:name="_Toc400390033"/>
      <w:bookmarkStart w:id="4138" w:name="_Toc400392194"/>
      <w:bookmarkStart w:id="4139" w:name="_Toc400394358"/>
      <w:bookmarkStart w:id="4140" w:name="_Toc400354852"/>
      <w:bookmarkStart w:id="4141" w:name="_Toc400357117"/>
      <w:bookmarkStart w:id="4142" w:name="_Toc400359382"/>
      <w:bookmarkStart w:id="4143" w:name="_Toc400361647"/>
      <w:bookmarkStart w:id="4144" w:name="_Toc400363911"/>
      <w:bookmarkStart w:id="4145" w:name="_Toc400366142"/>
      <w:bookmarkStart w:id="4146" w:name="_Toc400368339"/>
      <w:bookmarkStart w:id="4147" w:name="_Toc400370521"/>
      <w:bookmarkStart w:id="4148" w:name="_Toc400372702"/>
      <w:bookmarkStart w:id="4149" w:name="_Toc400374882"/>
      <w:bookmarkStart w:id="4150" w:name="_Toc400377055"/>
      <w:bookmarkStart w:id="4151" w:name="_Toc400381391"/>
      <w:bookmarkStart w:id="4152" w:name="_Toc400383557"/>
      <w:bookmarkStart w:id="4153" w:name="_Toc400385723"/>
      <w:bookmarkStart w:id="4154" w:name="_Toc400387886"/>
      <w:bookmarkStart w:id="4155" w:name="_Toc400390047"/>
      <w:bookmarkStart w:id="4156" w:name="_Toc400392208"/>
      <w:bookmarkStart w:id="4157" w:name="_Toc400394372"/>
      <w:bookmarkStart w:id="4158" w:name="_Toc400354867"/>
      <w:bookmarkStart w:id="4159" w:name="_Toc400357132"/>
      <w:bookmarkStart w:id="4160" w:name="_Toc400359397"/>
      <w:bookmarkStart w:id="4161" w:name="_Toc400361662"/>
      <w:bookmarkStart w:id="4162" w:name="_Toc400363926"/>
      <w:bookmarkStart w:id="4163" w:name="_Toc400366157"/>
      <w:bookmarkStart w:id="4164" w:name="_Toc400368354"/>
      <w:bookmarkStart w:id="4165" w:name="_Toc400370536"/>
      <w:bookmarkStart w:id="4166" w:name="_Toc400372717"/>
      <w:bookmarkStart w:id="4167" w:name="_Toc400374897"/>
      <w:bookmarkStart w:id="4168" w:name="_Toc400377070"/>
      <w:bookmarkStart w:id="4169" w:name="_Toc400381406"/>
      <w:bookmarkStart w:id="4170" w:name="_Toc400383572"/>
      <w:bookmarkStart w:id="4171" w:name="_Toc400385738"/>
      <w:bookmarkStart w:id="4172" w:name="_Toc400387901"/>
      <w:bookmarkStart w:id="4173" w:name="_Toc400390062"/>
      <w:bookmarkStart w:id="4174" w:name="_Toc400392223"/>
      <w:bookmarkStart w:id="4175" w:name="_Toc400394387"/>
      <w:bookmarkStart w:id="4176" w:name="_Toc400354880"/>
      <w:bookmarkStart w:id="4177" w:name="_Toc400357145"/>
      <w:bookmarkStart w:id="4178" w:name="_Toc400359410"/>
      <w:bookmarkStart w:id="4179" w:name="_Toc400361675"/>
      <w:bookmarkStart w:id="4180" w:name="_Toc400363939"/>
      <w:bookmarkStart w:id="4181" w:name="_Toc400366170"/>
      <w:bookmarkStart w:id="4182" w:name="_Toc400368367"/>
      <w:bookmarkStart w:id="4183" w:name="_Toc400370549"/>
      <w:bookmarkStart w:id="4184" w:name="_Toc400372730"/>
      <w:bookmarkStart w:id="4185" w:name="_Toc400374910"/>
      <w:bookmarkStart w:id="4186" w:name="_Toc400377083"/>
      <w:bookmarkStart w:id="4187" w:name="_Toc400381419"/>
      <w:bookmarkStart w:id="4188" w:name="_Toc400383585"/>
      <w:bookmarkStart w:id="4189" w:name="_Toc400385751"/>
      <w:bookmarkStart w:id="4190" w:name="_Toc400387914"/>
      <w:bookmarkStart w:id="4191" w:name="_Toc400390075"/>
      <w:bookmarkStart w:id="4192" w:name="_Toc400392236"/>
      <w:bookmarkStart w:id="4193" w:name="_Toc400394400"/>
      <w:bookmarkStart w:id="4194" w:name="_Toc400354894"/>
      <w:bookmarkStart w:id="4195" w:name="_Toc400357159"/>
      <w:bookmarkStart w:id="4196" w:name="_Toc400359424"/>
      <w:bookmarkStart w:id="4197" w:name="_Toc400361689"/>
      <w:bookmarkStart w:id="4198" w:name="_Toc400363953"/>
      <w:bookmarkStart w:id="4199" w:name="_Toc400366184"/>
      <w:bookmarkStart w:id="4200" w:name="_Toc400368381"/>
      <w:bookmarkStart w:id="4201" w:name="_Toc400370563"/>
      <w:bookmarkStart w:id="4202" w:name="_Toc400372744"/>
      <w:bookmarkStart w:id="4203" w:name="_Toc400374924"/>
      <w:bookmarkStart w:id="4204" w:name="_Toc400377097"/>
      <w:bookmarkStart w:id="4205" w:name="_Toc400381433"/>
      <w:bookmarkStart w:id="4206" w:name="_Toc400383599"/>
      <w:bookmarkStart w:id="4207" w:name="_Toc400385765"/>
      <w:bookmarkStart w:id="4208" w:name="_Toc400387928"/>
      <w:bookmarkStart w:id="4209" w:name="_Toc400390089"/>
      <w:bookmarkStart w:id="4210" w:name="_Toc400392250"/>
      <w:bookmarkStart w:id="4211" w:name="_Toc400394414"/>
      <w:bookmarkStart w:id="4212" w:name="_Toc400354908"/>
      <w:bookmarkStart w:id="4213" w:name="_Toc400357173"/>
      <w:bookmarkStart w:id="4214" w:name="_Toc400359438"/>
      <w:bookmarkStart w:id="4215" w:name="_Toc400361703"/>
      <w:bookmarkStart w:id="4216" w:name="_Toc400363967"/>
      <w:bookmarkStart w:id="4217" w:name="_Toc400366198"/>
      <w:bookmarkStart w:id="4218" w:name="_Toc400368395"/>
      <w:bookmarkStart w:id="4219" w:name="_Toc400370577"/>
      <w:bookmarkStart w:id="4220" w:name="_Toc400372758"/>
      <w:bookmarkStart w:id="4221" w:name="_Toc400374938"/>
      <w:bookmarkStart w:id="4222" w:name="_Toc400377111"/>
      <w:bookmarkStart w:id="4223" w:name="_Toc400381447"/>
      <w:bookmarkStart w:id="4224" w:name="_Toc400383613"/>
      <w:bookmarkStart w:id="4225" w:name="_Toc400385779"/>
      <w:bookmarkStart w:id="4226" w:name="_Toc400387942"/>
      <w:bookmarkStart w:id="4227" w:name="_Toc400390103"/>
      <w:bookmarkStart w:id="4228" w:name="_Toc400392264"/>
      <w:bookmarkStart w:id="4229" w:name="_Toc400394428"/>
      <w:bookmarkStart w:id="4230" w:name="_Toc400354921"/>
      <w:bookmarkStart w:id="4231" w:name="_Toc400357186"/>
      <w:bookmarkStart w:id="4232" w:name="_Toc400359451"/>
      <w:bookmarkStart w:id="4233" w:name="_Toc400361716"/>
      <w:bookmarkStart w:id="4234" w:name="_Toc400363980"/>
      <w:bookmarkStart w:id="4235" w:name="_Toc400366211"/>
      <w:bookmarkStart w:id="4236" w:name="_Toc400368408"/>
      <w:bookmarkStart w:id="4237" w:name="_Toc400370590"/>
      <w:bookmarkStart w:id="4238" w:name="_Toc400372771"/>
      <w:bookmarkStart w:id="4239" w:name="_Toc400374951"/>
      <w:bookmarkStart w:id="4240" w:name="_Toc400377124"/>
      <w:bookmarkStart w:id="4241" w:name="_Toc400381460"/>
      <w:bookmarkStart w:id="4242" w:name="_Toc400383626"/>
      <w:bookmarkStart w:id="4243" w:name="_Toc400385792"/>
      <w:bookmarkStart w:id="4244" w:name="_Toc400387955"/>
      <w:bookmarkStart w:id="4245" w:name="_Toc400390116"/>
      <w:bookmarkStart w:id="4246" w:name="_Toc400392277"/>
      <w:bookmarkStart w:id="4247" w:name="_Toc400394441"/>
      <w:bookmarkStart w:id="4248" w:name="_Toc400354934"/>
      <w:bookmarkStart w:id="4249" w:name="_Toc400357199"/>
      <w:bookmarkStart w:id="4250" w:name="_Toc400359464"/>
      <w:bookmarkStart w:id="4251" w:name="_Toc400361729"/>
      <w:bookmarkStart w:id="4252" w:name="_Toc400363993"/>
      <w:bookmarkStart w:id="4253" w:name="_Toc400366224"/>
      <w:bookmarkStart w:id="4254" w:name="_Toc400368421"/>
      <w:bookmarkStart w:id="4255" w:name="_Toc400370603"/>
      <w:bookmarkStart w:id="4256" w:name="_Toc400372784"/>
      <w:bookmarkStart w:id="4257" w:name="_Toc400374964"/>
      <w:bookmarkStart w:id="4258" w:name="_Toc400377137"/>
      <w:bookmarkStart w:id="4259" w:name="_Toc400381473"/>
      <w:bookmarkStart w:id="4260" w:name="_Toc400383639"/>
      <w:bookmarkStart w:id="4261" w:name="_Toc400385805"/>
      <w:bookmarkStart w:id="4262" w:name="_Toc400387968"/>
      <w:bookmarkStart w:id="4263" w:name="_Toc400390129"/>
      <w:bookmarkStart w:id="4264" w:name="_Toc400392290"/>
      <w:bookmarkStart w:id="4265" w:name="_Toc400394454"/>
      <w:bookmarkStart w:id="4266" w:name="_Toc400354950"/>
      <w:bookmarkStart w:id="4267" w:name="_Toc400357215"/>
      <w:bookmarkStart w:id="4268" w:name="_Toc400359480"/>
      <w:bookmarkStart w:id="4269" w:name="_Toc400361745"/>
      <w:bookmarkStart w:id="4270" w:name="_Toc400364009"/>
      <w:bookmarkStart w:id="4271" w:name="_Toc400366240"/>
      <w:bookmarkStart w:id="4272" w:name="_Toc400368437"/>
      <w:bookmarkStart w:id="4273" w:name="_Toc400370619"/>
      <w:bookmarkStart w:id="4274" w:name="_Toc400372800"/>
      <w:bookmarkStart w:id="4275" w:name="_Toc400374980"/>
      <w:bookmarkStart w:id="4276" w:name="_Toc400377153"/>
      <w:bookmarkStart w:id="4277" w:name="_Toc400381489"/>
      <w:bookmarkStart w:id="4278" w:name="_Toc400383655"/>
      <w:bookmarkStart w:id="4279" w:name="_Toc400385821"/>
      <w:bookmarkStart w:id="4280" w:name="_Toc400387984"/>
      <w:bookmarkStart w:id="4281" w:name="_Toc400390145"/>
      <w:bookmarkStart w:id="4282" w:name="_Toc400392306"/>
      <w:bookmarkStart w:id="4283" w:name="_Toc400394470"/>
      <w:bookmarkStart w:id="4284" w:name="_Toc400354963"/>
      <w:bookmarkStart w:id="4285" w:name="_Toc400357228"/>
      <w:bookmarkStart w:id="4286" w:name="_Toc400359493"/>
      <w:bookmarkStart w:id="4287" w:name="_Toc400361758"/>
      <w:bookmarkStart w:id="4288" w:name="_Toc400364022"/>
      <w:bookmarkStart w:id="4289" w:name="_Toc400366253"/>
      <w:bookmarkStart w:id="4290" w:name="_Toc400368450"/>
      <w:bookmarkStart w:id="4291" w:name="_Toc400370632"/>
      <w:bookmarkStart w:id="4292" w:name="_Toc400372813"/>
      <w:bookmarkStart w:id="4293" w:name="_Toc400374993"/>
      <w:bookmarkStart w:id="4294" w:name="_Toc400377166"/>
      <w:bookmarkStart w:id="4295" w:name="_Toc400381502"/>
      <w:bookmarkStart w:id="4296" w:name="_Toc400383668"/>
      <w:bookmarkStart w:id="4297" w:name="_Toc400385834"/>
      <w:bookmarkStart w:id="4298" w:name="_Toc400387997"/>
      <w:bookmarkStart w:id="4299" w:name="_Toc400390158"/>
      <w:bookmarkStart w:id="4300" w:name="_Toc400392319"/>
      <w:bookmarkStart w:id="4301" w:name="_Toc400394483"/>
      <w:bookmarkStart w:id="4302" w:name="_Toc400355002"/>
      <w:bookmarkStart w:id="4303" w:name="_Toc400357267"/>
      <w:bookmarkStart w:id="4304" w:name="_Toc400359532"/>
      <w:bookmarkStart w:id="4305" w:name="_Toc400361797"/>
      <w:bookmarkStart w:id="4306" w:name="_Toc400364061"/>
      <w:bookmarkStart w:id="4307" w:name="_Toc400366292"/>
      <w:bookmarkStart w:id="4308" w:name="_Toc400368489"/>
      <w:bookmarkStart w:id="4309" w:name="_Toc400370671"/>
      <w:bookmarkStart w:id="4310" w:name="_Toc400372852"/>
      <w:bookmarkStart w:id="4311" w:name="_Toc400375032"/>
      <w:bookmarkStart w:id="4312" w:name="_Toc400377205"/>
      <w:bookmarkStart w:id="4313" w:name="_Toc400381541"/>
      <w:bookmarkStart w:id="4314" w:name="_Toc400383707"/>
      <w:bookmarkStart w:id="4315" w:name="_Toc400385873"/>
      <w:bookmarkStart w:id="4316" w:name="_Toc400388036"/>
      <w:bookmarkStart w:id="4317" w:name="_Toc400390197"/>
      <w:bookmarkStart w:id="4318" w:name="_Toc400392358"/>
      <w:bookmarkStart w:id="4319" w:name="_Toc400394522"/>
      <w:bookmarkStart w:id="4320" w:name="_Toc400355015"/>
      <w:bookmarkStart w:id="4321" w:name="_Toc400357280"/>
      <w:bookmarkStart w:id="4322" w:name="_Toc400359545"/>
      <w:bookmarkStart w:id="4323" w:name="_Toc400361810"/>
      <w:bookmarkStart w:id="4324" w:name="_Toc400364074"/>
      <w:bookmarkStart w:id="4325" w:name="_Toc400366305"/>
      <w:bookmarkStart w:id="4326" w:name="_Toc400368502"/>
      <w:bookmarkStart w:id="4327" w:name="_Toc400370684"/>
      <w:bookmarkStart w:id="4328" w:name="_Toc400372865"/>
      <w:bookmarkStart w:id="4329" w:name="_Toc400375045"/>
      <w:bookmarkStart w:id="4330" w:name="_Toc400377218"/>
      <w:bookmarkStart w:id="4331" w:name="_Toc400381554"/>
      <w:bookmarkStart w:id="4332" w:name="_Toc400383720"/>
      <w:bookmarkStart w:id="4333" w:name="_Toc400385886"/>
      <w:bookmarkStart w:id="4334" w:name="_Toc400388049"/>
      <w:bookmarkStart w:id="4335" w:name="_Toc400390210"/>
      <w:bookmarkStart w:id="4336" w:name="_Toc400392371"/>
      <w:bookmarkStart w:id="4337" w:name="_Toc400394535"/>
      <w:bookmarkStart w:id="4338" w:name="_Toc400355028"/>
      <w:bookmarkStart w:id="4339" w:name="_Toc400357293"/>
      <w:bookmarkStart w:id="4340" w:name="_Toc400359558"/>
      <w:bookmarkStart w:id="4341" w:name="_Toc400361823"/>
      <w:bookmarkStart w:id="4342" w:name="_Toc400364087"/>
      <w:bookmarkStart w:id="4343" w:name="_Toc400366318"/>
      <w:bookmarkStart w:id="4344" w:name="_Toc400368515"/>
      <w:bookmarkStart w:id="4345" w:name="_Toc400370697"/>
      <w:bookmarkStart w:id="4346" w:name="_Toc400372878"/>
      <w:bookmarkStart w:id="4347" w:name="_Toc400375058"/>
      <w:bookmarkStart w:id="4348" w:name="_Toc400377231"/>
      <w:bookmarkStart w:id="4349" w:name="_Toc400381567"/>
      <w:bookmarkStart w:id="4350" w:name="_Toc400383733"/>
      <w:bookmarkStart w:id="4351" w:name="_Toc400385899"/>
      <w:bookmarkStart w:id="4352" w:name="_Toc400388062"/>
      <w:bookmarkStart w:id="4353" w:name="_Toc400390223"/>
      <w:bookmarkStart w:id="4354" w:name="_Toc400392384"/>
      <w:bookmarkStart w:id="4355" w:name="_Toc400394548"/>
      <w:bookmarkStart w:id="4356" w:name="_Toc400355041"/>
      <w:bookmarkStart w:id="4357" w:name="_Toc400357306"/>
      <w:bookmarkStart w:id="4358" w:name="_Toc400359571"/>
      <w:bookmarkStart w:id="4359" w:name="_Toc400361836"/>
      <w:bookmarkStart w:id="4360" w:name="_Toc400364100"/>
      <w:bookmarkStart w:id="4361" w:name="_Toc400366331"/>
      <w:bookmarkStart w:id="4362" w:name="_Toc400368528"/>
      <w:bookmarkStart w:id="4363" w:name="_Toc400370710"/>
      <w:bookmarkStart w:id="4364" w:name="_Toc400372891"/>
      <w:bookmarkStart w:id="4365" w:name="_Toc400375071"/>
      <w:bookmarkStart w:id="4366" w:name="_Toc400377244"/>
      <w:bookmarkStart w:id="4367" w:name="_Toc400381580"/>
      <w:bookmarkStart w:id="4368" w:name="_Toc400383746"/>
      <w:bookmarkStart w:id="4369" w:name="_Toc400385912"/>
      <w:bookmarkStart w:id="4370" w:name="_Toc400388075"/>
      <w:bookmarkStart w:id="4371" w:name="_Toc400390236"/>
      <w:bookmarkStart w:id="4372" w:name="_Toc400392397"/>
      <w:bookmarkStart w:id="4373" w:name="_Toc400394561"/>
      <w:bookmarkStart w:id="4374" w:name="_Toc400355054"/>
      <w:bookmarkStart w:id="4375" w:name="_Toc400357319"/>
      <w:bookmarkStart w:id="4376" w:name="_Toc400359584"/>
      <w:bookmarkStart w:id="4377" w:name="_Toc400361849"/>
      <w:bookmarkStart w:id="4378" w:name="_Toc400364113"/>
      <w:bookmarkStart w:id="4379" w:name="_Toc400366344"/>
      <w:bookmarkStart w:id="4380" w:name="_Toc400368541"/>
      <w:bookmarkStart w:id="4381" w:name="_Toc400370723"/>
      <w:bookmarkStart w:id="4382" w:name="_Toc400372904"/>
      <w:bookmarkStart w:id="4383" w:name="_Toc400375084"/>
      <w:bookmarkStart w:id="4384" w:name="_Toc400377257"/>
      <w:bookmarkStart w:id="4385" w:name="_Toc400381593"/>
      <w:bookmarkStart w:id="4386" w:name="_Toc400383759"/>
      <w:bookmarkStart w:id="4387" w:name="_Toc400385925"/>
      <w:bookmarkStart w:id="4388" w:name="_Toc400388088"/>
      <w:bookmarkStart w:id="4389" w:name="_Toc400390249"/>
      <w:bookmarkStart w:id="4390" w:name="_Toc400392410"/>
      <w:bookmarkStart w:id="4391" w:name="_Toc400394574"/>
      <w:bookmarkStart w:id="4392" w:name="_Toc400355081"/>
      <w:bookmarkStart w:id="4393" w:name="_Toc400357346"/>
      <w:bookmarkStart w:id="4394" w:name="_Toc400359611"/>
      <w:bookmarkStart w:id="4395" w:name="_Toc400361876"/>
      <w:bookmarkStart w:id="4396" w:name="_Toc400364140"/>
      <w:bookmarkStart w:id="4397" w:name="_Toc400366371"/>
      <w:bookmarkStart w:id="4398" w:name="_Toc400368568"/>
      <w:bookmarkStart w:id="4399" w:name="_Toc400370750"/>
      <w:bookmarkStart w:id="4400" w:name="_Toc400372931"/>
      <w:bookmarkStart w:id="4401" w:name="_Toc400375111"/>
      <w:bookmarkStart w:id="4402" w:name="_Toc400377284"/>
      <w:bookmarkStart w:id="4403" w:name="_Toc400381620"/>
      <w:bookmarkStart w:id="4404" w:name="_Toc400383786"/>
      <w:bookmarkStart w:id="4405" w:name="_Toc400385952"/>
      <w:bookmarkStart w:id="4406" w:name="_Toc400388115"/>
      <w:bookmarkStart w:id="4407" w:name="_Toc400390276"/>
      <w:bookmarkStart w:id="4408" w:name="_Toc400392437"/>
      <w:bookmarkStart w:id="4409" w:name="_Toc400394601"/>
      <w:bookmarkStart w:id="4410" w:name="_Toc400355107"/>
      <w:bookmarkStart w:id="4411" w:name="_Toc400357372"/>
      <w:bookmarkStart w:id="4412" w:name="_Toc400359637"/>
      <w:bookmarkStart w:id="4413" w:name="_Toc400361902"/>
      <w:bookmarkStart w:id="4414" w:name="_Toc400364166"/>
      <w:bookmarkStart w:id="4415" w:name="_Toc400366397"/>
      <w:bookmarkStart w:id="4416" w:name="_Toc400368594"/>
      <w:bookmarkStart w:id="4417" w:name="_Toc400370776"/>
      <w:bookmarkStart w:id="4418" w:name="_Toc400372957"/>
      <w:bookmarkStart w:id="4419" w:name="_Toc400375137"/>
      <w:bookmarkStart w:id="4420" w:name="_Toc400377310"/>
      <w:bookmarkStart w:id="4421" w:name="_Toc400381646"/>
      <w:bookmarkStart w:id="4422" w:name="_Toc400383812"/>
      <w:bookmarkStart w:id="4423" w:name="_Toc400385978"/>
      <w:bookmarkStart w:id="4424" w:name="_Toc400388141"/>
      <w:bookmarkStart w:id="4425" w:name="_Toc400390302"/>
      <w:bookmarkStart w:id="4426" w:name="_Toc400392463"/>
      <w:bookmarkStart w:id="4427" w:name="_Toc400394627"/>
      <w:bookmarkStart w:id="4428" w:name="_Toc400355108"/>
      <w:bookmarkStart w:id="4429" w:name="_Toc400357373"/>
      <w:bookmarkStart w:id="4430" w:name="_Toc400359638"/>
      <w:bookmarkStart w:id="4431" w:name="_Toc400361903"/>
      <w:bookmarkStart w:id="4432" w:name="_Toc400364167"/>
      <w:bookmarkStart w:id="4433" w:name="_Toc400366398"/>
      <w:bookmarkStart w:id="4434" w:name="_Toc400368595"/>
      <w:bookmarkStart w:id="4435" w:name="_Toc400370777"/>
      <w:bookmarkStart w:id="4436" w:name="_Toc400372958"/>
      <w:bookmarkStart w:id="4437" w:name="_Toc400375138"/>
      <w:bookmarkStart w:id="4438" w:name="_Toc400377311"/>
      <w:bookmarkStart w:id="4439" w:name="_Toc400381647"/>
      <w:bookmarkStart w:id="4440" w:name="_Toc400383813"/>
      <w:bookmarkStart w:id="4441" w:name="_Toc400385979"/>
      <w:bookmarkStart w:id="4442" w:name="_Toc400388142"/>
      <w:bookmarkStart w:id="4443" w:name="_Toc400390303"/>
      <w:bookmarkStart w:id="4444" w:name="_Toc400392464"/>
      <w:bookmarkStart w:id="4445" w:name="_Toc400394628"/>
      <w:bookmarkStart w:id="4446" w:name="_Toc400355109"/>
      <w:bookmarkStart w:id="4447" w:name="_Toc400357374"/>
      <w:bookmarkStart w:id="4448" w:name="_Toc400359639"/>
      <w:bookmarkStart w:id="4449" w:name="_Toc400361904"/>
      <w:bookmarkStart w:id="4450" w:name="_Toc400364168"/>
      <w:bookmarkStart w:id="4451" w:name="_Toc400366399"/>
      <w:bookmarkStart w:id="4452" w:name="_Toc400368596"/>
      <w:bookmarkStart w:id="4453" w:name="_Toc400370778"/>
      <w:bookmarkStart w:id="4454" w:name="_Toc400372959"/>
      <w:bookmarkStart w:id="4455" w:name="_Toc400375139"/>
      <w:bookmarkStart w:id="4456" w:name="_Toc400377312"/>
      <w:bookmarkStart w:id="4457" w:name="_Toc400381648"/>
      <w:bookmarkStart w:id="4458" w:name="_Toc400383814"/>
      <w:bookmarkStart w:id="4459" w:name="_Toc400385980"/>
      <w:bookmarkStart w:id="4460" w:name="_Toc400388143"/>
      <w:bookmarkStart w:id="4461" w:name="_Toc400390304"/>
      <w:bookmarkStart w:id="4462" w:name="_Toc400392465"/>
      <w:bookmarkStart w:id="4463" w:name="_Toc400394629"/>
      <w:bookmarkStart w:id="4464" w:name="_Toc400355110"/>
      <w:bookmarkStart w:id="4465" w:name="_Toc400357375"/>
      <w:bookmarkStart w:id="4466" w:name="_Toc400359640"/>
      <w:bookmarkStart w:id="4467" w:name="_Toc400361905"/>
      <w:bookmarkStart w:id="4468" w:name="_Toc400364169"/>
      <w:bookmarkStart w:id="4469" w:name="_Toc400366400"/>
      <w:bookmarkStart w:id="4470" w:name="_Toc400368597"/>
      <w:bookmarkStart w:id="4471" w:name="_Toc400370779"/>
      <w:bookmarkStart w:id="4472" w:name="_Toc400372960"/>
      <w:bookmarkStart w:id="4473" w:name="_Toc400375140"/>
      <w:bookmarkStart w:id="4474" w:name="_Toc400377313"/>
      <w:bookmarkStart w:id="4475" w:name="_Toc400381649"/>
      <w:bookmarkStart w:id="4476" w:name="_Toc400383815"/>
      <w:bookmarkStart w:id="4477" w:name="_Toc400385981"/>
      <w:bookmarkStart w:id="4478" w:name="_Toc400388144"/>
      <w:bookmarkStart w:id="4479" w:name="_Toc400390305"/>
      <w:bookmarkStart w:id="4480" w:name="_Toc400392466"/>
      <w:bookmarkStart w:id="4481" w:name="_Toc400394630"/>
      <w:bookmarkStart w:id="4482" w:name="_Toc400355111"/>
      <w:bookmarkStart w:id="4483" w:name="_Toc400357376"/>
      <w:bookmarkStart w:id="4484" w:name="_Toc400359641"/>
      <w:bookmarkStart w:id="4485" w:name="_Toc400361906"/>
      <w:bookmarkStart w:id="4486" w:name="_Toc400364170"/>
      <w:bookmarkStart w:id="4487" w:name="_Toc400366401"/>
      <w:bookmarkStart w:id="4488" w:name="_Toc400368598"/>
      <w:bookmarkStart w:id="4489" w:name="_Toc400370780"/>
      <w:bookmarkStart w:id="4490" w:name="_Toc400372961"/>
      <w:bookmarkStart w:id="4491" w:name="_Toc400375141"/>
      <w:bookmarkStart w:id="4492" w:name="_Toc400377314"/>
      <w:bookmarkStart w:id="4493" w:name="_Toc400381650"/>
      <w:bookmarkStart w:id="4494" w:name="_Toc400383816"/>
      <w:bookmarkStart w:id="4495" w:name="_Toc400385982"/>
      <w:bookmarkStart w:id="4496" w:name="_Toc400388145"/>
      <w:bookmarkStart w:id="4497" w:name="_Toc400390306"/>
      <w:bookmarkStart w:id="4498" w:name="_Toc400392467"/>
      <w:bookmarkStart w:id="4499" w:name="_Toc400394631"/>
      <w:bookmarkStart w:id="4500" w:name="_Toc400355112"/>
      <w:bookmarkStart w:id="4501" w:name="_Toc400357377"/>
      <w:bookmarkStart w:id="4502" w:name="_Toc400359642"/>
      <w:bookmarkStart w:id="4503" w:name="_Toc400361907"/>
      <w:bookmarkStart w:id="4504" w:name="_Toc400364171"/>
      <w:bookmarkStart w:id="4505" w:name="_Toc400366402"/>
      <w:bookmarkStart w:id="4506" w:name="_Toc400368599"/>
      <w:bookmarkStart w:id="4507" w:name="_Toc400370781"/>
      <w:bookmarkStart w:id="4508" w:name="_Toc400372962"/>
      <w:bookmarkStart w:id="4509" w:name="_Toc400375142"/>
      <w:bookmarkStart w:id="4510" w:name="_Toc400377315"/>
      <w:bookmarkStart w:id="4511" w:name="_Toc400381651"/>
      <w:bookmarkStart w:id="4512" w:name="_Toc400383817"/>
      <w:bookmarkStart w:id="4513" w:name="_Toc400385983"/>
      <w:bookmarkStart w:id="4514" w:name="_Toc400388146"/>
      <w:bookmarkStart w:id="4515" w:name="_Toc400390307"/>
      <w:bookmarkStart w:id="4516" w:name="_Toc400392468"/>
      <w:bookmarkStart w:id="4517" w:name="_Toc400394632"/>
      <w:bookmarkStart w:id="4518" w:name="_Toc400355113"/>
      <w:bookmarkStart w:id="4519" w:name="_Toc400357378"/>
      <w:bookmarkStart w:id="4520" w:name="_Toc400359643"/>
      <w:bookmarkStart w:id="4521" w:name="_Toc400361908"/>
      <w:bookmarkStart w:id="4522" w:name="_Toc400364172"/>
      <w:bookmarkStart w:id="4523" w:name="_Toc400366403"/>
      <w:bookmarkStart w:id="4524" w:name="_Toc400368600"/>
      <w:bookmarkStart w:id="4525" w:name="_Toc400370782"/>
      <w:bookmarkStart w:id="4526" w:name="_Toc400372963"/>
      <w:bookmarkStart w:id="4527" w:name="_Toc400375143"/>
      <w:bookmarkStart w:id="4528" w:name="_Toc400377316"/>
      <w:bookmarkStart w:id="4529" w:name="_Toc400381652"/>
      <w:bookmarkStart w:id="4530" w:name="_Toc400383818"/>
      <w:bookmarkStart w:id="4531" w:name="_Toc400385984"/>
      <w:bookmarkStart w:id="4532" w:name="_Toc400388147"/>
      <w:bookmarkStart w:id="4533" w:name="_Toc400390308"/>
      <w:bookmarkStart w:id="4534" w:name="_Toc400392469"/>
      <w:bookmarkStart w:id="4535" w:name="_Toc400394633"/>
      <w:bookmarkStart w:id="4536" w:name="_Toc400355148"/>
      <w:bookmarkStart w:id="4537" w:name="_Toc400357413"/>
      <w:bookmarkStart w:id="4538" w:name="_Toc400359678"/>
      <w:bookmarkStart w:id="4539" w:name="_Toc400361943"/>
      <w:bookmarkStart w:id="4540" w:name="_Toc400364207"/>
      <w:bookmarkStart w:id="4541" w:name="_Toc400366438"/>
      <w:bookmarkStart w:id="4542" w:name="_Toc400368635"/>
      <w:bookmarkStart w:id="4543" w:name="_Toc400370817"/>
      <w:bookmarkStart w:id="4544" w:name="_Toc400372998"/>
      <w:bookmarkStart w:id="4545" w:name="_Toc400375178"/>
      <w:bookmarkStart w:id="4546" w:name="_Toc400377351"/>
      <w:bookmarkStart w:id="4547" w:name="_Toc400381687"/>
      <w:bookmarkStart w:id="4548" w:name="_Toc400383853"/>
      <w:bookmarkStart w:id="4549" w:name="_Toc400386019"/>
      <w:bookmarkStart w:id="4550" w:name="_Toc400388182"/>
      <w:bookmarkStart w:id="4551" w:name="_Toc400390343"/>
      <w:bookmarkStart w:id="4552" w:name="_Toc400392504"/>
      <w:bookmarkStart w:id="4553" w:name="_Toc400394668"/>
      <w:bookmarkStart w:id="4554" w:name="_Toc400355149"/>
      <w:bookmarkStart w:id="4555" w:name="_Toc400357414"/>
      <w:bookmarkStart w:id="4556" w:name="_Toc400359679"/>
      <w:bookmarkStart w:id="4557" w:name="_Toc400361944"/>
      <w:bookmarkStart w:id="4558" w:name="_Toc400364208"/>
      <w:bookmarkStart w:id="4559" w:name="_Toc400366439"/>
      <w:bookmarkStart w:id="4560" w:name="_Toc400368636"/>
      <w:bookmarkStart w:id="4561" w:name="_Toc400370818"/>
      <w:bookmarkStart w:id="4562" w:name="_Toc400372999"/>
      <w:bookmarkStart w:id="4563" w:name="_Toc400375179"/>
      <w:bookmarkStart w:id="4564" w:name="_Toc400377352"/>
      <w:bookmarkStart w:id="4565" w:name="_Toc400381688"/>
      <w:bookmarkStart w:id="4566" w:name="_Toc400383854"/>
      <w:bookmarkStart w:id="4567" w:name="_Toc400386020"/>
      <w:bookmarkStart w:id="4568" w:name="_Toc400388183"/>
      <w:bookmarkStart w:id="4569" w:name="_Toc400390344"/>
      <w:bookmarkStart w:id="4570" w:name="_Toc400392505"/>
      <w:bookmarkStart w:id="4571" w:name="_Toc400394669"/>
      <w:bookmarkStart w:id="4572" w:name="_Toc400355150"/>
      <w:bookmarkStart w:id="4573" w:name="_Toc400357415"/>
      <w:bookmarkStart w:id="4574" w:name="_Toc400359680"/>
      <w:bookmarkStart w:id="4575" w:name="_Toc400361945"/>
      <w:bookmarkStart w:id="4576" w:name="_Toc400364209"/>
      <w:bookmarkStart w:id="4577" w:name="_Toc400366440"/>
      <w:bookmarkStart w:id="4578" w:name="_Toc400368637"/>
      <w:bookmarkStart w:id="4579" w:name="_Toc400370819"/>
      <w:bookmarkStart w:id="4580" w:name="_Toc400373000"/>
      <w:bookmarkStart w:id="4581" w:name="_Toc400375180"/>
      <w:bookmarkStart w:id="4582" w:name="_Toc400377353"/>
      <w:bookmarkStart w:id="4583" w:name="_Toc400381689"/>
      <w:bookmarkStart w:id="4584" w:name="_Toc400383855"/>
      <w:bookmarkStart w:id="4585" w:name="_Toc400386021"/>
      <w:bookmarkStart w:id="4586" w:name="_Toc400388184"/>
      <w:bookmarkStart w:id="4587" w:name="_Toc400390345"/>
      <w:bookmarkStart w:id="4588" w:name="_Toc400392506"/>
      <w:bookmarkStart w:id="4589" w:name="_Toc400394670"/>
      <w:bookmarkStart w:id="4590" w:name="_Toc400355151"/>
      <w:bookmarkStart w:id="4591" w:name="_Toc400357416"/>
      <w:bookmarkStart w:id="4592" w:name="_Toc400359681"/>
      <w:bookmarkStart w:id="4593" w:name="_Toc400361946"/>
      <w:bookmarkStart w:id="4594" w:name="_Toc400364210"/>
      <w:bookmarkStart w:id="4595" w:name="_Toc400366441"/>
      <w:bookmarkStart w:id="4596" w:name="_Toc400368638"/>
      <w:bookmarkStart w:id="4597" w:name="_Toc400370820"/>
      <w:bookmarkStart w:id="4598" w:name="_Toc400373001"/>
      <w:bookmarkStart w:id="4599" w:name="_Toc400375181"/>
      <w:bookmarkStart w:id="4600" w:name="_Toc400377354"/>
      <w:bookmarkStart w:id="4601" w:name="_Toc400381690"/>
      <w:bookmarkStart w:id="4602" w:name="_Toc400383856"/>
      <w:bookmarkStart w:id="4603" w:name="_Toc400386022"/>
      <w:bookmarkStart w:id="4604" w:name="_Toc400388185"/>
      <w:bookmarkStart w:id="4605" w:name="_Toc400390346"/>
      <w:bookmarkStart w:id="4606" w:name="_Toc400392507"/>
      <w:bookmarkStart w:id="4607" w:name="_Toc400394671"/>
      <w:bookmarkStart w:id="4608" w:name="_Toc400355152"/>
      <w:bookmarkStart w:id="4609" w:name="_Toc400357417"/>
      <w:bookmarkStart w:id="4610" w:name="_Toc400359682"/>
      <w:bookmarkStart w:id="4611" w:name="_Toc400361947"/>
      <w:bookmarkStart w:id="4612" w:name="_Toc400364211"/>
      <w:bookmarkStart w:id="4613" w:name="_Toc400366442"/>
      <w:bookmarkStart w:id="4614" w:name="_Toc400368639"/>
      <w:bookmarkStart w:id="4615" w:name="_Toc400370821"/>
      <w:bookmarkStart w:id="4616" w:name="_Toc400373002"/>
      <w:bookmarkStart w:id="4617" w:name="_Toc400375182"/>
      <w:bookmarkStart w:id="4618" w:name="_Toc400377355"/>
      <w:bookmarkStart w:id="4619" w:name="_Toc400381691"/>
      <w:bookmarkStart w:id="4620" w:name="_Toc400383857"/>
      <w:bookmarkStart w:id="4621" w:name="_Toc400386023"/>
      <w:bookmarkStart w:id="4622" w:name="_Toc400388186"/>
      <w:bookmarkStart w:id="4623" w:name="_Toc400390347"/>
      <w:bookmarkStart w:id="4624" w:name="_Toc400392508"/>
      <w:bookmarkStart w:id="4625" w:name="_Toc400394672"/>
      <w:bookmarkStart w:id="4626" w:name="_Toc400355153"/>
      <w:bookmarkStart w:id="4627" w:name="_Toc400357418"/>
      <w:bookmarkStart w:id="4628" w:name="_Toc400359683"/>
      <w:bookmarkStart w:id="4629" w:name="_Toc400361948"/>
      <w:bookmarkStart w:id="4630" w:name="_Toc400364212"/>
      <w:bookmarkStart w:id="4631" w:name="_Toc400366443"/>
      <w:bookmarkStart w:id="4632" w:name="_Toc400368640"/>
      <w:bookmarkStart w:id="4633" w:name="_Toc400370822"/>
      <w:bookmarkStart w:id="4634" w:name="_Toc400373003"/>
      <w:bookmarkStart w:id="4635" w:name="_Toc400375183"/>
      <w:bookmarkStart w:id="4636" w:name="_Toc400377356"/>
      <w:bookmarkStart w:id="4637" w:name="_Toc400381692"/>
      <w:bookmarkStart w:id="4638" w:name="_Toc400383858"/>
      <w:bookmarkStart w:id="4639" w:name="_Toc400386024"/>
      <w:bookmarkStart w:id="4640" w:name="_Toc400388187"/>
      <w:bookmarkStart w:id="4641" w:name="_Toc400390348"/>
      <w:bookmarkStart w:id="4642" w:name="_Toc400392509"/>
      <w:bookmarkStart w:id="4643" w:name="_Toc400394673"/>
      <w:bookmarkStart w:id="4644" w:name="_Toc400355154"/>
      <w:bookmarkStart w:id="4645" w:name="_Toc400357419"/>
      <w:bookmarkStart w:id="4646" w:name="_Toc400359684"/>
      <w:bookmarkStart w:id="4647" w:name="_Toc400361949"/>
      <w:bookmarkStart w:id="4648" w:name="_Toc400364213"/>
      <w:bookmarkStart w:id="4649" w:name="_Toc400366444"/>
      <w:bookmarkStart w:id="4650" w:name="_Toc400368641"/>
      <w:bookmarkStart w:id="4651" w:name="_Toc400370823"/>
      <w:bookmarkStart w:id="4652" w:name="_Toc400373004"/>
      <w:bookmarkStart w:id="4653" w:name="_Toc400375184"/>
      <w:bookmarkStart w:id="4654" w:name="_Toc400377357"/>
      <w:bookmarkStart w:id="4655" w:name="_Toc400381693"/>
      <w:bookmarkStart w:id="4656" w:name="_Toc400383859"/>
      <w:bookmarkStart w:id="4657" w:name="_Toc400386025"/>
      <w:bookmarkStart w:id="4658" w:name="_Toc400388188"/>
      <w:bookmarkStart w:id="4659" w:name="_Toc400390349"/>
      <w:bookmarkStart w:id="4660" w:name="_Toc400392510"/>
      <w:bookmarkStart w:id="4661" w:name="_Toc400394674"/>
      <w:bookmarkStart w:id="4662" w:name="_Toc400355155"/>
      <w:bookmarkStart w:id="4663" w:name="_Toc400357420"/>
      <w:bookmarkStart w:id="4664" w:name="_Toc400359685"/>
      <w:bookmarkStart w:id="4665" w:name="_Toc400361950"/>
      <w:bookmarkStart w:id="4666" w:name="_Toc400364214"/>
      <w:bookmarkStart w:id="4667" w:name="_Toc400366445"/>
      <w:bookmarkStart w:id="4668" w:name="_Toc400368642"/>
      <w:bookmarkStart w:id="4669" w:name="_Toc400370824"/>
      <w:bookmarkStart w:id="4670" w:name="_Toc400373005"/>
      <w:bookmarkStart w:id="4671" w:name="_Toc400375185"/>
      <w:bookmarkStart w:id="4672" w:name="_Toc400377358"/>
      <w:bookmarkStart w:id="4673" w:name="_Toc400381694"/>
      <w:bookmarkStart w:id="4674" w:name="_Toc400383860"/>
      <w:bookmarkStart w:id="4675" w:name="_Toc400386026"/>
      <w:bookmarkStart w:id="4676" w:name="_Toc400388189"/>
      <w:bookmarkStart w:id="4677" w:name="_Toc400390350"/>
      <w:bookmarkStart w:id="4678" w:name="_Toc400392511"/>
      <w:bookmarkStart w:id="4679" w:name="_Toc400394675"/>
      <w:bookmarkStart w:id="4680" w:name="_Toc400355156"/>
      <w:bookmarkStart w:id="4681" w:name="_Toc400357421"/>
      <w:bookmarkStart w:id="4682" w:name="_Toc400359686"/>
      <w:bookmarkStart w:id="4683" w:name="_Toc400361951"/>
      <w:bookmarkStart w:id="4684" w:name="_Toc400364215"/>
      <w:bookmarkStart w:id="4685" w:name="_Toc400366446"/>
      <w:bookmarkStart w:id="4686" w:name="_Toc400368643"/>
      <w:bookmarkStart w:id="4687" w:name="_Toc400370825"/>
      <w:bookmarkStart w:id="4688" w:name="_Toc400373006"/>
      <w:bookmarkStart w:id="4689" w:name="_Toc400375186"/>
      <w:bookmarkStart w:id="4690" w:name="_Toc400377359"/>
      <w:bookmarkStart w:id="4691" w:name="_Toc400381695"/>
      <w:bookmarkStart w:id="4692" w:name="_Toc400383861"/>
      <w:bookmarkStart w:id="4693" w:name="_Toc400386027"/>
      <w:bookmarkStart w:id="4694" w:name="_Toc400388190"/>
      <w:bookmarkStart w:id="4695" w:name="_Toc400390351"/>
      <w:bookmarkStart w:id="4696" w:name="_Toc400392512"/>
      <w:bookmarkStart w:id="4697" w:name="_Toc400394676"/>
      <w:bookmarkStart w:id="4698" w:name="_Toc400355157"/>
      <w:bookmarkStart w:id="4699" w:name="_Toc400357422"/>
      <w:bookmarkStart w:id="4700" w:name="_Toc400359687"/>
      <w:bookmarkStart w:id="4701" w:name="_Toc400361952"/>
      <w:bookmarkStart w:id="4702" w:name="_Toc400364216"/>
      <w:bookmarkStart w:id="4703" w:name="_Toc400366447"/>
      <w:bookmarkStart w:id="4704" w:name="_Toc400368644"/>
      <w:bookmarkStart w:id="4705" w:name="_Toc400370826"/>
      <w:bookmarkStart w:id="4706" w:name="_Toc400373007"/>
      <w:bookmarkStart w:id="4707" w:name="_Toc400375187"/>
      <w:bookmarkStart w:id="4708" w:name="_Toc400377360"/>
      <w:bookmarkStart w:id="4709" w:name="_Toc400381696"/>
      <w:bookmarkStart w:id="4710" w:name="_Toc400383862"/>
      <w:bookmarkStart w:id="4711" w:name="_Toc400386028"/>
      <w:bookmarkStart w:id="4712" w:name="_Toc400388191"/>
      <w:bookmarkStart w:id="4713" w:name="_Toc400390352"/>
      <w:bookmarkStart w:id="4714" w:name="_Toc400392513"/>
      <w:bookmarkStart w:id="4715" w:name="_Toc400394677"/>
      <w:bookmarkStart w:id="4716" w:name="_Toc400355158"/>
      <w:bookmarkStart w:id="4717" w:name="_Toc400357423"/>
      <w:bookmarkStart w:id="4718" w:name="_Toc400359688"/>
      <w:bookmarkStart w:id="4719" w:name="_Toc400361953"/>
      <w:bookmarkStart w:id="4720" w:name="_Toc400364217"/>
      <w:bookmarkStart w:id="4721" w:name="_Toc400366448"/>
      <w:bookmarkStart w:id="4722" w:name="_Toc400368645"/>
      <w:bookmarkStart w:id="4723" w:name="_Toc400370827"/>
      <w:bookmarkStart w:id="4724" w:name="_Toc400373008"/>
      <w:bookmarkStart w:id="4725" w:name="_Toc400375188"/>
      <w:bookmarkStart w:id="4726" w:name="_Toc400377361"/>
      <w:bookmarkStart w:id="4727" w:name="_Toc400381697"/>
      <w:bookmarkStart w:id="4728" w:name="_Toc400383863"/>
      <w:bookmarkStart w:id="4729" w:name="_Toc400386029"/>
      <w:bookmarkStart w:id="4730" w:name="_Toc400388192"/>
      <w:bookmarkStart w:id="4731" w:name="_Toc400390353"/>
      <w:bookmarkStart w:id="4732" w:name="_Toc400392514"/>
      <w:bookmarkStart w:id="4733" w:name="_Toc400394678"/>
      <w:bookmarkStart w:id="4734" w:name="_Toc400355159"/>
      <w:bookmarkStart w:id="4735" w:name="_Toc400357424"/>
      <w:bookmarkStart w:id="4736" w:name="_Toc400359689"/>
      <w:bookmarkStart w:id="4737" w:name="_Toc400361954"/>
      <w:bookmarkStart w:id="4738" w:name="_Toc400364218"/>
      <w:bookmarkStart w:id="4739" w:name="_Toc400366449"/>
      <w:bookmarkStart w:id="4740" w:name="_Toc400368646"/>
      <w:bookmarkStart w:id="4741" w:name="_Toc400370828"/>
      <w:bookmarkStart w:id="4742" w:name="_Toc400373009"/>
      <w:bookmarkStart w:id="4743" w:name="_Toc400375189"/>
      <w:bookmarkStart w:id="4744" w:name="_Toc400377362"/>
      <w:bookmarkStart w:id="4745" w:name="_Toc400381698"/>
      <w:bookmarkStart w:id="4746" w:name="_Toc400383864"/>
      <w:bookmarkStart w:id="4747" w:name="_Toc400386030"/>
      <w:bookmarkStart w:id="4748" w:name="_Toc400388193"/>
      <w:bookmarkStart w:id="4749" w:name="_Toc400390354"/>
      <w:bookmarkStart w:id="4750" w:name="_Toc400392515"/>
      <w:bookmarkStart w:id="4751" w:name="_Toc400394679"/>
      <w:bookmarkStart w:id="4752" w:name="_Toc400355160"/>
      <w:bookmarkStart w:id="4753" w:name="_Toc400357425"/>
      <w:bookmarkStart w:id="4754" w:name="_Toc400359690"/>
      <w:bookmarkStart w:id="4755" w:name="_Toc400361955"/>
      <w:bookmarkStart w:id="4756" w:name="_Toc400364219"/>
      <w:bookmarkStart w:id="4757" w:name="_Toc400366450"/>
      <w:bookmarkStart w:id="4758" w:name="_Toc400368647"/>
      <w:bookmarkStart w:id="4759" w:name="_Toc400370829"/>
      <w:bookmarkStart w:id="4760" w:name="_Toc400373010"/>
      <w:bookmarkStart w:id="4761" w:name="_Toc400375190"/>
      <w:bookmarkStart w:id="4762" w:name="_Toc400377363"/>
      <w:bookmarkStart w:id="4763" w:name="_Toc400381699"/>
      <w:bookmarkStart w:id="4764" w:name="_Toc400383865"/>
      <w:bookmarkStart w:id="4765" w:name="_Toc400386031"/>
      <w:bookmarkStart w:id="4766" w:name="_Toc400388194"/>
      <w:bookmarkStart w:id="4767" w:name="_Toc400390355"/>
      <w:bookmarkStart w:id="4768" w:name="_Toc400392516"/>
      <w:bookmarkStart w:id="4769" w:name="_Toc400394680"/>
      <w:bookmarkStart w:id="4770" w:name="_Toc400355161"/>
      <w:bookmarkStart w:id="4771" w:name="_Toc400357426"/>
      <w:bookmarkStart w:id="4772" w:name="_Toc400359691"/>
      <w:bookmarkStart w:id="4773" w:name="_Toc400361956"/>
      <w:bookmarkStart w:id="4774" w:name="_Toc400364220"/>
      <w:bookmarkStart w:id="4775" w:name="_Toc400366451"/>
      <w:bookmarkStart w:id="4776" w:name="_Toc400368648"/>
      <w:bookmarkStart w:id="4777" w:name="_Toc400370830"/>
      <w:bookmarkStart w:id="4778" w:name="_Toc400373011"/>
      <w:bookmarkStart w:id="4779" w:name="_Toc400375191"/>
      <w:bookmarkStart w:id="4780" w:name="_Toc400377364"/>
      <w:bookmarkStart w:id="4781" w:name="_Toc400381700"/>
      <w:bookmarkStart w:id="4782" w:name="_Toc400383866"/>
      <w:bookmarkStart w:id="4783" w:name="_Toc400386032"/>
      <w:bookmarkStart w:id="4784" w:name="_Toc400388195"/>
      <w:bookmarkStart w:id="4785" w:name="_Toc400390356"/>
      <w:bookmarkStart w:id="4786" w:name="_Toc400392517"/>
      <w:bookmarkStart w:id="4787" w:name="_Toc400394681"/>
      <w:bookmarkStart w:id="4788" w:name="_Toc400355162"/>
      <w:bookmarkStart w:id="4789" w:name="_Toc400357427"/>
      <w:bookmarkStart w:id="4790" w:name="_Toc400359692"/>
      <w:bookmarkStart w:id="4791" w:name="_Toc400361957"/>
      <w:bookmarkStart w:id="4792" w:name="_Toc400364221"/>
      <w:bookmarkStart w:id="4793" w:name="_Toc400366452"/>
      <w:bookmarkStart w:id="4794" w:name="_Toc400368649"/>
      <w:bookmarkStart w:id="4795" w:name="_Toc400370831"/>
      <w:bookmarkStart w:id="4796" w:name="_Toc400373012"/>
      <w:bookmarkStart w:id="4797" w:name="_Toc400375192"/>
      <w:bookmarkStart w:id="4798" w:name="_Toc400377365"/>
      <w:bookmarkStart w:id="4799" w:name="_Toc400381701"/>
      <w:bookmarkStart w:id="4800" w:name="_Toc400383867"/>
      <w:bookmarkStart w:id="4801" w:name="_Toc400386033"/>
      <w:bookmarkStart w:id="4802" w:name="_Toc400388196"/>
      <w:bookmarkStart w:id="4803" w:name="_Toc400390357"/>
      <w:bookmarkStart w:id="4804" w:name="_Toc400392518"/>
      <w:bookmarkStart w:id="4805" w:name="_Toc400394682"/>
      <w:bookmarkStart w:id="4806" w:name="_Toc400355163"/>
      <w:bookmarkStart w:id="4807" w:name="_Toc400357428"/>
      <w:bookmarkStart w:id="4808" w:name="_Toc400359693"/>
      <w:bookmarkStart w:id="4809" w:name="_Toc400361958"/>
      <w:bookmarkStart w:id="4810" w:name="_Toc400364222"/>
      <w:bookmarkStart w:id="4811" w:name="_Toc400366453"/>
      <w:bookmarkStart w:id="4812" w:name="_Toc400368650"/>
      <w:bookmarkStart w:id="4813" w:name="_Toc400370832"/>
      <w:bookmarkStart w:id="4814" w:name="_Toc400373013"/>
      <w:bookmarkStart w:id="4815" w:name="_Toc400375193"/>
      <w:bookmarkStart w:id="4816" w:name="_Toc400377366"/>
      <w:bookmarkStart w:id="4817" w:name="_Toc400381702"/>
      <w:bookmarkStart w:id="4818" w:name="_Toc400383868"/>
      <w:bookmarkStart w:id="4819" w:name="_Toc400386034"/>
      <w:bookmarkStart w:id="4820" w:name="_Toc400388197"/>
      <w:bookmarkStart w:id="4821" w:name="_Toc400390358"/>
      <w:bookmarkStart w:id="4822" w:name="_Toc400392519"/>
      <w:bookmarkStart w:id="4823" w:name="_Toc400394683"/>
      <w:bookmarkStart w:id="4824" w:name="_Toc400355164"/>
      <w:bookmarkStart w:id="4825" w:name="_Toc400357429"/>
      <w:bookmarkStart w:id="4826" w:name="_Toc400359694"/>
      <w:bookmarkStart w:id="4827" w:name="_Toc400361959"/>
      <w:bookmarkStart w:id="4828" w:name="_Toc400364223"/>
      <w:bookmarkStart w:id="4829" w:name="_Toc400366454"/>
      <w:bookmarkStart w:id="4830" w:name="_Toc400368651"/>
      <w:bookmarkStart w:id="4831" w:name="_Toc400370833"/>
      <w:bookmarkStart w:id="4832" w:name="_Toc400373014"/>
      <w:bookmarkStart w:id="4833" w:name="_Toc400375194"/>
      <w:bookmarkStart w:id="4834" w:name="_Toc400377367"/>
      <w:bookmarkStart w:id="4835" w:name="_Toc400381703"/>
      <w:bookmarkStart w:id="4836" w:name="_Toc400383869"/>
      <w:bookmarkStart w:id="4837" w:name="_Toc400386035"/>
      <w:bookmarkStart w:id="4838" w:name="_Toc400388198"/>
      <w:bookmarkStart w:id="4839" w:name="_Toc400390359"/>
      <w:bookmarkStart w:id="4840" w:name="_Toc400392520"/>
      <w:bookmarkStart w:id="4841" w:name="_Toc400394684"/>
      <w:bookmarkStart w:id="4842" w:name="_Toc400355165"/>
      <w:bookmarkStart w:id="4843" w:name="_Toc400357430"/>
      <w:bookmarkStart w:id="4844" w:name="_Toc400359695"/>
      <w:bookmarkStart w:id="4845" w:name="_Toc400361960"/>
      <w:bookmarkStart w:id="4846" w:name="_Toc400364224"/>
      <w:bookmarkStart w:id="4847" w:name="_Toc400366455"/>
      <w:bookmarkStart w:id="4848" w:name="_Toc400368652"/>
      <w:bookmarkStart w:id="4849" w:name="_Toc400370834"/>
      <w:bookmarkStart w:id="4850" w:name="_Toc400373015"/>
      <w:bookmarkStart w:id="4851" w:name="_Toc400375195"/>
      <w:bookmarkStart w:id="4852" w:name="_Toc400377368"/>
      <w:bookmarkStart w:id="4853" w:name="_Toc400381704"/>
      <w:bookmarkStart w:id="4854" w:name="_Toc400383870"/>
      <w:bookmarkStart w:id="4855" w:name="_Toc400386036"/>
      <w:bookmarkStart w:id="4856" w:name="_Toc400388199"/>
      <w:bookmarkStart w:id="4857" w:name="_Toc400390360"/>
      <w:bookmarkStart w:id="4858" w:name="_Toc400392521"/>
      <w:bookmarkStart w:id="4859" w:name="_Toc400394685"/>
      <w:bookmarkStart w:id="4860" w:name="_Toc400355166"/>
      <w:bookmarkStart w:id="4861" w:name="_Toc400357431"/>
      <w:bookmarkStart w:id="4862" w:name="_Toc400359696"/>
      <w:bookmarkStart w:id="4863" w:name="_Toc400361961"/>
      <w:bookmarkStart w:id="4864" w:name="_Toc400364225"/>
      <w:bookmarkStart w:id="4865" w:name="_Toc400366456"/>
      <w:bookmarkStart w:id="4866" w:name="_Toc400368653"/>
      <w:bookmarkStart w:id="4867" w:name="_Toc400370835"/>
      <w:bookmarkStart w:id="4868" w:name="_Toc400373016"/>
      <w:bookmarkStart w:id="4869" w:name="_Toc400375196"/>
      <w:bookmarkStart w:id="4870" w:name="_Toc400377369"/>
      <w:bookmarkStart w:id="4871" w:name="_Toc400381705"/>
      <w:bookmarkStart w:id="4872" w:name="_Toc400383871"/>
      <w:bookmarkStart w:id="4873" w:name="_Toc400386037"/>
      <w:bookmarkStart w:id="4874" w:name="_Toc400388200"/>
      <w:bookmarkStart w:id="4875" w:name="_Toc400390361"/>
      <w:bookmarkStart w:id="4876" w:name="_Toc400392522"/>
      <w:bookmarkStart w:id="4877" w:name="_Toc400394686"/>
      <w:bookmarkStart w:id="4878" w:name="_Toc400355167"/>
      <w:bookmarkStart w:id="4879" w:name="_Toc400357432"/>
      <w:bookmarkStart w:id="4880" w:name="_Toc400359697"/>
      <w:bookmarkStart w:id="4881" w:name="_Toc400361962"/>
      <w:bookmarkStart w:id="4882" w:name="_Toc400364226"/>
      <w:bookmarkStart w:id="4883" w:name="_Toc400366457"/>
      <w:bookmarkStart w:id="4884" w:name="_Toc400368654"/>
      <w:bookmarkStart w:id="4885" w:name="_Toc400370836"/>
      <w:bookmarkStart w:id="4886" w:name="_Toc400373017"/>
      <w:bookmarkStart w:id="4887" w:name="_Toc400375197"/>
      <w:bookmarkStart w:id="4888" w:name="_Toc400377370"/>
      <w:bookmarkStart w:id="4889" w:name="_Toc400381706"/>
      <w:bookmarkStart w:id="4890" w:name="_Toc400383872"/>
      <w:bookmarkStart w:id="4891" w:name="_Toc400386038"/>
      <w:bookmarkStart w:id="4892" w:name="_Toc400388201"/>
      <w:bookmarkStart w:id="4893" w:name="_Toc400390362"/>
      <w:bookmarkStart w:id="4894" w:name="_Toc400392523"/>
      <w:bookmarkStart w:id="4895" w:name="_Toc400394687"/>
      <w:bookmarkStart w:id="4896" w:name="_Toc400355168"/>
      <w:bookmarkStart w:id="4897" w:name="_Toc400357433"/>
      <w:bookmarkStart w:id="4898" w:name="_Toc400359698"/>
      <w:bookmarkStart w:id="4899" w:name="_Toc400361963"/>
      <w:bookmarkStart w:id="4900" w:name="_Toc400364227"/>
      <w:bookmarkStart w:id="4901" w:name="_Toc400366458"/>
      <w:bookmarkStart w:id="4902" w:name="_Toc400368655"/>
      <w:bookmarkStart w:id="4903" w:name="_Toc400370837"/>
      <w:bookmarkStart w:id="4904" w:name="_Toc400373018"/>
      <w:bookmarkStart w:id="4905" w:name="_Toc400375198"/>
      <w:bookmarkStart w:id="4906" w:name="_Toc400377371"/>
      <w:bookmarkStart w:id="4907" w:name="_Toc400381707"/>
      <w:bookmarkStart w:id="4908" w:name="_Toc400383873"/>
      <w:bookmarkStart w:id="4909" w:name="_Toc400386039"/>
      <w:bookmarkStart w:id="4910" w:name="_Toc400388202"/>
      <w:bookmarkStart w:id="4911" w:name="_Toc400390363"/>
      <w:bookmarkStart w:id="4912" w:name="_Toc400392524"/>
      <w:bookmarkStart w:id="4913" w:name="_Toc400394688"/>
      <w:bookmarkStart w:id="4914" w:name="_Toc400355279"/>
      <w:bookmarkStart w:id="4915" w:name="_Toc400357544"/>
      <w:bookmarkStart w:id="4916" w:name="_Toc400359809"/>
      <w:bookmarkStart w:id="4917" w:name="_Toc400362074"/>
      <w:bookmarkStart w:id="4918" w:name="_Toc400364338"/>
      <w:bookmarkStart w:id="4919" w:name="_Toc400366569"/>
      <w:bookmarkStart w:id="4920" w:name="_Toc400368766"/>
      <w:bookmarkStart w:id="4921" w:name="_Toc400370948"/>
      <w:bookmarkStart w:id="4922" w:name="_Toc400373129"/>
      <w:bookmarkStart w:id="4923" w:name="_Toc400375309"/>
      <w:bookmarkStart w:id="4924" w:name="_Toc400377482"/>
      <w:bookmarkStart w:id="4925" w:name="_Toc400381818"/>
      <w:bookmarkStart w:id="4926" w:name="_Toc400383984"/>
      <w:bookmarkStart w:id="4927" w:name="_Toc400386150"/>
      <w:bookmarkStart w:id="4928" w:name="_Toc400388313"/>
      <w:bookmarkStart w:id="4929" w:name="_Toc400390474"/>
      <w:bookmarkStart w:id="4930" w:name="_Toc400392635"/>
      <w:bookmarkStart w:id="4931" w:name="_Toc400394799"/>
      <w:bookmarkStart w:id="4932" w:name="_Toc400355280"/>
      <w:bookmarkStart w:id="4933" w:name="_Toc400357545"/>
      <w:bookmarkStart w:id="4934" w:name="_Toc400359810"/>
      <w:bookmarkStart w:id="4935" w:name="_Toc400362075"/>
      <w:bookmarkStart w:id="4936" w:name="_Toc400364339"/>
      <w:bookmarkStart w:id="4937" w:name="_Toc400366570"/>
      <w:bookmarkStart w:id="4938" w:name="_Toc400368767"/>
      <w:bookmarkStart w:id="4939" w:name="_Toc400370949"/>
      <w:bookmarkStart w:id="4940" w:name="_Toc400373130"/>
      <w:bookmarkStart w:id="4941" w:name="_Toc400375310"/>
      <w:bookmarkStart w:id="4942" w:name="_Toc400377483"/>
      <w:bookmarkStart w:id="4943" w:name="_Toc400381819"/>
      <w:bookmarkStart w:id="4944" w:name="_Toc400383985"/>
      <w:bookmarkStart w:id="4945" w:name="_Toc400386151"/>
      <w:bookmarkStart w:id="4946" w:name="_Toc400388314"/>
      <w:bookmarkStart w:id="4947" w:name="_Toc400390475"/>
      <w:bookmarkStart w:id="4948" w:name="_Toc400392636"/>
      <w:bookmarkStart w:id="4949" w:name="_Toc400394800"/>
      <w:bookmarkStart w:id="4950" w:name="_Toc400355281"/>
      <w:bookmarkStart w:id="4951" w:name="_Toc400357546"/>
      <w:bookmarkStart w:id="4952" w:name="_Toc400359811"/>
      <w:bookmarkStart w:id="4953" w:name="_Toc400362076"/>
      <w:bookmarkStart w:id="4954" w:name="_Toc400364340"/>
      <w:bookmarkStart w:id="4955" w:name="_Toc400366571"/>
      <w:bookmarkStart w:id="4956" w:name="_Toc400368768"/>
      <w:bookmarkStart w:id="4957" w:name="_Toc400370950"/>
      <w:bookmarkStart w:id="4958" w:name="_Toc400373131"/>
      <w:bookmarkStart w:id="4959" w:name="_Toc400375311"/>
      <w:bookmarkStart w:id="4960" w:name="_Toc400377484"/>
      <w:bookmarkStart w:id="4961" w:name="_Toc400381820"/>
      <w:bookmarkStart w:id="4962" w:name="_Toc400383986"/>
      <w:bookmarkStart w:id="4963" w:name="_Toc400386152"/>
      <w:bookmarkStart w:id="4964" w:name="_Toc400388315"/>
      <w:bookmarkStart w:id="4965" w:name="_Toc400390476"/>
      <w:bookmarkStart w:id="4966" w:name="_Toc400392637"/>
      <w:bookmarkStart w:id="4967" w:name="_Toc400394801"/>
      <w:bookmarkStart w:id="4968" w:name="_Toc400355282"/>
      <w:bookmarkStart w:id="4969" w:name="_Toc400357547"/>
      <w:bookmarkStart w:id="4970" w:name="_Toc400359812"/>
      <w:bookmarkStart w:id="4971" w:name="_Toc400362077"/>
      <w:bookmarkStart w:id="4972" w:name="_Toc400364341"/>
      <w:bookmarkStart w:id="4973" w:name="_Toc400366572"/>
      <w:bookmarkStart w:id="4974" w:name="_Toc400368769"/>
      <w:bookmarkStart w:id="4975" w:name="_Toc400370951"/>
      <w:bookmarkStart w:id="4976" w:name="_Toc400373132"/>
      <w:bookmarkStart w:id="4977" w:name="_Toc400375312"/>
      <w:bookmarkStart w:id="4978" w:name="_Toc400377485"/>
      <w:bookmarkStart w:id="4979" w:name="_Toc400381821"/>
      <w:bookmarkStart w:id="4980" w:name="_Toc400383987"/>
      <w:bookmarkStart w:id="4981" w:name="_Toc400386153"/>
      <w:bookmarkStart w:id="4982" w:name="_Toc400388316"/>
      <w:bookmarkStart w:id="4983" w:name="_Toc400390477"/>
      <w:bookmarkStart w:id="4984" w:name="_Toc400392638"/>
      <w:bookmarkStart w:id="4985" w:name="_Toc400394802"/>
      <w:bookmarkStart w:id="4986" w:name="_Toc400355283"/>
      <w:bookmarkStart w:id="4987" w:name="_Toc400357548"/>
      <w:bookmarkStart w:id="4988" w:name="_Toc400359813"/>
      <w:bookmarkStart w:id="4989" w:name="_Toc400362078"/>
      <w:bookmarkStart w:id="4990" w:name="_Toc400364342"/>
      <w:bookmarkStart w:id="4991" w:name="_Toc400366573"/>
      <w:bookmarkStart w:id="4992" w:name="_Toc400368770"/>
      <w:bookmarkStart w:id="4993" w:name="_Toc400370952"/>
      <w:bookmarkStart w:id="4994" w:name="_Toc400373133"/>
      <w:bookmarkStart w:id="4995" w:name="_Toc400375313"/>
      <w:bookmarkStart w:id="4996" w:name="_Toc400377486"/>
      <w:bookmarkStart w:id="4997" w:name="_Toc400381822"/>
      <w:bookmarkStart w:id="4998" w:name="_Toc400383988"/>
      <w:bookmarkStart w:id="4999" w:name="_Toc400386154"/>
      <w:bookmarkStart w:id="5000" w:name="_Toc400388317"/>
      <w:bookmarkStart w:id="5001" w:name="_Toc400390478"/>
      <w:bookmarkStart w:id="5002" w:name="_Toc400392639"/>
      <w:bookmarkStart w:id="5003" w:name="_Toc400394803"/>
      <w:bookmarkStart w:id="5004" w:name="_Toc400355284"/>
      <w:bookmarkStart w:id="5005" w:name="_Toc400357549"/>
      <w:bookmarkStart w:id="5006" w:name="_Toc400359814"/>
      <w:bookmarkStart w:id="5007" w:name="_Toc400362079"/>
      <w:bookmarkStart w:id="5008" w:name="_Toc400364343"/>
      <w:bookmarkStart w:id="5009" w:name="_Toc400366574"/>
      <w:bookmarkStart w:id="5010" w:name="_Toc400368771"/>
      <w:bookmarkStart w:id="5011" w:name="_Toc400370953"/>
      <w:bookmarkStart w:id="5012" w:name="_Toc400373134"/>
      <w:bookmarkStart w:id="5013" w:name="_Toc400375314"/>
      <w:bookmarkStart w:id="5014" w:name="_Toc400377487"/>
      <w:bookmarkStart w:id="5015" w:name="_Toc400381823"/>
      <w:bookmarkStart w:id="5016" w:name="_Toc400383989"/>
      <w:bookmarkStart w:id="5017" w:name="_Toc400386155"/>
      <w:bookmarkStart w:id="5018" w:name="_Toc400388318"/>
      <w:bookmarkStart w:id="5019" w:name="_Toc400390479"/>
      <w:bookmarkStart w:id="5020" w:name="_Toc400392640"/>
      <w:bookmarkStart w:id="5021" w:name="_Toc400394804"/>
      <w:bookmarkStart w:id="5022" w:name="_Toc400355285"/>
      <w:bookmarkStart w:id="5023" w:name="_Toc400357550"/>
      <w:bookmarkStart w:id="5024" w:name="_Toc400359815"/>
      <w:bookmarkStart w:id="5025" w:name="_Toc400362080"/>
      <w:bookmarkStart w:id="5026" w:name="_Toc400364344"/>
      <w:bookmarkStart w:id="5027" w:name="_Toc400366575"/>
      <w:bookmarkStart w:id="5028" w:name="_Toc400368772"/>
      <w:bookmarkStart w:id="5029" w:name="_Toc400370954"/>
      <w:bookmarkStart w:id="5030" w:name="_Toc400373135"/>
      <w:bookmarkStart w:id="5031" w:name="_Toc400375315"/>
      <w:bookmarkStart w:id="5032" w:name="_Toc400377488"/>
      <w:bookmarkStart w:id="5033" w:name="_Toc400381824"/>
      <w:bookmarkStart w:id="5034" w:name="_Toc400383990"/>
      <w:bookmarkStart w:id="5035" w:name="_Toc400386156"/>
      <w:bookmarkStart w:id="5036" w:name="_Toc400388319"/>
      <w:bookmarkStart w:id="5037" w:name="_Toc400390480"/>
      <w:bookmarkStart w:id="5038" w:name="_Toc400392641"/>
      <w:bookmarkStart w:id="5039" w:name="_Toc400394805"/>
      <w:bookmarkStart w:id="5040" w:name="_Toc400355286"/>
      <w:bookmarkStart w:id="5041" w:name="_Toc400357551"/>
      <w:bookmarkStart w:id="5042" w:name="_Toc400359816"/>
      <w:bookmarkStart w:id="5043" w:name="_Toc400362081"/>
      <w:bookmarkStart w:id="5044" w:name="_Toc400364345"/>
      <w:bookmarkStart w:id="5045" w:name="_Toc400366576"/>
      <w:bookmarkStart w:id="5046" w:name="_Toc400368773"/>
      <w:bookmarkStart w:id="5047" w:name="_Toc400370955"/>
      <w:bookmarkStart w:id="5048" w:name="_Toc400373136"/>
      <w:bookmarkStart w:id="5049" w:name="_Toc400375316"/>
      <w:bookmarkStart w:id="5050" w:name="_Toc400377489"/>
      <w:bookmarkStart w:id="5051" w:name="_Toc400381825"/>
      <w:bookmarkStart w:id="5052" w:name="_Toc400383991"/>
      <w:bookmarkStart w:id="5053" w:name="_Toc400386157"/>
      <w:bookmarkStart w:id="5054" w:name="_Toc400388320"/>
      <w:bookmarkStart w:id="5055" w:name="_Toc400390481"/>
      <w:bookmarkStart w:id="5056" w:name="_Toc400392642"/>
      <w:bookmarkStart w:id="5057" w:name="_Toc400394806"/>
      <w:bookmarkStart w:id="5058" w:name="_Toc400355287"/>
      <w:bookmarkStart w:id="5059" w:name="_Toc400357552"/>
      <w:bookmarkStart w:id="5060" w:name="_Toc400359817"/>
      <w:bookmarkStart w:id="5061" w:name="_Toc400362082"/>
      <w:bookmarkStart w:id="5062" w:name="_Toc400364346"/>
      <w:bookmarkStart w:id="5063" w:name="_Toc400366577"/>
      <w:bookmarkStart w:id="5064" w:name="_Toc400368774"/>
      <w:bookmarkStart w:id="5065" w:name="_Toc400370956"/>
      <w:bookmarkStart w:id="5066" w:name="_Toc400373137"/>
      <w:bookmarkStart w:id="5067" w:name="_Toc400375317"/>
      <w:bookmarkStart w:id="5068" w:name="_Toc400377490"/>
      <w:bookmarkStart w:id="5069" w:name="_Toc400381826"/>
      <w:bookmarkStart w:id="5070" w:name="_Toc400383992"/>
      <w:bookmarkStart w:id="5071" w:name="_Toc400386158"/>
      <w:bookmarkStart w:id="5072" w:name="_Toc400388321"/>
      <w:bookmarkStart w:id="5073" w:name="_Toc400390482"/>
      <w:bookmarkStart w:id="5074" w:name="_Toc400392643"/>
      <w:bookmarkStart w:id="5075" w:name="_Toc400394807"/>
      <w:bookmarkStart w:id="5076" w:name="_Toc400355288"/>
      <w:bookmarkStart w:id="5077" w:name="_Toc400357553"/>
      <w:bookmarkStart w:id="5078" w:name="_Toc400359818"/>
      <w:bookmarkStart w:id="5079" w:name="_Toc400362083"/>
      <w:bookmarkStart w:id="5080" w:name="_Toc400364347"/>
      <w:bookmarkStart w:id="5081" w:name="_Toc400366578"/>
      <w:bookmarkStart w:id="5082" w:name="_Toc400368775"/>
      <w:bookmarkStart w:id="5083" w:name="_Toc400370957"/>
      <w:bookmarkStart w:id="5084" w:name="_Toc400373138"/>
      <w:bookmarkStart w:id="5085" w:name="_Toc400375318"/>
      <w:bookmarkStart w:id="5086" w:name="_Toc400377491"/>
      <w:bookmarkStart w:id="5087" w:name="_Toc400381827"/>
      <w:bookmarkStart w:id="5088" w:name="_Toc400383993"/>
      <w:bookmarkStart w:id="5089" w:name="_Toc400386159"/>
      <w:bookmarkStart w:id="5090" w:name="_Toc400388322"/>
      <w:bookmarkStart w:id="5091" w:name="_Toc400390483"/>
      <w:bookmarkStart w:id="5092" w:name="_Toc400392644"/>
      <w:bookmarkStart w:id="5093" w:name="_Toc400394808"/>
      <w:bookmarkStart w:id="5094" w:name="_Toc400355289"/>
      <w:bookmarkStart w:id="5095" w:name="_Toc400357554"/>
      <w:bookmarkStart w:id="5096" w:name="_Toc400359819"/>
      <w:bookmarkStart w:id="5097" w:name="_Toc400362084"/>
      <w:bookmarkStart w:id="5098" w:name="_Toc400364348"/>
      <w:bookmarkStart w:id="5099" w:name="_Toc400366579"/>
      <w:bookmarkStart w:id="5100" w:name="_Toc400368776"/>
      <w:bookmarkStart w:id="5101" w:name="_Toc400370958"/>
      <w:bookmarkStart w:id="5102" w:name="_Toc400373139"/>
      <w:bookmarkStart w:id="5103" w:name="_Toc400375319"/>
      <w:bookmarkStart w:id="5104" w:name="_Toc400377492"/>
      <w:bookmarkStart w:id="5105" w:name="_Toc400381828"/>
      <w:bookmarkStart w:id="5106" w:name="_Toc400383994"/>
      <w:bookmarkStart w:id="5107" w:name="_Toc400386160"/>
      <w:bookmarkStart w:id="5108" w:name="_Toc400388323"/>
      <w:bookmarkStart w:id="5109" w:name="_Toc400390484"/>
      <w:bookmarkStart w:id="5110" w:name="_Toc400392645"/>
      <w:bookmarkStart w:id="5111" w:name="_Toc400394809"/>
      <w:bookmarkStart w:id="5112" w:name="_Toc400355290"/>
      <w:bookmarkStart w:id="5113" w:name="_Toc400357555"/>
      <w:bookmarkStart w:id="5114" w:name="_Toc400359820"/>
      <w:bookmarkStart w:id="5115" w:name="_Toc400362085"/>
      <w:bookmarkStart w:id="5116" w:name="_Toc400364349"/>
      <w:bookmarkStart w:id="5117" w:name="_Toc400366580"/>
      <w:bookmarkStart w:id="5118" w:name="_Toc400368777"/>
      <w:bookmarkStart w:id="5119" w:name="_Toc400370959"/>
      <w:bookmarkStart w:id="5120" w:name="_Toc400373140"/>
      <w:bookmarkStart w:id="5121" w:name="_Toc400375320"/>
      <w:bookmarkStart w:id="5122" w:name="_Toc400377493"/>
      <w:bookmarkStart w:id="5123" w:name="_Toc400381829"/>
      <w:bookmarkStart w:id="5124" w:name="_Toc400383995"/>
      <w:bookmarkStart w:id="5125" w:name="_Toc400386161"/>
      <w:bookmarkStart w:id="5126" w:name="_Toc400388324"/>
      <w:bookmarkStart w:id="5127" w:name="_Toc400390485"/>
      <w:bookmarkStart w:id="5128" w:name="_Toc400392646"/>
      <w:bookmarkStart w:id="5129" w:name="_Toc400394810"/>
      <w:bookmarkStart w:id="5130" w:name="_Toc400355291"/>
      <w:bookmarkStart w:id="5131" w:name="_Toc400357556"/>
      <w:bookmarkStart w:id="5132" w:name="_Toc400359821"/>
      <w:bookmarkStart w:id="5133" w:name="_Toc400362086"/>
      <w:bookmarkStart w:id="5134" w:name="_Toc400364350"/>
      <w:bookmarkStart w:id="5135" w:name="_Toc400366581"/>
      <w:bookmarkStart w:id="5136" w:name="_Toc400368778"/>
      <w:bookmarkStart w:id="5137" w:name="_Toc400370960"/>
      <w:bookmarkStart w:id="5138" w:name="_Toc400373141"/>
      <w:bookmarkStart w:id="5139" w:name="_Toc400375321"/>
      <w:bookmarkStart w:id="5140" w:name="_Toc400377494"/>
      <w:bookmarkStart w:id="5141" w:name="_Toc400381830"/>
      <w:bookmarkStart w:id="5142" w:name="_Toc400383996"/>
      <w:bookmarkStart w:id="5143" w:name="_Toc400386162"/>
      <w:bookmarkStart w:id="5144" w:name="_Toc400388325"/>
      <w:bookmarkStart w:id="5145" w:name="_Toc400390486"/>
      <w:bookmarkStart w:id="5146" w:name="_Toc400392647"/>
      <w:bookmarkStart w:id="5147" w:name="_Toc400394811"/>
      <w:bookmarkStart w:id="5148" w:name="_Toc400355292"/>
      <w:bookmarkStart w:id="5149" w:name="_Toc400357557"/>
      <w:bookmarkStart w:id="5150" w:name="_Toc400359822"/>
      <w:bookmarkStart w:id="5151" w:name="_Toc400362087"/>
      <w:bookmarkStart w:id="5152" w:name="_Toc400364351"/>
      <w:bookmarkStart w:id="5153" w:name="_Toc400366582"/>
      <w:bookmarkStart w:id="5154" w:name="_Toc400368779"/>
      <w:bookmarkStart w:id="5155" w:name="_Toc400370961"/>
      <w:bookmarkStart w:id="5156" w:name="_Toc400373142"/>
      <w:bookmarkStart w:id="5157" w:name="_Toc400375322"/>
      <w:bookmarkStart w:id="5158" w:name="_Toc400377495"/>
      <w:bookmarkStart w:id="5159" w:name="_Toc400381831"/>
      <w:bookmarkStart w:id="5160" w:name="_Toc400383997"/>
      <w:bookmarkStart w:id="5161" w:name="_Toc400386163"/>
      <w:bookmarkStart w:id="5162" w:name="_Toc400388326"/>
      <w:bookmarkStart w:id="5163" w:name="_Toc400390487"/>
      <w:bookmarkStart w:id="5164" w:name="_Toc400392648"/>
      <w:bookmarkStart w:id="5165" w:name="_Toc400394812"/>
      <w:bookmarkStart w:id="5166" w:name="_Toc400355293"/>
      <w:bookmarkStart w:id="5167" w:name="_Toc400357558"/>
      <w:bookmarkStart w:id="5168" w:name="_Toc400359823"/>
      <w:bookmarkStart w:id="5169" w:name="_Toc400362088"/>
      <w:bookmarkStart w:id="5170" w:name="_Toc400364352"/>
      <w:bookmarkStart w:id="5171" w:name="_Toc400366583"/>
      <w:bookmarkStart w:id="5172" w:name="_Toc400368780"/>
      <w:bookmarkStart w:id="5173" w:name="_Toc400370962"/>
      <w:bookmarkStart w:id="5174" w:name="_Toc400373143"/>
      <w:bookmarkStart w:id="5175" w:name="_Toc400375323"/>
      <w:bookmarkStart w:id="5176" w:name="_Toc400377496"/>
      <w:bookmarkStart w:id="5177" w:name="_Toc400381832"/>
      <w:bookmarkStart w:id="5178" w:name="_Toc400383998"/>
      <w:bookmarkStart w:id="5179" w:name="_Toc400386164"/>
      <w:bookmarkStart w:id="5180" w:name="_Toc400388327"/>
      <w:bookmarkStart w:id="5181" w:name="_Toc400390488"/>
      <w:bookmarkStart w:id="5182" w:name="_Toc400392649"/>
      <w:bookmarkStart w:id="5183" w:name="_Toc400394813"/>
      <w:bookmarkStart w:id="5184" w:name="_Toc400355294"/>
      <w:bookmarkStart w:id="5185" w:name="_Toc400357559"/>
      <w:bookmarkStart w:id="5186" w:name="_Toc400359824"/>
      <w:bookmarkStart w:id="5187" w:name="_Toc400362089"/>
      <w:bookmarkStart w:id="5188" w:name="_Toc400364353"/>
      <w:bookmarkStart w:id="5189" w:name="_Toc400366584"/>
      <w:bookmarkStart w:id="5190" w:name="_Toc400368781"/>
      <w:bookmarkStart w:id="5191" w:name="_Toc400370963"/>
      <w:bookmarkStart w:id="5192" w:name="_Toc400373144"/>
      <w:bookmarkStart w:id="5193" w:name="_Toc400375324"/>
      <w:bookmarkStart w:id="5194" w:name="_Toc400377497"/>
      <w:bookmarkStart w:id="5195" w:name="_Toc400381833"/>
      <w:bookmarkStart w:id="5196" w:name="_Toc400383999"/>
      <w:bookmarkStart w:id="5197" w:name="_Toc400386165"/>
      <w:bookmarkStart w:id="5198" w:name="_Toc400388328"/>
      <w:bookmarkStart w:id="5199" w:name="_Toc400390489"/>
      <w:bookmarkStart w:id="5200" w:name="_Toc400392650"/>
      <w:bookmarkStart w:id="5201" w:name="_Toc400394814"/>
      <w:bookmarkStart w:id="5202" w:name="_Toc400355295"/>
      <w:bookmarkStart w:id="5203" w:name="_Toc400357560"/>
      <w:bookmarkStart w:id="5204" w:name="_Toc400359825"/>
      <w:bookmarkStart w:id="5205" w:name="_Toc400362090"/>
      <w:bookmarkStart w:id="5206" w:name="_Toc400364354"/>
      <w:bookmarkStart w:id="5207" w:name="_Toc400366585"/>
      <w:bookmarkStart w:id="5208" w:name="_Toc400368782"/>
      <w:bookmarkStart w:id="5209" w:name="_Toc400370964"/>
      <w:bookmarkStart w:id="5210" w:name="_Toc400373145"/>
      <w:bookmarkStart w:id="5211" w:name="_Toc400375325"/>
      <w:bookmarkStart w:id="5212" w:name="_Toc400377498"/>
      <w:bookmarkStart w:id="5213" w:name="_Toc400381834"/>
      <w:bookmarkStart w:id="5214" w:name="_Toc400384000"/>
      <w:bookmarkStart w:id="5215" w:name="_Toc400386166"/>
      <w:bookmarkStart w:id="5216" w:name="_Toc400388329"/>
      <w:bookmarkStart w:id="5217" w:name="_Toc400390490"/>
      <w:bookmarkStart w:id="5218" w:name="_Toc400392651"/>
      <w:bookmarkStart w:id="5219" w:name="_Toc400394815"/>
      <w:bookmarkStart w:id="5220" w:name="_Toc400355296"/>
      <w:bookmarkStart w:id="5221" w:name="_Toc400357561"/>
      <w:bookmarkStart w:id="5222" w:name="_Toc400359826"/>
      <w:bookmarkStart w:id="5223" w:name="_Toc400362091"/>
      <w:bookmarkStart w:id="5224" w:name="_Toc400364355"/>
      <w:bookmarkStart w:id="5225" w:name="_Toc400366586"/>
      <w:bookmarkStart w:id="5226" w:name="_Toc400368783"/>
      <w:bookmarkStart w:id="5227" w:name="_Toc400370965"/>
      <w:bookmarkStart w:id="5228" w:name="_Toc400373146"/>
      <w:bookmarkStart w:id="5229" w:name="_Toc400375326"/>
      <w:bookmarkStart w:id="5230" w:name="_Toc400377499"/>
      <w:bookmarkStart w:id="5231" w:name="_Toc400381835"/>
      <w:bookmarkStart w:id="5232" w:name="_Toc400384001"/>
      <w:bookmarkStart w:id="5233" w:name="_Toc400386167"/>
      <w:bookmarkStart w:id="5234" w:name="_Toc400388330"/>
      <w:bookmarkStart w:id="5235" w:name="_Toc400390491"/>
      <w:bookmarkStart w:id="5236" w:name="_Toc400392652"/>
      <w:bookmarkStart w:id="5237" w:name="_Toc400394816"/>
      <w:bookmarkStart w:id="5238" w:name="_Toc400355297"/>
      <w:bookmarkStart w:id="5239" w:name="_Toc400357562"/>
      <w:bookmarkStart w:id="5240" w:name="_Toc400359827"/>
      <w:bookmarkStart w:id="5241" w:name="_Toc400362092"/>
      <w:bookmarkStart w:id="5242" w:name="_Toc400364356"/>
      <w:bookmarkStart w:id="5243" w:name="_Toc400366587"/>
      <w:bookmarkStart w:id="5244" w:name="_Toc400368784"/>
      <w:bookmarkStart w:id="5245" w:name="_Toc400370966"/>
      <w:bookmarkStart w:id="5246" w:name="_Toc400373147"/>
      <w:bookmarkStart w:id="5247" w:name="_Toc400375327"/>
      <w:bookmarkStart w:id="5248" w:name="_Toc400377500"/>
      <w:bookmarkStart w:id="5249" w:name="_Toc400381836"/>
      <w:bookmarkStart w:id="5250" w:name="_Toc400384002"/>
      <w:bookmarkStart w:id="5251" w:name="_Toc400386168"/>
      <w:bookmarkStart w:id="5252" w:name="_Toc400388331"/>
      <w:bookmarkStart w:id="5253" w:name="_Toc400390492"/>
      <w:bookmarkStart w:id="5254" w:name="_Toc400392653"/>
      <w:bookmarkStart w:id="5255" w:name="_Toc400394817"/>
      <w:bookmarkStart w:id="5256" w:name="_Toc400355298"/>
      <w:bookmarkStart w:id="5257" w:name="_Toc400357563"/>
      <w:bookmarkStart w:id="5258" w:name="_Toc400359828"/>
      <w:bookmarkStart w:id="5259" w:name="_Toc400362093"/>
      <w:bookmarkStart w:id="5260" w:name="_Toc400364357"/>
      <w:bookmarkStart w:id="5261" w:name="_Toc400366588"/>
      <w:bookmarkStart w:id="5262" w:name="_Toc400368785"/>
      <w:bookmarkStart w:id="5263" w:name="_Toc400370967"/>
      <w:bookmarkStart w:id="5264" w:name="_Toc400373148"/>
      <w:bookmarkStart w:id="5265" w:name="_Toc400375328"/>
      <w:bookmarkStart w:id="5266" w:name="_Toc400377501"/>
      <w:bookmarkStart w:id="5267" w:name="_Toc400381837"/>
      <w:bookmarkStart w:id="5268" w:name="_Toc400384003"/>
      <w:bookmarkStart w:id="5269" w:name="_Toc400386169"/>
      <w:bookmarkStart w:id="5270" w:name="_Toc400388332"/>
      <w:bookmarkStart w:id="5271" w:name="_Toc400390493"/>
      <w:bookmarkStart w:id="5272" w:name="_Toc400392654"/>
      <w:bookmarkStart w:id="5273" w:name="_Toc400394818"/>
      <w:bookmarkStart w:id="5274" w:name="_Toc400355299"/>
      <w:bookmarkStart w:id="5275" w:name="_Toc400357564"/>
      <w:bookmarkStart w:id="5276" w:name="_Toc400359829"/>
      <w:bookmarkStart w:id="5277" w:name="_Toc400362094"/>
      <w:bookmarkStart w:id="5278" w:name="_Toc400364358"/>
      <w:bookmarkStart w:id="5279" w:name="_Toc400366589"/>
      <w:bookmarkStart w:id="5280" w:name="_Toc400368786"/>
      <w:bookmarkStart w:id="5281" w:name="_Toc400370968"/>
      <w:bookmarkStart w:id="5282" w:name="_Toc400373149"/>
      <w:bookmarkStart w:id="5283" w:name="_Toc400375329"/>
      <w:bookmarkStart w:id="5284" w:name="_Toc400377502"/>
      <w:bookmarkStart w:id="5285" w:name="_Toc400381838"/>
      <w:bookmarkStart w:id="5286" w:name="_Toc400384004"/>
      <w:bookmarkStart w:id="5287" w:name="_Toc400386170"/>
      <w:bookmarkStart w:id="5288" w:name="_Toc400388333"/>
      <w:bookmarkStart w:id="5289" w:name="_Toc400390494"/>
      <w:bookmarkStart w:id="5290" w:name="_Toc400392655"/>
      <w:bookmarkStart w:id="5291" w:name="_Toc400394819"/>
      <w:bookmarkStart w:id="5292" w:name="_Toc400355300"/>
      <w:bookmarkStart w:id="5293" w:name="_Toc400357565"/>
      <w:bookmarkStart w:id="5294" w:name="_Toc400359830"/>
      <w:bookmarkStart w:id="5295" w:name="_Toc400362095"/>
      <w:bookmarkStart w:id="5296" w:name="_Toc400364359"/>
      <w:bookmarkStart w:id="5297" w:name="_Toc400366590"/>
      <w:bookmarkStart w:id="5298" w:name="_Toc400368787"/>
      <w:bookmarkStart w:id="5299" w:name="_Toc400370969"/>
      <w:bookmarkStart w:id="5300" w:name="_Toc400373150"/>
      <w:bookmarkStart w:id="5301" w:name="_Toc400375330"/>
      <w:bookmarkStart w:id="5302" w:name="_Toc400377503"/>
      <w:bookmarkStart w:id="5303" w:name="_Toc400381839"/>
      <w:bookmarkStart w:id="5304" w:name="_Toc400384005"/>
      <w:bookmarkStart w:id="5305" w:name="_Toc400386171"/>
      <w:bookmarkStart w:id="5306" w:name="_Toc400388334"/>
      <w:bookmarkStart w:id="5307" w:name="_Toc400390495"/>
      <w:bookmarkStart w:id="5308" w:name="_Toc400392656"/>
      <w:bookmarkStart w:id="5309" w:name="_Toc400394820"/>
      <w:bookmarkStart w:id="5310" w:name="_Toc400355301"/>
      <w:bookmarkStart w:id="5311" w:name="_Toc400357566"/>
      <w:bookmarkStart w:id="5312" w:name="_Toc400359831"/>
      <w:bookmarkStart w:id="5313" w:name="_Toc400362096"/>
      <w:bookmarkStart w:id="5314" w:name="_Toc400364360"/>
      <w:bookmarkStart w:id="5315" w:name="_Toc400366591"/>
      <w:bookmarkStart w:id="5316" w:name="_Toc400368788"/>
      <w:bookmarkStart w:id="5317" w:name="_Toc400370970"/>
      <w:bookmarkStart w:id="5318" w:name="_Toc400373151"/>
      <w:bookmarkStart w:id="5319" w:name="_Toc400375331"/>
      <w:bookmarkStart w:id="5320" w:name="_Toc400377504"/>
      <w:bookmarkStart w:id="5321" w:name="_Toc400381840"/>
      <w:bookmarkStart w:id="5322" w:name="_Toc400384006"/>
      <w:bookmarkStart w:id="5323" w:name="_Toc400386172"/>
      <w:bookmarkStart w:id="5324" w:name="_Toc400388335"/>
      <w:bookmarkStart w:id="5325" w:name="_Toc400390496"/>
      <w:bookmarkStart w:id="5326" w:name="_Toc400392657"/>
      <w:bookmarkStart w:id="5327" w:name="_Toc400394821"/>
      <w:bookmarkStart w:id="5328" w:name="_Toc400355302"/>
      <w:bookmarkStart w:id="5329" w:name="_Toc400357567"/>
      <w:bookmarkStart w:id="5330" w:name="_Toc400359832"/>
      <w:bookmarkStart w:id="5331" w:name="_Toc400362097"/>
      <w:bookmarkStart w:id="5332" w:name="_Toc400364361"/>
      <w:bookmarkStart w:id="5333" w:name="_Toc400366592"/>
      <w:bookmarkStart w:id="5334" w:name="_Toc400368789"/>
      <w:bookmarkStart w:id="5335" w:name="_Toc400370971"/>
      <w:bookmarkStart w:id="5336" w:name="_Toc400373152"/>
      <w:bookmarkStart w:id="5337" w:name="_Toc400375332"/>
      <w:bookmarkStart w:id="5338" w:name="_Toc400377505"/>
      <w:bookmarkStart w:id="5339" w:name="_Toc400381841"/>
      <w:bookmarkStart w:id="5340" w:name="_Toc400384007"/>
      <w:bookmarkStart w:id="5341" w:name="_Toc400386173"/>
      <w:bookmarkStart w:id="5342" w:name="_Toc400388336"/>
      <w:bookmarkStart w:id="5343" w:name="_Toc400390497"/>
      <w:bookmarkStart w:id="5344" w:name="_Toc400392658"/>
      <w:bookmarkStart w:id="5345" w:name="_Toc400394822"/>
      <w:bookmarkStart w:id="5346" w:name="_Toc400355303"/>
      <w:bookmarkStart w:id="5347" w:name="_Toc400357568"/>
      <w:bookmarkStart w:id="5348" w:name="_Toc400359833"/>
      <w:bookmarkStart w:id="5349" w:name="_Toc400362098"/>
      <w:bookmarkStart w:id="5350" w:name="_Toc400364362"/>
      <w:bookmarkStart w:id="5351" w:name="_Toc400366593"/>
      <w:bookmarkStart w:id="5352" w:name="_Toc400368790"/>
      <w:bookmarkStart w:id="5353" w:name="_Toc400370972"/>
      <w:bookmarkStart w:id="5354" w:name="_Toc400373153"/>
      <w:bookmarkStart w:id="5355" w:name="_Toc400375333"/>
      <w:bookmarkStart w:id="5356" w:name="_Toc400377506"/>
      <w:bookmarkStart w:id="5357" w:name="_Toc400381842"/>
      <w:bookmarkStart w:id="5358" w:name="_Toc400384008"/>
      <w:bookmarkStart w:id="5359" w:name="_Toc400386174"/>
      <w:bookmarkStart w:id="5360" w:name="_Toc400388337"/>
      <w:bookmarkStart w:id="5361" w:name="_Toc400390498"/>
      <w:bookmarkStart w:id="5362" w:name="_Toc400392659"/>
      <w:bookmarkStart w:id="5363" w:name="_Toc400394823"/>
      <w:bookmarkStart w:id="5364" w:name="_Toc400355304"/>
      <w:bookmarkStart w:id="5365" w:name="_Toc400357569"/>
      <w:bookmarkStart w:id="5366" w:name="_Toc400359834"/>
      <w:bookmarkStart w:id="5367" w:name="_Toc400362099"/>
      <w:bookmarkStart w:id="5368" w:name="_Toc400364363"/>
      <w:bookmarkStart w:id="5369" w:name="_Toc400366594"/>
      <w:bookmarkStart w:id="5370" w:name="_Toc400368791"/>
      <w:bookmarkStart w:id="5371" w:name="_Toc400370973"/>
      <w:bookmarkStart w:id="5372" w:name="_Toc400373154"/>
      <w:bookmarkStart w:id="5373" w:name="_Toc400375334"/>
      <w:bookmarkStart w:id="5374" w:name="_Toc400377507"/>
      <w:bookmarkStart w:id="5375" w:name="_Toc400381843"/>
      <w:bookmarkStart w:id="5376" w:name="_Toc400384009"/>
      <w:bookmarkStart w:id="5377" w:name="_Toc400386175"/>
      <w:bookmarkStart w:id="5378" w:name="_Toc400388338"/>
      <w:bookmarkStart w:id="5379" w:name="_Toc400390499"/>
      <w:bookmarkStart w:id="5380" w:name="_Toc400392660"/>
      <w:bookmarkStart w:id="5381" w:name="_Toc400394824"/>
      <w:bookmarkStart w:id="5382" w:name="_Toc400355305"/>
      <w:bookmarkStart w:id="5383" w:name="_Toc400357570"/>
      <w:bookmarkStart w:id="5384" w:name="_Toc400359835"/>
      <w:bookmarkStart w:id="5385" w:name="_Toc400362100"/>
      <w:bookmarkStart w:id="5386" w:name="_Toc400364364"/>
      <w:bookmarkStart w:id="5387" w:name="_Toc400366595"/>
      <w:bookmarkStart w:id="5388" w:name="_Toc400368792"/>
      <w:bookmarkStart w:id="5389" w:name="_Toc400370974"/>
      <w:bookmarkStart w:id="5390" w:name="_Toc400373155"/>
      <w:bookmarkStart w:id="5391" w:name="_Toc400375335"/>
      <w:bookmarkStart w:id="5392" w:name="_Toc400377508"/>
      <w:bookmarkStart w:id="5393" w:name="_Toc400381844"/>
      <w:bookmarkStart w:id="5394" w:name="_Toc400384010"/>
      <w:bookmarkStart w:id="5395" w:name="_Toc400386176"/>
      <w:bookmarkStart w:id="5396" w:name="_Toc400388339"/>
      <w:bookmarkStart w:id="5397" w:name="_Toc400390500"/>
      <w:bookmarkStart w:id="5398" w:name="_Toc400392661"/>
      <w:bookmarkStart w:id="5399" w:name="_Toc400394825"/>
      <w:bookmarkStart w:id="5400" w:name="_Toc400355306"/>
      <w:bookmarkStart w:id="5401" w:name="_Toc400357571"/>
      <w:bookmarkStart w:id="5402" w:name="_Toc400359836"/>
      <w:bookmarkStart w:id="5403" w:name="_Toc400362101"/>
      <w:bookmarkStart w:id="5404" w:name="_Toc400364365"/>
      <w:bookmarkStart w:id="5405" w:name="_Toc400366596"/>
      <w:bookmarkStart w:id="5406" w:name="_Toc400368793"/>
      <w:bookmarkStart w:id="5407" w:name="_Toc400370975"/>
      <w:bookmarkStart w:id="5408" w:name="_Toc400373156"/>
      <w:bookmarkStart w:id="5409" w:name="_Toc400375336"/>
      <w:bookmarkStart w:id="5410" w:name="_Toc400377509"/>
      <w:bookmarkStart w:id="5411" w:name="_Toc400381845"/>
      <w:bookmarkStart w:id="5412" w:name="_Toc400384011"/>
      <w:bookmarkStart w:id="5413" w:name="_Toc400386177"/>
      <w:bookmarkStart w:id="5414" w:name="_Toc400388340"/>
      <w:bookmarkStart w:id="5415" w:name="_Toc400390501"/>
      <w:bookmarkStart w:id="5416" w:name="_Toc400392662"/>
      <w:bookmarkStart w:id="5417" w:name="_Toc400394826"/>
      <w:bookmarkStart w:id="5418" w:name="_Toc400355307"/>
      <w:bookmarkStart w:id="5419" w:name="_Toc400357572"/>
      <w:bookmarkStart w:id="5420" w:name="_Toc400359837"/>
      <w:bookmarkStart w:id="5421" w:name="_Toc400362102"/>
      <w:bookmarkStart w:id="5422" w:name="_Toc400364366"/>
      <w:bookmarkStart w:id="5423" w:name="_Toc400366597"/>
      <w:bookmarkStart w:id="5424" w:name="_Toc400368794"/>
      <w:bookmarkStart w:id="5425" w:name="_Toc400370976"/>
      <w:bookmarkStart w:id="5426" w:name="_Toc400373157"/>
      <w:bookmarkStart w:id="5427" w:name="_Toc400375337"/>
      <w:bookmarkStart w:id="5428" w:name="_Toc400377510"/>
      <w:bookmarkStart w:id="5429" w:name="_Toc400381846"/>
      <w:bookmarkStart w:id="5430" w:name="_Toc400384012"/>
      <w:bookmarkStart w:id="5431" w:name="_Toc400386178"/>
      <w:bookmarkStart w:id="5432" w:name="_Toc400388341"/>
      <w:bookmarkStart w:id="5433" w:name="_Toc400390502"/>
      <w:bookmarkStart w:id="5434" w:name="_Toc400392663"/>
      <w:bookmarkStart w:id="5435" w:name="_Toc400394827"/>
      <w:bookmarkStart w:id="5436" w:name="_Toc400355308"/>
      <w:bookmarkStart w:id="5437" w:name="_Toc400357573"/>
      <w:bookmarkStart w:id="5438" w:name="_Toc400359838"/>
      <w:bookmarkStart w:id="5439" w:name="_Toc400362103"/>
      <w:bookmarkStart w:id="5440" w:name="_Toc400364367"/>
      <w:bookmarkStart w:id="5441" w:name="_Toc400366598"/>
      <w:bookmarkStart w:id="5442" w:name="_Toc400368795"/>
      <w:bookmarkStart w:id="5443" w:name="_Toc400370977"/>
      <w:bookmarkStart w:id="5444" w:name="_Toc400373158"/>
      <w:bookmarkStart w:id="5445" w:name="_Toc400375338"/>
      <w:bookmarkStart w:id="5446" w:name="_Toc400377511"/>
      <w:bookmarkStart w:id="5447" w:name="_Toc400381847"/>
      <w:bookmarkStart w:id="5448" w:name="_Toc400384013"/>
      <w:bookmarkStart w:id="5449" w:name="_Toc400386179"/>
      <w:bookmarkStart w:id="5450" w:name="_Toc400388342"/>
      <w:bookmarkStart w:id="5451" w:name="_Toc400390503"/>
      <w:bookmarkStart w:id="5452" w:name="_Toc400392664"/>
      <w:bookmarkStart w:id="5453" w:name="_Toc400394828"/>
      <w:bookmarkStart w:id="5454" w:name="_Toc400355309"/>
      <w:bookmarkStart w:id="5455" w:name="_Toc400357574"/>
      <w:bookmarkStart w:id="5456" w:name="_Toc400359839"/>
      <w:bookmarkStart w:id="5457" w:name="_Toc400362104"/>
      <w:bookmarkStart w:id="5458" w:name="_Toc400364368"/>
      <w:bookmarkStart w:id="5459" w:name="_Toc400366599"/>
      <w:bookmarkStart w:id="5460" w:name="_Toc400368796"/>
      <w:bookmarkStart w:id="5461" w:name="_Toc400370978"/>
      <w:bookmarkStart w:id="5462" w:name="_Toc400373159"/>
      <w:bookmarkStart w:id="5463" w:name="_Toc400375339"/>
      <w:bookmarkStart w:id="5464" w:name="_Toc400377512"/>
      <w:bookmarkStart w:id="5465" w:name="_Toc400381848"/>
      <w:bookmarkStart w:id="5466" w:name="_Toc400384014"/>
      <w:bookmarkStart w:id="5467" w:name="_Toc400386180"/>
      <w:bookmarkStart w:id="5468" w:name="_Toc400388343"/>
      <w:bookmarkStart w:id="5469" w:name="_Toc400390504"/>
      <w:bookmarkStart w:id="5470" w:name="_Toc400392665"/>
      <w:bookmarkStart w:id="5471" w:name="_Toc400394829"/>
      <w:bookmarkStart w:id="5472" w:name="_Toc400355310"/>
      <w:bookmarkStart w:id="5473" w:name="_Toc400357575"/>
      <w:bookmarkStart w:id="5474" w:name="_Toc400359840"/>
      <w:bookmarkStart w:id="5475" w:name="_Toc400362105"/>
      <w:bookmarkStart w:id="5476" w:name="_Toc400364369"/>
      <w:bookmarkStart w:id="5477" w:name="_Toc400366600"/>
      <w:bookmarkStart w:id="5478" w:name="_Toc400368797"/>
      <w:bookmarkStart w:id="5479" w:name="_Toc400370979"/>
      <w:bookmarkStart w:id="5480" w:name="_Toc400373160"/>
      <w:bookmarkStart w:id="5481" w:name="_Toc400375340"/>
      <w:bookmarkStart w:id="5482" w:name="_Toc400377513"/>
      <w:bookmarkStart w:id="5483" w:name="_Toc400381849"/>
      <w:bookmarkStart w:id="5484" w:name="_Toc400384015"/>
      <w:bookmarkStart w:id="5485" w:name="_Toc400386181"/>
      <w:bookmarkStart w:id="5486" w:name="_Toc400388344"/>
      <w:bookmarkStart w:id="5487" w:name="_Toc400390505"/>
      <w:bookmarkStart w:id="5488" w:name="_Toc400392666"/>
      <w:bookmarkStart w:id="5489" w:name="_Toc400394830"/>
      <w:bookmarkStart w:id="5490" w:name="_Toc400355311"/>
      <w:bookmarkStart w:id="5491" w:name="_Toc400357576"/>
      <w:bookmarkStart w:id="5492" w:name="_Toc400359841"/>
      <w:bookmarkStart w:id="5493" w:name="_Toc400362106"/>
      <w:bookmarkStart w:id="5494" w:name="_Toc400364370"/>
      <w:bookmarkStart w:id="5495" w:name="_Toc400366601"/>
      <w:bookmarkStart w:id="5496" w:name="_Toc400368798"/>
      <w:bookmarkStart w:id="5497" w:name="_Toc400370980"/>
      <w:bookmarkStart w:id="5498" w:name="_Toc400373161"/>
      <w:bookmarkStart w:id="5499" w:name="_Toc400375341"/>
      <w:bookmarkStart w:id="5500" w:name="_Toc400377514"/>
      <w:bookmarkStart w:id="5501" w:name="_Toc400381850"/>
      <w:bookmarkStart w:id="5502" w:name="_Toc400384016"/>
      <w:bookmarkStart w:id="5503" w:name="_Toc400386182"/>
      <w:bookmarkStart w:id="5504" w:name="_Toc400388345"/>
      <w:bookmarkStart w:id="5505" w:name="_Toc400390506"/>
      <w:bookmarkStart w:id="5506" w:name="_Toc400392667"/>
      <w:bookmarkStart w:id="5507" w:name="_Toc400394831"/>
      <w:bookmarkStart w:id="5508" w:name="_Toc400355312"/>
      <w:bookmarkStart w:id="5509" w:name="_Toc400357577"/>
      <w:bookmarkStart w:id="5510" w:name="_Toc400359842"/>
      <w:bookmarkStart w:id="5511" w:name="_Toc400362107"/>
      <w:bookmarkStart w:id="5512" w:name="_Toc400364371"/>
      <w:bookmarkStart w:id="5513" w:name="_Toc400366602"/>
      <w:bookmarkStart w:id="5514" w:name="_Toc400368799"/>
      <w:bookmarkStart w:id="5515" w:name="_Toc400370981"/>
      <w:bookmarkStart w:id="5516" w:name="_Toc400373162"/>
      <w:bookmarkStart w:id="5517" w:name="_Toc400375342"/>
      <w:bookmarkStart w:id="5518" w:name="_Toc400377515"/>
      <w:bookmarkStart w:id="5519" w:name="_Toc400381851"/>
      <w:bookmarkStart w:id="5520" w:name="_Toc400384017"/>
      <w:bookmarkStart w:id="5521" w:name="_Toc400386183"/>
      <w:bookmarkStart w:id="5522" w:name="_Toc400388346"/>
      <w:bookmarkStart w:id="5523" w:name="_Toc400390507"/>
      <w:bookmarkStart w:id="5524" w:name="_Toc400392668"/>
      <w:bookmarkStart w:id="5525" w:name="_Toc400394832"/>
      <w:bookmarkStart w:id="5526" w:name="_Toc400355313"/>
      <w:bookmarkStart w:id="5527" w:name="_Toc400357578"/>
      <w:bookmarkStart w:id="5528" w:name="_Toc400359843"/>
      <w:bookmarkStart w:id="5529" w:name="_Toc400362108"/>
      <w:bookmarkStart w:id="5530" w:name="_Toc400364372"/>
      <w:bookmarkStart w:id="5531" w:name="_Toc400366603"/>
      <w:bookmarkStart w:id="5532" w:name="_Toc400368800"/>
      <w:bookmarkStart w:id="5533" w:name="_Toc400370982"/>
      <w:bookmarkStart w:id="5534" w:name="_Toc400373163"/>
      <w:bookmarkStart w:id="5535" w:name="_Toc400375343"/>
      <w:bookmarkStart w:id="5536" w:name="_Toc400377516"/>
      <w:bookmarkStart w:id="5537" w:name="_Toc400381852"/>
      <w:bookmarkStart w:id="5538" w:name="_Toc400384018"/>
      <w:bookmarkStart w:id="5539" w:name="_Toc400386184"/>
      <w:bookmarkStart w:id="5540" w:name="_Toc400388347"/>
      <w:bookmarkStart w:id="5541" w:name="_Toc400390508"/>
      <w:bookmarkStart w:id="5542" w:name="_Toc400392669"/>
      <w:bookmarkStart w:id="5543" w:name="_Toc400394833"/>
      <w:bookmarkStart w:id="5544" w:name="_Toc400355314"/>
      <w:bookmarkStart w:id="5545" w:name="_Toc400357579"/>
      <w:bookmarkStart w:id="5546" w:name="_Toc400359844"/>
      <w:bookmarkStart w:id="5547" w:name="_Toc400362109"/>
      <w:bookmarkStart w:id="5548" w:name="_Toc400364373"/>
      <w:bookmarkStart w:id="5549" w:name="_Toc400366604"/>
      <w:bookmarkStart w:id="5550" w:name="_Toc400368801"/>
      <w:bookmarkStart w:id="5551" w:name="_Toc400370983"/>
      <w:bookmarkStart w:id="5552" w:name="_Toc400373164"/>
      <w:bookmarkStart w:id="5553" w:name="_Toc400375344"/>
      <w:bookmarkStart w:id="5554" w:name="_Toc400377517"/>
      <w:bookmarkStart w:id="5555" w:name="_Toc400381853"/>
      <w:bookmarkStart w:id="5556" w:name="_Toc400384019"/>
      <w:bookmarkStart w:id="5557" w:name="_Toc400386185"/>
      <w:bookmarkStart w:id="5558" w:name="_Toc400388348"/>
      <w:bookmarkStart w:id="5559" w:name="_Toc400390509"/>
      <w:bookmarkStart w:id="5560" w:name="_Toc400392670"/>
      <w:bookmarkStart w:id="5561" w:name="_Toc400394834"/>
      <w:bookmarkStart w:id="5562" w:name="_Toc400355315"/>
      <w:bookmarkStart w:id="5563" w:name="_Toc400357580"/>
      <w:bookmarkStart w:id="5564" w:name="_Toc400359845"/>
      <w:bookmarkStart w:id="5565" w:name="_Toc400362110"/>
      <w:bookmarkStart w:id="5566" w:name="_Toc400364374"/>
      <w:bookmarkStart w:id="5567" w:name="_Toc400366605"/>
      <w:bookmarkStart w:id="5568" w:name="_Toc400368802"/>
      <w:bookmarkStart w:id="5569" w:name="_Toc400370984"/>
      <w:bookmarkStart w:id="5570" w:name="_Toc400373165"/>
      <w:bookmarkStart w:id="5571" w:name="_Toc400375345"/>
      <w:bookmarkStart w:id="5572" w:name="_Toc400377518"/>
      <w:bookmarkStart w:id="5573" w:name="_Toc400381854"/>
      <w:bookmarkStart w:id="5574" w:name="_Toc400384020"/>
      <w:bookmarkStart w:id="5575" w:name="_Toc400386186"/>
      <w:bookmarkStart w:id="5576" w:name="_Toc400388349"/>
      <w:bookmarkStart w:id="5577" w:name="_Toc400390510"/>
      <w:bookmarkStart w:id="5578" w:name="_Toc400392671"/>
      <w:bookmarkStart w:id="5579" w:name="_Toc400394835"/>
      <w:bookmarkStart w:id="5580" w:name="_Toc400355316"/>
      <w:bookmarkStart w:id="5581" w:name="_Toc400357581"/>
      <w:bookmarkStart w:id="5582" w:name="_Toc400359846"/>
      <w:bookmarkStart w:id="5583" w:name="_Toc400362111"/>
      <w:bookmarkStart w:id="5584" w:name="_Toc400364375"/>
      <w:bookmarkStart w:id="5585" w:name="_Toc400366606"/>
      <w:bookmarkStart w:id="5586" w:name="_Toc400368803"/>
      <w:bookmarkStart w:id="5587" w:name="_Toc400370985"/>
      <w:bookmarkStart w:id="5588" w:name="_Toc400373166"/>
      <w:bookmarkStart w:id="5589" w:name="_Toc400375346"/>
      <w:bookmarkStart w:id="5590" w:name="_Toc400377519"/>
      <w:bookmarkStart w:id="5591" w:name="_Toc400381855"/>
      <w:bookmarkStart w:id="5592" w:name="_Toc400384021"/>
      <w:bookmarkStart w:id="5593" w:name="_Toc400386187"/>
      <w:bookmarkStart w:id="5594" w:name="_Toc400388350"/>
      <w:bookmarkStart w:id="5595" w:name="_Toc400390511"/>
      <w:bookmarkStart w:id="5596" w:name="_Toc400392672"/>
      <w:bookmarkStart w:id="5597" w:name="_Toc400394836"/>
      <w:bookmarkStart w:id="5598" w:name="_Toc400355317"/>
      <w:bookmarkStart w:id="5599" w:name="_Toc400357582"/>
      <w:bookmarkStart w:id="5600" w:name="_Toc400359847"/>
      <w:bookmarkStart w:id="5601" w:name="_Toc400362112"/>
      <w:bookmarkStart w:id="5602" w:name="_Toc400364376"/>
      <w:bookmarkStart w:id="5603" w:name="_Toc400366607"/>
      <w:bookmarkStart w:id="5604" w:name="_Toc400368804"/>
      <w:bookmarkStart w:id="5605" w:name="_Toc400370986"/>
      <w:bookmarkStart w:id="5606" w:name="_Toc400373167"/>
      <w:bookmarkStart w:id="5607" w:name="_Toc400375347"/>
      <w:bookmarkStart w:id="5608" w:name="_Toc400377520"/>
      <w:bookmarkStart w:id="5609" w:name="_Toc400381856"/>
      <w:bookmarkStart w:id="5610" w:name="_Toc400384022"/>
      <w:bookmarkStart w:id="5611" w:name="_Toc400386188"/>
      <w:bookmarkStart w:id="5612" w:name="_Toc400388351"/>
      <w:bookmarkStart w:id="5613" w:name="_Toc400390512"/>
      <w:bookmarkStart w:id="5614" w:name="_Toc400392673"/>
      <w:bookmarkStart w:id="5615" w:name="_Toc400394837"/>
      <w:bookmarkStart w:id="5616" w:name="_Toc400355318"/>
      <w:bookmarkStart w:id="5617" w:name="_Toc400357583"/>
      <w:bookmarkStart w:id="5618" w:name="_Toc400359848"/>
      <w:bookmarkStart w:id="5619" w:name="_Toc400362113"/>
      <w:bookmarkStart w:id="5620" w:name="_Toc400364377"/>
      <w:bookmarkStart w:id="5621" w:name="_Toc400366608"/>
      <w:bookmarkStart w:id="5622" w:name="_Toc400368805"/>
      <w:bookmarkStart w:id="5623" w:name="_Toc400370987"/>
      <w:bookmarkStart w:id="5624" w:name="_Toc400373168"/>
      <w:bookmarkStart w:id="5625" w:name="_Toc400375348"/>
      <w:bookmarkStart w:id="5626" w:name="_Toc400377521"/>
      <w:bookmarkStart w:id="5627" w:name="_Toc400381857"/>
      <w:bookmarkStart w:id="5628" w:name="_Toc400384023"/>
      <w:bookmarkStart w:id="5629" w:name="_Toc400386189"/>
      <w:bookmarkStart w:id="5630" w:name="_Toc400388352"/>
      <w:bookmarkStart w:id="5631" w:name="_Toc400390513"/>
      <w:bookmarkStart w:id="5632" w:name="_Toc400392674"/>
      <w:bookmarkStart w:id="5633" w:name="_Toc400394838"/>
      <w:bookmarkStart w:id="5634" w:name="_Toc400355319"/>
      <w:bookmarkStart w:id="5635" w:name="_Toc400357584"/>
      <w:bookmarkStart w:id="5636" w:name="_Toc400359849"/>
      <w:bookmarkStart w:id="5637" w:name="_Toc400362114"/>
      <w:bookmarkStart w:id="5638" w:name="_Toc400364378"/>
      <w:bookmarkStart w:id="5639" w:name="_Toc400366609"/>
      <w:bookmarkStart w:id="5640" w:name="_Toc400368806"/>
      <w:bookmarkStart w:id="5641" w:name="_Toc400370988"/>
      <w:bookmarkStart w:id="5642" w:name="_Toc400373169"/>
      <w:bookmarkStart w:id="5643" w:name="_Toc400375349"/>
      <w:bookmarkStart w:id="5644" w:name="_Toc400377522"/>
      <w:bookmarkStart w:id="5645" w:name="_Toc400381858"/>
      <w:bookmarkStart w:id="5646" w:name="_Toc400384024"/>
      <w:bookmarkStart w:id="5647" w:name="_Toc400386190"/>
      <w:bookmarkStart w:id="5648" w:name="_Toc400388353"/>
      <w:bookmarkStart w:id="5649" w:name="_Toc400390514"/>
      <w:bookmarkStart w:id="5650" w:name="_Toc400392675"/>
      <w:bookmarkStart w:id="5651" w:name="_Toc400394839"/>
      <w:bookmarkStart w:id="5652" w:name="_Toc400355320"/>
      <w:bookmarkStart w:id="5653" w:name="_Toc400357585"/>
      <w:bookmarkStart w:id="5654" w:name="_Toc400359850"/>
      <w:bookmarkStart w:id="5655" w:name="_Toc400362115"/>
      <w:bookmarkStart w:id="5656" w:name="_Toc400364379"/>
      <w:bookmarkStart w:id="5657" w:name="_Toc400366610"/>
      <w:bookmarkStart w:id="5658" w:name="_Toc400368807"/>
      <w:bookmarkStart w:id="5659" w:name="_Toc400370989"/>
      <w:bookmarkStart w:id="5660" w:name="_Toc400373170"/>
      <w:bookmarkStart w:id="5661" w:name="_Toc400375350"/>
      <w:bookmarkStart w:id="5662" w:name="_Toc400377523"/>
      <w:bookmarkStart w:id="5663" w:name="_Toc400381859"/>
      <w:bookmarkStart w:id="5664" w:name="_Toc400384025"/>
      <w:bookmarkStart w:id="5665" w:name="_Toc400386191"/>
      <w:bookmarkStart w:id="5666" w:name="_Toc400388354"/>
      <w:bookmarkStart w:id="5667" w:name="_Toc400390515"/>
      <w:bookmarkStart w:id="5668" w:name="_Toc400392676"/>
      <w:bookmarkStart w:id="5669" w:name="_Toc400394840"/>
      <w:bookmarkStart w:id="5670" w:name="_Toc400355321"/>
      <w:bookmarkStart w:id="5671" w:name="_Toc400357586"/>
      <w:bookmarkStart w:id="5672" w:name="_Toc400359851"/>
      <w:bookmarkStart w:id="5673" w:name="_Toc400362116"/>
      <w:bookmarkStart w:id="5674" w:name="_Toc400364380"/>
      <w:bookmarkStart w:id="5675" w:name="_Toc400366611"/>
      <w:bookmarkStart w:id="5676" w:name="_Toc400368808"/>
      <w:bookmarkStart w:id="5677" w:name="_Toc400370990"/>
      <w:bookmarkStart w:id="5678" w:name="_Toc400373171"/>
      <w:bookmarkStart w:id="5679" w:name="_Toc400375351"/>
      <w:bookmarkStart w:id="5680" w:name="_Toc400377524"/>
      <w:bookmarkStart w:id="5681" w:name="_Toc400381860"/>
      <w:bookmarkStart w:id="5682" w:name="_Toc400384026"/>
      <w:bookmarkStart w:id="5683" w:name="_Toc400386192"/>
      <w:bookmarkStart w:id="5684" w:name="_Toc400388355"/>
      <w:bookmarkStart w:id="5685" w:name="_Toc400390516"/>
      <w:bookmarkStart w:id="5686" w:name="_Toc400392677"/>
      <w:bookmarkStart w:id="5687" w:name="_Toc400394841"/>
      <w:bookmarkStart w:id="5688" w:name="_Toc400355322"/>
      <w:bookmarkStart w:id="5689" w:name="_Toc400357587"/>
      <w:bookmarkStart w:id="5690" w:name="_Toc400359852"/>
      <w:bookmarkStart w:id="5691" w:name="_Toc400362117"/>
      <w:bookmarkStart w:id="5692" w:name="_Toc400364381"/>
      <w:bookmarkStart w:id="5693" w:name="_Toc400366612"/>
      <w:bookmarkStart w:id="5694" w:name="_Toc400368809"/>
      <w:bookmarkStart w:id="5695" w:name="_Toc400370991"/>
      <w:bookmarkStart w:id="5696" w:name="_Toc400373172"/>
      <w:bookmarkStart w:id="5697" w:name="_Toc400375352"/>
      <w:bookmarkStart w:id="5698" w:name="_Toc400377525"/>
      <w:bookmarkStart w:id="5699" w:name="_Toc400381861"/>
      <w:bookmarkStart w:id="5700" w:name="_Toc400384027"/>
      <w:bookmarkStart w:id="5701" w:name="_Toc400386193"/>
      <w:bookmarkStart w:id="5702" w:name="_Toc400388356"/>
      <w:bookmarkStart w:id="5703" w:name="_Toc400390517"/>
      <w:bookmarkStart w:id="5704" w:name="_Toc400392678"/>
      <w:bookmarkStart w:id="5705" w:name="_Toc400394842"/>
      <w:bookmarkStart w:id="5706" w:name="_Toc400355323"/>
      <w:bookmarkStart w:id="5707" w:name="_Toc400357588"/>
      <w:bookmarkStart w:id="5708" w:name="_Toc400359853"/>
      <w:bookmarkStart w:id="5709" w:name="_Toc400362118"/>
      <w:bookmarkStart w:id="5710" w:name="_Toc400364382"/>
      <w:bookmarkStart w:id="5711" w:name="_Toc400366613"/>
      <w:bookmarkStart w:id="5712" w:name="_Toc400368810"/>
      <w:bookmarkStart w:id="5713" w:name="_Toc400370992"/>
      <w:bookmarkStart w:id="5714" w:name="_Toc400373173"/>
      <w:bookmarkStart w:id="5715" w:name="_Toc400375353"/>
      <w:bookmarkStart w:id="5716" w:name="_Toc400377526"/>
      <w:bookmarkStart w:id="5717" w:name="_Toc400381862"/>
      <w:bookmarkStart w:id="5718" w:name="_Toc400384028"/>
      <w:bookmarkStart w:id="5719" w:name="_Toc400386194"/>
      <w:bookmarkStart w:id="5720" w:name="_Toc400388357"/>
      <w:bookmarkStart w:id="5721" w:name="_Toc400390518"/>
      <w:bookmarkStart w:id="5722" w:name="_Toc400392679"/>
      <w:bookmarkStart w:id="5723" w:name="_Toc400394843"/>
      <w:bookmarkStart w:id="5724" w:name="_Toc400355324"/>
      <w:bookmarkStart w:id="5725" w:name="_Toc400357589"/>
      <w:bookmarkStart w:id="5726" w:name="_Toc400359854"/>
      <w:bookmarkStart w:id="5727" w:name="_Toc400362119"/>
      <w:bookmarkStart w:id="5728" w:name="_Toc400364383"/>
      <w:bookmarkStart w:id="5729" w:name="_Toc400366614"/>
      <w:bookmarkStart w:id="5730" w:name="_Toc400368811"/>
      <w:bookmarkStart w:id="5731" w:name="_Toc400370993"/>
      <w:bookmarkStart w:id="5732" w:name="_Toc400373174"/>
      <w:bookmarkStart w:id="5733" w:name="_Toc400375354"/>
      <w:bookmarkStart w:id="5734" w:name="_Toc400377527"/>
      <w:bookmarkStart w:id="5735" w:name="_Toc400381863"/>
      <w:bookmarkStart w:id="5736" w:name="_Toc400384029"/>
      <w:bookmarkStart w:id="5737" w:name="_Toc400386195"/>
      <w:bookmarkStart w:id="5738" w:name="_Toc400388358"/>
      <w:bookmarkStart w:id="5739" w:name="_Toc400390519"/>
      <w:bookmarkStart w:id="5740" w:name="_Toc400392680"/>
      <w:bookmarkStart w:id="5741" w:name="_Toc400394844"/>
      <w:bookmarkStart w:id="5742" w:name="_Toc400355325"/>
      <w:bookmarkStart w:id="5743" w:name="_Toc400357590"/>
      <w:bookmarkStart w:id="5744" w:name="_Toc400359855"/>
      <w:bookmarkStart w:id="5745" w:name="_Toc400362120"/>
      <w:bookmarkStart w:id="5746" w:name="_Toc400364384"/>
      <w:bookmarkStart w:id="5747" w:name="_Toc400366615"/>
      <w:bookmarkStart w:id="5748" w:name="_Toc400368812"/>
      <w:bookmarkStart w:id="5749" w:name="_Toc400370994"/>
      <w:bookmarkStart w:id="5750" w:name="_Toc400373175"/>
      <w:bookmarkStart w:id="5751" w:name="_Toc400375355"/>
      <w:bookmarkStart w:id="5752" w:name="_Toc400377528"/>
      <w:bookmarkStart w:id="5753" w:name="_Toc400381864"/>
      <w:bookmarkStart w:id="5754" w:name="_Toc400384030"/>
      <w:bookmarkStart w:id="5755" w:name="_Toc400386196"/>
      <w:bookmarkStart w:id="5756" w:name="_Toc400388359"/>
      <w:bookmarkStart w:id="5757" w:name="_Toc400390520"/>
      <w:bookmarkStart w:id="5758" w:name="_Toc400392681"/>
      <w:bookmarkStart w:id="5759" w:name="_Toc400394845"/>
      <w:bookmarkStart w:id="5760" w:name="_Toc400355326"/>
      <w:bookmarkStart w:id="5761" w:name="_Toc400357591"/>
      <w:bookmarkStart w:id="5762" w:name="_Toc400359856"/>
      <w:bookmarkStart w:id="5763" w:name="_Toc400362121"/>
      <w:bookmarkStart w:id="5764" w:name="_Toc400364385"/>
      <w:bookmarkStart w:id="5765" w:name="_Toc400366616"/>
      <w:bookmarkStart w:id="5766" w:name="_Toc400368813"/>
      <w:bookmarkStart w:id="5767" w:name="_Toc400370995"/>
      <w:bookmarkStart w:id="5768" w:name="_Toc400373176"/>
      <w:bookmarkStart w:id="5769" w:name="_Toc400375356"/>
      <w:bookmarkStart w:id="5770" w:name="_Toc400377529"/>
      <w:bookmarkStart w:id="5771" w:name="_Toc400381865"/>
      <w:bookmarkStart w:id="5772" w:name="_Toc400384031"/>
      <w:bookmarkStart w:id="5773" w:name="_Toc400386197"/>
      <w:bookmarkStart w:id="5774" w:name="_Toc400388360"/>
      <w:bookmarkStart w:id="5775" w:name="_Toc400390521"/>
      <w:bookmarkStart w:id="5776" w:name="_Toc400392682"/>
      <w:bookmarkStart w:id="5777" w:name="_Toc400394846"/>
      <w:bookmarkStart w:id="5778" w:name="_Toc400355327"/>
      <w:bookmarkStart w:id="5779" w:name="_Toc400357592"/>
      <w:bookmarkStart w:id="5780" w:name="_Toc400359857"/>
      <w:bookmarkStart w:id="5781" w:name="_Toc400362122"/>
      <w:bookmarkStart w:id="5782" w:name="_Toc400364386"/>
      <w:bookmarkStart w:id="5783" w:name="_Toc400366617"/>
      <w:bookmarkStart w:id="5784" w:name="_Toc400368814"/>
      <w:bookmarkStart w:id="5785" w:name="_Toc400370996"/>
      <w:bookmarkStart w:id="5786" w:name="_Toc400373177"/>
      <w:bookmarkStart w:id="5787" w:name="_Toc400375357"/>
      <w:bookmarkStart w:id="5788" w:name="_Toc400377530"/>
      <w:bookmarkStart w:id="5789" w:name="_Toc400381866"/>
      <w:bookmarkStart w:id="5790" w:name="_Toc400384032"/>
      <w:bookmarkStart w:id="5791" w:name="_Toc400386198"/>
      <w:bookmarkStart w:id="5792" w:name="_Toc400388361"/>
      <w:bookmarkStart w:id="5793" w:name="_Toc400390522"/>
      <w:bookmarkStart w:id="5794" w:name="_Toc400392683"/>
      <w:bookmarkStart w:id="5795" w:name="_Toc400394847"/>
      <w:bookmarkStart w:id="5796" w:name="_Toc400355328"/>
      <w:bookmarkStart w:id="5797" w:name="_Toc400357593"/>
      <w:bookmarkStart w:id="5798" w:name="_Toc400359858"/>
      <w:bookmarkStart w:id="5799" w:name="_Toc400362123"/>
      <w:bookmarkStart w:id="5800" w:name="_Toc400364387"/>
      <w:bookmarkStart w:id="5801" w:name="_Toc400366618"/>
      <w:bookmarkStart w:id="5802" w:name="_Toc400368815"/>
      <w:bookmarkStart w:id="5803" w:name="_Toc400370997"/>
      <w:bookmarkStart w:id="5804" w:name="_Toc400373178"/>
      <w:bookmarkStart w:id="5805" w:name="_Toc400375358"/>
      <w:bookmarkStart w:id="5806" w:name="_Toc400377531"/>
      <w:bookmarkStart w:id="5807" w:name="_Toc400381867"/>
      <w:bookmarkStart w:id="5808" w:name="_Toc400384033"/>
      <w:bookmarkStart w:id="5809" w:name="_Toc400386199"/>
      <w:bookmarkStart w:id="5810" w:name="_Toc400388362"/>
      <w:bookmarkStart w:id="5811" w:name="_Toc400390523"/>
      <w:bookmarkStart w:id="5812" w:name="_Toc400392684"/>
      <w:bookmarkStart w:id="5813" w:name="_Toc400394848"/>
      <w:bookmarkStart w:id="5814" w:name="_Toc400355329"/>
      <w:bookmarkStart w:id="5815" w:name="_Toc400357594"/>
      <w:bookmarkStart w:id="5816" w:name="_Toc400359859"/>
      <w:bookmarkStart w:id="5817" w:name="_Toc400362124"/>
      <w:bookmarkStart w:id="5818" w:name="_Toc400364388"/>
      <w:bookmarkStart w:id="5819" w:name="_Toc400366619"/>
      <w:bookmarkStart w:id="5820" w:name="_Toc400368816"/>
      <w:bookmarkStart w:id="5821" w:name="_Toc400370998"/>
      <w:bookmarkStart w:id="5822" w:name="_Toc400373179"/>
      <w:bookmarkStart w:id="5823" w:name="_Toc400375359"/>
      <w:bookmarkStart w:id="5824" w:name="_Toc400377532"/>
      <w:bookmarkStart w:id="5825" w:name="_Toc400381868"/>
      <w:bookmarkStart w:id="5826" w:name="_Toc400384034"/>
      <w:bookmarkStart w:id="5827" w:name="_Toc400386200"/>
      <w:bookmarkStart w:id="5828" w:name="_Toc400388363"/>
      <w:bookmarkStart w:id="5829" w:name="_Toc400390524"/>
      <w:bookmarkStart w:id="5830" w:name="_Toc400392685"/>
      <w:bookmarkStart w:id="5831" w:name="_Toc400394849"/>
      <w:bookmarkStart w:id="5832" w:name="_Toc400355330"/>
      <w:bookmarkStart w:id="5833" w:name="_Toc400357595"/>
      <w:bookmarkStart w:id="5834" w:name="_Toc400359860"/>
      <w:bookmarkStart w:id="5835" w:name="_Toc400362125"/>
      <w:bookmarkStart w:id="5836" w:name="_Toc400364389"/>
      <w:bookmarkStart w:id="5837" w:name="_Toc400366620"/>
      <w:bookmarkStart w:id="5838" w:name="_Toc400368817"/>
      <w:bookmarkStart w:id="5839" w:name="_Toc400370999"/>
      <w:bookmarkStart w:id="5840" w:name="_Toc400373180"/>
      <w:bookmarkStart w:id="5841" w:name="_Toc400375360"/>
      <w:bookmarkStart w:id="5842" w:name="_Toc400377533"/>
      <w:bookmarkStart w:id="5843" w:name="_Toc400381869"/>
      <w:bookmarkStart w:id="5844" w:name="_Toc400384035"/>
      <w:bookmarkStart w:id="5845" w:name="_Toc400386201"/>
      <w:bookmarkStart w:id="5846" w:name="_Toc400388364"/>
      <w:bookmarkStart w:id="5847" w:name="_Toc400390525"/>
      <w:bookmarkStart w:id="5848" w:name="_Toc400392686"/>
      <w:bookmarkStart w:id="5849" w:name="_Toc400394850"/>
      <w:bookmarkStart w:id="5850" w:name="_Toc400355331"/>
      <w:bookmarkStart w:id="5851" w:name="_Toc400357596"/>
      <w:bookmarkStart w:id="5852" w:name="_Toc400359861"/>
      <w:bookmarkStart w:id="5853" w:name="_Toc400362126"/>
      <w:bookmarkStart w:id="5854" w:name="_Toc400364390"/>
      <w:bookmarkStart w:id="5855" w:name="_Toc400366621"/>
      <w:bookmarkStart w:id="5856" w:name="_Toc400368818"/>
      <w:bookmarkStart w:id="5857" w:name="_Toc400371000"/>
      <w:bookmarkStart w:id="5858" w:name="_Toc400373181"/>
      <w:bookmarkStart w:id="5859" w:name="_Toc400375361"/>
      <w:bookmarkStart w:id="5860" w:name="_Toc400377534"/>
      <w:bookmarkStart w:id="5861" w:name="_Toc400381870"/>
      <w:bookmarkStart w:id="5862" w:name="_Toc400384036"/>
      <w:bookmarkStart w:id="5863" w:name="_Toc400386202"/>
      <w:bookmarkStart w:id="5864" w:name="_Toc400388365"/>
      <w:bookmarkStart w:id="5865" w:name="_Toc400390526"/>
      <w:bookmarkStart w:id="5866" w:name="_Toc400392687"/>
      <w:bookmarkStart w:id="5867" w:name="_Toc400394851"/>
      <w:bookmarkStart w:id="5868" w:name="_Toc400355332"/>
      <w:bookmarkStart w:id="5869" w:name="_Toc400357597"/>
      <w:bookmarkStart w:id="5870" w:name="_Toc400359862"/>
      <w:bookmarkStart w:id="5871" w:name="_Toc400362127"/>
      <w:bookmarkStart w:id="5872" w:name="_Toc400364391"/>
      <w:bookmarkStart w:id="5873" w:name="_Toc400366622"/>
      <w:bookmarkStart w:id="5874" w:name="_Toc400368819"/>
      <w:bookmarkStart w:id="5875" w:name="_Toc400371001"/>
      <w:bookmarkStart w:id="5876" w:name="_Toc400373182"/>
      <w:bookmarkStart w:id="5877" w:name="_Toc400375362"/>
      <w:bookmarkStart w:id="5878" w:name="_Toc400377535"/>
      <w:bookmarkStart w:id="5879" w:name="_Toc400381871"/>
      <w:bookmarkStart w:id="5880" w:name="_Toc400384037"/>
      <w:bookmarkStart w:id="5881" w:name="_Toc400386203"/>
      <w:bookmarkStart w:id="5882" w:name="_Toc400388366"/>
      <w:bookmarkStart w:id="5883" w:name="_Toc400390527"/>
      <w:bookmarkStart w:id="5884" w:name="_Toc400392688"/>
      <w:bookmarkStart w:id="5885" w:name="_Toc400394852"/>
      <w:bookmarkStart w:id="5886" w:name="_Toc400355333"/>
      <w:bookmarkStart w:id="5887" w:name="_Toc400357598"/>
      <w:bookmarkStart w:id="5888" w:name="_Toc400359863"/>
      <w:bookmarkStart w:id="5889" w:name="_Toc400362128"/>
      <w:bookmarkStart w:id="5890" w:name="_Toc400364392"/>
      <w:bookmarkStart w:id="5891" w:name="_Toc400366623"/>
      <w:bookmarkStart w:id="5892" w:name="_Toc400368820"/>
      <w:bookmarkStart w:id="5893" w:name="_Toc400371002"/>
      <w:bookmarkStart w:id="5894" w:name="_Toc400373183"/>
      <w:bookmarkStart w:id="5895" w:name="_Toc400375363"/>
      <w:bookmarkStart w:id="5896" w:name="_Toc400377536"/>
      <w:bookmarkStart w:id="5897" w:name="_Toc400381872"/>
      <w:bookmarkStart w:id="5898" w:name="_Toc400384038"/>
      <w:bookmarkStart w:id="5899" w:name="_Toc400386204"/>
      <w:bookmarkStart w:id="5900" w:name="_Toc400388367"/>
      <w:bookmarkStart w:id="5901" w:name="_Toc400390528"/>
      <w:bookmarkStart w:id="5902" w:name="_Toc400392689"/>
      <w:bookmarkStart w:id="5903" w:name="_Toc400394853"/>
      <w:bookmarkStart w:id="5904" w:name="_Toc400355334"/>
      <w:bookmarkStart w:id="5905" w:name="_Toc400357599"/>
      <w:bookmarkStart w:id="5906" w:name="_Toc400359864"/>
      <w:bookmarkStart w:id="5907" w:name="_Toc400362129"/>
      <w:bookmarkStart w:id="5908" w:name="_Toc400364393"/>
      <w:bookmarkStart w:id="5909" w:name="_Toc400366624"/>
      <w:bookmarkStart w:id="5910" w:name="_Toc400368821"/>
      <w:bookmarkStart w:id="5911" w:name="_Toc400371003"/>
      <w:bookmarkStart w:id="5912" w:name="_Toc400373184"/>
      <w:bookmarkStart w:id="5913" w:name="_Toc400375364"/>
      <w:bookmarkStart w:id="5914" w:name="_Toc400377537"/>
      <w:bookmarkStart w:id="5915" w:name="_Toc400381873"/>
      <w:bookmarkStart w:id="5916" w:name="_Toc400384039"/>
      <w:bookmarkStart w:id="5917" w:name="_Toc400386205"/>
      <w:bookmarkStart w:id="5918" w:name="_Toc400388368"/>
      <w:bookmarkStart w:id="5919" w:name="_Toc400390529"/>
      <w:bookmarkStart w:id="5920" w:name="_Toc400392690"/>
      <w:bookmarkStart w:id="5921" w:name="_Toc400394854"/>
      <w:bookmarkStart w:id="5922" w:name="_Toc400355335"/>
      <w:bookmarkStart w:id="5923" w:name="_Toc400357600"/>
      <w:bookmarkStart w:id="5924" w:name="_Toc400359865"/>
      <w:bookmarkStart w:id="5925" w:name="_Toc400362130"/>
      <w:bookmarkStart w:id="5926" w:name="_Toc400364394"/>
      <w:bookmarkStart w:id="5927" w:name="_Toc400366625"/>
      <w:bookmarkStart w:id="5928" w:name="_Toc400368822"/>
      <w:bookmarkStart w:id="5929" w:name="_Toc400371004"/>
      <w:bookmarkStart w:id="5930" w:name="_Toc400373185"/>
      <w:bookmarkStart w:id="5931" w:name="_Toc400375365"/>
      <w:bookmarkStart w:id="5932" w:name="_Toc400377538"/>
      <w:bookmarkStart w:id="5933" w:name="_Toc400381874"/>
      <w:bookmarkStart w:id="5934" w:name="_Toc400384040"/>
      <w:bookmarkStart w:id="5935" w:name="_Toc400386206"/>
      <w:bookmarkStart w:id="5936" w:name="_Toc400388369"/>
      <w:bookmarkStart w:id="5937" w:name="_Toc400390530"/>
      <w:bookmarkStart w:id="5938" w:name="_Toc400392691"/>
      <w:bookmarkStart w:id="5939" w:name="_Toc400394855"/>
      <w:bookmarkStart w:id="5940" w:name="_Toc400355336"/>
      <w:bookmarkStart w:id="5941" w:name="_Toc400357601"/>
      <w:bookmarkStart w:id="5942" w:name="_Toc400359866"/>
      <w:bookmarkStart w:id="5943" w:name="_Toc400362131"/>
      <w:bookmarkStart w:id="5944" w:name="_Toc400364395"/>
      <w:bookmarkStart w:id="5945" w:name="_Toc400366626"/>
      <w:bookmarkStart w:id="5946" w:name="_Toc400368823"/>
      <w:bookmarkStart w:id="5947" w:name="_Toc400371005"/>
      <w:bookmarkStart w:id="5948" w:name="_Toc400373186"/>
      <w:bookmarkStart w:id="5949" w:name="_Toc400375366"/>
      <w:bookmarkStart w:id="5950" w:name="_Toc400377539"/>
      <w:bookmarkStart w:id="5951" w:name="_Toc400381875"/>
      <w:bookmarkStart w:id="5952" w:name="_Toc400384041"/>
      <w:bookmarkStart w:id="5953" w:name="_Toc400386207"/>
      <w:bookmarkStart w:id="5954" w:name="_Toc400388370"/>
      <w:bookmarkStart w:id="5955" w:name="_Toc400390531"/>
      <w:bookmarkStart w:id="5956" w:name="_Toc400392692"/>
      <w:bookmarkStart w:id="5957" w:name="_Toc400394856"/>
      <w:bookmarkStart w:id="5958" w:name="_Toc400355345"/>
      <w:bookmarkStart w:id="5959" w:name="_Toc400357610"/>
      <w:bookmarkStart w:id="5960" w:name="_Toc400359875"/>
      <w:bookmarkStart w:id="5961" w:name="_Toc400362140"/>
      <w:bookmarkStart w:id="5962" w:name="_Toc400364404"/>
      <w:bookmarkStart w:id="5963" w:name="_Toc400366635"/>
      <w:bookmarkStart w:id="5964" w:name="_Toc400368832"/>
      <w:bookmarkStart w:id="5965" w:name="_Toc400371014"/>
      <w:bookmarkStart w:id="5966" w:name="_Toc400373195"/>
      <w:bookmarkStart w:id="5967" w:name="_Toc400375375"/>
      <w:bookmarkStart w:id="5968" w:name="_Toc400377548"/>
      <w:bookmarkStart w:id="5969" w:name="_Toc400381884"/>
      <w:bookmarkStart w:id="5970" w:name="_Toc400384050"/>
      <w:bookmarkStart w:id="5971" w:name="_Toc400386216"/>
      <w:bookmarkStart w:id="5972" w:name="_Toc400388379"/>
      <w:bookmarkStart w:id="5973" w:name="_Toc400390540"/>
      <w:bookmarkStart w:id="5974" w:name="_Toc400392701"/>
      <w:bookmarkStart w:id="5975" w:name="_Toc400394865"/>
      <w:bookmarkStart w:id="5976" w:name="_Toc400355357"/>
      <w:bookmarkStart w:id="5977" w:name="_Toc400357622"/>
      <w:bookmarkStart w:id="5978" w:name="_Toc400359887"/>
      <w:bookmarkStart w:id="5979" w:name="_Toc400362152"/>
      <w:bookmarkStart w:id="5980" w:name="_Toc400364416"/>
      <w:bookmarkStart w:id="5981" w:name="_Toc400366647"/>
      <w:bookmarkStart w:id="5982" w:name="_Toc400368844"/>
      <w:bookmarkStart w:id="5983" w:name="_Toc400371026"/>
      <w:bookmarkStart w:id="5984" w:name="_Toc400373207"/>
      <w:bookmarkStart w:id="5985" w:name="_Toc400375387"/>
      <w:bookmarkStart w:id="5986" w:name="_Toc400377560"/>
      <w:bookmarkStart w:id="5987" w:name="_Toc400381896"/>
      <w:bookmarkStart w:id="5988" w:name="_Toc400384062"/>
      <w:bookmarkStart w:id="5989" w:name="_Toc400386228"/>
      <w:bookmarkStart w:id="5990" w:name="_Toc400388391"/>
      <w:bookmarkStart w:id="5991" w:name="_Toc400390552"/>
      <w:bookmarkStart w:id="5992" w:name="_Toc400392713"/>
      <w:bookmarkStart w:id="5993" w:name="_Toc400394877"/>
      <w:bookmarkStart w:id="5994" w:name="_Toc400355369"/>
      <w:bookmarkStart w:id="5995" w:name="_Toc400357634"/>
      <w:bookmarkStart w:id="5996" w:name="_Toc400359899"/>
      <w:bookmarkStart w:id="5997" w:name="_Toc400362164"/>
      <w:bookmarkStart w:id="5998" w:name="_Toc400364428"/>
      <w:bookmarkStart w:id="5999" w:name="_Toc400366659"/>
      <w:bookmarkStart w:id="6000" w:name="_Toc400368856"/>
      <w:bookmarkStart w:id="6001" w:name="_Toc400371038"/>
      <w:bookmarkStart w:id="6002" w:name="_Toc400373219"/>
      <w:bookmarkStart w:id="6003" w:name="_Toc400375399"/>
      <w:bookmarkStart w:id="6004" w:name="_Toc400377572"/>
      <w:bookmarkStart w:id="6005" w:name="_Toc400381908"/>
      <w:bookmarkStart w:id="6006" w:name="_Toc400384074"/>
      <w:bookmarkStart w:id="6007" w:name="_Toc400386240"/>
      <w:bookmarkStart w:id="6008" w:name="_Toc400388403"/>
      <w:bookmarkStart w:id="6009" w:name="_Toc400390564"/>
      <w:bookmarkStart w:id="6010" w:name="_Toc400392725"/>
      <w:bookmarkStart w:id="6011" w:name="_Toc400394889"/>
      <w:bookmarkStart w:id="6012" w:name="_Toc400355377"/>
      <w:bookmarkStart w:id="6013" w:name="_Toc400357642"/>
      <w:bookmarkStart w:id="6014" w:name="_Toc400359907"/>
      <w:bookmarkStart w:id="6015" w:name="_Toc400362172"/>
      <w:bookmarkStart w:id="6016" w:name="_Toc400364436"/>
      <w:bookmarkStart w:id="6017" w:name="_Toc400366667"/>
      <w:bookmarkStart w:id="6018" w:name="_Toc400368864"/>
      <w:bookmarkStart w:id="6019" w:name="_Toc400371046"/>
      <w:bookmarkStart w:id="6020" w:name="_Toc400373227"/>
      <w:bookmarkStart w:id="6021" w:name="_Toc400375407"/>
      <w:bookmarkStart w:id="6022" w:name="_Toc400377580"/>
      <w:bookmarkStart w:id="6023" w:name="_Toc400381916"/>
      <w:bookmarkStart w:id="6024" w:name="_Toc400384082"/>
      <w:bookmarkStart w:id="6025" w:name="_Toc400386248"/>
      <w:bookmarkStart w:id="6026" w:name="_Toc400388411"/>
      <w:bookmarkStart w:id="6027" w:name="_Toc400390572"/>
      <w:bookmarkStart w:id="6028" w:name="_Toc400392733"/>
      <w:bookmarkStart w:id="6029" w:name="_Toc400394897"/>
      <w:bookmarkStart w:id="6030" w:name="_Toc400355385"/>
      <w:bookmarkStart w:id="6031" w:name="_Toc400357650"/>
      <w:bookmarkStart w:id="6032" w:name="_Toc400359915"/>
      <w:bookmarkStart w:id="6033" w:name="_Toc400362180"/>
      <w:bookmarkStart w:id="6034" w:name="_Toc400364444"/>
      <w:bookmarkStart w:id="6035" w:name="_Toc400366675"/>
      <w:bookmarkStart w:id="6036" w:name="_Toc400368872"/>
      <w:bookmarkStart w:id="6037" w:name="_Toc400371054"/>
      <w:bookmarkStart w:id="6038" w:name="_Toc400373235"/>
      <w:bookmarkStart w:id="6039" w:name="_Toc400375415"/>
      <w:bookmarkStart w:id="6040" w:name="_Toc400377588"/>
      <w:bookmarkStart w:id="6041" w:name="_Toc400381924"/>
      <w:bookmarkStart w:id="6042" w:name="_Toc400384090"/>
      <w:bookmarkStart w:id="6043" w:name="_Toc400386256"/>
      <w:bookmarkStart w:id="6044" w:name="_Toc400388419"/>
      <w:bookmarkStart w:id="6045" w:name="_Toc400390580"/>
      <w:bookmarkStart w:id="6046" w:name="_Toc400392741"/>
      <w:bookmarkStart w:id="6047" w:name="_Toc400394905"/>
      <w:bookmarkStart w:id="6048" w:name="_Toc400355409"/>
      <w:bookmarkStart w:id="6049" w:name="_Toc400357674"/>
      <w:bookmarkStart w:id="6050" w:name="_Toc400359939"/>
      <w:bookmarkStart w:id="6051" w:name="_Toc400362204"/>
      <w:bookmarkStart w:id="6052" w:name="_Toc400364468"/>
      <w:bookmarkStart w:id="6053" w:name="_Toc400366699"/>
      <w:bookmarkStart w:id="6054" w:name="_Toc400368896"/>
      <w:bookmarkStart w:id="6055" w:name="_Toc400371078"/>
      <w:bookmarkStart w:id="6056" w:name="_Toc400373259"/>
      <w:bookmarkStart w:id="6057" w:name="_Toc400375439"/>
      <w:bookmarkStart w:id="6058" w:name="_Toc400377612"/>
      <w:bookmarkStart w:id="6059" w:name="_Toc400381948"/>
      <w:bookmarkStart w:id="6060" w:name="_Toc400384114"/>
      <w:bookmarkStart w:id="6061" w:name="_Toc400386280"/>
      <w:bookmarkStart w:id="6062" w:name="_Toc400388443"/>
      <w:bookmarkStart w:id="6063" w:name="_Toc400390604"/>
      <w:bookmarkStart w:id="6064" w:name="_Toc400392765"/>
      <w:bookmarkStart w:id="6065" w:name="_Toc400394929"/>
      <w:bookmarkStart w:id="6066" w:name="_Toc400355410"/>
      <w:bookmarkStart w:id="6067" w:name="_Toc400357675"/>
      <w:bookmarkStart w:id="6068" w:name="_Toc400359940"/>
      <w:bookmarkStart w:id="6069" w:name="_Toc400362205"/>
      <w:bookmarkStart w:id="6070" w:name="_Toc400364469"/>
      <w:bookmarkStart w:id="6071" w:name="_Toc400366700"/>
      <w:bookmarkStart w:id="6072" w:name="_Toc400368897"/>
      <w:bookmarkStart w:id="6073" w:name="_Toc400371079"/>
      <w:bookmarkStart w:id="6074" w:name="_Toc400373260"/>
      <w:bookmarkStart w:id="6075" w:name="_Toc400375440"/>
      <w:bookmarkStart w:id="6076" w:name="_Toc400377613"/>
      <w:bookmarkStart w:id="6077" w:name="_Toc400381949"/>
      <w:bookmarkStart w:id="6078" w:name="_Toc400384115"/>
      <w:bookmarkStart w:id="6079" w:name="_Toc400386281"/>
      <w:bookmarkStart w:id="6080" w:name="_Toc400388444"/>
      <w:bookmarkStart w:id="6081" w:name="_Toc400390605"/>
      <w:bookmarkStart w:id="6082" w:name="_Toc400392766"/>
      <w:bookmarkStart w:id="6083" w:name="_Toc400394930"/>
      <w:bookmarkStart w:id="6084" w:name="_Toc400355411"/>
      <w:bookmarkStart w:id="6085" w:name="_Toc400357676"/>
      <w:bookmarkStart w:id="6086" w:name="_Toc400359941"/>
      <w:bookmarkStart w:id="6087" w:name="_Toc400362206"/>
      <w:bookmarkStart w:id="6088" w:name="_Toc400364470"/>
      <w:bookmarkStart w:id="6089" w:name="_Toc400366701"/>
      <w:bookmarkStart w:id="6090" w:name="_Toc400368898"/>
      <w:bookmarkStart w:id="6091" w:name="_Toc400371080"/>
      <w:bookmarkStart w:id="6092" w:name="_Toc400373261"/>
      <w:bookmarkStart w:id="6093" w:name="_Toc400375441"/>
      <w:bookmarkStart w:id="6094" w:name="_Toc400377614"/>
      <w:bookmarkStart w:id="6095" w:name="_Toc400381950"/>
      <w:bookmarkStart w:id="6096" w:name="_Toc400384116"/>
      <w:bookmarkStart w:id="6097" w:name="_Toc400386282"/>
      <w:bookmarkStart w:id="6098" w:name="_Toc400388445"/>
      <w:bookmarkStart w:id="6099" w:name="_Toc400390606"/>
      <w:bookmarkStart w:id="6100" w:name="_Toc400392767"/>
      <w:bookmarkStart w:id="6101" w:name="_Toc400394931"/>
      <w:bookmarkStart w:id="6102" w:name="_Toc400355412"/>
      <w:bookmarkStart w:id="6103" w:name="_Toc400357677"/>
      <w:bookmarkStart w:id="6104" w:name="_Toc400359942"/>
      <w:bookmarkStart w:id="6105" w:name="_Toc400362207"/>
      <w:bookmarkStart w:id="6106" w:name="_Toc400364471"/>
      <w:bookmarkStart w:id="6107" w:name="_Toc400366702"/>
      <w:bookmarkStart w:id="6108" w:name="_Toc400368899"/>
      <w:bookmarkStart w:id="6109" w:name="_Toc400371081"/>
      <w:bookmarkStart w:id="6110" w:name="_Toc400373262"/>
      <w:bookmarkStart w:id="6111" w:name="_Toc400375442"/>
      <w:bookmarkStart w:id="6112" w:name="_Toc400377615"/>
      <w:bookmarkStart w:id="6113" w:name="_Toc400381951"/>
      <w:bookmarkStart w:id="6114" w:name="_Toc400384117"/>
      <w:bookmarkStart w:id="6115" w:name="_Toc400386283"/>
      <w:bookmarkStart w:id="6116" w:name="_Toc400388446"/>
      <w:bookmarkStart w:id="6117" w:name="_Toc400390607"/>
      <w:bookmarkStart w:id="6118" w:name="_Toc400392768"/>
      <w:bookmarkStart w:id="6119" w:name="_Toc400394932"/>
      <w:bookmarkStart w:id="6120" w:name="_Toc400355413"/>
      <w:bookmarkStart w:id="6121" w:name="_Toc400357678"/>
      <w:bookmarkStart w:id="6122" w:name="_Toc400359943"/>
      <w:bookmarkStart w:id="6123" w:name="_Toc400362208"/>
      <w:bookmarkStart w:id="6124" w:name="_Toc400364472"/>
      <w:bookmarkStart w:id="6125" w:name="_Toc400366703"/>
      <w:bookmarkStart w:id="6126" w:name="_Toc400368900"/>
      <w:bookmarkStart w:id="6127" w:name="_Toc400371082"/>
      <w:bookmarkStart w:id="6128" w:name="_Toc400373263"/>
      <w:bookmarkStart w:id="6129" w:name="_Toc400375443"/>
      <w:bookmarkStart w:id="6130" w:name="_Toc400377616"/>
      <w:bookmarkStart w:id="6131" w:name="_Toc400381952"/>
      <w:bookmarkStart w:id="6132" w:name="_Toc400384118"/>
      <w:bookmarkStart w:id="6133" w:name="_Toc400386284"/>
      <w:bookmarkStart w:id="6134" w:name="_Toc400388447"/>
      <w:bookmarkStart w:id="6135" w:name="_Toc400390608"/>
      <w:bookmarkStart w:id="6136" w:name="_Toc400392769"/>
      <w:bookmarkStart w:id="6137" w:name="_Toc400394933"/>
      <w:bookmarkStart w:id="6138" w:name="_Toc400355414"/>
      <w:bookmarkStart w:id="6139" w:name="_Toc400357679"/>
      <w:bookmarkStart w:id="6140" w:name="_Toc400359944"/>
      <w:bookmarkStart w:id="6141" w:name="_Toc400362209"/>
      <w:bookmarkStart w:id="6142" w:name="_Toc400364473"/>
      <w:bookmarkStart w:id="6143" w:name="_Toc400366704"/>
      <w:bookmarkStart w:id="6144" w:name="_Toc400368901"/>
      <w:bookmarkStart w:id="6145" w:name="_Toc400371083"/>
      <w:bookmarkStart w:id="6146" w:name="_Toc400373264"/>
      <w:bookmarkStart w:id="6147" w:name="_Toc400375444"/>
      <w:bookmarkStart w:id="6148" w:name="_Toc400377617"/>
      <w:bookmarkStart w:id="6149" w:name="_Toc400381953"/>
      <w:bookmarkStart w:id="6150" w:name="_Toc400384119"/>
      <w:bookmarkStart w:id="6151" w:name="_Toc400386285"/>
      <w:bookmarkStart w:id="6152" w:name="_Toc400388448"/>
      <w:bookmarkStart w:id="6153" w:name="_Toc400390609"/>
      <w:bookmarkStart w:id="6154" w:name="_Toc400392770"/>
      <w:bookmarkStart w:id="6155" w:name="_Toc400394934"/>
      <w:bookmarkStart w:id="6156" w:name="_Toc400355415"/>
      <w:bookmarkStart w:id="6157" w:name="_Toc400357680"/>
      <w:bookmarkStart w:id="6158" w:name="_Toc400359945"/>
      <w:bookmarkStart w:id="6159" w:name="_Toc400362210"/>
      <w:bookmarkStart w:id="6160" w:name="_Toc400364474"/>
      <w:bookmarkStart w:id="6161" w:name="_Toc400366705"/>
      <w:bookmarkStart w:id="6162" w:name="_Toc400368902"/>
      <w:bookmarkStart w:id="6163" w:name="_Toc400371084"/>
      <w:bookmarkStart w:id="6164" w:name="_Toc400373265"/>
      <w:bookmarkStart w:id="6165" w:name="_Toc400375445"/>
      <w:bookmarkStart w:id="6166" w:name="_Toc400377618"/>
      <w:bookmarkStart w:id="6167" w:name="_Toc400381954"/>
      <w:bookmarkStart w:id="6168" w:name="_Toc400384120"/>
      <w:bookmarkStart w:id="6169" w:name="_Toc400386286"/>
      <w:bookmarkStart w:id="6170" w:name="_Toc400388449"/>
      <w:bookmarkStart w:id="6171" w:name="_Toc400390610"/>
      <w:bookmarkStart w:id="6172" w:name="_Toc400392771"/>
      <w:bookmarkStart w:id="6173" w:name="_Toc400394935"/>
      <w:bookmarkStart w:id="6174" w:name="_Toc400355416"/>
      <w:bookmarkStart w:id="6175" w:name="_Toc400357681"/>
      <w:bookmarkStart w:id="6176" w:name="_Toc400359946"/>
      <w:bookmarkStart w:id="6177" w:name="_Toc400362211"/>
      <w:bookmarkStart w:id="6178" w:name="_Toc400364475"/>
      <w:bookmarkStart w:id="6179" w:name="_Toc400366706"/>
      <w:bookmarkStart w:id="6180" w:name="_Toc400368903"/>
      <w:bookmarkStart w:id="6181" w:name="_Toc400371085"/>
      <w:bookmarkStart w:id="6182" w:name="_Toc400373266"/>
      <w:bookmarkStart w:id="6183" w:name="_Toc400375446"/>
      <w:bookmarkStart w:id="6184" w:name="_Toc400377619"/>
      <w:bookmarkStart w:id="6185" w:name="_Toc400381955"/>
      <w:bookmarkStart w:id="6186" w:name="_Toc400384121"/>
      <w:bookmarkStart w:id="6187" w:name="_Toc400386287"/>
      <w:bookmarkStart w:id="6188" w:name="_Toc400388450"/>
      <w:bookmarkStart w:id="6189" w:name="_Toc400390611"/>
      <w:bookmarkStart w:id="6190" w:name="_Toc400392772"/>
      <w:bookmarkStart w:id="6191" w:name="_Toc400394936"/>
      <w:bookmarkStart w:id="6192" w:name="_Toc400355417"/>
      <w:bookmarkStart w:id="6193" w:name="_Toc400357682"/>
      <w:bookmarkStart w:id="6194" w:name="_Toc400359947"/>
      <w:bookmarkStart w:id="6195" w:name="_Toc400362212"/>
      <w:bookmarkStart w:id="6196" w:name="_Toc400364476"/>
      <w:bookmarkStart w:id="6197" w:name="_Toc400366707"/>
      <w:bookmarkStart w:id="6198" w:name="_Toc400368904"/>
      <w:bookmarkStart w:id="6199" w:name="_Toc400371086"/>
      <w:bookmarkStart w:id="6200" w:name="_Toc400373267"/>
      <w:bookmarkStart w:id="6201" w:name="_Toc400375447"/>
      <w:bookmarkStart w:id="6202" w:name="_Toc400377620"/>
      <w:bookmarkStart w:id="6203" w:name="_Toc400381956"/>
      <w:bookmarkStart w:id="6204" w:name="_Toc400384122"/>
      <w:bookmarkStart w:id="6205" w:name="_Toc400386288"/>
      <w:bookmarkStart w:id="6206" w:name="_Toc400388451"/>
      <w:bookmarkStart w:id="6207" w:name="_Toc400390612"/>
      <w:bookmarkStart w:id="6208" w:name="_Toc400392773"/>
      <w:bookmarkStart w:id="6209" w:name="_Toc400394937"/>
      <w:bookmarkStart w:id="6210" w:name="_Toc400355418"/>
      <w:bookmarkStart w:id="6211" w:name="_Toc400357683"/>
      <w:bookmarkStart w:id="6212" w:name="_Toc400359948"/>
      <w:bookmarkStart w:id="6213" w:name="_Toc400362213"/>
      <w:bookmarkStart w:id="6214" w:name="_Toc400364477"/>
      <w:bookmarkStart w:id="6215" w:name="_Toc400366708"/>
      <w:bookmarkStart w:id="6216" w:name="_Toc400368905"/>
      <w:bookmarkStart w:id="6217" w:name="_Toc400371087"/>
      <w:bookmarkStart w:id="6218" w:name="_Toc400373268"/>
      <w:bookmarkStart w:id="6219" w:name="_Toc400375448"/>
      <w:bookmarkStart w:id="6220" w:name="_Toc400377621"/>
      <w:bookmarkStart w:id="6221" w:name="_Toc400381957"/>
      <w:bookmarkStart w:id="6222" w:name="_Toc400384123"/>
      <w:bookmarkStart w:id="6223" w:name="_Toc400386289"/>
      <w:bookmarkStart w:id="6224" w:name="_Toc400388452"/>
      <w:bookmarkStart w:id="6225" w:name="_Toc400390613"/>
      <w:bookmarkStart w:id="6226" w:name="_Toc400392774"/>
      <w:bookmarkStart w:id="6227" w:name="_Toc400394938"/>
      <w:bookmarkStart w:id="6228" w:name="_Toc400355419"/>
      <w:bookmarkStart w:id="6229" w:name="_Toc400357684"/>
      <w:bookmarkStart w:id="6230" w:name="_Toc400359949"/>
      <w:bookmarkStart w:id="6231" w:name="_Toc400362214"/>
      <w:bookmarkStart w:id="6232" w:name="_Toc400364478"/>
      <w:bookmarkStart w:id="6233" w:name="_Toc400366709"/>
      <w:bookmarkStart w:id="6234" w:name="_Toc400368906"/>
      <w:bookmarkStart w:id="6235" w:name="_Toc400371088"/>
      <w:bookmarkStart w:id="6236" w:name="_Toc400373269"/>
      <w:bookmarkStart w:id="6237" w:name="_Toc400375449"/>
      <w:bookmarkStart w:id="6238" w:name="_Toc400377622"/>
      <w:bookmarkStart w:id="6239" w:name="_Toc400381958"/>
      <w:bookmarkStart w:id="6240" w:name="_Toc400384124"/>
      <w:bookmarkStart w:id="6241" w:name="_Toc400386290"/>
      <w:bookmarkStart w:id="6242" w:name="_Toc400388453"/>
      <w:bookmarkStart w:id="6243" w:name="_Toc400390614"/>
      <w:bookmarkStart w:id="6244" w:name="_Toc400392775"/>
      <w:bookmarkStart w:id="6245" w:name="_Toc400394939"/>
      <w:bookmarkStart w:id="6246" w:name="_Toc400355420"/>
      <w:bookmarkStart w:id="6247" w:name="_Toc400357685"/>
      <w:bookmarkStart w:id="6248" w:name="_Toc400359950"/>
      <w:bookmarkStart w:id="6249" w:name="_Toc400362215"/>
      <w:bookmarkStart w:id="6250" w:name="_Toc400364479"/>
      <w:bookmarkStart w:id="6251" w:name="_Toc400366710"/>
      <w:bookmarkStart w:id="6252" w:name="_Toc400368907"/>
      <w:bookmarkStart w:id="6253" w:name="_Toc400371089"/>
      <w:bookmarkStart w:id="6254" w:name="_Toc400373270"/>
      <w:bookmarkStart w:id="6255" w:name="_Toc400375450"/>
      <w:bookmarkStart w:id="6256" w:name="_Toc400377623"/>
      <w:bookmarkStart w:id="6257" w:name="_Toc400381959"/>
      <w:bookmarkStart w:id="6258" w:name="_Toc400384125"/>
      <w:bookmarkStart w:id="6259" w:name="_Toc400386291"/>
      <w:bookmarkStart w:id="6260" w:name="_Toc400388454"/>
      <w:bookmarkStart w:id="6261" w:name="_Toc400390615"/>
      <w:bookmarkStart w:id="6262" w:name="_Toc400392776"/>
      <w:bookmarkStart w:id="6263" w:name="_Toc400394940"/>
      <w:bookmarkStart w:id="6264" w:name="_Toc400355421"/>
      <w:bookmarkStart w:id="6265" w:name="_Toc400357686"/>
      <w:bookmarkStart w:id="6266" w:name="_Toc400359951"/>
      <w:bookmarkStart w:id="6267" w:name="_Toc400362216"/>
      <w:bookmarkStart w:id="6268" w:name="_Toc400364480"/>
      <w:bookmarkStart w:id="6269" w:name="_Toc400366711"/>
      <w:bookmarkStart w:id="6270" w:name="_Toc400368908"/>
      <w:bookmarkStart w:id="6271" w:name="_Toc400371090"/>
      <w:bookmarkStart w:id="6272" w:name="_Toc400373271"/>
      <w:bookmarkStart w:id="6273" w:name="_Toc400375451"/>
      <w:bookmarkStart w:id="6274" w:name="_Toc400377624"/>
      <w:bookmarkStart w:id="6275" w:name="_Toc400381960"/>
      <w:bookmarkStart w:id="6276" w:name="_Toc400384126"/>
      <w:bookmarkStart w:id="6277" w:name="_Toc400386292"/>
      <w:bookmarkStart w:id="6278" w:name="_Toc400388455"/>
      <w:bookmarkStart w:id="6279" w:name="_Toc400390616"/>
      <w:bookmarkStart w:id="6280" w:name="_Toc400392777"/>
      <w:bookmarkStart w:id="6281" w:name="_Toc400394941"/>
      <w:bookmarkStart w:id="6282" w:name="_Toc400355422"/>
      <w:bookmarkStart w:id="6283" w:name="_Toc400357687"/>
      <w:bookmarkStart w:id="6284" w:name="_Toc400359952"/>
      <w:bookmarkStart w:id="6285" w:name="_Toc400362217"/>
      <w:bookmarkStart w:id="6286" w:name="_Toc400364481"/>
      <w:bookmarkStart w:id="6287" w:name="_Toc400366712"/>
      <w:bookmarkStart w:id="6288" w:name="_Toc400368909"/>
      <w:bookmarkStart w:id="6289" w:name="_Toc400371091"/>
      <w:bookmarkStart w:id="6290" w:name="_Toc400373272"/>
      <w:bookmarkStart w:id="6291" w:name="_Toc400375452"/>
      <w:bookmarkStart w:id="6292" w:name="_Toc400377625"/>
      <w:bookmarkStart w:id="6293" w:name="_Toc400381961"/>
      <w:bookmarkStart w:id="6294" w:name="_Toc400384127"/>
      <w:bookmarkStart w:id="6295" w:name="_Toc400386293"/>
      <w:bookmarkStart w:id="6296" w:name="_Toc400388456"/>
      <w:bookmarkStart w:id="6297" w:name="_Toc400390617"/>
      <w:bookmarkStart w:id="6298" w:name="_Toc400392778"/>
      <w:bookmarkStart w:id="6299" w:name="_Toc400394942"/>
      <w:bookmarkStart w:id="6300" w:name="_Toc400355423"/>
      <w:bookmarkStart w:id="6301" w:name="_Toc400357688"/>
      <w:bookmarkStart w:id="6302" w:name="_Toc400359953"/>
      <w:bookmarkStart w:id="6303" w:name="_Toc400362218"/>
      <w:bookmarkStart w:id="6304" w:name="_Toc400364482"/>
      <w:bookmarkStart w:id="6305" w:name="_Toc400366713"/>
      <w:bookmarkStart w:id="6306" w:name="_Toc400368910"/>
      <w:bookmarkStart w:id="6307" w:name="_Toc400371092"/>
      <w:bookmarkStart w:id="6308" w:name="_Toc400373273"/>
      <w:bookmarkStart w:id="6309" w:name="_Toc400375453"/>
      <w:bookmarkStart w:id="6310" w:name="_Toc400377626"/>
      <w:bookmarkStart w:id="6311" w:name="_Toc400381962"/>
      <w:bookmarkStart w:id="6312" w:name="_Toc400384128"/>
      <w:bookmarkStart w:id="6313" w:name="_Toc400386294"/>
      <w:bookmarkStart w:id="6314" w:name="_Toc400388457"/>
      <w:bookmarkStart w:id="6315" w:name="_Toc400390618"/>
      <w:bookmarkStart w:id="6316" w:name="_Toc400392779"/>
      <w:bookmarkStart w:id="6317" w:name="_Toc400394943"/>
      <w:bookmarkStart w:id="6318" w:name="_Toc400355570"/>
      <w:bookmarkStart w:id="6319" w:name="_Toc400357835"/>
      <w:bookmarkStart w:id="6320" w:name="_Toc400360100"/>
      <w:bookmarkStart w:id="6321" w:name="_Toc400362365"/>
      <w:bookmarkStart w:id="6322" w:name="_Toc400364629"/>
      <w:bookmarkStart w:id="6323" w:name="_Toc400366860"/>
      <w:bookmarkStart w:id="6324" w:name="_Toc400369057"/>
      <w:bookmarkStart w:id="6325" w:name="_Toc400371239"/>
      <w:bookmarkStart w:id="6326" w:name="_Toc400373420"/>
      <w:bookmarkStart w:id="6327" w:name="_Toc400375600"/>
      <w:bookmarkStart w:id="6328" w:name="_Toc400377773"/>
      <w:bookmarkStart w:id="6329" w:name="_Toc400382109"/>
      <w:bookmarkStart w:id="6330" w:name="_Toc400384275"/>
      <w:bookmarkStart w:id="6331" w:name="_Toc400386441"/>
      <w:bookmarkStart w:id="6332" w:name="_Toc400388604"/>
      <w:bookmarkStart w:id="6333" w:name="_Toc400390765"/>
      <w:bookmarkStart w:id="6334" w:name="_Toc400392926"/>
      <w:bookmarkStart w:id="6335" w:name="_Toc400395090"/>
      <w:bookmarkStart w:id="6336" w:name="_Toc400355571"/>
      <w:bookmarkStart w:id="6337" w:name="_Toc400357836"/>
      <w:bookmarkStart w:id="6338" w:name="_Toc400360101"/>
      <w:bookmarkStart w:id="6339" w:name="_Toc400362366"/>
      <w:bookmarkStart w:id="6340" w:name="_Toc400364630"/>
      <w:bookmarkStart w:id="6341" w:name="_Toc400366861"/>
      <w:bookmarkStart w:id="6342" w:name="_Toc400369058"/>
      <w:bookmarkStart w:id="6343" w:name="_Toc400371240"/>
      <w:bookmarkStart w:id="6344" w:name="_Toc400373421"/>
      <w:bookmarkStart w:id="6345" w:name="_Toc400375601"/>
      <w:bookmarkStart w:id="6346" w:name="_Toc400377774"/>
      <w:bookmarkStart w:id="6347" w:name="_Toc400382110"/>
      <w:bookmarkStart w:id="6348" w:name="_Toc400384276"/>
      <w:bookmarkStart w:id="6349" w:name="_Toc400386442"/>
      <w:bookmarkStart w:id="6350" w:name="_Toc400388605"/>
      <w:bookmarkStart w:id="6351" w:name="_Toc400390766"/>
      <w:bookmarkStart w:id="6352" w:name="_Toc400392927"/>
      <w:bookmarkStart w:id="6353" w:name="_Toc400395091"/>
      <w:bookmarkStart w:id="6354" w:name="_Toc400355572"/>
      <w:bookmarkStart w:id="6355" w:name="_Toc400357837"/>
      <w:bookmarkStart w:id="6356" w:name="_Toc400360102"/>
      <w:bookmarkStart w:id="6357" w:name="_Toc400362367"/>
      <w:bookmarkStart w:id="6358" w:name="_Toc400364631"/>
      <w:bookmarkStart w:id="6359" w:name="_Toc400366862"/>
      <w:bookmarkStart w:id="6360" w:name="_Toc400369059"/>
      <w:bookmarkStart w:id="6361" w:name="_Toc400371241"/>
      <w:bookmarkStart w:id="6362" w:name="_Toc400373422"/>
      <w:bookmarkStart w:id="6363" w:name="_Toc400375602"/>
      <w:bookmarkStart w:id="6364" w:name="_Toc400377775"/>
      <w:bookmarkStart w:id="6365" w:name="_Toc400382111"/>
      <w:bookmarkStart w:id="6366" w:name="_Toc400384277"/>
      <w:bookmarkStart w:id="6367" w:name="_Toc400386443"/>
      <w:bookmarkStart w:id="6368" w:name="_Toc400388606"/>
      <w:bookmarkStart w:id="6369" w:name="_Toc400390767"/>
      <w:bookmarkStart w:id="6370" w:name="_Toc400392928"/>
      <w:bookmarkStart w:id="6371" w:name="_Toc400395092"/>
      <w:bookmarkStart w:id="6372" w:name="_Toc400355573"/>
      <w:bookmarkStart w:id="6373" w:name="_Toc400357838"/>
      <w:bookmarkStart w:id="6374" w:name="_Toc400360103"/>
      <w:bookmarkStart w:id="6375" w:name="_Toc400362368"/>
      <w:bookmarkStart w:id="6376" w:name="_Toc400364632"/>
      <w:bookmarkStart w:id="6377" w:name="_Toc400366863"/>
      <w:bookmarkStart w:id="6378" w:name="_Toc400369060"/>
      <w:bookmarkStart w:id="6379" w:name="_Toc400371242"/>
      <w:bookmarkStart w:id="6380" w:name="_Toc400373423"/>
      <w:bookmarkStart w:id="6381" w:name="_Toc400375603"/>
      <w:bookmarkStart w:id="6382" w:name="_Toc400377776"/>
      <w:bookmarkStart w:id="6383" w:name="_Toc400382112"/>
      <w:bookmarkStart w:id="6384" w:name="_Toc400384278"/>
      <w:bookmarkStart w:id="6385" w:name="_Toc400386444"/>
      <w:bookmarkStart w:id="6386" w:name="_Toc400388607"/>
      <w:bookmarkStart w:id="6387" w:name="_Toc400390768"/>
      <w:bookmarkStart w:id="6388" w:name="_Toc400392929"/>
      <w:bookmarkStart w:id="6389" w:name="_Toc400395093"/>
      <w:bookmarkStart w:id="6390" w:name="_Toc400355592"/>
      <w:bookmarkStart w:id="6391" w:name="_Toc400357857"/>
      <w:bookmarkStart w:id="6392" w:name="_Toc400360122"/>
      <w:bookmarkStart w:id="6393" w:name="_Toc400362387"/>
      <w:bookmarkStart w:id="6394" w:name="_Toc400364651"/>
      <w:bookmarkStart w:id="6395" w:name="_Toc400366882"/>
      <w:bookmarkStart w:id="6396" w:name="_Toc400369079"/>
      <w:bookmarkStart w:id="6397" w:name="_Toc400371261"/>
      <w:bookmarkStart w:id="6398" w:name="_Toc400373442"/>
      <w:bookmarkStart w:id="6399" w:name="_Toc400375622"/>
      <w:bookmarkStart w:id="6400" w:name="_Toc400377795"/>
      <w:bookmarkStart w:id="6401" w:name="_Toc400382131"/>
      <w:bookmarkStart w:id="6402" w:name="_Toc400384297"/>
      <w:bookmarkStart w:id="6403" w:name="_Toc400386463"/>
      <w:bookmarkStart w:id="6404" w:name="_Toc400388626"/>
      <w:bookmarkStart w:id="6405" w:name="_Toc400390787"/>
      <w:bookmarkStart w:id="6406" w:name="_Toc400392948"/>
      <w:bookmarkStart w:id="6407" w:name="_Toc400395112"/>
      <w:bookmarkStart w:id="6408" w:name="_Toc400355601"/>
      <w:bookmarkStart w:id="6409" w:name="_Toc400357866"/>
      <w:bookmarkStart w:id="6410" w:name="_Toc400360131"/>
      <w:bookmarkStart w:id="6411" w:name="_Toc400362396"/>
      <w:bookmarkStart w:id="6412" w:name="_Toc400364660"/>
      <w:bookmarkStart w:id="6413" w:name="_Toc400366891"/>
      <w:bookmarkStart w:id="6414" w:name="_Toc400369088"/>
      <w:bookmarkStart w:id="6415" w:name="_Toc400371270"/>
      <w:bookmarkStart w:id="6416" w:name="_Toc400373451"/>
      <w:bookmarkStart w:id="6417" w:name="_Toc400375631"/>
      <w:bookmarkStart w:id="6418" w:name="_Toc400377804"/>
      <w:bookmarkStart w:id="6419" w:name="_Toc400382140"/>
      <w:bookmarkStart w:id="6420" w:name="_Toc400384306"/>
      <w:bookmarkStart w:id="6421" w:name="_Toc400386472"/>
      <w:bookmarkStart w:id="6422" w:name="_Toc400388635"/>
      <w:bookmarkStart w:id="6423" w:name="_Toc400390796"/>
      <w:bookmarkStart w:id="6424" w:name="_Toc400392957"/>
      <w:bookmarkStart w:id="6425" w:name="_Toc400395121"/>
      <w:bookmarkStart w:id="6426" w:name="_Toc400355610"/>
      <w:bookmarkStart w:id="6427" w:name="_Toc400357875"/>
      <w:bookmarkStart w:id="6428" w:name="_Toc400360140"/>
      <w:bookmarkStart w:id="6429" w:name="_Toc400362405"/>
      <w:bookmarkStart w:id="6430" w:name="_Toc400364669"/>
      <w:bookmarkStart w:id="6431" w:name="_Toc400366900"/>
      <w:bookmarkStart w:id="6432" w:name="_Toc400369097"/>
      <w:bookmarkStart w:id="6433" w:name="_Toc400371279"/>
      <w:bookmarkStart w:id="6434" w:name="_Toc400373460"/>
      <w:bookmarkStart w:id="6435" w:name="_Toc400375640"/>
      <w:bookmarkStart w:id="6436" w:name="_Toc400377813"/>
      <w:bookmarkStart w:id="6437" w:name="_Toc400382149"/>
      <w:bookmarkStart w:id="6438" w:name="_Toc400384315"/>
      <w:bookmarkStart w:id="6439" w:name="_Toc400386481"/>
      <w:bookmarkStart w:id="6440" w:name="_Toc400388644"/>
      <w:bookmarkStart w:id="6441" w:name="_Toc400390805"/>
      <w:bookmarkStart w:id="6442" w:name="_Toc400392966"/>
      <w:bookmarkStart w:id="6443" w:name="_Toc400395130"/>
      <w:bookmarkStart w:id="6444" w:name="_Toc400355619"/>
      <w:bookmarkStart w:id="6445" w:name="_Toc400357884"/>
      <w:bookmarkStart w:id="6446" w:name="_Toc400360149"/>
      <w:bookmarkStart w:id="6447" w:name="_Toc400362414"/>
      <w:bookmarkStart w:id="6448" w:name="_Toc400364678"/>
      <w:bookmarkStart w:id="6449" w:name="_Toc400366909"/>
      <w:bookmarkStart w:id="6450" w:name="_Toc400369106"/>
      <w:bookmarkStart w:id="6451" w:name="_Toc400371288"/>
      <w:bookmarkStart w:id="6452" w:name="_Toc400373469"/>
      <w:bookmarkStart w:id="6453" w:name="_Toc400375649"/>
      <w:bookmarkStart w:id="6454" w:name="_Toc400377822"/>
      <w:bookmarkStart w:id="6455" w:name="_Toc400382158"/>
      <w:bookmarkStart w:id="6456" w:name="_Toc400384324"/>
      <w:bookmarkStart w:id="6457" w:name="_Toc400386490"/>
      <w:bookmarkStart w:id="6458" w:name="_Toc400388653"/>
      <w:bookmarkStart w:id="6459" w:name="_Toc400390814"/>
      <w:bookmarkStart w:id="6460" w:name="_Toc400392975"/>
      <w:bookmarkStart w:id="6461" w:name="_Toc400395139"/>
      <w:bookmarkStart w:id="6462" w:name="_Toc400355637"/>
      <w:bookmarkStart w:id="6463" w:name="_Toc400357902"/>
      <w:bookmarkStart w:id="6464" w:name="_Toc400360167"/>
      <w:bookmarkStart w:id="6465" w:name="_Toc400362432"/>
      <w:bookmarkStart w:id="6466" w:name="_Toc400364696"/>
      <w:bookmarkStart w:id="6467" w:name="_Toc400366927"/>
      <w:bookmarkStart w:id="6468" w:name="_Toc400369124"/>
      <w:bookmarkStart w:id="6469" w:name="_Toc400371306"/>
      <w:bookmarkStart w:id="6470" w:name="_Toc400373487"/>
      <w:bookmarkStart w:id="6471" w:name="_Toc400375667"/>
      <w:bookmarkStart w:id="6472" w:name="_Toc400377840"/>
      <w:bookmarkStart w:id="6473" w:name="_Toc400382176"/>
      <w:bookmarkStart w:id="6474" w:name="_Toc400384342"/>
      <w:bookmarkStart w:id="6475" w:name="_Toc400386508"/>
      <w:bookmarkStart w:id="6476" w:name="_Toc400388671"/>
      <w:bookmarkStart w:id="6477" w:name="_Toc400390832"/>
      <w:bookmarkStart w:id="6478" w:name="_Toc400392993"/>
      <w:bookmarkStart w:id="6479" w:name="_Toc400395157"/>
      <w:bookmarkStart w:id="6480" w:name="_Toc400355646"/>
      <w:bookmarkStart w:id="6481" w:name="_Toc400357911"/>
      <w:bookmarkStart w:id="6482" w:name="_Toc400360176"/>
      <w:bookmarkStart w:id="6483" w:name="_Toc400362441"/>
      <w:bookmarkStart w:id="6484" w:name="_Toc400364705"/>
      <w:bookmarkStart w:id="6485" w:name="_Toc400366936"/>
      <w:bookmarkStart w:id="6486" w:name="_Toc400369133"/>
      <w:bookmarkStart w:id="6487" w:name="_Toc400371315"/>
      <w:bookmarkStart w:id="6488" w:name="_Toc400373496"/>
      <w:bookmarkStart w:id="6489" w:name="_Toc400375676"/>
      <w:bookmarkStart w:id="6490" w:name="_Toc400377849"/>
      <w:bookmarkStart w:id="6491" w:name="_Toc400382185"/>
      <w:bookmarkStart w:id="6492" w:name="_Toc400384351"/>
      <w:bookmarkStart w:id="6493" w:name="_Toc400386517"/>
      <w:bookmarkStart w:id="6494" w:name="_Toc400388680"/>
      <w:bookmarkStart w:id="6495" w:name="_Toc400390841"/>
      <w:bookmarkStart w:id="6496" w:name="_Toc400393002"/>
      <w:bookmarkStart w:id="6497" w:name="_Toc400395166"/>
      <w:bookmarkStart w:id="6498" w:name="_Toc400355655"/>
      <w:bookmarkStart w:id="6499" w:name="_Toc400357920"/>
      <w:bookmarkStart w:id="6500" w:name="_Toc400360185"/>
      <w:bookmarkStart w:id="6501" w:name="_Toc400362450"/>
      <w:bookmarkStart w:id="6502" w:name="_Toc400364714"/>
      <w:bookmarkStart w:id="6503" w:name="_Toc400366945"/>
      <w:bookmarkStart w:id="6504" w:name="_Toc400369142"/>
      <w:bookmarkStart w:id="6505" w:name="_Toc400371324"/>
      <w:bookmarkStart w:id="6506" w:name="_Toc400373505"/>
      <w:bookmarkStart w:id="6507" w:name="_Toc400375685"/>
      <w:bookmarkStart w:id="6508" w:name="_Toc400377858"/>
      <w:bookmarkStart w:id="6509" w:name="_Toc400382194"/>
      <w:bookmarkStart w:id="6510" w:name="_Toc400384360"/>
      <w:bookmarkStart w:id="6511" w:name="_Toc400386526"/>
      <w:bookmarkStart w:id="6512" w:name="_Toc400388689"/>
      <w:bookmarkStart w:id="6513" w:name="_Toc400390850"/>
      <w:bookmarkStart w:id="6514" w:name="_Toc400393011"/>
      <w:bookmarkStart w:id="6515" w:name="_Toc400395175"/>
      <w:bookmarkStart w:id="6516" w:name="_Toc400355664"/>
      <w:bookmarkStart w:id="6517" w:name="_Toc400357929"/>
      <w:bookmarkStart w:id="6518" w:name="_Toc400360194"/>
      <w:bookmarkStart w:id="6519" w:name="_Toc400362459"/>
      <w:bookmarkStart w:id="6520" w:name="_Toc400364723"/>
      <w:bookmarkStart w:id="6521" w:name="_Toc400366954"/>
      <w:bookmarkStart w:id="6522" w:name="_Toc400369151"/>
      <w:bookmarkStart w:id="6523" w:name="_Toc400371333"/>
      <w:bookmarkStart w:id="6524" w:name="_Toc400373514"/>
      <w:bookmarkStart w:id="6525" w:name="_Toc400375694"/>
      <w:bookmarkStart w:id="6526" w:name="_Toc400377867"/>
      <w:bookmarkStart w:id="6527" w:name="_Toc400382203"/>
      <w:bookmarkStart w:id="6528" w:name="_Toc400384369"/>
      <w:bookmarkStart w:id="6529" w:name="_Toc400386535"/>
      <w:bookmarkStart w:id="6530" w:name="_Toc400388698"/>
      <w:bookmarkStart w:id="6531" w:name="_Toc400390859"/>
      <w:bookmarkStart w:id="6532" w:name="_Toc400393020"/>
      <w:bookmarkStart w:id="6533" w:name="_Toc400395184"/>
      <w:bookmarkStart w:id="6534" w:name="_Toc400355682"/>
      <w:bookmarkStart w:id="6535" w:name="_Toc400357947"/>
      <w:bookmarkStart w:id="6536" w:name="_Toc400360212"/>
      <w:bookmarkStart w:id="6537" w:name="_Toc400362477"/>
      <w:bookmarkStart w:id="6538" w:name="_Toc400364741"/>
      <w:bookmarkStart w:id="6539" w:name="_Toc400366972"/>
      <w:bookmarkStart w:id="6540" w:name="_Toc400369169"/>
      <w:bookmarkStart w:id="6541" w:name="_Toc400371351"/>
      <w:bookmarkStart w:id="6542" w:name="_Toc400373532"/>
      <w:bookmarkStart w:id="6543" w:name="_Toc400375712"/>
      <w:bookmarkStart w:id="6544" w:name="_Toc400377885"/>
      <w:bookmarkStart w:id="6545" w:name="_Toc400382221"/>
      <w:bookmarkStart w:id="6546" w:name="_Toc400384387"/>
      <w:bookmarkStart w:id="6547" w:name="_Toc400386553"/>
      <w:bookmarkStart w:id="6548" w:name="_Toc400388716"/>
      <w:bookmarkStart w:id="6549" w:name="_Toc400390877"/>
      <w:bookmarkStart w:id="6550" w:name="_Toc400393038"/>
      <w:bookmarkStart w:id="6551" w:name="_Toc400395202"/>
      <w:bookmarkStart w:id="6552" w:name="_Toc400355691"/>
      <w:bookmarkStart w:id="6553" w:name="_Toc400357956"/>
      <w:bookmarkStart w:id="6554" w:name="_Toc400360221"/>
      <w:bookmarkStart w:id="6555" w:name="_Toc400362486"/>
      <w:bookmarkStart w:id="6556" w:name="_Toc400364750"/>
      <w:bookmarkStart w:id="6557" w:name="_Toc400366981"/>
      <w:bookmarkStart w:id="6558" w:name="_Toc400369178"/>
      <w:bookmarkStart w:id="6559" w:name="_Toc400371360"/>
      <w:bookmarkStart w:id="6560" w:name="_Toc400373541"/>
      <w:bookmarkStart w:id="6561" w:name="_Toc400375721"/>
      <w:bookmarkStart w:id="6562" w:name="_Toc400377894"/>
      <w:bookmarkStart w:id="6563" w:name="_Toc400382230"/>
      <w:bookmarkStart w:id="6564" w:name="_Toc400384396"/>
      <w:bookmarkStart w:id="6565" w:name="_Toc400386562"/>
      <w:bookmarkStart w:id="6566" w:name="_Toc400388725"/>
      <w:bookmarkStart w:id="6567" w:name="_Toc400390886"/>
      <w:bookmarkStart w:id="6568" w:name="_Toc400393047"/>
      <w:bookmarkStart w:id="6569" w:name="_Toc400395211"/>
      <w:bookmarkStart w:id="6570" w:name="_Toc400355700"/>
      <w:bookmarkStart w:id="6571" w:name="_Toc400357965"/>
      <w:bookmarkStart w:id="6572" w:name="_Toc400360230"/>
      <w:bookmarkStart w:id="6573" w:name="_Toc400362495"/>
      <w:bookmarkStart w:id="6574" w:name="_Toc400364759"/>
      <w:bookmarkStart w:id="6575" w:name="_Toc400366990"/>
      <w:bookmarkStart w:id="6576" w:name="_Toc400369187"/>
      <w:bookmarkStart w:id="6577" w:name="_Toc400371369"/>
      <w:bookmarkStart w:id="6578" w:name="_Toc400373550"/>
      <w:bookmarkStart w:id="6579" w:name="_Toc400375730"/>
      <w:bookmarkStart w:id="6580" w:name="_Toc400377903"/>
      <w:bookmarkStart w:id="6581" w:name="_Toc400382239"/>
      <w:bookmarkStart w:id="6582" w:name="_Toc400384405"/>
      <w:bookmarkStart w:id="6583" w:name="_Toc400386571"/>
      <w:bookmarkStart w:id="6584" w:name="_Toc400388734"/>
      <w:bookmarkStart w:id="6585" w:name="_Toc400390895"/>
      <w:bookmarkStart w:id="6586" w:name="_Toc400393056"/>
      <w:bookmarkStart w:id="6587" w:name="_Toc400395220"/>
      <w:bookmarkStart w:id="6588" w:name="_Toc400355709"/>
      <w:bookmarkStart w:id="6589" w:name="_Toc400357974"/>
      <w:bookmarkStart w:id="6590" w:name="_Toc400360239"/>
      <w:bookmarkStart w:id="6591" w:name="_Toc400362504"/>
      <w:bookmarkStart w:id="6592" w:name="_Toc400364768"/>
      <w:bookmarkStart w:id="6593" w:name="_Toc400366999"/>
      <w:bookmarkStart w:id="6594" w:name="_Toc400369196"/>
      <w:bookmarkStart w:id="6595" w:name="_Toc400371378"/>
      <w:bookmarkStart w:id="6596" w:name="_Toc400373559"/>
      <w:bookmarkStart w:id="6597" w:name="_Toc400375739"/>
      <w:bookmarkStart w:id="6598" w:name="_Toc400377912"/>
      <w:bookmarkStart w:id="6599" w:name="_Toc400382248"/>
      <w:bookmarkStart w:id="6600" w:name="_Toc400384414"/>
      <w:bookmarkStart w:id="6601" w:name="_Toc400386580"/>
      <w:bookmarkStart w:id="6602" w:name="_Toc400388743"/>
      <w:bookmarkStart w:id="6603" w:name="_Toc400390904"/>
      <w:bookmarkStart w:id="6604" w:name="_Toc400393065"/>
      <w:bookmarkStart w:id="6605" w:name="_Toc400395229"/>
      <w:bookmarkStart w:id="6606" w:name="_Toc400355727"/>
      <w:bookmarkStart w:id="6607" w:name="_Toc400357992"/>
      <w:bookmarkStart w:id="6608" w:name="_Toc400360257"/>
      <w:bookmarkStart w:id="6609" w:name="_Toc400362522"/>
      <w:bookmarkStart w:id="6610" w:name="_Toc400364786"/>
      <w:bookmarkStart w:id="6611" w:name="_Toc400367017"/>
      <w:bookmarkStart w:id="6612" w:name="_Toc400369214"/>
      <w:bookmarkStart w:id="6613" w:name="_Toc400371396"/>
      <w:bookmarkStart w:id="6614" w:name="_Toc400373577"/>
      <w:bookmarkStart w:id="6615" w:name="_Toc400375757"/>
      <w:bookmarkStart w:id="6616" w:name="_Toc400377930"/>
      <w:bookmarkStart w:id="6617" w:name="_Toc400382266"/>
      <w:bookmarkStart w:id="6618" w:name="_Toc400384432"/>
      <w:bookmarkStart w:id="6619" w:name="_Toc400386598"/>
      <w:bookmarkStart w:id="6620" w:name="_Toc400388761"/>
      <w:bookmarkStart w:id="6621" w:name="_Toc400390922"/>
      <w:bookmarkStart w:id="6622" w:name="_Toc400393083"/>
      <w:bookmarkStart w:id="6623" w:name="_Toc400395247"/>
      <w:bookmarkStart w:id="6624" w:name="_Toc400355736"/>
      <w:bookmarkStart w:id="6625" w:name="_Toc400358001"/>
      <w:bookmarkStart w:id="6626" w:name="_Toc400360266"/>
      <w:bookmarkStart w:id="6627" w:name="_Toc400362531"/>
      <w:bookmarkStart w:id="6628" w:name="_Toc400364795"/>
      <w:bookmarkStart w:id="6629" w:name="_Toc400367026"/>
      <w:bookmarkStart w:id="6630" w:name="_Toc400369223"/>
      <w:bookmarkStart w:id="6631" w:name="_Toc400371405"/>
      <w:bookmarkStart w:id="6632" w:name="_Toc400373586"/>
      <w:bookmarkStart w:id="6633" w:name="_Toc400375766"/>
      <w:bookmarkStart w:id="6634" w:name="_Toc400377939"/>
      <w:bookmarkStart w:id="6635" w:name="_Toc400382275"/>
      <w:bookmarkStart w:id="6636" w:name="_Toc400384441"/>
      <w:bookmarkStart w:id="6637" w:name="_Toc400386607"/>
      <w:bookmarkStart w:id="6638" w:name="_Toc400388770"/>
      <w:bookmarkStart w:id="6639" w:name="_Toc400390931"/>
      <w:bookmarkStart w:id="6640" w:name="_Toc400393092"/>
      <w:bookmarkStart w:id="6641" w:name="_Toc400395256"/>
      <w:bookmarkStart w:id="6642" w:name="_Toc400355745"/>
      <w:bookmarkStart w:id="6643" w:name="_Toc400358010"/>
      <w:bookmarkStart w:id="6644" w:name="_Toc400360275"/>
      <w:bookmarkStart w:id="6645" w:name="_Toc400362540"/>
      <w:bookmarkStart w:id="6646" w:name="_Toc400364804"/>
      <w:bookmarkStart w:id="6647" w:name="_Toc400367035"/>
      <w:bookmarkStart w:id="6648" w:name="_Toc400369232"/>
      <w:bookmarkStart w:id="6649" w:name="_Toc400371414"/>
      <w:bookmarkStart w:id="6650" w:name="_Toc400373595"/>
      <w:bookmarkStart w:id="6651" w:name="_Toc400375775"/>
      <w:bookmarkStart w:id="6652" w:name="_Toc400377948"/>
      <w:bookmarkStart w:id="6653" w:name="_Toc400382284"/>
      <w:bookmarkStart w:id="6654" w:name="_Toc400384450"/>
      <w:bookmarkStart w:id="6655" w:name="_Toc400386616"/>
      <w:bookmarkStart w:id="6656" w:name="_Toc400388779"/>
      <w:bookmarkStart w:id="6657" w:name="_Toc400390940"/>
      <w:bookmarkStart w:id="6658" w:name="_Toc400393101"/>
      <w:bookmarkStart w:id="6659" w:name="_Toc400395265"/>
      <w:bookmarkStart w:id="6660" w:name="_Toc400355754"/>
      <w:bookmarkStart w:id="6661" w:name="_Toc400358019"/>
      <w:bookmarkStart w:id="6662" w:name="_Toc400360284"/>
      <w:bookmarkStart w:id="6663" w:name="_Toc400362549"/>
      <w:bookmarkStart w:id="6664" w:name="_Toc400364813"/>
      <w:bookmarkStart w:id="6665" w:name="_Toc400367044"/>
      <w:bookmarkStart w:id="6666" w:name="_Toc400369241"/>
      <w:bookmarkStart w:id="6667" w:name="_Toc400371423"/>
      <w:bookmarkStart w:id="6668" w:name="_Toc400373604"/>
      <w:bookmarkStart w:id="6669" w:name="_Toc400375784"/>
      <w:bookmarkStart w:id="6670" w:name="_Toc400377957"/>
      <w:bookmarkStart w:id="6671" w:name="_Toc400382293"/>
      <w:bookmarkStart w:id="6672" w:name="_Toc400384459"/>
      <w:bookmarkStart w:id="6673" w:name="_Toc400386625"/>
      <w:bookmarkStart w:id="6674" w:name="_Toc400388788"/>
      <w:bookmarkStart w:id="6675" w:name="_Toc400390949"/>
      <w:bookmarkStart w:id="6676" w:name="_Toc400393110"/>
      <w:bookmarkStart w:id="6677" w:name="_Toc400395274"/>
      <w:bookmarkStart w:id="6678" w:name="_Toc400355772"/>
      <w:bookmarkStart w:id="6679" w:name="_Toc400358037"/>
      <w:bookmarkStart w:id="6680" w:name="_Toc400360302"/>
      <w:bookmarkStart w:id="6681" w:name="_Toc400362567"/>
      <w:bookmarkStart w:id="6682" w:name="_Toc400364831"/>
      <w:bookmarkStart w:id="6683" w:name="_Toc400367062"/>
      <w:bookmarkStart w:id="6684" w:name="_Toc400369259"/>
      <w:bookmarkStart w:id="6685" w:name="_Toc400371441"/>
      <w:bookmarkStart w:id="6686" w:name="_Toc400373622"/>
      <w:bookmarkStart w:id="6687" w:name="_Toc400375802"/>
      <w:bookmarkStart w:id="6688" w:name="_Toc400377975"/>
      <w:bookmarkStart w:id="6689" w:name="_Toc400382311"/>
      <w:bookmarkStart w:id="6690" w:name="_Toc400384477"/>
      <w:bookmarkStart w:id="6691" w:name="_Toc400386643"/>
      <w:bookmarkStart w:id="6692" w:name="_Toc400388806"/>
      <w:bookmarkStart w:id="6693" w:name="_Toc400390967"/>
      <w:bookmarkStart w:id="6694" w:name="_Toc400393128"/>
      <w:bookmarkStart w:id="6695" w:name="_Toc400395292"/>
      <w:bookmarkStart w:id="6696" w:name="_Toc400355781"/>
      <w:bookmarkStart w:id="6697" w:name="_Toc400358046"/>
      <w:bookmarkStart w:id="6698" w:name="_Toc400360311"/>
      <w:bookmarkStart w:id="6699" w:name="_Toc400362576"/>
      <w:bookmarkStart w:id="6700" w:name="_Toc400364840"/>
      <w:bookmarkStart w:id="6701" w:name="_Toc400367071"/>
      <w:bookmarkStart w:id="6702" w:name="_Toc400369268"/>
      <w:bookmarkStart w:id="6703" w:name="_Toc400371450"/>
      <w:bookmarkStart w:id="6704" w:name="_Toc400373631"/>
      <w:bookmarkStart w:id="6705" w:name="_Toc400375811"/>
      <w:bookmarkStart w:id="6706" w:name="_Toc400377984"/>
      <w:bookmarkStart w:id="6707" w:name="_Toc400382320"/>
      <w:bookmarkStart w:id="6708" w:name="_Toc400384486"/>
      <w:bookmarkStart w:id="6709" w:name="_Toc400386652"/>
      <w:bookmarkStart w:id="6710" w:name="_Toc400388815"/>
      <w:bookmarkStart w:id="6711" w:name="_Toc400390976"/>
      <w:bookmarkStart w:id="6712" w:name="_Toc400393137"/>
      <w:bookmarkStart w:id="6713" w:name="_Toc400395301"/>
      <w:bookmarkStart w:id="6714" w:name="_Toc400355790"/>
      <w:bookmarkStart w:id="6715" w:name="_Toc400358055"/>
      <w:bookmarkStart w:id="6716" w:name="_Toc400360320"/>
      <w:bookmarkStart w:id="6717" w:name="_Toc400362585"/>
      <w:bookmarkStart w:id="6718" w:name="_Toc400364849"/>
      <w:bookmarkStart w:id="6719" w:name="_Toc400367080"/>
      <w:bookmarkStart w:id="6720" w:name="_Toc400369277"/>
      <w:bookmarkStart w:id="6721" w:name="_Toc400371459"/>
      <w:bookmarkStart w:id="6722" w:name="_Toc400373640"/>
      <w:bookmarkStart w:id="6723" w:name="_Toc400375820"/>
      <w:bookmarkStart w:id="6724" w:name="_Toc400377993"/>
      <w:bookmarkStart w:id="6725" w:name="_Toc400382329"/>
      <w:bookmarkStart w:id="6726" w:name="_Toc400384495"/>
      <w:bookmarkStart w:id="6727" w:name="_Toc400386661"/>
      <w:bookmarkStart w:id="6728" w:name="_Toc400388824"/>
      <w:bookmarkStart w:id="6729" w:name="_Toc400390985"/>
      <w:bookmarkStart w:id="6730" w:name="_Toc400393146"/>
      <w:bookmarkStart w:id="6731" w:name="_Toc400395310"/>
      <w:bookmarkStart w:id="6732" w:name="_Toc400355799"/>
      <w:bookmarkStart w:id="6733" w:name="_Toc400358064"/>
      <w:bookmarkStart w:id="6734" w:name="_Toc400360329"/>
      <w:bookmarkStart w:id="6735" w:name="_Toc400362594"/>
      <w:bookmarkStart w:id="6736" w:name="_Toc400364858"/>
      <w:bookmarkStart w:id="6737" w:name="_Toc400367089"/>
      <w:bookmarkStart w:id="6738" w:name="_Toc400369286"/>
      <w:bookmarkStart w:id="6739" w:name="_Toc400371468"/>
      <w:bookmarkStart w:id="6740" w:name="_Toc400373649"/>
      <w:bookmarkStart w:id="6741" w:name="_Toc400375829"/>
      <w:bookmarkStart w:id="6742" w:name="_Toc400378002"/>
      <w:bookmarkStart w:id="6743" w:name="_Toc400382338"/>
      <w:bookmarkStart w:id="6744" w:name="_Toc400384504"/>
      <w:bookmarkStart w:id="6745" w:name="_Toc400386670"/>
      <w:bookmarkStart w:id="6746" w:name="_Toc400388833"/>
      <w:bookmarkStart w:id="6747" w:name="_Toc400390994"/>
      <w:bookmarkStart w:id="6748" w:name="_Toc400393155"/>
      <w:bookmarkStart w:id="6749" w:name="_Toc400395319"/>
      <w:bookmarkStart w:id="6750" w:name="_Toc400355808"/>
      <w:bookmarkStart w:id="6751" w:name="_Toc400358073"/>
      <w:bookmarkStart w:id="6752" w:name="_Toc400360338"/>
      <w:bookmarkStart w:id="6753" w:name="_Toc400362603"/>
      <w:bookmarkStart w:id="6754" w:name="_Toc400364867"/>
      <w:bookmarkStart w:id="6755" w:name="_Toc400367098"/>
      <w:bookmarkStart w:id="6756" w:name="_Toc400369295"/>
      <w:bookmarkStart w:id="6757" w:name="_Toc400371477"/>
      <w:bookmarkStart w:id="6758" w:name="_Toc400373658"/>
      <w:bookmarkStart w:id="6759" w:name="_Toc400375838"/>
      <w:bookmarkStart w:id="6760" w:name="_Toc400378011"/>
      <w:bookmarkStart w:id="6761" w:name="_Toc400382347"/>
      <w:bookmarkStart w:id="6762" w:name="_Toc400384513"/>
      <w:bookmarkStart w:id="6763" w:name="_Toc400386679"/>
      <w:bookmarkStart w:id="6764" w:name="_Toc400388842"/>
      <w:bookmarkStart w:id="6765" w:name="_Toc400391003"/>
      <w:bookmarkStart w:id="6766" w:name="_Toc400393164"/>
      <w:bookmarkStart w:id="6767" w:name="_Toc400395328"/>
      <w:bookmarkStart w:id="6768" w:name="_Toc400355826"/>
      <w:bookmarkStart w:id="6769" w:name="_Toc400358091"/>
      <w:bookmarkStart w:id="6770" w:name="_Toc400360356"/>
      <w:bookmarkStart w:id="6771" w:name="_Toc400362621"/>
      <w:bookmarkStart w:id="6772" w:name="_Toc400364885"/>
      <w:bookmarkStart w:id="6773" w:name="_Toc400367116"/>
      <w:bookmarkStart w:id="6774" w:name="_Toc400369313"/>
      <w:bookmarkStart w:id="6775" w:name="_Toc400371495"/>
      <w:bookmarkStart w:id="6776" w:name="_Toc400373676"/>
      <w:bookmarkStart w:id="6777" w:name="_Toc400375856"/>
      <w:bookmarkStart w:id="6778" w:name="_Toc400378029"/>
      <w:bookmarkStart w:id="6779" w:name="_Toc400382365"/>
      <w:bookmarkStart w:id="6780" w:name="_Toc400384531"/>
      <w:bookmarkStart w:id="6781" w:name="_Toc400386697"/>
      <w:bookmarkStart w:id="6782" w:name="_Toc400388860"/>
      <w:bookmarkStart w:id="6783" w:name="_Toc400391021"/>
      <w:bookmarkStart w:id="6784" w:name="_Toc400393182"/>
      <w:bookmarkStart w:id="6785" w:name="_Toc400395346"/>
      <w:bookmarkStart w:id="6786" w:name="_Toc400355835"/>
      <w:bookmarkStart w:id="6787" w:name="_Toc400358100"/>
      <w:bookmarkStart w:id="6788" w:name="_Toc400360365"/>
      <w:bookmarkStart w:id="6789" w:name="_Toc400362630"/>
      <w:bookmarkStart w:id="6790" w:name="_Toc400364894"/>
      <w:bookmarkStart w:id="6791" w:name="_Toc400367125"/>
      <w:bookmarkStart w:id="6792" w:name="_Toc400369322"/>
      <w:bookmarkStart w:id="6793" w:name="_Toc400371504"/>
      <w:bookmarkStart w:id="6794" w:name="_Toc400373685"/>
      <w:bookmarkStart w:id="6795" w:name="_Toc400375865"/>
      <w:bookmarkStart w:id="6796" w:name="_Toc400378038"/>
      <w:bookmarkStart w:id="6797" w:name="_Toc400382374"/>
      <w:bookmarkStart w:id="6798" w:name="_Toc400384540"/>
      <w:bookmarkStart w:id="6799" w:name="_Toc400386706"/>
      <w:bookmarkStart w:id="6800" w:name="_Toc400388869"/>
      <w:bookmarkStart w:id="6801" w:name="_Toc400391030"/>
      <w:bookmarkStart w:id="6802" w:name="_Toc400393191"/>
      <w:bookmarkStart w:id="6803" w:name="_Toc400395355"/>
      <w:bookmarkStart w:id="6804" w:name="_Toc400355844"/>
      <w:bookmarkStart w:id="6805" w:name="_Toc400358109"/>
      <w:bookmarkStart w:id="6806" w:name="_Toc400360374"/>
      <w:bookmarkStart w:id="6807" w:name="_Toc400362639"/>
      <w:bookmarkStart w:id="6808" w:name="_Toc400364903"/>
      <w:bookmarkStart w:id="6809" w:name="_Toc400367134"/>
      <w:bookmarkStart w:id="6810" w:name="_Toc400369331"/>
      <w:bookmarkStart w:id="6811" w:name="_Toc400371513"/>
      <w:bookmarkStart w:id="6812" w:name="_Toc400373694"/>
      <w:bookmarkStart w:id="6813" w:name="_Toc400375874"/>
      <w:bookmarkStart w:id="6814" w:name="_Toc400378047"/>
      <w:bookmarkStart w:id="6815" w:name="_Toc400382383"/>
      <w:bookmarkStart w:id="6816" w:name="_Toc400384549"/>
      <w:bookmarkStart w:id="6817" w:name="_Toc400386715"/>
      <w:bookmarkStart w:id="6818" w:name="_Toc400388878"/>
      <w:bookmarkStart w:id="6819" w:name="_Toc400391039"/>
      <w:bookmarkStart w:id="6820" w:name="_Toc400393200"/>
      <w:bookmarkStart w:id="6821" w:name="_Toc400395364"/>
      <w:bookmarkStart w:id="6822" w:name="_Toc400355853"/>
      <w:bookmarkStart w:id="6823" w:name="_Toc400358118"/>
      <w:bookmarkStart w:id="6824" w:name="_Toc400360383"/>
      <w:bookmarkStart w:id="6825" w:name="_Toc400362648"/>
      <w:bookmarkStart w:id="6826" w:name="_Toc400364912"/>
      <w:bookmarkStart w:id="6827" w:name="_Toc400367143"/>
      <w:bookmarkStart w:id="6828" w:name="_Toc400369340"/>
      <w:bookmarkStart w:id="6829" w:name="_Toc400371522"/>
      <w:bookmarkStart w:id="6830" w:name="_Toc400373703"/>
      <w:bookmarkStart w:id="6831" w:name="_Toc400375883"/>
      <w:bookmarkStart w:id="6832" w:name="_Toc400378056"/>
      <w:bookmarkStart w:id="6833" w:name="_Toc400382392"/>
      <w:bookmarkStart w:id="6834" w:name="_Toc400384558"/>
      <w:bookmarkStart w:id="6835" w:name="_Toc400386724"/>
      <w:bookmarkStart w:id="6836" w:name="_Toc400388887"/>
      <w:bookmarkStart w:id="6837" w:name="_Toc400391048"/>
      <w:bookmarkStart w:id="6838" w:name="_Toc400393209"/>
      <w:bookmarkStart w:id="6839" w:name="_Toc400395373"/>
      <w:bookmarkStart w:id="6840" w:name="_Toc400355871"/>
      <w:bookmarkStart w:id="6841" w:name="_Toc400358136"/>
      <w:bookmarkStart w:id="6842" w:name="_Toc400360401"/>
      <w:bookmarkStart w:id="6843" w:name="_Toc400362666"/>
      <w:bookmarkStart w:id="6844" w:name="_Toc400364930"/>
      <w:bookmarkStart w:id="6845" w:name="_Toc400367161"/>
      <w:bookmarkStart w:id="6846" w:name="_Toc400369358"/>
      <w:bookmarkStart w:id="6847" w:name="_Toc400371540"/>
      <w:bookmarkStart w:id="6848" w:name="_Toc400373721"/>
      <w:bookmarkStart w:id="6849" w:name="_Toc400375901"/>
      <w:bookmarkStart w:id="6850" w:name="_Toc400378074"/>
      <w:bookmarkStart w:id="6851" w:name="_Toc400382410"/>
      <w:bookmarkStart w:id="6852" w:name="_Toc400384576"/>
      <w:bookmarkStart w:id="6853" w:name="_Toc400386742"/>
      <w:bookmarkStart w:id="6854" w:name="_Toc400388905"/>
      <w:bookmarkStart w:id="6855" w:name="_Toc400391066"/>
      <w:bookmarkStart w:id="6856" w:name="_Toc400393227"/>
      <w:bookmarkStart w:id="6857" w:name="_Toc400395391"/>
      <w:bookmarkStart w:id="6858" w:name="_Toc400355880"/>
      <w:bookmarkStart w:id="6859" w:name="_Toc400358145"/>
      <w:bookmarkStart w:id="6860" w:name="_Toc400360410"/>
      <w:bookmarkStart w:id="6861" w:name="_Toc400362675"/>
      <w:bookmarkStart w:id="6862" w:name="_Toc400364939"/>
      <w:bookmarkStart w:id="6863" w:name="_Toc400367170"/>
      <w:bookmarkStart w:id="6864" w:name="_Toc400369367"/>
      <w:bookmarkStart w:id="6865" w:name="_Toc400371549"/>
      <w:bookmarkStart w:id="6866" w:name="_Toc400373730"/>
      <w:bookmarkStart w:id="6867" w:name="_Toc400375910"/>
      <w:bookmarkStart w:id="6868" w:name="_Toc400378083"/>
      <w:bookmarkStart w:id="6869" w:name="_Toc400382419"/>
      <w:bookmarkStart w:id="6870" w:name="_Toc400384585"/>
      <w:bookmarkStart w:id="6871" w:name="_Toc400386751"/>
      <w:bookmarkStart w:id="6872" w:name="_Toc400388914"/>
      <w:bookmarkStart w:id="6873" w:name="_Toc400391075"/>
      <w:bookmarkStart w:id="6874" w:name="_Toc400393236"/>
      <w:bookmarkStart w:id="6875" w:name="_Toc400395400"/>
      <w:bookmarkStart w:id="6876" w:name="_Toc400355889"/>
      <w:bookmarkStart w:id="6877" w:name="_Toc400358154"/>
      <w:bookmarkStart w:id="6878" w:name="_Toc400360419"/>
      <w:bookmarkStart w:id="6879" w:name="_Toc400362684"/>
      <w:bookmarkStart w:id="6880" w:name="_Toc400364948"/>
      <w:bookmarkStart w:id="6881" w:name="_Toc400367179"/>
      <w:bookmarkStart w:id="6882" w:name="_Toc400369376"/>
      <w:bookmarkStart w:id="6883" w:name="_Toc400371558"/>
      <w:bookmarkStart w:id="6884" w:name="_Toc400373739"/>
      <w:bookmarkStart w:id="6885" w:name="_Toc400375919"/>
      <w:bookmarkStart w:id="6886" w:name="_Toc400378092"/>
      <w:bookmarkStart w:id="6887" w:name="_Toc400382428"/>
      <w:bookmarkStart w:id="6888" w:name="_Toc400384594"/>
      <w:bookmarkStart w:id="6889" w:name="_Toc400386760"/>
      <w:bookmarkStart w:id="6890" w:name="_Toc400388923"/>
      <w:bookmarkStart w:id="6891" w:name="_Toc400391084"/>
      <w:bookmarkStart w:id="6892" w:name="_Toc400393245"/>
      <w:bookmarkStart w:id="6893" w:name="_Toc400395409"/>
      <w:bookmarkStart w:id="6894" w:name="_Toc400355898"/>
      <w:bookmarkStart w:id="6895" w:name="_Toc400358163"/>
      <w:bookmarkStart w:id="6896" w:name="_Toc400360428"/>
      <w:bookmarkStart w:id="6897" w:name="_Toc400362693"/>
      <w:bookmarkStart w:id="6898" w:name="_Toc400364957"/>
      <w:bookmarkStart w:id="6899" w:name="_Toc400367188"/>
      <w:bookmarkStart w:id="6900" w:name="_Toc400369385"/>
      <w:bookmarkStart w:id="6901" w:name="_Toc400371567"/>
      <w:bookmarkStart w:id="6902" w:name="_Toc400373748"/>
      <w:bookmarkStart w:id="6903" w:name="_Toc400375928"/>
      <w:bookmarkStart w:id="6904" w:name="_Toc400378101"/>
      <w:bookmarkStart w:id="6905" w:name="_Toc400382437"/>
      <w:bookmarkStart w:id="6906" w:name="_Toc400384603"/>
      <w:bookmarkStart w:id="6907" w:name="_Toc400386769"/>
      <w:bookmarkStart w:id="6908" w:name="_Toc400388932"/>
      <w:bookmarkStart w:id="6909" w:name="_Toc400391093"/>
      <w:bookmarkStart w:id="6910" w:name="_Toc400393254"/>
      <w:bookmarkStart w:id="6911" w:name="_Toc400395418"/>
      <w:bookmarkStart w:id="6912" w:name="_Toc400355916"/>
      <w:bookmarkStart w:id="6913" w:name="_Toc400358181"/>
      <w:bookmarkStart w:id="6914" w:name="_Toc400360446"/>
      <w:bookmarkStart w:id="6915" w:name="_Toc400362711"/>
      <w:bookmarkStart w:id="6916" w:name="_Toc400364975"/>
      <w:bookmarkStart w:id="6917" w:name="_Toc400367206"/>
      <w:bookmarkStart w:id="6918" w:name="_Toc400369403"/>
      <w:bookmarkStart w:id="6919" w:name="_Toc400371585"/>
      <w:bookmarkStart w:id="6920" w:name="_Toc400373766"/>
      <w:bookmarkStart w:id="6921" w:name="_Toc400375946"/>
      <w:bookmarkStart w:id="6922" w:name="_Toc400378119"/>
      <w:bookmarkStart w:id="6923" w:name="_Toc400382455"/>
      <w:bookmarkStart w:id="6924" w:name="_Toc400384621"/>
      <w:bookmarkStart w:id="6925" w:name="_Toc400386787"/>
      <w:bookmarkStart w:id="6926" w:name="_Toc400388950"/>
      <w:bookmarkStart w:id="6927" w:name="_Toc400391111"/>
      <w:bookmarkStart w:id="6928" w:name="_Toc400393272"/>
      <w:bookmarkStart w:id="6929" w:name="_Toc400395436"/>
      <w:bookmarkStart w:id="6930" w:name="_Toc400355925"/>
      <w:bookmarkStart w:id="6931" w:name="_Toc400358190"/>
      <w:bookmarkStart w:id="6932" w:name="_Toc400360455"/>
      <w:bookmarkStart w:id="6933" w:name="_Toc400362720"/>
      <w:bookmarkStart w:id="6934" w:name="_Toc400364984"/>
      <w:bookmarkStart w:id="6935" w:name="_Toc400367215"/>
      <w:bookmarkStart w:id="6936" w:name="_Toc400369412"/>
      <w:bookmarkStart w:id="6937" w:name="_Toc400371594"/>
      <w:bookmarkStart w:id="6938" w:name="_Toc400373775"/>
      <w:bookmarkStart w:id="6939" w:name="_Toc400375955"/>
      <w:bookmarkStart w:id="6940" w:name="_Toc400378128"/>
      <w:bookmarkStart w:id="6941" w:name="_Toc400382464"/>
      <w:bookmarkStart w:id="6942" w:name="_Toc400384630"/>
      <w:bookmarkStart w:id="6943" w:name="_Toc400386796"/>
      <w:bookmarkStart w:id="6944" w:name="_Toc400388959"/>
      <w:bookmarkStart w:id="6945" w:name="_Toc400391120"/>
      <w:bookmarkStart w:id="6946" w:name="_Toc400393281"/>
      <w:bookmarkStart w:id="6947" w:name="_Toc400395445"/>
      <w:bookmarkStart w:id="6948" w:name="_Toc400355934"/>
      <w:bookmarkStart w:id="6949" w:name="_Toc400358199"/>
      <w:bookmarkStart w:id="6950" w:name="_Toc400360464"/>
      <w:bookmarkStart w:id="6951" w:name="_Toc400362729"/>
      <w:bookmarkStart w:id="6952" w:name="_Toc400364993"/>
      <w:bookmarkStart w:id="6953" w:name="_Toc400367224"/>
      <w:bookmarkStart w:id="6954" w:name="_Toc400369421"/>
      <w:bookmarkStart w:id="6955" w:name="_Toc400371603"/>
      <w:bookmarkStart w:id="6956" w:name="_Toc400373784"/>
      <w:bookmarkStart w:id="6957" w:name="_Toc400375964"/>
      <w:bookmarkStart w:id="6958" w:name="_Toc400378137"/>
      <w:bookmarkStart w:id="6959" w:name="_Toc400382473"/>
      <w:bookmarkStart w:id="6960" w:name="_Toc400384639"/>
      <w:bookmarkStart w:id="6961" w:name="_Toc400386805"/>
      <w:bookmarkStart w:id="6962" w:name="_Toc400388968"/>
      <w:bookmarkStart w:id="6963" w:name="_Toc400391129"/>
      <w:bookmarkStart w:id="6964" w:name="_Toc400393290"/>
      <w:bookmarkStart w:id="6965" w:name="_Toc400395454"/>
      <w:bookmarkStart w:id="6966" w:name="_Toc400355943"/>
      <w:bookmarkStart w:id="6967" w:name="_Toc400358208"/>
      <w:bookmarkStart w:id="6968" w:name="_Toc400360473"/>
      <w:bookmarkStart w:id="6969" w:name="_Toc400362738"/>
      <w:bookmarkStart w:id="6970" w:name="_Toc400365002"/>
      <w:bookmarkStart w:id="6971" w:name="_Toc400367233"/>
      <w:bookmarkStart w:id="6972" w:name="_Toc400369430"/>
      <w:bookmarkStart w:id="6973" w:name="_Toc400371612"/>
      <w:bookmarkStart w:id="6974" w:name="_Toc400373793"/>
      <w:bookmarkStart w:id="6975" w:name="_Toc400375973"/>
      <w:bookmarkStart w:id="6976" w:name="_Toc400378146"/>
      <w:bookmarkStart w:id="6977" w:name="_Toc400382482"/>
      <w:bookmarkStart w:id="6978" w:name="_Toc400384648"/>
      <w:bookmarkStart w:id="6979" w:name="_Toc400386814"/>
      <w:bookmarkStart w:id="6980" w:name="_Toc400388977"/>
      <w:bookmarkStart w:id="6981" w:name="_Toc400391138"/>
      <w:bookmarkStart w:id="6982" w:name="_Toc400393299"/>
      <w:bookmarkStart w:id="6983" w:name="_Toc400395463"/>
      <w:bookmarkStart w:id="6984" w:name="_Toc400355944"/>
      <w:bookmarkStart w:id="6985" w:name="_Toc400358209"/>
      <w:bookmarkStart w:id="6986" w:name="_Toc400360474"/>
      <w:bookmarkStart w:id="6987" w:name="_Toc400362739"/>
      <w:bookmarkStart w:id="6988" w:name="_Toc400365003"/>
      <w:bookmarkStart w:id="6989" w:name="_Toc400367234"/>
      <w:bookmarkStart w:id="6990" w:name="_Toc400369431"/>
      <w:bookmarkStart w:id="6991" w:name="_Toc400371613"/>
      <w:bookmarkStart w:id="6992" w:name="_Toc400373794"/>
      <w:bookmarkStart w:id="6993" w:name="_Toc400375974"/>
      <w:bookmarkStart w:id="6994" w:name="_Toc400378147"/>
      <w:bookmarkStart w:id="6995" w:name="_Toc400382483"/>
      <w:bookmarkStart w:id="6996" w:name="_Toc400384649"/>
      <w:bookmarkStart w:id="6997" w:name="_Toc400386815"/>
      <w:bookmarkStart w:id="6998" w:name="_Toc400388978"/>
      <w:bookmarkStart w:id="6999" w:name="_Toc400391139"/>
      <w:bookmarkStart w:id="7000" w:name="_Toc400393300"/>
      <w:bookmarkStart w:id="7001" w:name="_Toc400395464"/>
      <w:bookmarkStart w:id="7002" w:name="_Toc400355945"/>
      <w:bookmarkStart w:id="7003" w:name="_Toc400358210"/>
      <w:bookmarkStart w:id="7004" w:name="_Toc400360475"/>
      <w:bookmarkStart w:id="7005" w:name="_Toc400362740"/>
      <w:bookmarkStart w:id="7006" w:name="_Toc400365004"/>
      <w:bookmarkStart w:id="7007" w:name="_Toc400367235"/>
      <w:bookmarkStart w:id="7008" w:name="_Toc400369432"/>
      <w:bookmarkStart w:id="7009" w:name="_Toc400371614"/>
      <w:bookmarkStart w:id="7010" w:name="_Toc400373795"/>
      <w:bookmarkStart w:id="7011" w:name="_Toc400375975"/>
      <w:bookmarkStart w:id="7012" w:name="_Toc400378148"/>
      <w:bookmarkStart w:id="7013" w:name="_Toc400382484"/>
      <w:bookmarkStart w:id="7014" w:name="_Toc400384650"/>
      <w:bookmarkStart w:id="7015" w:name="_Toc400386816"/>
      <w:bookmarkStart w:id="7016" w:name="_Toc400388979"/>
      <w:bookmarkStart w:id="7017" w:name="_Toc400391140"/>
      <w:bookmarkStart w:id="7018" w:name="_Toc400393301"/>
      <w:bookmarkStart w:id="7019" w:name="_Toc400395465"/>
      <w:bookmarkStart w:id="7020" w:name="_Toc400355946"/>
      <w:bookmarkStart w:id="7021" w:name="_Toc400358211"/>
      <w:bookmarkStart w:id="7022" w:name="_Toc400360476"/>
      <w:bookmarkStart w:id="7023" w:name="_Toc400362741"/>
      <w:bookmarkStart w:id="7024" w:name="_Toc400365005"/>
      <w:bookmarkStart w:id="7025" w:name="_Toc400367236"/>
      <w:bookmarkStart w:id="7026" w:name="_Toc400369433"/>
      <w:bookmarkStart w:id="7027" w:name="_Toc400371615"/>
      <w:bookmarkStart w:id="7028" w:name="_Toc400373796"/>
      <w:bookmarkStart w:id="7029" w:name="_Toc400375976"/>
      <w:bookmarkStart w:id="7030" w:name="_Toc400378149"/>
      <w:bookmarkStart w:id="7031" w:name="_Toc400382485"/>
      <w:bookmarkStart w:id="7032" w:name="_Toc400384651"/>
      <w:bookmarkStart w:id="7033" w:name="_Toc400386817"/>
      <w:bookmarkStart w:id="7034" w:name="_Toc400388980"/>
      <w:bookmarkStart w:id="7035" w:name="_Toc400391141"/>
      <w:bookmarkStart w:id="7036" w:name="_Toc400393302"/>
      <w:bookmarkStart w:id="7037" w:name="_Toc400395466"/>
      <w:bookmarkStart w:id="7038" w:name="_Toc400355947"/>
      <w:bookmarkStart w:id="7039" w:name="_Toc400358212"/>
      <w:bookmarkStart w:id="7040" w:name="_Toc400360477"/>
      <w:bookmarkStart w:id="7041" w:name="_Toc400362742"/>
      <w:bookmarkStart w:id="7042" w:name="_Toc400365006"/>
      <w:bookmarkStart w:id="7043" w:name="_Toc400367237"/>
      <w:bookmarkStart w:id="7044" w:name="_Toc400369434"/>
      <w:bookmarkStart w:id="7045" w:name="_Toc400371616"/>
      <w:bookmarkStart w:id="7046" w:name="_Toc400373797"/>
      <w:bookmarkStart w:id="7047" w:name="_Toc400375977"/>
      <w:bookmarkStart w:id="7048" w:name="_Toc400378150"/>
      <w:bookmarkStart w:id="7049" w:name="_Toc400382486"/>
      <w:bookmarkStart w:id="7050" w:name="_Toc400384652"/>
      <w:bookmarkStart w:id="7051" w:name="_Toc400386818"/>
      <w:bookmarkStart w:id="7052" w:name="_Toc400388981"/>
      <w:bookmarkStart w:id="7053" w:name="_Toc400391142"/>
      <w:bookmarkStart w:id="7054" w:name="_Toc400393303"/>
      <w:bookmarkStart w:id="7055" w:name="_Toc400395467"/>
      <w:bookmarkStart w:id="7056" w:name="_Toc400355948"/>
      <w:bookmarkStart w:id="7057" w:name="_Toc400358213"/>
      <w:bookmarkStart w:id="7058" w:name="_Toc400360478"/>
      <w:bookmarkStart w:id="7059" w:name="_Toc400362743"/>
      <w:bookmarkStart w:id="7060" w:name="_Toc400365007"/>
      <w:bookmarkStart w:id="7061" w:name="_Toc400367238"/>
      <w:bookmarkStart w:id="7062" w:name="_Toc400369435"/>
      <w:bookmarkStart w:id="7063" w:name="_Toc400371617"/>
      <w:bookmarkStart w:id="7064" w:name="_Toc400373798"/>
      <w:bookmarkStart w:id="7065" w:name="_Toc400375978"/>
      <w:bookmarkStart w:id="7066" w:name="_Toc400378151"/>
      <w:bookmarkStart w:id="7067" w:name="_Toc400382487"/>
      <w:bookmarkStart w:id="7068" w:name="_Toc400384653"/>
      <w:bookmarkStart w:id="7069" w:name="_Toc400386819"/>
      <w:bookmarkStart w:id="7070" w:name="_Toc400388982"/>
      <w:bookmarkStart w:id="7071" w:name="_Toc400391143"/>
      <w:bookmarkStart w:id="7072" w:name="_Toc400393304"/>
      <w:bookmarkStart w:id="7073" w:name="_Toc400395468"/>
      <w:bookmarkStart w:id="7074" w:name="_Toc400355949"/>
      <w:bookmarkStart w:id="7075" w:name="_Toc400358214"/>
      <w:bookmarkStart w:id="7076" w:name="_Toc400360479"/>
      <w:bookmarkStart w:id="7077" w:name="_Toc400362744"/>
      <w:bookmarkStart w:id="7078" w:name="_Toc400365008"/>
      <w:bookmarkStart w:id="7079" w:name="_Toc400367239"/>
      <w:bookmarkStart w:id="7080" w:name="_Toc400369436"/>
      <w:bookmarkStart w:id="7081" w:name="_Toc400371618"/>
      <w:bookmarkStart w:id="7082" w:name="_Toc400373799"/>
      <w:bookmarkStart w:id="7083" w:name="_Toc400375979"/>
      <w:bookmarkStart w:id="7084" w:name="_Toc400378152"/>
      <w:bookmarkStart w:id="7085" w:name="_Toc400382488"/>
      <w:bookmarkStart w:id="7086" w:name="_Toc400384654"/>
      <w:bookmarkStart w:id="7087" w:name="_Toc400386820"/>
      <w:bookmarkStart w:id="7088" w:name="_Toc400388983"/>
      <w:bookmarkStart w:id="7089" w:name="_Toc400391144"/>
      <w:bookmarkStart w:id="7090" w:name="_Toc400393305"/>
      <w:bookmarkStart w:id="7091" w:name="_Toc400395469"/>
      <w:bookmarkStart w:id="7092" w:name="_Toc400355950"/>
      <w:bookmarkStart w:id="7093" w:name="_Toc400358215"/>
      <w:bookmarkStart w:id="7094" w:name="_Toc400360480"/>
      <w:bookmarkStart w:id="7095" w:name="_Toc400362745"/>
      <w:bookmarkStart w:id="7096" w:name="_Toc400365009"/>
      <w:bookmarkStart w:id="7097" w:name="_Toc400367240"/>
      <w:bookmarkStart w:id="7098" w:name="_Toc400369437"/>
      <w:bookmarkStart w:id="7099" w:name="_Toc400371619"/>
      <w:bookmarkStart w:id="7100" w:name="_Toc400373800"/>
      <w:bookmarkStart w:id="7101" w:name="_Toc400375980"/>
      <w:bookmarkStart w:id="7102" w:name="_Toc400378153"/>
      <w:bookmarkStart w:id="7103" w:name="_Toc400382489"/>
      <w:bookmarkStart w:id="7104" w:name="_Toc400384655"/>
      <w:bookmarkStart w:id="7105" w:name="_Toc400386821"/>
      <w:bookmarkStart w:id="7106" w:name="_Toc400388984"/>
      <w:bookmarkStart w:id="7107" w:name="_Toc400391145"/>
      <w:bookmarkStart w:id="7108" w:name="_Toc400393306"/>
      <w:bookmarkStart w:id="7109" w:name="_Toc400395470"/>
      <w:bookmarkStart w:id="7110" w:name="_Toc400355951"/>
      <w:bookmarkStart w:id="7111" w:name="_Toc400358216"/>
      <w:bookmarkStart w:id="7112" w:name="_Toc400360481"/>
      <w:bookmarkStart w:id="7113" w:name="_Toc400362746"/>
      <w:bookmarkStart w:id="7114" w:name="_Toc400365010"/>
      <w:bookmarkStart w:id="7115" w:name="_Toc400367241"/>
      <w:bookmarkStart w:id="7116" w:name="_Toc400369438"/>
      <w:bookmarkStart w:id="7117" w:name="_Toc400371620"/>
      <w:bookmarkStart w:id="7118" w:name="_Toc400373801"/>
      <w:bookmarkStart w:id="7119" w:name="_Toc400375981"/>
      <w:bookmarkStart w:id="7120" w:name="_Toc400378154"/>
      <w:bookmarkStart w:id="7121" w:name="_Toc400382490"/>
      <w:bookmarkStart w:id="7122" w:name="_Toc400384656"/>
      <w:bookmarkStart w:id="7123" w:name="_Toc400386822"/>
      <w:bookmarkStart w:id="7124" w:name="_Toc400388985"/>
      <w:bookmarkStart w:id="7125" w:name="_Toc400391146"/>
      <w:bookmarkStart w:id="7126" w:name="_Toc400393307"/>
      <w:bookmarkStart w:id="7127" w:name="_Toc400395471"/>
      <w:bookmarkStart w:id="7128" w:name="_Toc400355952"/>
      <w:bookmarkStart w:id="7129" w:name="_Toc400358217"/>
      <w:bookmarkStart w:id="7130" w:name="_Toc400360482"/>
      <w:bookmarkStart w:id="7131" w:name="_Toc400362747"/>
      <w:bookmarkStart w:id="7132" w:name="_Toc400365011"/>
      <w:bookmarkStart w:id="7133" w:name="_Toc400367242"/>
      <w:bookmarkStart w:id="7134" w:name="_Toc400369439"/>
      <w:bookmarkStart w:id="7135" w:name="_Toc400371621"/>
      <w:bookmarkStart w:id="7136" w:name="_Toc400373802"/>
      <w:bookmarkStart w:id="7137" w:name="_Toc400375982"/>
      <w:bookmarkStart w:id="7138" w:name="_Toc400378155"/>
      <w:bookmarkStart w:id="7139" w:name="_Toc400382491"/>
      <w:bookmarkStart w:id="7140" w:name="_Toc400384657"/>
      <w:bookmarkStart w:id="7141" w:name="_Toc400386823"/>
      <w:bookmarkStart w:id="7142" w:name="_Toc400388986"/>
      <w:bookmarkStart w:id="7143" w:name="_Toc400391147"/>
      <w:bookmarkStart w:id="7144" w:name="_Toc400393308"/>
      <w:bookmarkStart w:id="7145" w:name="_Toc400395472"/>
      <w:bookmarkStart w:id="7146" w:name="_Toc400355953"/>
      <w:bookmarkStart w:id="7147" w:name="_Toc400358218"/>
      <w:bookmarkStart w:id="7148" w:name="_Toc400360483"/>
      <w:bookmarkStart w:id="7149" w:name="_Toc400362748"/>
      <w:bookmarkStart w:id="7150" w:name="_Toc400365012"/>
      <w:bookmarkStart w:id="7151" w:name="_Toc400367243"/>
      <w:bookmarkStart w:id="7152" w:name="_Toc400369440"/>
      <w:bookmarkStart w:id="7153" w:name="_Toc400371622"/>
      <w:bookmarkStart w:id="7154" w:name="_Toc400373803"/>
      <w:bookmarkStart w:id="7155" w:name="_Toc400375983"/>
      <w:bookmarkStart w:id="7156" w:name="_Toc400378156"/>
      <w:bookmarkStart w:id="7157" w:name="_Toc400382492"/>
      <w:bookmarkStart w:id="7158" w:name="_Toc400384658"/>
      <w:bookmarkStart w:id="7159" w:name="_Toc400386824"/>
      <w:bookmarkStart w:id="7160" w:name="_Toc400388987"/>
      <w:bookmarkStart w:id="7161" w:name="_Toc400391148"/>
      <w:bookmarkStart w:id="7162" w:name="_Toc400393309"/>
      <w:bookmarkStart w:id="7163" w:name="_Toc400395473"/>
      <w:bookmarkStart w:id="7164" w:name="_Toc400355954"/>
      <w:bookmarkStart w:id="7165" w:name="_Toc400358219"/>
      <w:bookmarkStart w:id="7166" w:name="_Toc400360484"/>
      <w:bookmarkStart w:id="7167" w:name="_Toc400362749"/>
      <w:bookmarkStart w:id="7168" w:name="_Toc400365013"/>
      <w:bookmarkStart w:id="7169" w:name="_Toc400367244"/>
      <w:bookmarkStart w:id="7170" w:name="_Toc400369441"/>
      <w:bookmarkStart w:id="7171" w:name="_Toc400371623"/>
      <w:bookmarkStart w:id="7172" w:name="_Toc400373804"/>
      <w:bookmarkStart w:id="7173" w:name="_Toc400375984"/>
      <w:bookmarkStart w:id="7174" w:name="_Toc400378157"/>
      <w:bookmarkStart w:id="7175" w:name="_Toc400382493"/>
      <w:bookmarkStart w:id="7176" w:name="_Toc400384659"/>
      <w:bookmarkStart w:id="7177" w:name="_Toc400386825"/>
      <w:bookmarkStart w:id="7178" w:name="_Toc400388988"/>
      <w:bookmarkStart w:id="7179" w:name="_Toc400391149"/>
      <w:bookmarkStart w:id="7180" w:name="_Toc400393310"/>
      <w:bookmarkStart w:id="7181" w:name="_Toc400395474"/>
      <w:bookmarkStart w:id="7182" w:name="_Toc400355955"/>
      <w:bookmarkStart w:id="7183" w:name="_Toc400358220"/>
      <w:bookmarkStart w:id="7184" w:name="_Toc400360485"/>
      <w:bookmarkStart w:id="7185" w:name="_Toc400362750"/>
      <w:bookmarkStart w:id="7186" w:name="_Toc400365014"/>
      <w:bookmarkStart w:id="7187" w:name="_Toc400367245"/>
      <w:bookmarkStart w:id="7188" w:name="_Toc400369442"/>
      <w:bookmarkStart w:id="7189" w:name="_Toc400371624"/>
      <w:bookmarkStart w:id="7190" w:name="_Toc400373805"/>
      <w:bookmarkStart w:id="7191" w:name="_Toc400375985"/>
      <w:bookmarkStart w:id="7192" w:name="_Toc400378158"/>
      <w:bookmarkStart w:id="7193" w:name="_Toc400382494"/>
      <w:bookmarkStart w:id="7194" w:name="_Toc400384660"/>
      <w:bookmarkStart w:id="7195" w:name="_Toc400386826"/>
      <w:bookmarkStart w:id="7196" w:name="_Toc400388989"/>
      <w:bookmarkStart w:id="7197" w:name="_Toc400391150"/>
      <w:bookmarkStart w:id="7198" w:name="_Toc400393311"/>
      <w:bookmarkStart w:id="7199" w:name="_Toc400395475"/>
      <w:bookmarkStart w:id="7200" w:name="_Toc400355956"/>
      <w:bookmarkStart w:id="7201" w:name="_Toc400358221"/>
      <w:bookmarkStart w:id="7202" w:name="_Toc400360486"/>
      <w:bookmarkStart w:id="7203" w:name="_Toc400362751"/>
      <w:bookmarkStart w:id="7204" w:name="_Toc400365015"/>
      <w:bookmarkStart w:id="7205" w:name="_Toc400367246"/>
      <w:bookmarkStart w:id="7206" w:name="_Toc400369443"/>
      <w:bookmarkStart w:id="7207" w:name="_Toc400371625"/>
      <w:bookmarkStart w:id="7208" w:name="_Toc400373806"/>
      <w:bookmarkStart w:id="7209" w:name="_Toc400375986"/>
      <w:bookmarkStart w:id="7210" w:name="_Toc400378159"/>
      <w:bookmarkStart w:id="7211" w:name="_Toc400382495"/>
      <w:bookmarkStart w:id="7212" w:name="_Toc400384661"/>
      <w:bookmarkStart w:id="7213" w:name="_Toc400386827"/>
      <w:bookmarkStart w:id="7214" w:name="_Toc400388990"/>
      <w:bookmarkStart w:id="7215" w:name="_Toc400391151"/>
      <w:bookmarkStart w:id="7216" w:name="_Toc400393312"/>
      <w:bookmarkStart w:id="7217" w:name="_Toc400395476"/>
      <w:bookmarkStart w:id="7218" w:name="_Toc400355957"/>
      <w:bookmarkStart w:id="7219" w:name="_Toc400358222"/>
      <w:bookmarkStart w:id="7220" w:name="_Toc400360487"/>
      <w:bookmarkStart w:id="7221" w:name="_Toc400362752"/>
      <w:bookmarkStart w:id="7222" w:name="_Toc400365016"/>
      <w:bookmarkStart w:id="7223" w:name="_Toc400367247"/>
      <w:bookmarkStart w:id="7224" w:name="_Toc400369444"/>
      <w:bookmarkStart w:id="7225" w:name="_Toc400371626"/>
      <w:bookmarkStart w:id="7226" w:name="_Toc400373807"/>
      <w:bookmarkStart w:id="7227" w:name="_Toc400375987"/>
      <w:bookmarkStart w:id="7228" w:name="_Toc400378160"/>
      <w:bookmarkStart w:id="7229" w:name="_Toc400382496"/>
      <w:bookmarkStart w:id="7230" w:name="_Toc400384662"/>
      <w:bookmarkStart w:id="7231" w:name="_Toc400386828"/>
      <w:bookmarkStart w:id="7232" w:name="_Toc400388991"/>
      <w:bookmarkStart w:id="7233" w:name="_Toc400391152"/>
      <w:bookmarkStart w:id="7234" w:name="_Toc400393313"/>
      <w:bookmarkStart w:id="7235" w:name="_Toc400395477"/>
      <w:bookmarkStart w:id="7236" w:name="_Toc400355958"/>
      <w:bookmarkStart w:id="7237" w:name="_Toc400358223"/>
      <w:bookmarkStart w:id="7238" w:name="_Toc400360488"/>
      <w:bookmarkStart w:id="7239" w:name="_Toc400362753"/>
      <w:bookmarkStart w:id="7240" w:name="_Toc400365017"/>
      <w:bookmarkStart w:id="7241" w:name="_Toc400367248"/>
      <w:bookmarkStart w:id="7242" w:name="_Toc400369445"/>
      <w:bookmarkStart w:id="7243" w:name="_Toc400371627"/>
      <w:bookmarkStart w:id="7244" w:name="_Toc400373808"/>
      <w:bookmarkStart w:id="7245" w:name="_Toc400375988"/>
      <w:bookmarkStart w:id="7246" w:name="_Toc400378161"/>
      <w:bookmarkStart w:id="7247" w:name="_Toc400382497"/>
      <w:bookmarkStart w:id="7248" w:name="_Toc400384663"/>
      <w:bookmarkStart w:id="7249" w:name="_Toc400386829"/>
      <w:bookmarkStart w:id="7250" w:name="_Toc400388992"/>
      <w:bookmarkStart w:id="7251" w:name="_Toc400391153"/>
      <w:bookmarkStart w:id="7252" w:name="_Toc400393314"/>
      <w:bookmarkStart w:id="7253" w:name="_Toc400395478"/>
      <w:bookmarkStart w:id="7254" w:name="_Toc400355959"/>
      <w:bookmarkStart w:id="7255" w:name="_Toc400358224"/>
      <w:bookmarkStart w:id="7256" w:name="_Toc400360489"/>
      <w:bookmarkStart w:id="7257" w:name="_Toc400362754"/>
      <w:bookmarkStart w:id="7258" w:name="_Toc400365018"/>
      <w:bookmarkStart w:id="7259" w:name="_Toc400367249"/>
      <w:bookmarkStart w:id="7260" w:name="_Toc400369446"/>
      <w:bookmarkStart w:id="7261" w:name="_Toc400371628"/>
      <w:bookmarkStart w:id="7262" w:name="_Toc400373809"/>
      <w:bookmarkStart w:id="7263" w:name="_Toc400375989"/>
      <w:bookmarkStart w:id="7264" w:name="_Toc400378162"/>
      <w:bookmarkStart w:id="7265" w:name="_Toc400382498"/>
      <w:bookmarkStart w:id="7266" w:name="_Toc400384664"/>
      <w:bookmarkStart w:id="7267" w:name="_Toc400386830"/>
      <w:bookmarkStart w:id="7268" w:name="_Toc400388993"/>
      <w:bookmarkStart w:id="7269" w:name="_Toc400391154"/>
      <w:bookmarkStart w:id="7270" w:name="_Toc400393315"/>
      <w:bookmarkStart w:id="7271" w:name="_Toc400395479"/>
      <w:bookmarkStart w:id="7272" w:name="_Toc400355960"/>
      <w:bookmarkStart w:id="7273" w:name="_Toc400358225"/>
      <w:bookmarkStart w:id="7274" w:name="_Toc400360490"/>
      <w:bookmarkStart w:id="7275" w:name="_Toc400362755"/>
      <w:bookmarkStart w:id="7276" w:name="_Toc400365019"/>
      <w:bookmarkStart w:id="7277" w:name="_Toc400367250"/>
      <w:bookmarkStart w:id="7278" w:name="_Toc400369447"/>
      <w:bookmarkStart w:id="7279" w:name="_Toc400371629"/>
      <w:bookmarkStart w:id="7280" w:name="_Toc400373810"/>
      <w:bookmarkStart w:id="7281" w:name="_Toc400375990"/>
      <w:bookmarkStart w:id="7282" w:name="_Toc400378163"/>
      <w:bookmarkStart w:id="7283" w:name="_Toc400382499"/>
      <w:bookmarkStart w:id="7284" w:name="_Toc400384665"/>
      <w:bookmarkStart w:id="7285" w:name="_Toc400386831"/>
      <w:bookmarkStart w:id="7286" w:name="_Toc400388994"/>
      <w:bookmarkStart w:id="7287" w:name="_Toc400391155"/>
      <w:bookmarkStart w:id="7288" w:name="_Toc400393316"/>
      <w:bookmarkStart w:id="7289" w:name="_Toc400395480"/>
      <w:bookmarkStart w:id="7290" w:name="_Toc400355961"/>
      <w:bookmarkStart w:id="7291" w:name="_Toc400358226"/>
      <w:bookmarkStart w:id="7292" w:name="_Toc400360491"/>
      <w:bookmarkStart w:id="7293" w:name="_Toc400362756"/>
      <w:bookmarkStart w:id="7294" w:name="_Toc400365020"/>
      <w:bookmarkStart w:id="7295" w:name="_Toc400367251"/>
      <w:bookmarkStart w:id="7296" w:name="_Toc400369448"/>
      <w:bookmarkStart w:id="7297" w:name="_Toc400371630"/>
      <w:bookmarkStart w:id="7298" w:name="_Toc400373811"/>
      <w:bookmarkStart w:id="7299" w:name="_Toc400375991"/>
      <w:bookmarkStart w:id="7300" w:name="_Toc400378164"/>
      <w:bookmarkStart w:id="7301" w:name="_Toc400382500"/>
      <w:bookmarkStart w:id="7302" w:name="_Toc400384666"/>
      <w:bookmarkStart w:id="7303" w:name="_Toc400386832"/>
      <w:bookmarkStart w:id="7304" w:name="_Toc400388995"/>
      <w:bookmarkStart w:id="7305" w:name="_Toc400391156"/>
      <w:bookmarkStart w:id="7306" w:name="_Toc400393317"/>
      <w:bookmarkStart w:id="7307" w:name="_Toc400395481"/>
      <w:bookmarkStart w:id="7308" w:name="_Toc400355962"/>
      <w:bookmarkStart w:id="7309" w:name="_Toc400358227"/>
      <w:bookmarkStart w:id="7310" w:name="_Toc400360492"/>
      <w:bookmarkStart w:id="7311" w:name="_Toc400362757"/>
      <w:bookmarkStart w:id="7312" w:name="_Toc400365021"/>
      <w:bookmarkStart w:id="7313" w:name="_Toc400367252"/>
      <w:bookmarkStart w:id="7314" w:name="_Toc400369449"/>
      <w:bookmarkStart w:id="7315" w:name="_Toc400371631"/>
      <w:bookmarkStart w:id="7316" w:name="_Toc400373812"/>
      <w:bookmarkStart w:id="7317" w:name="_Toc400375992"/>
      <w:bookmarkStart w:id="7318" w:name="_Toc400378165"/>
      <w:bookmarkStart w:id="7319" w:name="_Toc400382501"/>
      <w:bookmarkStart w:id="7320" w:name="_Toc400384667"/>
      <w:bookmarkStart w:id="7321" w:name="_Toc400386833"/>
      <w:bookmarkStart w:id="7322" w:name="_Toc400388996"/>
      <w:bookmarkStart w:id="7323" w:name="_Toc400391157"/>
      <w:bookmarkStart w:id="7324" w:name="_Toc400393318"/>
      <w:bookmarkStart w:id="7325" w:name="_Toc400395482"/>
      <w:bookmarkStart w:id="7326" w:name="_Toc400355963"/>
      <w:bookmarkStart w:id="7327" w:name="_Toc400358228"/>
      <w:bookmarkStart w:id="7328" w:name="_Toc400360493"/>
      <w:bookmarkStart w:id="7329" w:name="_Toc400362758"/>
      <w:bookmarkStart w:id="7330" w:name="_Toc400365022"/>
      <w:bookmarkStart w:id="7331" w:name="_Toc400367253"/>
      <w:bookmarkStart w:id="7332" w:name="_Toc400369450"/>
      <w:bookmarkStart w:id="7333" w:name="_Toc400371632"/>
      <w:bookmarkStart w:id="7334" w:name="_Toc400373813"/>
      <w:bookmarkStart w:id="7335" w:name="_Toc400375993"/>
      <w:bookmarkStart w:id="7336" w:name="_Toc400378166"/>
      <w:bookmarkStart w:id="7337" w:name="_Toc400382502"/>
      <w:bookmarkStart w:id="7338" w:name="_Toc400384668"/>
      <w:bookmarkStart w:id="7339" w:name="_Toc400386834"/>
      <w:bookmarkStart w:id="7340" w:name="_Toc400388997"/>
      <w:bookmarkStart w:id="7341" w:name="_Toc400391158"/>
      <w:bookmarkStart w:id="7342" w:name="_Toc400393319"/>
      <w:bookmarkStart w:id="7343" w:name="_Toc400395483"/>
      <w:bookmarkStart w:id="7344" w:name="_Toc400355964"/>
      <w:bookmarkStart w:id="7345" w:name="_Toc400358229"/>
      <w:bookmarkStart w:id="7346" w:name="_Toc400360494"/>
      <w:bookmarkStart w:id="7347" w:name="_Toc400362759"/>
      <w:bookmarkStart w:id="7348" w:name="_Toc400365023"/>
      <w:bookmarkStart w:id="7349" w:name="_Toc400367254"/>
      <w:bookmarkStart w:id="7350" w:name="_Toc400369451"/>
      <w:bookmarkStart w:id="7351" w:name="_Toc400371633"/>
      <w:bookmarkStart w:id="7352" w:name="_Toc400373814"/>
      <w:bookmarkStart w:id="7353" w:name="_Toc400375994"/>
      <w:bookmarkStart w:id="7354" w:name="_Toc400378167"/>
      <w:bookmarkStart w:id="7355" w:name="_Toc400382503"/>
      <w:bookmarkStart w:id="7356" w:name="_Toc400384669"/>
      <w:bookmarkStart w:id="7357" w:name="_Toc400386835"/>
      <w:bookmarkStart w:id="7358" w:name="_Toc400388998"/>
      <w:bookmarkStart w:id="7359" w:name="_Toc400391159"/>
      <w:bookmarkStart w:id="7360" w:name="_Toc400393320"/>
      <w:bookmarkStart w:id="7361" w:name="_Toc400395484"/>
      <w:bookmarkStart w:id="7362" w:name="_Toc400355965"/>
      <w:bookmarkStart w:id="7363" w:name="_Toc400358230"/>
      <w:bookmarkStart w:id="7364" w:name="_Toc400360495"/>
      <w:bookmarkStart w:id="7365" w:name="_Toc400362760"/>
      <w:bookmarkStart w:id="7366" w:name="_Toc400365024"/>
      <w:bookmarkStart w:id="7367" w:name="_Toc400367255"/>
      <w:bookmarkStart w:id="7368" w:name="_Toc400369452"/>
      <w:bookmarkStart w:id="7369" w:name="_Toc400371634"/>
      <w:bookmarkStart w:id="7370" w:name="_Toc400373815"/>
      <w:bookmarkStart w:id="7371" w:name="_Toc400375995"/>
      <w:bookmarkStart w:id="7372" w:name="_Toc400378168"/>
      <w:bookmarkStart w:id="7373" w:name="_Toc400382504"/>
      <w:bookmarkStart w:id="7374" w:name="_Toc400384670"/>
      <w:bookmarkStart w:id="7375" w:name="_Toc400386836"/>
      <w:bookmarkStart w:id="7376" w:name="_Toc400388999"/>
      <w:bookmarkStart w:id="7377" w:name="_Toc400391160"/>
      <w:bookmarkStart w:id="7378" w:name="_Toc400393321"/>
      <w:bookmarkStart w:id="7379" w:name="_Toc400395485"/>
      <w:bookmarkStart w:id="7380" w:name="_Toc400355966"/>
      <w:bookmarkStart w:id="7381" w:name="_Toc400358231"/>
      <w:bookmarkStart w:id="7382" w:name="_Toc400360496"/>
      <w:bookmarkStart w:id="7383" w:name="_Toc400362761"/>
      <w:bookmarkStart w:id="7384" w:name="_Toc400365025"/>
      <w:bookmarkStart w:id="7385" w:name="_Toc400367256"/>
      <w:bookmarkStart w:id="7386" w:name="_Toc400369453"/>
      <w:bookmarkStart w:id="7387" w:name="_Toc400371635"/>
      <w:bookmarkStart w:id="7388" w:name="_Toc400373816"/>
      <w:bookmarkStart w:id="7389" w:name="_Toc400375996"/>
      <w:bookmarkStart w:id="7390" w:name="_Toc400378169"/>
      <w:bookmarkStart w:id="7391" w:name="_Toc400382505"/>
      <w:bookmarkStart w:id="7392" w:name="_Toc400384671"/>
      <w:bookmarkStart w:id="7393" w:name="_Toc400386837"/>
      <w:bookmarkStart w:id="7394" w:name="_Toc400389000"/>
      <w:bookmarkStart w:id="7395" w:name="_Toc400391161"/>
      <w:bookmarkStart w:id="7396" w:name="_Toc400393322"/>
      <w:bookmarkStart w:id="7397" w:name="_Toc400395486"/>
      <w:bookmarkStart w:id="7398" w:name="_Toc400355967"/>
      <w:bookmarkStart w:id="7399" w:name="_Toc400358232"/>
      <w:bookmarkStart w:id="7400" w:name="_Toc400360497"/>
      <w:bookmarkStart w:id="7401" w:name="_Toc400362762"/>
      <w:bookmarkStart w:id="7402" w:name="_Toc400365026"/>
      <w:bookmarkStart w:id="7403" w:name="_Toc400367257"/>
      <w:bookmarkStart w:id="7404" w:name="_Toc400369454"/>
      <w:bookmarkStart w:id="7405" w:name="_Toc400371636"/>
      <w:bookmarkStart w:id="7406" w:name="_Toc400373817"/>
      <w:bookmarkStart w:id="7407" w:name="_Toc400375997"/>
      <w:bookmarkStart w:id="7408" w:name="_Toc400378170"/>
      <w:bookmarkStart w:id="7409" w:name="_Toc400382506"/>
      <w:bookmarkStart w:id="7410" w:name="_Toc400384672"/>
      <w:bookmarkStart w:id="7411" w:name="_Toc400386838"/>
      <w:bookmarkStart w:id="7412" w:name="_Toc400389001"/>
      <w:bookmarkStart w:id="7413" w:name="_Toc400391162"/>
      <w:bookmarkStart w:id="7414" w:name="_Toc400393323"/>
      <w:bookmarkStart w:id="7415" w:name="_Toc400395487"/>
      <w:bookmarkStart w:id="7416" w:name="_Toc400355968"/>
      <w:bookmarkStart w:id="7417" w:name="_Toc400358233"/>
      <w:bookmarkStart w:id="7418" w:name="_Toc400360498"/>
      <w:bookmarkStart w:id="7419" w:name="_Toc400362763"/>
      <w:bookmarkStart w:id="7420" w:name="_Toc400365027"/>
      <w:bookmarkStart w:id="7421" w:name="_Toc400367258"/>
      <w:bookmarkStart w:id="7422" w:name="_Toc400369455"/>
      <w:bookmarkStart w:id="7423" w:name="_Toc400371637"/>
      <w:bookmarkStart w:id="7424" w:name="_Toc400373818"/>
      <w:bookmarkStart w:id="7425" w:name="_Toc400375998"/>
      <w:bookmarkStart w:id="7426" w:name="_Toc400378171"/>
      <w:bookmarkStart w:id="7427" w:name="_Toc400382507"/>
      <w:bookmarkStart w:id="7428" w:name="_Toc400384673"/>
      <w:bookmarkStart w:id="7429" w:name="_Toc400386839"/>
      <w:bookmarkStart w:id="7430" w:name="_Toc400389002"/>
      <w:bookmarkStart w:id="7431" w:name="_Toc400391163"/>
      <w:bookmarkStart w:id="7432" w:name="_Toc400393324"/>
      <w:bookmarkStart w:id="7433" w:name="_Toc400395488"/>
      <w:bookmarkStart w:id="7434" w:name="_Toc400355969"/>
      <w:bookmarkStart w:id="7435" w:name="_Toc400358234"/>
      <w:bookmarkStart w:id="7436" w:name="_Toc400360499"/>
      <w:bookmarkStart w:id="7437" w:name="_Toc400362764"/>
      <w:bookmarkStart w:id="7438" w:name="_Toc400365028"/>
      <w:bookmarkStart w:id="7439" w:name="_Toc400367259"/>
      <w:bookmarkStart w:id="7440" w:name="_Toc400369456"/>
      <w:bookmarkStart w:id="7441" w:name="_Toc400371638"/>
      <w:bookmarkStart w:id="7442" w:name="_Toc400373819"/>
      <w:bookmarkStart w:id="7443" w:name="_Toc400375999"/>
      <w:bookmarkStart w:id="7444" w:name="_Toc400378172"/>
      <w:bookmarkStart w:id="7445" w:name="_Toc400382508"/>
      <w:bookmarkStart w:id="7446" w:name="_Toc400384674"/>
      <w:bookmarkStart w:id="7447" w:name="_Toc400386840"/>
      <w:bookmarkStart w:id="7448" w:name="_Toc400389003"/>
      <w:bookmarkStart w:id="7449" w:name="_Toc400391164"/>
      <w:bookmarkStart w:id="7450" w:name="_Toc400393325"/>
      <w:bookmarkStart w:id="7451" w:name="_Toc400395489"/>
      <w:bookmarkStart w:id="7452" w:name="_Toc400356035"/>
      <w:bookmarkStart w:id="7453" w:name="_Toc400358300"/>
      <w:bookmarkStart w:id="7454" w:name="_Toc400360565"/>
      <w:bookmarkStart w:id="7455" w:name="_Toc400362830"/>
      <w:bookmarkStart w:id="7456" w:name="_Toc400365094"/>
      <w:bookmarkStart w:id="7457" w:name="_Toc400367325"/>
      <w:bookmarkStart w:id="7458" w:name="_Toc400369522"/>
      <w:bookmarkStart w:id="7459" w:name="_Toc400371704"/>
      <w:bookmarkStart w:id="7460" w:name="_Toc400373885"/>
      <w:bookmarkStart w:id="7461" w:name="_Toc400376065"/>
      <w:bookmarkStart w:id="7462" w:name="_Toc400378238"/>
      <w:bookmarkStart w:id="7463" w:name="_Toc400382574"/>
      <w:bookmarkStart w:id="7464" w:name="_Toc400384740"/>
      <w:bookmarkStart w:id="7465" w:name="_Toc400386906"/>
      <w:bookmarkStart w:id="7466" w:name="_Toc400389069"/>
      <w:bookmarkStart w:id="7467" w:name="_Toc400391230"/>
      <w:bookmarkStart w:id="7468" w:name="_Toc400393391"/>
      <w:bookmarkStart w:id="7469" w:name="_Toc400395555"/>
      <w:bookmarkStart w:id="7470" w:name="_Toc400356036"/>
      <w:bookmarkStart w:id="7471" w:name="_Toc400358301"/>
      <w:bookmarkStart w:id="7472" w:name="_Toc400360566"/>
      <w:bookmarkStart w:id="7473" w:name="_Toc400362831"/>
      <w:bookmarkStart w:id="7474" w:name="_Toc400365095"/>
      <w:bookmarkStart w:id="7475" w:name="_Toc400367326"/>
      <w:bookmarkStart w:id="7476" w:name="_Toc400369523"/>
      <w:bookmarkStart w:id="7477" w:name="_Toc400371705"/>
      <w:bookmarkStart w:id="7478" w:name="_Toc400373886"/>
      <w:bookmarkStart w:id="7479" w:name="_Toc400376066"/>
      <w:bookmarkStart w:id="7480" w:name="_Toc400378239"/>
      <w:bookmarkStart w:id="7481" w:name="_Toc400382575"/>
      <w:bookmarkStart w:id="7482" w:name="_Toc400384741"/>
      <w:bookmarkStart w:id="7483" w:name="_Toc400386907"/>
      <w:bookmarkStart w:id="7484" w:name="_Toc400389070"/>
      <w:bookmarkStart w:id="7485" w:name="_Toc400391231"/>
      <w:bookmarkStart w:id="7486" w:name="_Toc400393392"/>
      <w:bookmarkStart w:id="7487" w:name="_Toc400395556"/>
      <w:bookmarkStart w:id="7488" w:name="_Toc400356037"/>
      <w:bookmarkStart w:id="7489" w:name="_Toc400358302"/>
      <w:bookmarkStart w:id="7490" w:name="_Toc400360567"/>
      <w:bookmarkStart w:id="7491" w:name="_Toc400362832"/>
      <w:bookmarkStart w:id="7492" w:name="_Toc400365096"/>
      <w:bookmarkStart w:id="7493" w:name="_Toc400367327"/>
      <w:bookmarkStart w:id="7494" w:name="_Toc400369524"/>
      <w:bookmarkStart w:id="7495" w:name="_Toc400371706"/>
      <w:bookmarkStart w:id="7496" w:name="_Toc400373887"/>
      <w:bookmarkStart w:id="7497" w:name="_Toc400376067"/>
      <w:bookmarkStart w:id="7498" w:name="_Toc400378240"/>
      <w:bookmarkStart w:id="7499" w:name="_Toc400382576"/>
      <w:bookmarkStart w:id="7500" w:name="_Toc400384742"/>
      <w:bookmarkStart w:id="7501" w:name="_Toc400386908"/>
      <w:bookmarkStart w:id="7502" w:name="_Toc400389071"/>
      <w:bookmarkStart w:id="7503" w:name="_Toc400391232"/>
      <w:bookmarkStart w:id="7504" w:name="_Toc400393393"/>
      <w:bookmarkStart w:id="7505" w:name="_Toc400395557"/>
      <w:bookmarkStart w:id="7506" w:name="_Toc400356038"/>
      <w:bookmarkStart w:id="7507" w:name="_Toc400358303"/>
      <w:bookmarkStart w:id="7508" w:name="_Toc400360568"/>
      <w:bookmarkStart w:id="7509" w:name="_Toc400362833"/>
      <w:bookmarkStart w:id="7510" w:name="_Toc400365097"/>
      <w:bookmarkStart w:id="7511" w:name="_Toc400367328"/>
      <w:bookmarkStart w:id="7512" w:name="_Toc400369525"/>
      <w:bookmarkStart w:id="7513" w:name="_Toc400371707"/>
      <w:bookmarkStart w:id="7514" w:name="_Toc400373888"/>
      <w:bookmarkStart w:id="7515" w:name="_Toc400376068"/>
      <w:bookmarkStart w:id="7516" w:name="_Toc400378241"/>
      <w:bookmarkStart w:id="7517" w:name="_Toc400382577"/>
      <w:bookmarkStart w:id="7518" w:name="_Toc400384743"/>
      <w:bookmarkStart w:id="7519" w:name="_Toc400386909"/>
      <w:bookmarkStart w:id="7520" w:name="_Toc400389072"/>
      <w:bookmarkStart w:id="7521" w:name="_Toc400391233"/>
      <w:bookmarkStart w:id="7522" w:name="_Toc400393394"/>
      <w:bookmarkStart w:id="7523" w:name="_Toc400395558"/>
      <w:bookmarkStart w:id="7524" w:name="_Toc400356039"/>
      <w:bookmarkStart w:id="7525" w:name="_Toc400358304"/>
      <w:bookmarkStart w:id="7526" w:name="_Toc400360569"/>
      <w:bookmarkStart w:id="7527" w:name="_Toc400362834"/>
      <w:bookmarkStart w:id="7528" w:name="_Toc400365098"/>
      <w:bookmarkStart w:id="7529" w:name="_Toc400367329"/>
      <w:bookmarkStart w:id="7530" w:name="_Toc400369526"/>
      <w:bookmarkStart w:id="7531" w:name="_Toc400371708"/>
      <w:bookmarkStart w:id="7532" w:name="_Toc400373889"/>
      <w:bookmarkStart w:id="7533" w:name="_Toc400376069"/>
      <w:bookmarkStart w:id="7534" w:name="_Toc400378242"/>
      <w:bookmarkStart w:id="7535" w:name="_Toc400382578"/>
      <w:bookmarkStart w:id="7536" w:name="_Toc400384744"/>
      <w:bookmarkStart w:id="7537" w:name="_Toc400386910"/>
      <w:bookmarkStart w:id="7538" w:name="_Toc400389073"/>
      <w:bookmarkStart w:id="7539" w:name="_Toc400391234"/>
      <w:bookmarkStart w:id="7540" w:name="_Toc400393395"/>
      <w:bookmarkStart w:id="7541" w:name="_Toc400395559"/>
      <w:bookmarkStart w:id="7542" w:name="_Toc400356040"/>
      <w:bookmarkStart w:id="7543" w:name="_Toc400358305"/>
      <w:bookmarkStart w:id="7544" w:name="_Toc400360570"/>
      <w:bookmarkStart w:id="7545" w:name="_Toc400362835"/>
      <w:bookmarkStart w:id="7546" w:name="_Toc400365099"/>
      <w:bookmarkStart w:id="7547" w:name="_Toc400367330"/>
      <w:bookmarkStart w:id="7548" w:name="_Toc400369527"/>
      <w:bookmarkStart w:id="7549" w:name="_Toc400371709"/>
      <w:bookmarkStart w:id="7550" w:name="_Toc400373890"/>
      <w:bookmarkStart w:id="7551" w:name="_Toc400376070"/>
      <w:bookmarkStart w:id="7552" w:name="_Toc400378243"/>
      <w:bookmarkStart w:id="7553" w:name="_Toc400382579"/>
      <w:bookmarkStart w:id="7554" w:name="_Toc400384745"/>
      <w:bookmarkStart w:id="7555" w:name="_Toc400386911"/>
      <w:bookmarkStart w:id="7556" w:name="_Toc400389074"/>
      <w:bookmarkStart w:id="7557" w:name="_Toc400391235"/>
      <w:bookmarkStart w:id="7558" w:name="_Toc400393396"/>
      <w:bookmarkStart w:id="7559" w:name="_Toc400395560"/>
      <w:bookmarkStart w:id="7560" w:name="_Toc400356049"/>
      <w:bookmarkStart w:id="7561" w:name="_Toc400358314"/>
      <w:bookmarkStart w:id="7562" w:name="_Toc400360579"/>
      <w:bookmarkStart w:id="7563" w:name="_Toc400362844"/>
      <w:bookmarkStart w:id="7564" w:name="_Toc400365108"/>
      <w:bookmarkStart w:id="7565" w:name="_Toc400367339"/>
      <w:bookmarkStart w:id="7566" w:name="_Toc400369536"/>
      <w:bookmarkStart w:id="7567" w:name="_Toc400371718"/>
      <w:bookmarkStart w:id="7568" w:name="_Toc400373899"/>
      <w:bookmarkStart w:id="7569" w:name="_Toc400376079"/>
      <w:bookmarkStart w:id="7570" w:name="_Toc400378252"/>
      <w:bookmarkStart w:id="7571" w:name="_Toc400382588"/>
      <w:bookmarkStart w:id="7572" w:name="_Toc400384754"/>
      <w:bookmarkStart w:id="7573" w:name="_Toc400386920"/>
      <w:bookmarkStart w:id="7574" w:name="_Toc400389083"/>
      <w:bookmarkStart w:id="7575" w:name="_Toc400391244"/>
      <w:bookmarkStart w:id="7576" w:name="_Toc400393405"/>
      <w:bookmarkStart w:id="7577" w:name="_Toc400395569"/>
      <w:bookmarkStart w:id="7578" w:name="_Toc400356050"/>
      <w:bookmarkStart w:id="7579" w:name="_Toc400358315"/>
      <w:bookmarkStart w:id="7580" w:name="_Toc400360580"/>
      <w:bookmarkStart w:id="7581" w:name="_Toc400362845"/>
      <w:bookmarkStart w:id="7582" w:name="_Toc400365109"/>
      <w:bookmarkStart w:id="7583" w:name="_Toc400367340"/>
      <w:bookmarkStart w:id="7584" w:name="_Toc400369537"/>
      <w:bookmarkStart w:id="7585" w:name="_Toc400371719"/>
      <w:bookmarkStart w:id="7586" w:name="_Toc400373900"/>
      <w:bookmarkStart w:id="7587" w:name="_Toc400376080"/>
      <w:bookmarkStart w:id="7588" w:name="_Toc400378253"/>
      <w:bookmarkStart w:id="7589" w:name="_Toc400382589"/>
      <w:bookmarkStart w:id="7590" w:name="_Toc400384755"/>
      <w:bookmarkStart w:id="7591" w:name="_Toc400386921"/>
      <w:bookmarkStart w:id="7592" w:name="_Toc400389084"/>
      <w:bookmarkStart w:id="7593" w:name="_Toc400391245"/>
      <w:bookmarkStart w:id="7594" w:name="_Toc400393406"/>
      <w:bookmarkStart w:id="7595" w:name="_Toc400395570"/>
      <w:bookmarkStart w:id="7596" w:name="_Toc400356051"/>
      <w:bookmarkStart w:id="7597" w:name="_Toc400358316"/>
      <w:bookmarkStart w:id="7598" w:name="_Toc400360581"/>
      <w:bookmarkStart w:id="7599" w:name="_Toc400362846"/>
      <w:bookmarkStart w:id="7600" w:name="_Toc400365110"/>
      <w:bookmarkStart w:id="7601" w:name="_Toc400367341"/>
      <w:bookmarkStart w:id="7602" w:name="_Toc400369538"/>
      <w:bookmarkStart w:id="7603" w:name="_Toc400371720"/>
      <w:bookmarkStart w:id="7604" w:name="_Toc400373901"/>
      <w:bookmarkStart w:id="7605" w:name="_Toc400376081"/>
      <w:bookmarkStart w:id="7606" w:name="_Toc400378254"/>
      <w:bookmarkStart w:id="7607" w:name="_Toc400382590"/>
      <w:bookmarkStart w:id="7608" w:name="_Toc400384756"/>
      <w:bookmarkStart w:id="7609" w:name="_Toc400386922"/>
      <w:bookmarkStart w:id="7610" w:name="_Toc400389085"/>
      <w:bookmarkStart w:id="7611" w:name="_Toc400391246"/>
      <w:bookmarkStart w:id="7612" w:name="_Toc400393407"/>
      <w:bookmarkStart w:id="7613" w:name="_Toc400395571"/>
      <w:bookmarkStart w:id="7614" w:name="_Toc400356052"/>
      <w:bookmarkStart w:id="7615" w:name="_Toc400358317"/>
      <w:bookmarkStart w:id="7616" w:name="_Toc400360582"/>
      <w:bookmarkStart w:id="7617" w:name="_Toc400362847"/>
      <w:bookmarkStart w:id="7618" w:name="_Toc400365111"/>
      <w:bookmarkStart w:id="7619" w:name="_Toc400367342"/>
      <w:bookmarkStart w:id="7620" w:name="_Toc400369539"/>
      <w:bookmarkStart w:id="7621" w:name="_Toc400371721"/>
      <w:bookmarkStart w:id="7622" w:name="_Toc400373902"/>
      <w:bookmarkStart w:id="7623" w:name="_Toc400376082"/>
      <w:bookmarkStart w:id="7624" w:name="_Toc400378255"/>
      <w:bookmarkStart w:id="7625" w:name="_Toc400382591"/>
      <w:bookmarkStart w:id="7626" w:name="_Toc400384757"/>
      <w:bookmarkStart w:id="7627" w:name="_Toc400386923"/>
      <w:bookmarkStart w:id="7628" w:name="_Toc400389086"/>
      <w:bookmarkStart w:id="7629" w:name="_Toc400391247"/>
      <w:bookmarkStart w:id="7630" w:name="_Toc400393408"/>
      <w:bookmarkStart w:id="7631" w:name="_Toc400395572"/>
      <w:bookmarkStart w:id="7632" w:name="_Toc400356053"/>
      <w:bookmarkStart w:id="7633" w:name="_Toc400358318"/>
      <w:bookmarkStart w:id="7634" w:name="_Toc400360583"/>
      <w:bookmarkStart w:id="7635" w:name="_Toc400362848"/>
      <w:bookmarkStart w:id="7636" w:name="_Toc400365112"/>
      <w:bookmarkStart w:id="7637" w:name="_Toc400367343"/>
      <w:bookmarkStart w:id="7638" w:name="_Toc400369540"/>
      <w:bookmarkStart w:id="7639" w:name="_Toc400371722"/>
      <w:bookmarkStart w:id="7640" w:name="_Toc400373903"/>
      <w:bookmarkStart w:id="7641" w:name="_Toc400376083"/>
      <w:bookmarkStart w:id="7642" w:name="_Toc400378256"/>
      <w:bookmarkStart w:id="7643" w:name="_Toc400382592"/>
      <w:bookmarkStart w:id="7644" w:name="_Toc400384758"/>
      <w:bookmarkStart w:id="7645" w:name="_Toc400386924"/>
      <w:bookmarkStart w:id="7646" w:name="_Toc400389087"/>
      <w:bookmarkStart w:id="7647" w:name="_Toc400391248"/>
      <w:bookmarkStart w:id="7648" w:name="_Toc400393409"/>
      <w:bookmarkStart w:id="7649" w:name="_Toc400395573"/>
      <w:bookmarkStart w:id="7650" w:name="_Toc400356054"/>
      <w:bookmarkStart w:id="7651" w:name="_Toc400358319"/>
      <w:bookmarkStart w:id="7652" w:name="_Toc400360584"/>
      <w:bookmarkStart w:id="7653" w:name="_Toc400362849"/>
      <w:bookmarkStart w:id="7654" w:name="_Toc400365113"/>
      <w:bookmarkStart w:id="7655" w:name="_Toc400367344"/>
      <w:bookmarkStart w:id="7656" w:name="_Toc400369541"/>
      <w:bookmarkStart w:id="7657" w:name="_Toc400371723"/>
      <w:bookmarkStart w:id="7658" w:name="_Toc400373904"/>
      <w:bookmarkStart w:id="7659" w:name="_Toc400376084"/>
      <w:bookmarkStart w:id="7660" w:name="_Toc400378257"/>
      <w:bookmarkStart w:id="7661" w:name="_Toc400382593"/>
      <w:bookmarkStart w:id="7662" w:name="_Toc400384759"/>
      <w:bookmarkStart w:id="7663" w:name="_Toc400386925"/>
      <w:bookmarkStart w:id="7664" w:name="_Toc400389088"/>
      <w:bookmarkStart w:id="7665" w:name="_Toc400391249"/>
      <w:bookmarkStart w:id="7666" w:name="_Toc400393410"/>
      <w:bookmarkStart w:id="7667" w:name="_Toc400395574"/>
      <w:bookmarkStart w:id="7668" w:name="_Toc400356055"/>
      <w:bookmarkStart w:id="7669" w:name="_Toc400358320"/>
      <w:bookmarkStart w:id="7670" w:name="_Toc400360585"/>
      <w:bookmarkStart w:id="7671" w:name="_Toc400362850"/>
      <w:bookmarkStart w:id="7672" w:name="_Toc400365114"/>
      <w:bookmarkStart w:id="7673" w:name="_Toc400367345"/>
      <w:bookmarkStart w:id="7674" w:name="_Toc400369542"/>
      <w:bookmarkStart w:id="7675" w:name="_Toc400371724"/>
      <w:bookmarkStart w:id="7676" w:name="_Toc400373905"/>
      <w:bookmarkStart w:id="7677" w:name="_Toc400376085"/>
      <w:bookmarkStart w:id="7678" w:name="_Toc400378258"/>
      <w:bookmarkStart w:id="7679" w:name="_Toc400382594"/>
      <w:bookmarkStart w:id="7680" w:name="_Toc400384760"/>
      <w:bookmarkStart w:id="7681" w:name="_Toc400386926"/>
      <w:bookmarkStart w:id="7682" w:name="_Toc400389089"/>
      <w:bookmarkStart w:id="7683" w:name="_Toc400391250"/>
      <w:bookmarkStart w:id="7684" w:name="_Toc400393411"/>
      <w:bookmarkStart w:id="7685" w:name="_Toc400395575"/>
      <w:bookmarkStart w:id="7686" w:name="_Toc400356056"/>
      <w:bookmarkStart w:id="7687" w:name="_Toc400358321"/>
      <w:bookmarkStart w:id="7688" w:name="_Toc400360586"/>
      <w:bookmarkStart w:id="7689" w:name="_Toc400362851"/>
      <w:bookmarkStart w:id="7690" w:name="_Toc400365115"/>
      <w:bookmarkStart w:id="7691" w:name="_Toc400367346"/>
      <w:bookmarkStart w:id="7692" w:name="_Toc400369543"/>
      <w:bookmarkStart w:id="7693" w:name="_Toc400371725"/>
      <w:bookmarkStart w:id="7694" w:name="_Toc400373906"/>
      <w:bookmarkStart w:id="7695" w:name="_Toc400376086"/>
      <w:bookmarkStart w:id="7696" w:name="_Toc400378259"/>
      <w:bookmarkStart w:id="7697" w:name="_Toc400382595"/>
      <w:bookmarkStart w:id="7698" w:name="_Toc400384761"/>
      <w:bookmarkStart w:id="7699" w:name="_Toc400386927"/>
      <w:bookmarkStart w:id="7700" w:name="_Toc400389090"/>
      <w:bookmarkStart w:id="7701" w:name="_Toc400391251"/>
      <w:bookmarkStart w:id="7702" w:name="_Toc400393412"/>
      <w:bookmarkStart w:id="7703" w:name="_Toc400395576"/>
      <w:bookmarkStart w:id="7704" w:name="_Toc400356057"/>
      <w:bookmarkStart w:id="7705" w:name="_Toc400358322"/>
      <w:bookmarkStart w:id="7706" w:name="_Toc400360587"/>
      <w:bookmarkStart w:id="7707" w:name="_Toc400362852"/>
      <w:bookmarkStart w:id="7708" w:name="_Toc400365116"/>
      <w:bookmarkStart w:id="7709" w:name="_Toc400367347"/>
      <w:bookmarkStart w:id="7710" w:name="_Toc400369544"/>
      <w:bookmarkStart w:id="7711" w:name="_Toc400371726"/>
      <w:bookmarkStart w:id="7712" w:name="_Toc400373907"/>
      <w:bookmarkStart w:id="7713" w:name="_Toc400376087"/>
      <w:bookmarkStart w:id="7714" w:name="_Toc400378260"/>
      <w:bookmarkStart w:id="7715" w:name="_Toc400382596"/>
      <w:bookmarkStart w:id="7716" w:name="_Toc400384762"/>
      <w:bookmarkStart w:id="7717" w:name="_Toc400386928"/>
      <w:bookmarkStart w:id="7718" w:name="_Toc400389091"/>
      <w:bookmarkStart w:id="7719" w:name="_Toc400391252"/>
      <w:bookmarkStart w:id="7720" w:name="_Toc400393413"/>
      <w:bookmarkStart w:id="7721" w:name="_Toc400395577"/>
      <w:bookmarkStart w:id="7722" w:name="_Toc400356058"/>
      <w:bookmarkStart w:id="7723" w:name="_Toc400358323"/>
      <w:bookmarkStart w:id="7724" w:name="_Toc400360588"/>
      <w:bookmarkStart w:id="7725" w:name="_Toc400362853"/>
      <w:bookmarkStart w:id="7726" w:name="_Toc400365117"/>
      <w:bookmarkStart w:id="7727" w:name="_Toc400367348"/>
      <w:bookmarkStart w:id="7728" w:name="_Toc400369545"/>
      <w:bookmarkStart w:id="7729" w:name="_Toc400371727"/>
      <w:bookmarkStart w:id="7730" w:name="_Toc400373908"/>
      <w:bookmarkStart w:id="7731" w:name="_Toc400376088"/>
      <w:bookmarkStart w:id="7732" w:name="_Toc400378261"/>
      <w:bookmarkStart w:id="7733" w:name="_Toc400382597"/>
      <w:bookmarkStart w:id="7734" w:name="_Toc400384763"/>
      <w:bookmarkStart w:id="7735" w:name="_Toc400386929"/>
      <w:bookmarkStart w:id="7736" w:name="_Toc400389092"/>
      <w:bookmarkStart w:id="7737" w:name="_Toc400391253"/>
      <w:bookmarkStart w:id="7738" w:name="_Toc400393414"/>
      <w:bookmarkStart w:id="7739" w:name="_Toc400395578"/>
      <w:bookmarkStart w:id="7740" w:name="_Toc400356059"/>
      <w:bookmarkStart w:id="7741" w:name="_Toc400358324"/>
      <w:bookmarkStart w:id="7742" w:name="_Toc400360589"/>
      <w:bookmarkStart w:id="7743" w:name="_Toc400362854"/>
      <w:bookmarkStart w:id="7744" w:name="_Toc400365118"/>
      <w:bookmarkStart w:id="7745" w:name="_Toc400367349"/>
      <w:bookmarkStart w:id="7746" w:name="_Toc400369546"/>
      <w:bookmarkStart w:id="7747" w:name="_Toc400371728"/>
      <w:bookmarkStart w:id="7748" w:name="_Toc400373909"/>
      <w:bookmarkStart w:id="7749" w:name="_Toc400376089"/>
      <w:bookmarkStart w:id="7750" w:name="_Toc400378262"/>
      <w:bookmarkStart w:id="7751" w:name="_Toc400382598"/>
      <w:bookmarkStart w:id="7752" w:name="_Toc400384764"/>
      <w:bookmarkStart w:id="7753" w:name="_Toc400386930"/>
      <w:bookmarkStart w:id="7754" w:name="_Toc400389093"/>
      <w:bookmarkStart w:id="7755" w:name="_Toc400391254"/>
      <w:bookmarkStart w:id="7756" w:name="_Toc400393415"/>
      <w:bookmarkStart w:id="7757" w:name="_Toc400395579"/>
      <w:bookmarkStart w:id="7758" w:name="_Toc400356060"/>
      <w:bookmarkStart w:id="7759" w:name="_Toc400358325"/>
      <w:bookmarkStart w:id="7760" w:name="_Toc400360590"/>
      <w:bookmarkStart w:id="7761" w:name="_Toc400362855"/>
      <w:bookmarkStart w:id="7762" w:name="_Toc400365119"/>
      <w:bookmarkStart w:id="7763" w:name="_Toc400367350"/>
      <w:bookmarkStart w:id="7764" w:name="_Toc400369547"/>
      <w:bookmarkStart w:id="7765" w:name="_Toc400371729"/>
      <w:bookmarkStart w:id="7766" w:name="_Toc400373910"/>
      <w:bookmarkStart w:id="7767" w:name="_Toc400376090"/>
      <w:bookmarkStart w:id="7768" w:name="_Toc400378263"/>
      <w:bookmarkStart w:id="7769" w:name="_Toc400382599"/>
      <w:bookmarkStart w:id="7770" w:name="_Toc400384765"/>
      <w:bookmarkStart w:id="7771" w:name="_Toc400386931"/>
      <w:bookmarkStart w:id="7772" w:name="_Toc400389094"/>
      <w:bookmarkStart w:id="7773" w:name="_Toc400391255"/>
      <w:bookmarkStart w:id="7774" w:name="_Toc400393416"/>
      <w:bookmarkStart w:id="7775" w:name="_Toc400395580"/>
      <w:bookmarkStart w:id="7776" w:name="_Toc400356061"/>
      <w:bookmarkStart w:id="7777" w:name="_Toc400358326"/>
      <w:bookmarkStart w:id="7778" w:name="_Toc400360591"/>
      <w:bookmarkStart w:id="7779" w:name="_Toc400362856"/>
      <w:bookmarkStart w:id="7780" w:name="_Toc400365120"/>
      <w:bookmarkStart w:id="7781" w:name="_Toc400367351"/>
      <w:bookmarkStart w:id="7782" w:name="_Toc400369548"/>
      <w:bookmarkStart w:id="7783" w:name="_Toc400371730"/>
      <w:bookmarkStart w:id="7784" w:name="_Toc400373911"/>
      <w:bookmarkStart w:id="7785" w:name="_Toc400376091"/>
      <w:bookmarkStart w:id="7786" w:name="_Toc400378264"/>
      <w:bookmarkStart w:id="7787" w:name="_Toc400382600"/>
      <w:bookmarkStart w:id="7788" w:name="_Toc400384766"/>
      <w:bookmarkStart w:id="7789" w:name="_Toc400386932"/>
      <w:bookmarkStart w:id="7790" w:name="_Toc400389095"/>
      <w:bookmarkStart w:id="7791" w:name="_Toc400391256"/>
      <w:bookmarkStart w:id="7792" w:name="_Toc400393417"/>
      <w:bookmarkStart w:id="7793" w:name="_Toc400395581"/>
      <w:bookmarkStart w:id="7794" w:name="_Toc400356062"/>
      <w:bookmarkStart w:id="7795" w:name="_Toc400358327"/>
      <w:bookmarkStart w:id="7796" w:name="_Toc400360592"/>
      <w:bookmarkStart w:id="7797" w:name="_Toc400362857"/>
      <w:bookmarkStart w:id="7798" w:name="_Toc400365121"/>
      <w:bookmarkStart w:id="7799" w:name="_Toc400367352"/>
      <w:bookmarkStart w:id="7800" w:name="_Toc400369549"/>
      <w:bookmarkStart w:id="7801" w:name="_Toc400371731"/>
      <w:bookmarkStart w:id="7802" w:name="_Toc400373912"/>
      <w:bookmarkStart w:id="7803" w:name="_Toc400376092"/>
      <w:bookmarkStart w:id="7804" w:name="_Toc400378265"/>
      <w:bookmarkStart w:id="7805" w:name="_Toc400382601"/>
      <w:bookmarkStart w:id="7806" w:name="_Toc400384767"/>
      <w:bookmarkStart w:id="7807" w:name="_Toc400386933"/>
      <w:bookmarkStart w:id="7808" w:name="_Toc400389096"/>
      <w:bookmarkStart w:id="7809" w:name="_Toc400391257"/>
      <w:bookmarkStart w:id="7810" w:name="_Toc400393418"/>
      <w:bookmarkStart w:id="7811" w:name="_Toc400395582"/>
      <w:bookmarkStart w:id="7812" w:name="_Toc400356063"/>
      <w:bookmarkStart w:id="7813" w:name="_Toc400358328"/>
      <w:bookmarkStart w:id="7814" w:name="_Toc400360593"/>
      <w:bookmarkStart w:id="7815" w:name="_Toc400362858"/>
      <w:bookmarkStart w:id="7816" w:name="_Toc400365122"/>
      <w:bookmarkStart w:id="7817" w:name="_Toc400367353"/>
      <w:bookmarkStart w:id="7818" w:name="_Toc400369550"/>
      <w:bookmarkStart w:id="7819" w:name="_Toc400371732"/>
      <w:bookmarkStart w:id="7820" w:name="_Toc400373913"/>
      <w:bookmarkStart w:id="7821" w:name="_Toc400376093"/>
      <w:bookmarkStart w:id="7822" w:name="_Toc400378266"/>
      <w:bookmarkStart w:id="7823" w:name="_Toc400382602"/>
      <w:bookmarkStart w:id="7824" w:name="_Toc400384768"/>
      <w:bookmarkStart w:id="7825" w:name="_Toc400386934"/>
      <w:bookmarkStart w:id="7826" w:name="_Toc400389097"/>
      <w:bookmarkStart w:id="7827" w:name="_Toc400391258"/>
      <w:bookmarkStart w:id="7828" w:name="_Toc400393419"/>
      <w:bookmarkStart w:id="7829" w:name="_Toc400395583"/>
      <w:bookmarkStart w:id="7830" w:name="_Toc400356064"/>
      <w:bookmarkStart w:id="7831" w:name="_Toc400358329"/>
      <w:bookmarkStart w:id="7832" w:name="_Toc400360594"/>
      <w:bookmarkStart w:id="7833" w:name="_Toc400362859"/>
      <w:bookmarkStart w:id="7834" w:name="_Toc400365123"/>
      <w:bookmarkStart w:id="7835" w:name="_Toc400367354"/>
      <w:bookmarkStart w:id="7836" w:name="_Toc400369551"/>
      <w:bookmarkStart w:id="7837" w:name="_Toc400371733"/>
      <w:bookmarkStart w:id="7838" w:name="_Toc400373914"/>
      <w:bookmarkStart w:id="7839" w:name="_Toc400376094"/>
      <w:bookmarkStart w:id="7840" w:name="_Toc400378267"/>
      <w:bookmarkStart w:id="7841" w:name="_Toc400382603"/>
      <w:bookmarkStart w:id="7842" w:name="_Toc400384769"/>
      <w:bookmarkStart w:id="7843" w:name="_Toc400386935"/>
      <w:bookmarkStart w:id="7844" w:name="_Toc400389098"/>
      <w:bookmarkStart w:id="7845" w:name="_Toc400391259"/>
      <w:bookmarkStart w:id="7846" w:name="_Toc400393420"/>
      <w:bookmarkStart w:id="7847" w:name="_Toc400395584"/>
      <w:bookmarkStart w:id="7848" w:name="_Toc400356065"/>
      <w:bookmarkStart w:id="7849" w:name="_Toc400358330"/>
      <w:bookmarkStart w:id="7850" w:name="_Toc400360595"/>
      <w:bookmarkStart w:id="7851" w:name="_Toc400362860"/>
      <w:bookmarkStart w:id="7852" w:name="_Toc400365124"/>
      <w:bookmarkStart w:id="7853" w:name="_Toc400367355"/>
      <w:bookmarkStart w:id="7854" w:name="_Toc400369552"/>
      <w:bookmarkStart w:id="7855" w:name="_Toc400371734"/>
      <w:bookmarkStart w:id="7856" w:name="_Toc400373915"/>
      <w:bookmarkStart w:id="7857" w:name="_Toc400376095"/>
      <w:bookmarkStart w:id="7858" w:name="_Toc400378268"/>
      <w:bookmarkStart w:id="7859" w:name="_Toc400382604"/>
      <w:bookmarkStart w:id="7860" w:name="_Toc400384770"/>
      <w:bookmarkStart w:id="7861" w:name="_Toc400386936"/>
      <w:bookmarkStart w:id="7862" w:name="_Toc400389099"/>
      <w:bookmarkStart w:id="7863" w:name="_Toc400391260"/>
      <w:bookmarkStart w:id="7864" w:name="_Toc400393421"/>
      <w:bookmarkStart w:id="7865" w:name="_Toc400395585"/>
      <w:bookmarkStart w:id="7866" w:name="_Toc400356066"/>
      <w:bookmarkStart w:id="7867" w:name="_Toc400358331"/>
      <w:bookmarkStart w:id="7868" w:name="_Toc400360596"/>
      <w:bookmarkStart w:id="7869" w:name="_Toc400362861"/>
      <w:bookmarkStart w:id="7870" w:name="_Toc400365125"/>
      <w:bookmarkStart w:id="7871" w:name="_Toc400367356"/>
      <w:bookmarkStart w:id="7872" w:name="_Toc400369553"/>
      <w:bookmarkStart w:id="7873" w:name="_Toc400371735"/>
      <w:bookmarkStart w:id="7874" w:name="_Toc400373916"/>
      <w:bookmarkStart w:id="7875" w:name="_Toc400376096"/>
      <w:bookmarkStart w:id="7876" w:name="_Toc400378269"/>
      <w:bookmarkStart w:id="7877" w:name="_Toc400382605"/>
      <w:bookmarkStart w:id="7878" w:name="_Toc400384771"/>
      <w:bookmarkStart w:id="7879" w:name="_Toc400386937"/>
      <w:bookmarkStart w:id="7880" w:name="_Toc400389100"/>
      <w:bookmarkStart w:id="7881" w:name="_Toc400391261"/>
      <w:bookmarkStart w:id="7882" w:name="_Toc400393422"/>
      <w:bookmarkStart w:id="7883" w:name="_Toc400395586"/>
      <w:bookmarkStart w:id="7884" w:name="_Toc398884970"/>
      <w:bookmarkStart w:id="7885" w:name="_Toc413056050"/>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r>
        <w:t>Rail Transport</w:t>
      </w:r>
      <w:bookmarkEnd w:id="7884"/>
      <w:bookmarkEnd w:id="7885"/>
    </w:p>
    <w:p w:rsidR="0092121D" w:rsidRPr="008E03B0" w:rsidRDefault="0092121D" w:rsidP="00045287">
      <w:pPr>
        <w:pStyle w:val="Hdg2"/>
      </w:pPr>
      <w:bookmarkStart w:id="7886" w:name="_Toc398884971"/>
      <w:bookmarkStart w:id="7887" w:name="_Toc413056051"/>
      <w:r w:rsidRPr="00022837">
        <w:t>Existing Situation and Historic Trends</w:t>
      </w:r>
      <w:bookmarkEnd w:id="7886"/>
      <w:bookmarkEnd w:id="7887"/>
    </w:p>
    <w:p w:rsidR="0092121D" w:rsidRPr="00D92358" w:rsidRDefault="0092121D" w:rsidP="00EF7388">
      <w:pPr>
        <w:pStyle w:val="Hdg3"/>
        <w:ind w:left="851"/>
      </w:pPr>
      <w:bookmarkStart w:id="7888" w:name="_Toc398884972"/>
      <w:r w:rsidRPr="00D92358">
        <w:t>Passenger usage</w:t>
      </w:r>
      <w:bookmarkEnd w:id="7888"/>
    </w:p>
    <w:p w:rsidR="00660414" w:rsidRDefault="00660414" w:rsidP="00A4081F">
      <w:pPr>
        <w:pStyle w:val="NumberedParas"/>
      </w:pPr>
      <w:r w:rsidRPr="008C5B1B">
        <w:t xml:space="preserve">The first part of this </w:t>
      </w:r>
      <w:r>
        <w:t>chapter</w:t>
      </w:r>
      <w:r w:rsidRPr="008C5B1B">
        <w:t xml:space="preserve"> reviews the recent trends in passenger numbers, as well as assessing the pattern of rail trips between the main population centres using 2011 data. The Figure 5.1 illustrates the number of journeys declined between 2004 and 2012 from about 100m per annum to 58m. The 28% decline in patronage experienced in Romania between 2004 and 2009 is the largest decrease across all the EU Member states. </w:t>
      </w:r>
    </w:p>
    <w:p w:rsidR="00660414" w:rsidRPr="008C5B1B" w:rsidRDefault="00660414" w:rsidP="00660414">
      <w:pPr>
        <w:rPr>
          <w:b/>
          <w:noProof/>
          <w:sz w:val="22"/>
          <w:szCs w:val="22"/>
          <w:lang w:val="en-US"/>
        </w:rPr>
      </w:pPr>
      <w:r w:rsidRPr="008C5B1B">
        <w:rPr>
          <w:b/>
          <w:noProof/>
          <w:sz w:val="22"/>
          <w:szCs w:val="22"/>
          <w:lang w:val="ro-RO" w:eastAsia="ro-RO"/>
        </w:rPr>
        <w:drawing>
          <wp:inline distT="0" distB="0" distL="0" distR="0" wp14:anchorId="422A5C4B" wp14:editId="6E238D33">
            <wp:extent cx="6166090" cy="3642705"/>
            <wp:effectExtent l="19050" t="0" r="6110" b="0"/>
            <wp:docPr id="5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srcRect/>
                    <a:stretch>
                      <a:fillRect/>
                    </a:stretch>
                  </pic:blipFill>
                  <pic:spPr bwMode="auto">
                    <a:xfrm>
                      <a:off x="0" y="0"/>
                      <a:ext cx="6163977" cy="3641456"/>
                    </a:xfrm>
                    <a:prstGeom prst="rect">
                      <a:avLst/>
                    </a:prstGeom>
                    <a:noFill/>
                    <a:ln w="9525">
                      <a:noFill/>
                      <a:miter lim="800000"/>
                      <a:headEnd/>
                      <a:tailEnd/>
                    </a:ln>
                  </pic:spPr>
                </pic:pic>
              </a:graphicData>
            </a:graphic>
          </wp:inline>
        </w:drawing>
      </w:r>
    </w:p>
    <w:p w:rsidR="00660414" w:rsidRPr="008C7A83" w:rsidRDefault="00660414" w:rsidP="00660414">
      <w:pPr>
        <w:pStyle w:val="Caption"/>
        <w:rPr>
          <w:b/>
        </w:rPr>
      </w:pPr>
      <w:bookmarkStart w:id="7889" w:name="_Toc398884973"/>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w:t>
      </w:r>
      <w:r w:rsidRPr="0075501B">
        <w:rPr>
          <w:b/>
          <w:sz w:val="22"/>
          <w:szCs w:val="22"/>
        </w:rPr>
        <w:fldChar w:fldCharType="end"/>
      </w:r>
      <w:r>
        <w:rPr>
          <w:b/>
          <w:sz w:val="22"/>
          <w:szCs w:val="22"/>
        </w:rPr>
        <w:t>:</w:t>
      </w:r>
      <w:r w:rsidRPr="0075501B">
        <w:rPr>
          <w:b/>
          <w:sz w:val="22"/>
          <w:szCs w:val="22"/>
        </w:rPr>
        <w:t xml:space="preserve"> Number of Rail Passenger Journeys per annum in Romania (2004-2012)</w:t>
      </w:r>
    </w:p>
    <w:p w:rsidR="00660414" w:rsidRPr="007613DE" w:rsidRDefault="00660414" w:rsidP="007613DE">
      <w:pPr>
        <w:rPr>
          <w:i/>
        </w:rPr>
      </w:pPr>
      <w:bookmarkStart w:id="7890" w:name="_Toc398884974"/>
      <w:bookmarkEnd w:id="7889"/>
      <w:r w:rsidRPr="007613DE">
        <w:rPr>
          <w:i/>
        </w:rPr>
        <w:t>Source: AECOM analysis of CFR Calatori data</w:t>
      </w:r>
      <w:bookmarkEnd w:id="7890"/>
    </w:p>
    <w:p w:rsidR="00660414" w:rsidRPr="000A76BD" w:rsidRDefault="00660414" w:rsidP="00A4081F">
      <w:pPr>
        <w:pStyle w:val="NumberedParas"/>
      </w:pPr>
      <w:r w:rsidRPr="008C5B1B">
        <w:t xml:space="preserve">Rail demand in Romania, measured by kilometres travelled per person, is two to three times lower compared with other countries. The EU27 average is 650km per passenger per year while the equivalent figure for Romania is 66% lower. </w:t>
      </w:r>
      <w:r w:rsidRPr="008C5B1B">
        <w:rPr>
          <w:bCs/>
        </w:rPr>
        <w:t xml:space="preserve">The relationship between passenger kilometres per person has also been benchmarked for Romania against other EU countries. The ratio for Romania (239 passenger kilometres / person) is lower than other EU countries except Estonia (172), Greece (118) and Lithuania (34). The results for Romania are lower than Bulgaria (270 passenger kilometres / person) or Hungary (731), as shown in Figure 5.2. </w:t>
      </w:r>
      <w:r w:rsidRPr="008C5B1B">
        <w:t>Compared with countries with a similar level of rail network provision per head of population, the rate of railway use in Romania is low.</w:t>
      </w:r>
    </w:p>
    <w:p w:rsidR="00660414" w:rsidRDefault="00660414" w:rsidP="00660414">
      <w:pPr>
        <w:rPr>
          <w:rFonts w:cs="Arial"/>
          <w:b/>
          <w:sz w:val="22"/>
          <w:szCs w:val="22"/>
        </w:rPr>
      </w:pPr>
      <w:r w:rsidRPr="008C5B1B">
        <w:rPr>
          <w:rFonts w:cs="Arial"/>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4ECC334" wp14:editId="6A098E76">
            <wp:extent cx="5472000" cy="3593326"/>
            <wp:effectExtent l="19050" t="0" r="0" b="0"/>
            <wp:docPr id="5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472000" cy="3593326"/>
                    </a:xfrm>
                    <a:prstGeom prst="rect">
                      <a:avLst/>
                    </a:prstGeom>
                    <a:noFill/>
                  </pic:spPr>
                </pic:pic>
              </a:graphicData>
            </a:graphic>
          </wp:inline>
        </w:drawing>
      </w:r>
    </w:p>
    <w:p w:rsidR="00660414" w:rsidRPr="008C7A83" w:rsidRDefault="00660414" w:rsidP="00660414">
      <w:pPr>
        <w:pStyle w:val="Caption"/>
        <w:rPr>
          <w:b/>
          <w:sz w:val="22"/>
          <w:szCs w:val="22"/>
        </w:rPr>
      </w:pPr>
      <w:bookmarkStart w:id="7891" w:name="_Toc398884975"/>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2</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 xml:space="preserve">Comparison of Total Rail Passenger Kilometres – Romania and Other EU Countries </w:t>
      </w:r>
    </w:p>
    <w:p w:rsidR="00660414" w:rsidRPr="003446B5" w:rsidRDefault="00660414" w:rsidP="007613DE">
      <w:pPr>
        <w:rPr>
          <w:i/>
        </w:rPr>
      </w:pPr>
      <w:bookmarkStart w:id="7892" w:name="_Toc398884976"/>
      <w:bookmarkEnd w:id="7891"/>
      <w:r w:rsidRPr="008C5B1B">
        <w:rPr>
          <w:i/>
        </w:rPr>
        <w:t xml:space="preserve">Source: </w:t>
      </w:r>
      <w:hyperlink r:id="rId165" w:history="1">
        <w:r w:rsidRPr="008C5B1B">
          <w:rPr>
            <w:i/>
          </w:rPr>
          <w:t>http://ec.europa.eu/transport/facts-fundings/statistics/pocketbook-2013_en.htm</w:t>
        </w:r>
        <w:bookmarkEnd w:id="7892"/>
      </w:hyperlink>
    </w:p>
    <w:p w:rsidR="00660414" w:rsidRPr="000A76BD" w:rsidRDefault="00660414" w:rsidP="00A4081F">
      <w:pPr>
        <w:pStyle w:val="NumberedParas"/>
      </w:pPr>
      <w:bookmarkStart w:id="7893" w:name="_Toc398884977"/>
      <w:r w:rsidRPr="008C5B1B">
        <w:t>Figure 5.3 shows the magnitude of the network reductions experienced between 1970 and 2011 in most of the EU counties, with an average reduction of 13% across EU, including Germany (-23%), Belgium (-23%), France (-18%), UK (-17%), Poland (-26%), and Portugal (-22%)</w:t>
      </w:r>
      <w:r>
        <w:rPr>
          <w:rStyle w:val="FootnoteReference"/>
        </w:rPr>
        <w:footnoteReference w:id="25"/>
      </w:r>
      <w:r w:rsidRPr="008C5B1B">
        <w:t>. There were also substantial reductions before 1970, in countries such as Ireland (-60%), UK (-36%), Sweden (-28%) and significant also in France or Germany (around -10%). Overall it can be concluded that reductions in the range of 30% or even more of the network are quite common in Europe</w:t>
      </w:r>
      <w:r>
        <w:t xml:space="preserve"> during this 30 year period</w:t>
      </w:r>
      <w:r w:rsidRPr="008C5B1B">
        <w:t>, including in some of the richest Member States like Germany, France and UK. Compared to these, the reductions put in place in Romania by 2011 (-5% since 1990 or -2% since 1970) are insignificant.</w:t>
      </w:r>
      <w:bookmarkEnd w:id="7893"/>
    </w:p>
    <w:p w:rsidR="00660414" w:rsidRPr="000A76BD" w:rsidRDefault="00660414" w:rsidP="00660414">
      <w:pPr>
        <w:rPr>
          <w:i/>
          <w:sz w:val="22"/>
          <w:szCs w:val="22"/>
        </w:rPr>
      </w:pPr>
      <w:r w:rsidRPr="008C5B1B">
        <w:rPr>
          <w:sz w:val="22"/>
          <w:szCs w:val="22"/>
        </w:rPr>
        <w:br w:type="page"/>
      </w:r>
    </w:p>
    <w:p w:rsidR="00660414" w:rsidRPr="008C5B1B" w:rsidRDefault="00660414" w:rsidP="00660414">
      <w:pPr>
        <w:rPr>
          <w:b/>
          <w:noProof/>
          <w:lang w:eastAsia="en-GB"/>
        </w:rPr>
      </w:pPr>
      <w:r w:rsidRPr="008C5B1B">
        <w:rPr>
          <w:b/>
          <w:noProof/>
          <w:sz w:val="22"/>
          <w:szCs w:val="22"/>
          <w:lang w:val="ro-RO" w:eastAsia="ro-RO"/>
        </w:rPr>
        <w:drawing>
          <wp:inline distT="0" distB="0" distL="0" distR="0" wp14:anchorId="0BAB2647" wp14:editId="3FE82A5D">
            <wp:extent cx="4703614" cy="3625702"/>
            <wp:effectExtent l="0" t="0" r="1905"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707033" cy="3628338"/>
                    </a:xfrm>
                    <a:prstGeom prst="rect">
                      <a:avLst/>
                    </a:prstGeom>
                    <a:noFill/>
                  </pic:spPr>
                </pic:pic>
              </a:graphicData>
            </a:graphic>
          </wp:inline>
        </w:drawing>
      </w:r>
    </w:p>
    <w:p w:rsidR="00660414" w:rsidRPr="000A76BD" w:rsidRDefault="00660414" w:rsidP="00660414">
      <w:pPr>
        <w:pStyle w:val="Caption"/>
        <w:rPr>
          <w:b/>
          <w:sz w:val="22"/>
          <w:szCs w:val="22"/>
        </w:rPr>
      </w:pPr>
      <w:bookmarkStart w:id="7894" w:name="_Toc398884978"/>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 xml:space="preserve">Reduction in Network Size (1970-2011) </w:t>
      </w:r>
    </w:p>
    <w:bookmarkEnd w:id="7894"/>
    <w:p w:rsidR="00660414" w:rsidRPr="008C5B1B" w:rsidRDefault="00660414" w:rsidP="007613DE">
      <w:pPr>
        <w:rPr>
          <w:i/>
        </w:rPr>
      </w:pPr>
      <w:r w:rsidRPr="008C5B1B">
        <w:rPr>
          <w:i/>
        </w:rPr>
        <w:t>Source: Eurostats</w:t>
      </w:r>
    </w:p>
    <w:p w:rsidR="00660414" w:rsidRPr="000A76BD" w:rsidRDefault="00660414" w:rsidP="007613DE">
      <w:pPr>
        <w:pStyle w:val="Hdg3"/>
        <w:ind w:left="851"/>
      </w:pPr>
      <w:bookmarkStart w:id="7895" w:name="_Toc398884979"/>
      <w:r w:rsidRPr="008C5B1B">
        <w:t>Overall Mode Share Statistics</w:t>
      </w:r>
      <w:bookmarkEnd w:id="7895"/>
    </w:p>
    <w:p w:rsidR="00660414" w:rsidRPr="000A76BD" w:rsidRDefault="00660414" w:rsidP="00A4081F">
      <w:pPr>
        <w:pStyle w:val="NumberedParas"/>
      </w:pPr>
      <w:r w:rsidRPr="008C5B1B">
        <w:t xml:space="preserve">Table 5.1 illustrates the change in the proportion of trips by rail, road and other modes between 2004 and 2012. Data supplied by CFR Calatori indicates rail mode share has dropped from almost one-third in 2004 to about one-sixth by 2012. The percentage of trips by road has increased by over 10% over the same period, with the domestic air market accounting for the remaining trips. </w:t>
      </w:r>
    </w:p>
    <w:p w:rsidR="00660414" w:rsidRPr="000A76BD" w:rsidRDefault="00660414" w:rsidP="00660414">
      <w:pPr>
        <w:pStyle w:val="Caption"/>
        <w:rPr>
          <w:b/>
          <w:sz w:val="22"/>
          <w:szCs w:val="22"/>
        </w:rPr>
      </w:pPr>
      <w:bookmarkStart w:id="7896" w:name="_Toc398884980"/>
      <w:r w:rsidRPr="008C5B1B">
        <w:rPr>
          <w:b/>
          <w:sz w:val="22"/>
          <w:szCs w:val="22"/>
        </w:rPr>
        <w:t>Table 5.</w:t>
      </w:r>
      <w:r w:rsidRPr="008C5B1B">
        <w:rPr>
          <w:b/>
          <w:sz w:val="22"/>
          <w:szCs w:val="22"/>
        </w:rPr>
        <w:fldChar w:fldCharType="begin"/>
      </w:r>
      <w:r w:rsidRPr="008C5B1B">
        <w:rPr>
          <w:b/>
          <w:sz w:val="22"/>
          <w:szCs w:val="22"/>
        </w:rPr>
        <w:instrText xml:space="preserve"> SEQ Table \* ARABIC </w:instrText>
      </w:r>
      <w:r w:rsidRPr="008C5B1B">
        <w:rPr>
          <w:b/>
          <w:sz w:val="22"/>
          <w:szCs w:val="22"/>
        </w:rPr>
        <w:fldChar w:fldCharType="separate"/>
      </w:r>
      <w:r w:rsidR="00C168ED">
        <w:rPr>
          <w:b/>
          <w:noProof/>
          <w:sz w:val="22"/>
          <w:szCs w:val="22"/>
        </w:rPr>
        <w:t>1</w:t>
      </w:r>
      <w:r w:rsidRPr="008C5B1B">
        <w:rPr>
          <w:b/>
          <w:sz w:val="22"/>
          <w:szCs w:val="22"/>
        </w:rPr>
        <w:fldChar w:fldCharType="end"/>
      </w:r>
      <w:r w:rsidRPr="008C5B1B">
        <w:rPr>
          <w:b/>
          <w:sz w:val="22"/>
          <w:szCs w:val="22"/>
        </w:rPr>
        <w:t>: Mode Share Comparison for Rail and Road – 2004 to 2012</w:t>
      </w:r>
      <w:bookmarkEnd w:id="7896"/>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1051"/>
        <w:gridCol w:w="1051"/>
        <w:gridCol w:w="1051"/>
        <w:gridCol w:w="1051"/>
        <w:gridCol w:w="1051"/>
        <w:gridCol w:w="1051"/>
        <w:gridCol w:w="1051"/>
        <w:gridCol w:w="1050"/>
        <w:gridCol w:w="1050"/>
      </w:tblGrid>
      <w:tr w:rsidR="00660414" w:rsidRPr="000A76BD" w:rsidTr="007613DE">
        <w:tc>
          <w:tcPr>
            <w:tcW w:w="453" w:type="pct"/>
            <w:shd w:val="clear" w:color="auto" w:fill="C6D9F1"/>
          </w:tcPr>
          <w:p w:rsidR="00660414" w:rsidRPr="008C5B1B" w:rsidRDefault="00660414" w:rsidP="007613DE">
            <w:pPr>
              <w:rPr>
                <w:rFonts w:cs="Arial"/>
                <w:b/>
                <w:sz w:val="22"/>
                <w:szCs w:val="22"/>
              </w:rPr>
            </w:pP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2004</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2005</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2006</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2007</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2008</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2009</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2010</w:t>
            </w:r>
          </w:p>
        </w:tc>
        <w:tc>
          <w:tcPr>
            <w:tcW w:w="505" w:type="pct"/>
            <w:shd w:val="clear" w:color="auto" w:fill="B8CCE4" w:themeFill="accent1" w:themeFillTint="66"/>
          </w:tcPr>
          <w:p w:rsidR="00660414" w:rsidRPr="008C5B1B" w:rsidRDefault="00660414" w:rsidP="007613DE">
            <w:pPr>
              <w:rPr>
                <w:rFonts w:cs="Arial"/>
                <w:b/>
                <w:sz w:val="22"/>
                <w:szCs w:val="22"/>
              </w:rPr>
            </w:pPr>
            <w:r w:rsidRPr="008C5B1B">
              <w:rPr>
                <w:rFonts w:cs="Arial"/>
                <w:b/>
                <w:sz w:val="22"/>
                <w:szCs w:val="22"/>
              </w:rPr>
              <w:t>2011</w:t>
            </w:r>
          </w:p>
        </w:tc>
        <w:tc>
          <w:tcPr>
            <w:tcW w:w="505" w:type="pct"/>
            <w:shd w:val="clear" w:color="auto" w:fill="C6D9F1"/>
          </w:tcPr>
          <w:p w:rsidR="00660414" w:rsidRPr="008C5B1B" w:rsidRDefault="00660414" w:rsidP="007613DE">
            <w:pPr>
              <w:rPr>
                <w:rFonts w:cs="Arial"/>
                <w:b/>
                <w:sz w:val="22"/>
                <w:szCs w:val="22"/>
              </w:rPr>
            </w:pPr>
            <w:r w:rsidRPr="008C5B1B">
              <w:rPr>
                <w:rFonts w:cs="Arial"/>
                <w:b/>
                <w:sz w:val="22"/>
                <w:szCs w:val="22"/>
              </w:rPr>
              <w:t>2012</w:t>
            </w:r>
          </w:p>
        </w:tc>
      </w:tr>
      <w:tr w:rsidR="00660414" w:rsidRPr="000A76BD" w:rsidTr="007613DE">
        <w:tc>
          <w:tcPr>
            <w:tcW w:w="453" w:type="pct"/>
          </w:tcPr>
          <w:p w:rsidR="00660414" w:rsidRPr="008C5B1B" w:rsidRDefault="00660414" w:rsidP="007613DE">
            <w:pPr>
              <w:rPr>
                <w:rFonts w:cs="Arial"/>
                <w:b/>
                <w:sz w:val="22"/>
                <w:szCs w:val="22"/>
              </w:rPr>
            </w:pPr>
            <w:r w:rsidRPr="008C5B1B">
              <w:rPr>
                <w:rFonts w:cs="Arial"/>
                <w:b/>
                <w:sz w:val="22"/>
                <w:szCs w:val="22"/>
              </w:rPr>
              <w:t>Rail</w:t>
            </w:r>
          </w:p>
        </w:tc>
        <w:tc>
          <w:tcPr>
            <w:tcW w:w="505" w:type="pct"/>
          </w:tcPr>
          <w:p w:rsidR="00660414" w:rsidRPr="008C5B1B" w:rsidRDefault="00660414" w:rsidP="007613DE">
            <w:pPr>
              <w:jc w:val="right"/>
              <w:rPr>
                <w:rFonts w:cs="Arial"/>
                <w:sz w:val="22"/>
                <w:szCs w:val="22"/>
              </w:rPr>
            </w:pPr>
            <w:r w:rsidRPr="008C5B1B">
              <w:rPr>
                <w:rFonts w:cs="Arial"/>
                <w:sz w:val="22"/>
                <w:szCs w:val="22"/>
              </w:rPr>
              <w:t>31.3%</w:t>
            </w:r>
          </w:p>
        </w:tc>
        <w:tc>
          <w:tcPr>
            <w:tcW w:w="505" w:type="pct"/>
          </w:tcPr>
          <w:p w:rsidR="00660414" w:rsidRPr="008C5B1B" w:rsidRDefault="00660414" w:rsidP="007613DE">
            <w:pPr>
              <w:jc w:val="right"/>
              <w:rPr>
                <w:rFonts w:cs="Arial"/>
                <w:sz w:val="22"/>
                <w:szCs w:val="22"/>
              </w:rPr>
            </w:pPr>
            <w:r w:rsidRPr="008C5B1B">
              <w:rPr>
                <w:rFonts w:cs="Arial"/>
                <w:sz w:val="22"/>
                <w:szCs w:val="22"/>
              </w:rPr>
              <w:t>27.8%</w:t>
            </w:r>
          </w:p>
        </w:tc>
        <w:tc>
          <w:tcPr>
            <w:tcW w:w="505" w:type="pct"/>
          </w:tcPr>
          <w:p w:rsidR="00660414" w:rsidRPr="008C5B1B" w:rsidRDefault="00660414" w:rsidP="007613DE">
            <w:pPr>
              <w:jc w:val="right"/>
              <w:rPr>
                <w:rFonts w:cs="Arial"/>
                <w:sz w:val="22"/>
                <w:szCs w:val="22"/>
              </w:rPr>
            </w:pPr>
            <w:r w:rsidRPr="008C5B1B">
              <w:rPr>
                <w:rFonts w:cs="Arial"/>
                <w:sz w:val="22"/>
                <w:szCs w:val="22"/>
              </w:rPr>
              <w:t>29.1%</w:t>
            </w:r>
          </w:p>
        </w:tc>
        <w:tc>
          <w:tcPr>
            <w:tcW w:w="505" w:type="pct"/>
          </w:tcPr>
          <w:p w:rsidR="00660414" w:rsidRPr="008C5B1B" w:rsidRDefault="00660414" w:rsidP="007613DE">
            <w:pPr>
              <w:jc w:val="right"/>
              <w:rPr>
                <w:rFonts w:cs="Arial"/>
                <w:sz w:val="22"/>
                <w:szCs w:val="22"/>
              </w:rPr>
            </w:pPr>
            <w:r w:rsidRPr="008C5B1B">
              <w:rPr>
                <w:rFonts w:cs="Arial"/>
                <w:sz w:val="22"/>
                <w:szCs w:val="22"/>
              </w:rPr>
              <w:t>27.4%</w:t>
            </w:r>
          </w:p>
        </w:tc>
        <w:tc>
          <w:tcPr>
            <w:tcW w:w="505" w:type="pct"/>
          </w:tcPr>
          <w:p w:rsidR="00660414" w:rsidRPr="008C5B1B" w:rsidRDefault="00660414" w:rsidP="007613DE">
            <w:pPr>
              <w:jc w:val="right"/>
              <w:rPr>
                <w:rFonts w:cs="Arial"/>
                <w:sz w:val="22"/>
                <w:szCs w:val="22"/>
              </w:rPr>
            </w:pPr>
            <w:r w:rsidRPr="008C5B1B">
              <w:rPr>
                <w:rFonts w:cs="Arial"/>
                <w:sz w:val="22"/>
                <w:szCs w:val="22"/>
              </w:rPr>
              <w:t>20.7%</w:t>
            </w:r>
          </w:p>
        </w:tc>
        <w:tc>
          <w:tcPr>
            <w:tcW w:w="505" w:type="pct"/>
          </w:tcPr>
          <w:p w:rsidR="00660414" w:rsidRPr="008C5B1B" w:rsidRDefault="00660414" w:rsidP="007613DE">
            <w:pPr>
              <w:jc w:val="right"/>
              <w:rPr>
                <w:rFonts w:cs="Arial"/>
                <w:sz w:val="22"/>
                <w:szCs w:val="22"/>
              </w:rPr>
            </w:pPr>
            <w:r w:rsidRPr="008C5B1B">
              <w:rPr>
                <w:rFonts w:cs="Arial"/>
                <w:sz w:val="22"/>
                <w:szCs w:val="22"/>
              </w:rPr>
              <w:t>20.6%</w:t>
            </w:r>
          </w:p>
        </w:tc>
        <w:tc>
          <w:tcPr>
            <w:tcW w:w="505" w:type="pct"/>
          </w:tcPr>
          <w:p w:rsidR="00660414" w:rsidRPr="008C5B1B" w:rsidRDefault="00660414" w:rsidP="007613DE">
            <w:pPr>
              <w:jc w:val="right"/>
              <w:rPr>
                <w:rFonts w:cs="Arial"/>
                <w:sz w:val="22"/>
                <w:szCs w:val="22"/>
              </w:rPr>
            </w:pPr>
            <w:r w:rsidRPr="008C5B1B">
              <w:rPr>
                <w:rFonts w:cs="Arial"/>
                <w:sz w:val="22"/>
                <w:szCs w:val="22"/>
              </w:rPr>
              <w:t>20.1%</w:t>
            </w:r>
          </w:p>
        </w:tc>
        <w:tc>
          <w:tcPr>
            <w:tcW w:w="505" w:type="pct"/>
            <w:shd w:val="clear" w:color="auto" w:fill="B8CCE4" w:themeFill="accent1" w:themeFillTint="66"/>
          </w:tcPr>
          <w:p w:rsidR="00660414" w:rsidRPr="008C5B1B" w:rsidRDefault="00660414" w:rsidP="007613DE">
            <w:pPr>
              <w:jc w:val="right"/>
              <w:rPr>
                <w:rFonts w:cs="Arial"/>
                <w:sz w:val="22"/>
                <w:szCs w:val="22"/>
              </w:rPr>
            </w:pPr>
            <w:r w:rsidRPr="008C5B1B">
              <w:rPr>
                <w:rFonts w:cs="Arial"/>
                <w:sz w:val="22"/>
                <w:szCs w:val="22"/>
              </w:rPr>
              <w:t>19.7%</w:t>
            </w:r>
          </w:p>
        </w:tc>
        <w:tc>
          <w:tcPr>
            <w:tcW w:w="505" w:type="pct"/>
          </w:tcPr>
          <w:p w:rsidR="00660414" w:rsidRPr="008C5B1B" w:rsidRDefault="00660414" w:rsidP="007613DE">
            <w:pPr>
              <w:jc w:val="right"/>
              <w:rPr>
                <w:rFonts w:cs="Arial"/>
                <w:sz w:val="22"/>
                <w:szCs w:val="22"/>
              </w:rPr>
            </w:pPr>
            <w:r w:rsidRPr="008C5B1B">
              <w:rPr>
                <w:rFonts w:cs="Arial"/>
                <w:sz w:val="22"/>
                <w:szCs w:val="22"/>
              </w:rPr>
              <w:t>17.8%</w:t>
            </w:r>
          </w:p>
        </w:tc>
      </w:tr>
      <w:tr w:rsidR="00660414" w:rsidRPr="000A76BD" w:rsidTr="007613DE">
        <w:tc>
          <w:tcPr>
            <w:tcW w:w="453" w:type="pct"/>
          </w:tcPr>
          <w:p w:rsidR="00660414" w:rsidRPr="008C5B1B" w:rsidRDefault="00660414" w:rsidP="007613DE">
            <w:pPr>
              <w:rPr>
                <w:rFonts w:cs="Arial"/>
                <w:b/>
                <w:sz w:val="22"/>
                <w:szCs w:val="22"/>
              </w:rPr>
            </w:pPr>
            <w:r w:rsidRPr="008C5B1B">
              <w:rPr>
                <w:rFonts w:cs="Arial"/>
                <w:b/>
                <w:sz w:val="22"/>
                <w:szCs w:val="22"/>
              </w:rPr>
              <w:t>Road</w:t>
            </w:r>
          </w:p>
        </w:tc>
        <w:tc>
          <w:tcPr>
            <w:tcW w:w="505" w:type="pct"/>
          </w:tcPr>
          <w:p w:rsidR="00660414" w:rsidRPr="008C5B1B" w:rsidRDefault="00660414" w:rsidP="007613DE">
            <w:pPr>
              <w:jc w:val="right"/>
              <w:rPr>
                <w:rFonts w:cs="Arial"/>
                <w:sz w:val="22"/>
                <w:szCs w:val="22"/>
              </w:rPr>
            </w:pPr>
            <w:r w:rsidRPr="008C5B1B">
              <w:rPr>
                <w:rFonts w:cs="Arial"/>
                <w:sz w:val="22"/>
                <w:szCs w:val="22"/>
              </w:rPr>
              <w:t>68.2%</w:t>
            </w:r>
          </w:p>
        </w:tc>
        <w:tc>
          <w:tcPr>
            <w:tcW w:w="505" w:type="pct"/>
          </w:tcPr>
          <w:p w:rsidR="00660414" w:rsidRPr="008C5B1B" w:rsidRDefault="00660414" w:rsidP="007613DE">
            <w:pPr>
              <w:jc w:val="right"/>
              <w:rPr>
                <w:rFonts w:cs="Arial"/>
                <w:sz w:val="22"/>
                <w:szCs w:val="22"/>
              </w:rPr>
            </w:pPr>
            <w:r w:rsidRPr="008C5B1B">
              <w:rPr>
                <w:rFonts w:cs="Arial"/>
                <w:sz w:val="22"/>
                <w:szCs w:val="22"/>
              </w:rPr>
              <w:t>71.6%</w:t>
            </w:r>
          </w:p>
        </w:tc>
        <w:tc>
          <w:tcPr>
            <w:tcW w:w="505" w:type="pct"/>
          </w:tcPr>
          <w:p w:rsidR="00660414" w:rsidRPr="008C5B1B" w:rsidRDefault="00660414" w:rsidP="007613DE">
            <w:pPr>
              <w:jc w:val="right"/>
              <w:rPr>
                <w:rFonts w:cs="Arial"/>
                <w:sz w:val="22"/>
                <w:szCs w:val="22"/>
              </w:rPr>
            </w:pPr>
            <w:r w:rsidRPr="008C5B1B">
              <w:rPr>
                <w:rFonts w:cs="Arial"/>
                <w:sz w:val="22"/>
                <w:szCs w:val="22"/>
              </w:rPr>
              <w:t>70.2%</w:t>
            </w:r>
          </w:p>
        </w:tc>
        <w:tc>
          <w:tcPr>
            <w:tcW w:w="505" w:type="pct"/>
          </w:tcPr>
          <w:p w:rsidR="00660414" w:rsidRPr="008C5B1B" w:rsidRDefault="00660414" w:rsidP="007613DE">
            <w:pPr>
              <w:jc w:val="right"/>
              <w:rPr>
                <w:rFonts w:cs="Arial"/>
                <w:sz w:val="22"/>
                <w:szCs w:val="22"/>
              </w:rPr>
            </w:pPr>
            <w:r w:rsidRPr="008C5B1B">
              <w:rPr>
                <w:rFonts w:cs="Arial"/>
                <w:sz w:val="22"/>
                <w:szCs w:val="22"/>
              </w:rPr>
              <w:t>71.6%</w:t>
            </w:r>
          </w:p>
        </w:tc>
        <w:tc>
          <w:tcPr>
            <w:tcW w:w="505" w:type="pct"/>
          </w:tcPr>
          <w:p w:rsidR="00660414" w:rsidRPr="008C5B1B" w:rsidRDefault="00660414" w:rsidP="007613DE">
            <w:pPr>
              <w:jc w:val="right"/>
              <w:rPr>
                <w:rFonts w:cs="Arial"/>
                <w:sz w:val="22"/>
                <w:szCs w:val="22"/>
              </w:rPr>
            </w:pPr>
            <w:r w:rsidRPr="008C5B1B">
              <w:rPr>
                <w:rFonts w:cs="Arial"/>
                <w:sz w:val="22"/>
                <w:szCs w:val="22"/>
              </w:rPr>
              <w:t>78.4%</w:t>
            </w:r>
          </w:p>
        </w:tc>
        <w:tc>
          <w:tcPr>
            <w:tcW w:w="505" w:type="pct"/>
          </w:tcPr>
          <w:p w:rsidR="00660414" w:rsidRPr="008C5B1B" w:rsidRDefault="00660414" w:rsidP="007613DE">
            <w:pPr>
              <w:jc w:val="right"/>
              <w:rPr>
                <w:rFonts w:cs="Arial"/>
                <w:sz w:val="22"/>
                <w:szCs w:val="22"/>
              </w:rPr>
            </w:pPr>
            <w:r w:rsidRPr="008C5B1B">
              <w:rPr>
                <w:rFonts w:cs="Arial"/>
                <w:sz w:val="22"/>
                <w:szCs w:val="22"/>
              </w:rPr>
              <w:t>76.7%</w:t>
            </w:r>
          </w:p>
        </w:tc>
        <w:tc>
          <w:tcPr>
            <w:tcW w:w="505" w:type="pct"/>
          </w:tcPr>
          <w:p w:rsidR="00660414" w:rsidRPr="008C5B1B" w:rsidRDefault="00660414" w:rsidP="007613DE">
            <w:pPr>
              <w:jc w:val="right"/>
              <w:rPr>
                <w:rFonts w:cs="Arial"/>
                <w:sz w:val="22"/>
                <w:szCs w:val="22"/>
              </w:rPr>
            </w:pPr>
            <w:r w:rsidRPr="008C5B1B">
              <w:rPr>
                <w:rFonts w:cs="Arial"/>
                <w:sz w:val="22"/>
                <w:szCs w:val="22"/>
              </w:rPr>
              <w:t>76.7%</w:t>
            </w:r>
          </w:p>
        </w:tc>
        <w:tc>
          <w:tcPr>
            <w:tcW w:w="505" w:type="pct"/>
            <w:shd w:val="clear" w:color="auto" w:fill="B8CCE4" w:themeFill="accent1" w:themeFillTint="66"/>
          </w:tcPr>
          <w:p w:rsidR="00660414" w:rsidRPr="008C5B1B" w:rsidRDefault="00660414" w:rsidP="007613DE">
            <w:pPr>
              <w:jc w:val="right"/>
              <w:rPr>
                <w:rFonts w:cs="Arial"/>
                <w:sz w:val="22"/>
                <w:szCs w:val="22"/>
              </w:rPr>
            </w:pPr>
            <w:r w:rsidRPr="008C5B1B">
              <w:rPr>
                <w:rFonts w:cs="Arial"/>
                <w:sz w:val="22"/>
                <w:szCs w:val="22"/>
              </w:rPr>
              <w:t>76.7%</w:t>
            </w:r>
          </w:p>
        </w:tc>
        <w:tc>
          <w:tcPr>
            <w:tcW w:w="505" w:type="pct"/>
          </w:tcPr>
          <w:p w:rsidR="00660414" w:rsidRPr="008C5B1B" w:rsidRDefault="00660414" w:rsidP="007613DE">
            <w:pPr>
              <w:jc w:val="right"/>
              <w:rPr>
                <w:rFonts w:cs="Arial"/>
                <w:sz w:val="22"/>
                <w:szCs w:val="22"/>
              </w:rPr>
            </w:pPr>
            <w:r w:rsidRPr="008C5B1B">
              <w:rPr>
                <w:rFonts w:cs="Arial"/>
                <w:sz w:val="22"/>
                <w:szCs w:val="22"/>
              </w:rPr>
              <w:t>78.7%</w:t>
            </w:r>
          </w:p>
        </w:tc>
      </w:tr>
      <w:tr w:rsidR="00660414" w:rsidRPr="000A76BD" w:rsidTr="007613DE">
        <w:tc>
          <w:tcPr>
            <w:tcW w:w="453" w:type="pct"/>
          </w:tcPr>
          <w:p w:rsidR="00660414" w:rsidRPr="008C5B1B" w:rsidRDefault="00660414" w:rsidP="007613DE">
            <w:pPr>
              <w:rPr>
                <w:rFonts w:cs="Arial"/>
                <w:b/>
                <w:sz w:val="22"/>
                <w:szCs w:val="22"/>
              </w:rPr>
            </w:pPr>
            <w:r w:rsidRPr="008C5B1B">
              <w:rPr>
                <w:rFonts w:cs="Arial"/>
                <w:b/>
                <w:sz w:val="22"/>
                <w:szCs w:val="22"/>
              </w:rPr>
              <w:t>Other</w:t>
            </w:r>
          </w:p>
        </w:tc>
        <w:tc>
          <w:tcPr>
            <w:tcW w:w="505" w:type="pct"/>
          </w:tcPr>
          <w:p w:rsidR="00660414" w:rsidRPr="008C5B1B" w:rsidRDefault="00660414" w:rsidP="007613DE">
            <w:pPr>
              <w:jc w:val="right"/>
              <w:rPr>
                <w:rFonts w:cs="Arial"/>
                <w:sz w:val="22"/>
                <w:szCs w:val="22"/>
              </w:rPr>
            </w:pPr>
            <w:r w:rsidRPr="008C5B1B">
              <w:rPr>
                <w:rFonts w:cs="Arial"/>
                <w:sz w:val="22"/>
                <w:szCs w:val="22"/>
              </w:rPr>
              <w:t>0.5%</w:t>
            </w:r>
          </w:p>
        </w:tc>
        <w:tc>
          <w:tcPr>
            <w:tcW w:w="505" w:type="pct"/>
          </w:tcPr>
          <w:p w:rsidR="00660414" w:rsidRPr="008C5B1B" w:rsidRDefault="00660414" w:rsidP="007613DE">
            <w:pPr>
              <w:jc w:val="right"/>
              <w:rPr>
                <w:rFonts w:cs="Arial"/>
                <w:sz w:val="22"/>
                <w:szCs w:val="22"/>
              </w:rPr>
            </w:pPr>
            <w:r w:rsidRPr="008C5B1B">
              <w:rPr>
                <w:rFonts w:cs="Arial"/>
                <w:sz w:val="22"/>
                <w:szCs w:val="22"/>
              </w:rPr>
              <w:t>0.5%</w:t>
            </w:r>
          </w:p>
        </w:tc>
        <w:tc>
          <w:tcPr>
            <w:tcW w:w="505" w:type="pct"/>
          </w:tcPr>
          <w:p w:rsidR="00660414" w:rsidRPr="008C5B1B" w:rsidRDefault="00660414" w:rsidP="007613DE">
            <w:pPr>
              <w:jc w:val="right"/>
              <w:rPr>
                <w:rFonts w:cs="Arial"/>
                <w:sz w:val="22"/>
                <w:szCs w:val="22"/>
              </w:rPr>
            </w:pPr>
            <w:r w:rsidRPr="008C5B1B">
              <w:rPr>
                <w:rFonts w:cs="Arial"/>
                <w:sz w:val="22"/>
                <w:szCs w:val="22"/>
              </w:rPr>
              <w:t>0.7%</w:t>
            </w:r>
          </w:p>
        </w:tc>
        <w:tc>
          <w:tcPr>
            <w:tcW w:w="505" w:type="pct"/>
          </w:tcPr>
          <w:p w:rsidR="00660414" w:rsidRPr="008C5B1B" w:rsidRDefault="00660414" w:rsidP="007613DE">
            <w:pPr>
              <w:jc w:val="right"/>
              <w:rPr>
                <w:rFonts w:cs="Arial"/>
                <w:sz w:val="22"/>
                <w:szCs w:val="22"/>
              </w:rPr>
            </w:pPr>
            <w:r w:rsidRPr="008C5B1B">
              <w:rPr>
                <w:rFonts w:cs="Arial"/>
                <w:sz w:val="22"/>
                <w:szCs w:val="22"/>
              </w:rPr>
              <w:t>1.1%</w:t>
            </w:r>
          </w:p>
        </w:tc>
        <w:tc>
          <w:tcPr>
            <w:tcW w:w="505" w:type="pct"/>
          </w:tcPr>
          <w:p w:rsidR="00660414" w:rsidRPr="008C5B1B" w:rsidRDefault="00660414" w:rsidP="007613DE">
            <w:pPr>
              <w:jc w:val="right"/>
              <w:rPr>
                <w:rFonts w:cs="Arial"/>
                <w:sz w:val="22"/>
                <w:szCs w:val="22"/>
              </w:rPr>
            </w:pPr>
            <w:r w:rsidRPr="008C5B1B">
              <w:rPr>
                <w:rFonts w:cs="Arial"/>
                <w:sz w:val="22"/>
                <w:szCs w:val="22"/>
              </w:rPr>
              <w:t>1.0%</w:t>
            </w:r>
          </w:p>
        </w:tc>
        <w:tc>
          <w:tcPr>
            <w:tcW w:w="505" w:type="pct"/>
          </w:tcPr>
          <w:p w:rsidR="00660414" w:rsidRPr="008C5B1B" w:rsidRDefault="00660414" w:rsidP="007613DE">
            <w:pPr>
              <w:jc w:val="right"/>
              <w:rPr>
                <w:rFonts w:cs="Arial"/>
                <w:sz w:val="22"/>
                <w:szCs w:val="22"/>
              </w:rPr>
            </w:pPr>
            <w:r w:rsidRPr="008C5B1B">
              <w:rPr>
                <w:rFonts w:cs="Arial"/>
                <w:sz w:val="22"/>
                <w:szCs w:val="22"/>
              </w:rPr>
              <w:t>2.8%</w:t>
            </w:r>
          </w:p>
        </w:tc>
        <w:tc>
          <w:tcPr>
            <w:tcW w:w="505" w:type="pct"/>
          </w:tcPr>
          <w:p w:rsidR="00660414" w:rsidRPr="008C5B1B" w:rsidRDefault="00660414" w:rsidP="007613DE">
            <w:pPr>
              <w:jc w:val="right"/>
              <w:rPr>
                <w:rFonts w:cs="Arial"/>
                <w:sz w:val="22"/>
                <w:szCs w:val="22"/>
              </w:rPr>
            </w:pPr>
            <w:r w:rsidRPr="008C5B1B">
              <w:rPr>
                <w:rFonts w:cs="Arial"/>
                <w:sz w:val="22"/>
                <w:szCs w:val="22"/>
              </w:rPr>
              <w:t>3.2%</w:t>
            </w:r>
          </w:p>
        </w:tc>
        <w:tc>
          <w:tcPr>
            <w:tcW w:w="505" w:type="pct"/>
            <w:shd w:val="clear" w:color="auto" w:fill="B8CCE4" w:themeFill="accent1" w:themeFillTint="66"/>
          </w:tcPr>
          <w:p w:rsidR="00660414" w:rsidRPr="008C5B1B" w:rsidRDefault="00660414" w:rsidP="007613DE">
            <w:pPr>
              <w:jc w:val="right"/>
              <w:rPr>
                <w:rFonts w:cs="Arial"/>
                <w:sz w:val="22"/>
                <w:szCs w:val="22"/>
              </w:rPr>
            </w:pPr>
            <w:r w:rsidRPr="008C5B1B">
              <w:rPr>
                <w:rFonts w:cs="Arial"/>
                <w:sz w:val="22"/>
                <w:szCs w:val="22"/>
              </w:rPr>
              <w:t>3.6%</w:t>
            </w:r>
          </w:p>
        </w:tc>
        <w:tc>
          <w:tcPr>
            <w:tcW w:w="505" w:type="pct"/>
          </w:tcPr>
          <w:p w:rsidR="00660414" w:rsidRPr="008C5B1B" w:rsidRDefault="00660414" w:rsidP="007613DE">
            <w:pPr>
              <w:jc w:val="right"/>
              <w:rPr>
                <w:rFonts w:cs="Arial"/>
                <w:sz w:val="22"/>
                <w:szCs w:val="22"/>
              </w:rPr>
            </w:pPr>
            <w:r w:rsidRPr="008C5B1B">
              <w:rPr>
                <w:rFonts w:cs="Arial"/>
                <w:sz w:val="22"/>
                <w:szCs w:val="22"/>
              </w:rPr>
              <w:t>3.4%</w:t>
            </w:r>
          </w:p>
        </w:tc>
      </w:tr>
    </w:tbl>
    <w:p w:rsidR="00660414" w:rsidRPr="003446B5" w:rsidRDefault="00660414" w:rsidP="007613DE">
      <w:pPr>
        <w:rPr>
          <w:i/>
        </w:rPr>
      </w:pPr>
      <w:r w:rsidRPr="008C5B1B">
        <w:rPr>
          <w:i/>
        </w:rPr>
        <w:t>Source: CFR Calatori</w:t>
      </w:r>
    </w:p>
    <w:p w:rsidR="00660414" w:rsidRPr="000A76BD" w:rsidRDefault="00660414" w:rsidP="00A4081F">
      <w:pPr>
        <w:pStyle w:val="NumberedParas"/>
      </w:pPr>
      <w:r w:rsidRPr="008C5B1B">
        <w:t>These statistics indicate rail is capturing a good percentage of the total trips, albeit recognising the actual trip rate per person is significantly lower</w:t>
      </w:r>
      <w:r>
        <w:t xml:space="preserve"> versus other EU partners</w:t>
      </w:r>
      <w:r w:rsidRPr="008C5B1B">
        <w:t xml:space="preserve">. The comparison of passenger kilometres per person for Romania against other EU countries indicates there is significant scope to grow the market if service improvements were delivered. </w:t>
      </w:r>
    </w:p>
    <w:p w:rsidR="00660414" w:rsidRPr="000A76BD" w:rsidRDefault="00660414" w:rsidP="00A4081F">
      <w:pPr>
        <w:pStyle w:val="NumberedParas"/>
      </w:pPr>
      <w:r w:rsidRPr="008C5B1B">
        <w:t>Travel data for 2011 has been examined to identify the most prominent travel patterns. The following sectors cover a much larger geographic area compared with the individual zones in the National Model. Table 5.2 illustrates the total number of trips between the sectors, plus the intra-sector demand</w:t>
      </w:r>
    </w:p>
    <w:p w:rsidR="00660414" w:rsidRPr="000A76BD" w:rsidRDefault="00660414" w:rsidP="00A4081F">
      <w:pPr>
        <w:pStyle w:val="NumberedParas"/>
        <w:numPr>
          <w:ilvl w:val="0"/>
          <w:numId w:val="0"/>
        </w:num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3502"/>
        <w:gridCol w:w="3503"/>
      </w:tblGrid>
      <w:tr w:rsidR="00660414" w:rsidRPr="000A76BD" w:rsidTr="007613DE">
        <w:trPr>
          <w:trHeight w:val="822"/>
        </w:trPr>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Bucharest</w:t>
            </w:r>
          </w:p>
        </w:tc>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Constanta / Bacau / Iasi / Suceava</w:t>
            </w:r>
          </w:p>
        </w:tc>
        <w:tc>
          <w:tcPr>
            <w:tcW w:w="3503"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 xml:space="preserve">Galati / Focsani / Buzau </w:t>
            </w:r>
          </w:p>
        </w:tc>
      </w:tr>
      <w:tr w:rsidR="00660414" w:rsidRPr="000A76BD" w:rsidTr="007613DE">
        <w:trPr>
          <w:trHeight w:val="822"/>
        </w:trPr>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Bacau / Iasi / Suceava</w:t>
            </w:r>
          </w:p>
        </w:tc>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Brasov / Sibiu / Targu Mures</w:t>
            </w:r>
            <w:r w:rsidRPr="008C5B1B">
              <w:tab/>
            </w:r>
          </w:p>
        </w:tc>
        <w:tc>
          <w:tcPr>
            <w:tcW w:w="3503"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 xml:space="preserve">Craiova </w:t>
            </w:r>
          </w:p>
        </w:tc>
      </w:tr>
      <w:tr w:rsidR="00660414" w:rsidRPr="005E06F5" w:rsidTr="007613DE">
        <w:trPr>
          <w:trHeight w:val="822"/>
        </w:trPr>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pPr>
            <w:r w:rsidRPr="008C5B1B">
              <w:t>Timisoara / Arad</w:t>
            </w:r>
          </w:p>
        </w:tc>
        <w:tc>
          <w:tcPr>
            <w:tcW w:w="3502" w:type="dxa"/>
            <w:tcBorders>
              <w:top w:val="nil"/>
              <w:left w:val="nil"/>
              <w:bottom w:val="nil"/>
              <w:right w:val="nil"/>
            </w:tcBorders>
            <w:shd w:val="clear" w:color="auto" w:fill="auto"/>
          </w:tcPr>
          <w:p w:rsidR="00660414" w:rsidRPr="000A76BD" w:rsidRDefault="00660414" w:rsidP="00A4081F">
            <w:pPr>
              <w:pStyle w:val="NumberedParas"/>
              <w:numPr>
                <w:ilvl w:val="0"/>
                <w:numId w:val="22"/>
              </w:numPr>
              <w:rPr>
                <w:lang w:val="es-ES_tradnl"/>
              </w:rPr>
            </w:pPr>
            <w:r w:rsidRPr="008C5B1B">
              <w:rPr>
                <w:lang w:val="es-ES_tradnl"/>
              </w:rPr>
              <w:t>Oradea / Cluj Napoca / Satu Mare / Baia Mare</w:t>
            </w:r>
          </w:p>
        </w:tc>
        <w:tc>
          <w:tcPr>
            <w:tcW w:w="3503" w:type="dxa"/>
            <w:tcBorders>
              <w:top w:val="nil"/>
              <w:left w:val="nil"/>
              <w:bottom w:val="nil"/>
              <w:right w:val="nil"/>
            </w:tcBorders>
            <w:shd w:val="clear" w:color="auto" w:fill="auto"/>
          </w:tcPr>
          <w:p w:rsidR="00660414" w:rsidRPr="000A76BD" w:rsidRDefault="00660414" w:rsidP="00A4081F">
            <w:pPr>
              <w:pStyle w:val="NumberedParas"/>
              <w:numPr>
                <w:ilvl w:val="0"/>
                <w:numId w:val="0"/>
              </w:numPr>
              <w:rPr>
                <w:lang w:val="es-ES_tradnl"/>
              </w:rPr>
            </w:pPr>
          </w:p>
        </w:tc>
      </w:tr>
    </w:tbl>
    <w:p w:rsidR="00660414" w:rsidRPr="000A76BD"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w:t>
      </w:r>
      <w:r w:rsidRPr="001F5936">
        <w:rPr>
          <w:b/>
          <w:sz w:val="22"/>
          <w:szCs w:val="22"/>
        </w:rPr>
        <w:fldChar w:fldCharType="end"/>
      </w:r>
      <w:r w:rsidRPr="001F5936">
        <w:rPr>
          <w:b/>
          <w:sz w:val="22"/>
          <w:szCs w:val="22"/>
        </w:rPr>
        <w:t xml:space="preserve">: </w:t>
      </w:r>
      <w:r w:rsidRPr="008C5B1B">
        <w:rPr>
          <w:b/>
          <w:sz w:val="22"/>
          <w:szCs w:val="22"/>
        </w:rPr>
        <w:t>Summary of Daily Rail Trips – Sector to Sector Demand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946"/>
        <w:gridCol w:w="817"/>
        <w:gridCol w:w="946"/>
        <w:gridCol w:w="946"/>
        <w:gridCol w:w="946"/>
        <w:gridCol w:w="817"/>
        <w:gridCol w:w="946"/>
        <w:gridCol w:w="946"/>
        <w:gridCol w:w="939"/>
      </w:tblGrid>
      <w:tr w:rsidR="00660414" w:rsidRPr="000A76BD" w:rsidTr="007613DE">
        <w:trPr>
          <w:trHeight w:hRule="exact" w:val="351"/>
          <w:tblHeader/>
        </w:trPr>
        <w:tc>
          <w:tcPr>
            <w:tcW w:w="1075" w:type="pct"/>
            <w:shd w:val="clear" w:color="auto" w:fill="B8CCE4"/>
            <w:vAlign w:val="center"/>
          </w:tcPr>
          <w:p w:rsidR="00660414" w:rsidRPr="008C5B1B" w:rsidRDefault="00660414" w:rsidP="007613DE">
            <w:pPr>
              <w:rPr>
                <w:rFonts w:cs="Arial"/>
                <w:b/>
                <w:sz w:val="22"/>
                <w:szCs w:val="22"/>
              </w:rPr>
            </w:pPr>
            <w:r w:rsidRPr="008C5B1B">
              <w:rPr>
                <w:rFonts w:cs="Arial"/>
                <w:b/>
                <w:sz w:val="22"/>
                <w:szCs w:val="22"/>
              </w:rPr>
              <w:t>Sector</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1</w:t>
            </w:r>
          </w:p>
        </w:tc>
        <w:tc>
          <w:tcPr>
            <w:tcW w:w="389"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2</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3</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4</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5</w:t>
            </w:r>
          </w:p>
        </w:tc>
        <w:tc>
          <w:tcPr>
            <w:tcW w:w="389"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6</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7</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8</w:t>
            </w:r>
          </w:p>
        </w:tc>
        <w:tc>
          <w:tcPr>
            <w:tcW w:w="450" w:type="pct"/>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Total</w:t>
            </w:r>
          </w:p>
        </w:tc>
      </w:tr>
      <w:tr w:rsidR="00660414" w:rsidRPr="000A76BD" w:rsidTr="007613DE">
        <w:trPr>
          <w:trHeight w:hRule="exact" w:val="356"/>
        </w:trPr>
        <w:tc>
          <w:tcPr>
            <w:tcW w:w="1075" w:type="pct"/>
            <w:vAlign w:val="center"/>
          </w:tcPr>
          <w:p w:rsidR="00660414" w:rsidRPr="008C5B1B" w:rsidRDefault="00660414" w:rsidP="007613DE">
            <w:pPr>
              <w:rPr>
                <w:rFonts w:cs="Arial"/>
                <w:sz w:val="22"/>
                <w:szCs w:val="22"/>
              </w:rPr>
            </w:pPr>
            <w:r w:rsidRPr="008C5B1B">
              <w:rPr>
                <w:rFonts w:cs="Arial"/>
                <w:sz w:val="22"/>
                <w:szCs w:val="22"/>
              </w:rPr>
              <w:t>1 Bucharest</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15,562</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1,618</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2,757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2,015</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1,908</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3,370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1,178</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1,223</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29,631</w:t>
            </w:r>
          </w:p>
        </w:tc>
      </w:tr>
      <w:tr w:rsidR="00660414" w:rsidRPr="000A76BD" w:rsidTr="007613DE">
        <w:trPr>
          <w:trHeight w:hRule="exact" w:val="356"/>
        </w:trPr>
        <w:tc>
          <w:tcPr>
            <w:tcW w:w="1075" w:type="pct"/>
            <w:vAlign w:val="center"/>
          </w:tcPr>
          <w:p w:rsidR="00660414" w:rsidRPr="008C5B1B" w:rsidRDefault="00660414" w:rsidP="007613DE">
            <w:pPr>
              <w:rPr>
                <w:rFonts w:cs="Arial"/>
                <w:sz w:val="22"/>
                <w:szCs w:val="22"/>
              </w:rPr>
            </w:pPr>
            <w:r w:rsidRPr="008C5B1B">
              <w:rPr>
                <w:rFonts w:cs="Arial"/>
                <w:sz w:val="22"/>
                <w:szCs w:val="22"/>
              </w:rPr>
              <w:t>2 Constanta</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1,755</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3,900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394</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577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302</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360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597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241</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8,126</w:t>
            </w:r>
          </w:p>
        </w:tc>
      </w:tr>
      <w:tr w:rsidR="00660414" w:rsidRPr="000A76BD" w:rsidTr="007613DE">
        <w:trPr>
          <w:trHeight w:hRule="exact" w:val="483"/>
        </w:trPr>
        <w:tc>
          <w:tcPr>
            <w:tcW w:w="1075" w:type="pct"/>
            <w:vAlign w:val="center"/>
          </w:tcPr>
          <w:p w:rsidR="00660414" w:rsidRPr="008C5B1B" w:rsidRDefault="00660414" w:rsidP="007613DE">
            <w:pPr>
              <w:rPr>
                <w:rFonts w:cs="Arial"/>
                <w:sz w:val="22"/>
                <w:szCs w:val="22"/>
              </w:rPr>
            </w:pPr>
            <w:r w:rsidRPr="008C5B1B">
              <w:rPr>
                <w:rFonts w:cs="Arial"/>
                <w:sz w:val="22"/>
                <w:szCs w:val="22"/>
              </w:rPr>
              <w:t>3 Galati / Focsani / Buzau</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2,873</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376</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10,890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850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787</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357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242</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305</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16,680</w:t>
            </w:r>
          </w:p>
        </w:tc>
      </w:tr>
      <w:tr w:rsidR="00660414" w:rsidRPr="000A76BD" w:rsidTr="007613DE">
        <w:trPr>
          <w:trHeight w:hRule="exact" w:val="574"/>
        </w:trPr>
        <w:tc>
          <w:tcPr>
            <w:tcW w:w="1075" w:type="pct"/>
            <w:vAlign w:val="center"/>
          </w:tcPr>
          <w:p w:rsidR="00660414" w:rsidRPr="008C5B1B" w:rsidRDefault="00660414" w:rsidP="007613DE">
            <w:pPr>
              <w:rPr>
                <w:rFonts w:cs="Arial"/>
                <w:sz w:val="22"/>
                <w:szCs w:val="22"/>
              </w:rPr>
            </w:pPr>
            <w:r w:rsidRPr="008C5B1B">
              <w:rPr>
                <w:rFonts w:cs="Arial"/>
                <w:sz w:val="22"/>
                <w:szCs w:val="22"/>
              </w:rPr>
              <w:t>4 Bacau / Iasi / Suceava</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2,103</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570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871</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14,673</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552</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590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1,040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1,358</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21,757</w:t>
            </w:r>
          </w:p>
        </w:tc>
      </w:tr>
      <w:tr w:rsidR="00660414" w:rsidRPr="000A76BD" w:rsidTr="007613DE">
        <w:trPr>
          <w:trHeight w:hRule="exact" w:val="554"/>
        </w:trPr>
        <w:tc>
          <w:tcPr>
            <w:tcW w:w="1075" w:type="pct"/>
            <w:vAlign w:val="center"/>
          </w:tcPr>
          <w:p w:rsidR="00660414" w:rsidRPr="008C5B1B" w:rsidRDefault="00660414" w:rsidP="007613DE">
            <w:pPr>
              <w:rPr>
                <w:rFonts w:cs="Arial"/>
                <w:sz w:val="22"/>
                <w:szCs w:val="22"/>
              </w:rPr>
            </w:pPr>
            <w:r w:rsidRPr="008C5B1B">
              <w:rPr>
                <w:rFonts w:cs="Arial"/>
                <w:sz w:val="22"/>
                <w:szCs w:val="22"/>
              </w:rPr>
              <w:t>5 Brasov / Sibiu / Targu Mures</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1,944</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292</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596</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525</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17,927</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623</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1,123</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1,349</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24,379</w:t>
            </w:r>
          </w:p>
        </w:tc>
      </w:tr>
      <w:tr w:rsidR="00660414" w:rsidRPr="000A76BD" w:rsidTr="007613DE">
        <w:trPr>
          <w:trHeight w:hRule="exact" w:val="356"/>
        </w:trPr>
        <w:tc>
          <w:tcPr>
            <w:tcW w:w="1075" w:type="pct"/>
            <w:vAlign w:val="center"/>
          </w:tcPr>
          <w:p w:rsidR="00660414" w:rsidRPr="008C5B1B" w:rsidRDefault="00660414" w:rsidP="007613DE">
            <w:pPr>
              <w:rPr>
                <w:rFonts w:cs="Arial"/>
                <w:sz w:val="22"/>
                <w:szCs w:val="22"/>
              </w:rPr>
            </w:pPr>
            <w:r w:rsidRPr="008C5B1B">
              <w:rPr>
                <w:rFonts w:cs="Arial"/>
                <w:sz w:val="22"/>
                <w:szCs w:val="22"/>
              </w:rPr>
              <w:t>6 Craiova</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3,446</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364</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360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590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652</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9,805</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1,165</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357</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16,739</w:t>
            </w:r>
          </w:p>
        </w:tc>
      </w:tr>
      <w:tr w:rsidR="00660414" w:rsidRPr="000A76BD" w:rsidTr="007613DE">
        <w:trPr>
          <w:trHeight w:hRule="exact" w:val="356"/>
        </w:trPr>
        <w:tc>
          <w:tcPr>
            <w:tcW w:w="1075" w:type="pct"/>
            <w:vAlign w:val="center"/>
          </w:tcPr>
          <w:p w:rsidR="00660414" w:rsidRPr="008C5B1B" w:rsidRDefault="00660414" w:rsidP="007613DE">
            <w:pPr>
              <w:rPr>
                <w:rFonts w:cs="Arial"/>
                <w:sz w:val="22"/>
                <w:szCs w:val="22"/>
              </w:rPr>
            </w:pPr>
            <w:r w:rsidRPr="008C5B1B">
              <w:rPr>
                <w:rFonts w:cs="Arial"/>
                <w:sz w:val="22"/>
                <w:szCs w:val="22"/>
              </w:rPr>
              <w:t>7 Timisoara / Arad</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1,256</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670</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257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1,228</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1,158</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1,229</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17,873</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1,026</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24,697</w:t>
            </w:r>
          </w:p>
        </w:tc>
      </w:tr>
      <w:tr w:rsidR="00660414" w:rsidRPr="000A76BD" w:rsidTr="007613DE">
        <w:trPr>
          <w:trHeight w:hRule="exact" w:val="679"/>
        </w:trPr>
        <w:tc>
          <w:tcPr>
            <w:tcW w:w="1075" w:type="pct"/>
            <w:vAlign w:val="center"/>
          </w:tcPr>
          <w:p w:rsidR="00660414" w:rsidRPr="008C5B1B" w:rsidRDefault="00660414" w:rsidP="007613DE">
            <w:pPr>
              <w:rPr>
                <w:rFonts w:cs="Arial"/>
                <w:sz w:val="22"/>
                <w:szCs w:val="22"/>
              </w:rPr>
            </w:pPr>
            <w:r w:rsidRPr="008C5B1B">
              <w:rPr>
                <w:rFonts w:cs="Arial"/>
                <w:sz w:val="22"/>
                <w:szCs w:val="22"/>
              </w:rPr>
              <w:t>8 Oradea / Cluj / S Mare / B Mare</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1,252</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254</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307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1,492</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1,330</w:t>
            </w:r>
          </w:p>
        </w:tc>
        <w:tc>
          <w:tcPr>
            <w:tcW w:w="389" w:type="pct"/>
            <w:vAlign w:val="center"/>
          </w:tcPr>
          <w:p w:rsidR="00660414" w:rsidRPr="008C5B1B" w:rsidRDefault="00660414" w:rsidP="007613DE">
            <w:pPr>
              <w:jc w:val="center"/>
              <w:rPr>
                <w:rFonts w:cs="Arial"/>
                <w:sz w:val="22"/>
                <w:szCs w:val="22"/>
              </w:rPr>
            </w:pPr>
            <w:r w:rsidRPr="008C5B1B">
              <w:rPr>
                <w:rFonts w:cs="Arial"/>
                <w:sz w:val="22"/>
                <w:szCs w:val="22"/>
              </w:rPr>
              <w:t>357</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983</w:t>
            </w:r>
          </w:p>
        </w:tc>
        <w:tc>
          <w:tcPr>
            <w:tcW w:w="450" w:type="pct"/>
            <w:vAlign w:val="center"/>
          </w:tcPr>
          <w:p w:rsidR="00660414" w:rsidRPr="008C5B1B" w:rsidRDefault="00660414" w:rsidP="007613DE">
            <w:pPr>
              <w:jc w:val="center"/>
              <w:rPr>
                <w:rFonts w:cs="Arial"/>
                <w:sz w:val="22"/>
                <w:szCs w:val="22"/>
              </w:rPr>
            </w:pPr>
            <w:r w:rsidRPr="008C5B1B">
              <w:rPr>
                <w:rFonts w:cs="Arial"/>
                <w:sz w:val="22"/>
                <w:szCs w:val="22"/>
              </w:rPr>
              <w:t>15,787</w:t>
            </w:r>
          </w:p>
        </w:tc>
        <w:tc>
          <w:tcPr>
            <w:tcW w:w="450" w:type="pct"/>
            <w:vAlign w:val="center"/>
          </w:tcPr>
          <w:p w:rsidR="00660414" w:rsidRPr="008C5B1B" w:rsidRDefault="00660414" w:rsidP="007613DE">
            <w:pPr>
              <w:jc w:val="center"/>
              <w:rPr>
                <w:rFonts w:cs="Arial"/>
                <w:b/>
                <w:sz w:val="22"/>
                <w:szCs w:val="22"/>
              </w:rPr>
            </w:pPr>
            <w:r w:rsidRPr="008C5B1B">
              <w:rPr>
                <w:rFonts w:cs="Arial"/>
                <w:b/>
                <w:sz w:val="22"/>
                <w:szCs w:val="22"/>
              </w:rPr>
              <w:t>21,762</w:t>
            </w:r>
          </w:p>
        </w:tc>
      </w:tr>
    </w:tbl>
    <w:p w:rsidR="00660414" w:rsidRPr="00003464" w:rsidRDefault="00660414" w:rsidP="007613DE">
      <w:pPr>
        <w:rPr>
          <w:i/>
        </w:rPr>
      </w:pPr>
      <w:r w:rsidRPr="008C5B1B">
        <w:rPr>
          <w:i/>
        </w:rPr>
        <w:t>Source: AECOM analysis of National Transport Model</w:t>
      </w:r>
    </w:p>
    <w:p w:rsidR="00660414" w:rsidRPr="000A76BD" w:rsidRDefault="00660414" w:rsidP="00A4081F">
      <w:pPr>
        <w:pStyle w:val="NumberedParas"/>
      </w:pPr>
      <w:r w:rsidRPr="008C5B1B">
        <w:t>The main conclusions are:</w:t>
      </w:r>
    </w:p>
    <w:p w:rsidR="00660414" w:rsidRPr="000A76BD" w:rsidRDefault="00660414" w:rsidP="00273D5E">
      <w:pPr>
        <w:pStyle w:val="BulletLevel1"/>
      </w:pPr>
      <w:r w:rsidRPr="008C5B1B">
        <w:t xml:space="preserve">Bucharest generates the highest number of trips, with almost 30,000 journeys per day. About 36% of all rail journeys start or finish in this sector, which covers a wide area including Ploiesti. There is some evidence of longer distance travel from Bucharest, with about 3,400 trips to Craiova, 2,750 to Galati / Focsani / Buzau and 2,000 to Bacau / Iasi / Suceava and Brasov / Sibiu / Targu Mures; </w:t>
      </w:r>
    </w:p>
    <w:p w:rsidR="00660414" w:rsidRPr="000A76BD" w:rsidRDefault="00660414" w:rsidP="00273D5E">
      <w:pPr>
        <w:pStyle w:val="BulletLevel1"/>
      </w:pPr>
      <w:r w:rsidRPr="008C5B1B">
        <w:t xml:space="preserve">There are two other sectors which generate over 24,000 daily trips. In contrast to Bucharest, the Brasov / Sibiu / Targu Mures and Timisoara / Arad sectors have a much higher percentage of trips that start / finish within the same sector (about 70% in both cases). These results indicate the relatively self-contained nature of these sectors, and the extent of the local rail networks around Brasov and Timisoara. In the case of the Timisoara / Arad sector, the long distance to Bucharest is a contributory factor; </w:t>
      </w:r>
    </w:p>
    <w:p w:rsidR="00660414" w:rsidRPr="000A76BD" w:rsidRDefault="00660414" w:rsidP="00273D5E">
      <w:pPr>
        <w:pStyle w:val="BulletLevel1"/>
      </w:pPr>
      <w:r w:rsidRPr="008C5B1B">
        <w:t xml:space="preserve">Although Galati / Focsani / Buzau, Craiova, Oradea / Cluj Napoca / Satu Mare / Baia Mare generate a smaller number of daily trips compared with the other sectors described above (typically 16,500 to 22,000), there is also a relatively high percentage of internal journeys. Again, this illustrates the self-contained nature of the rail trips generated from the population catchments within these sectors. The Constanta sector generates the smallest total number of trips, with less than 8,200 per day. Less than 50% of trips have an origin and destination within this sector. The relative proximity to Bucharest and the lack of other major catchments adjacent to Constanta has contributed to this outcome. </w:t>
      </w:r>
    </w:p>
    <w:p w:rsidR="00660414" w:rsidRPr="000A76BD" w:rsidRDefault="00660414" w:rsidP="00273D5E">
      <w:pPr>
        <w:pStyle w:val="BulletLevel1"/>
      </w:pPr>
      <w:r w:rsidRPr="008C5B1B">
        <w:t>The high percentage of trips that start / finish within the same sector indicate rail is only used for longer distance journeys by a relatively small percentage of passengers. This reflects historic journey patterns which are a product of relatively slow connections between the major cities, but it also indicates that an important market for rail are inter-city journeys of between 2-4 hours duration.</w:t>
      </w:r>
    </w:p>
    <w:p w:rsidR="00660414" w:rsidRPr="000A76BD" w:rsidRDefault="00660414" w:rsidP="00A4081F">
      <w:pPr>
        <w:pStyle w:val="NumberedParas"/>
      </w:pPr>
      <w:r w:rsidRPr="008C5B1B">
        <w:t>The rail market share for some of the largest travel flows in Romania is shown below. The corridors with the highest rail flows attract rail mode shares of up to 25%, particularly if the road based alternatives are less convenient, for example, Craiova to Bucharest. Other short distance flows affected by strong competition from road based modes attract just 2% of journeys by rail, for example, Timisoara to Arad.</w:t>
      </w:r>
    </w:p>
    <w:p w:rsidR="00660414" w:rsidRPr="000A76BD" w:rsidRDefault="00660414" w:rsidP="00273D5E">
      <w:pPr>
        <w:pStyle w:val="BulletLevel1"/>
      </w:pPr>
      <w:r w:rsidRPr="008C5B1B">
        <w:t>Bucuresti to Craiova: 19% mode share;</w:t>
      </w:r>
    </w:p>
    <w:p w:rsidR="00660414" w:rsidRPr="000A76BD" w:rsidRDefault="00660414" w:rsidP="00273D5E">
      <w:pPr>
        <w:pStyle w:val="BulletLevel1"/>
      </w:pPr>
      <w:r w:rsidRPr="008C5B1B">
        <w:t>Bucuresti to Arad: 25% mode share;</w:t>
      </w:r>
    </w:p>
    <w:p w:rsidR="00660414" w:rsidRPr="000A76BD" w:rsidRDefault="00660414" w:rsidP="00273D5E">
      <w:pPr>
        <w:pStyle w:val="BulletLevel1"/>
      </w:pPr>
      <w:r w:rsidRPr="008C5B1B">
        <w:t>Bucuresti to Cluj Napoca: 10% mode share;</w:t>
      </w:r>
    </w:p>
    <w:p w:rsidR="00660414" w:rsidRPr="000A76BD" w:rsidRDefault="00660414" w:rsidP="00273D5E">
      <w:pPr>
        <w:pStyle w:val="BulletLevel1"/>
      </w:pPr>
      <w:r w:rsidRPr="008C5B1B">
        <w:t>Bucuresti to Brasov: 5% mode share;</w:t>
      </w:r>
    </w:p>
    <w:p w:rsidR="00660414" w:rsidRPr="000A76BD" w:rsidRDefault="00660414" w:rsidP="00273D5E">
      <w:pPr>
        <w:pStyle w:val="BulletLevel1"/>
      </w:pPr>
      <w:r w:rsidRPr="008C5B1B">
        <w:t>Bucuresti to Iasi: 9% mode share;</w:t>
      </w:r>
    </w:p>
    <w:p w:rsidR="00660414" w:rsidRPr="000A76BD" w:rsidRDefault="00660414" w:rsidP="00273D5E">
      <w:pPr>
        <w:pStyle w:val="BulletLevel1"/>
      </w:pPr>
      <w:r w:rsidRPr="008C5B1B">
        <w:t>Bucuresti to Galati: 9% mode share;</w:t>
      </w:r>
    </w:p>
    <w:p w:rsidR="00660414" w:rsidRPr="000A76BD" w:rsidRDefault="00660414" w:rsidP="00273D5E">
      <w:pPr>
        <w:pStyle w:val="BulletLevel1"/>
      </w:pPr>
      <w:r w:rsidRPr="008C5B1B">
        <w:t>Bucuresti to Constanta: 4% mode share;</w:t>
      </w:r>
    </w:p>
    <w:p w:rsidR="00660414" w:rsidRPr="000A76BD" w:rsidRDefault="00660414" w:rsidP="00273D5E">
      <w:pPr>
        <w:pStyle w:val="BulletLevel1"/>
      </w:pPr>
      <w:r w:rsidRPr="008C5B1B">
        <w:t>Craiova to Timisoara: 1% rail mode share</w:t>
      </w:r>
    </w:p>
    <w:p w:rsidR="00660414" w:rsidRPr="000A76BD" w:rsidRDefault="00660414" w:rsidP="00273D5E">
      <w:pPr>
        <w:pStyle w:val="BulletLevel1"/>
      </w:pPr>
      <w:r w:rsidRPr="008C5B1B">
        <w:t>Timisoara to Arad: 2% mode share;</w:t>
      </w:r>
    </w:p>
    <w:p w:rsidR="00660414" w:rsidRPr="000A76BD" w:rsidRDefault="00660414" w:rsidP="00A4081F">
      <w:pPr>
        <w:pStyle w:val="NumberedParas"/>
      </w:pPr>
      <w:r w:rsidRPr="008C5B1B">
        <w:t>The journey patterns summarised have also been presented graphically in Figure 5.4. There is some overlap with the busiest network sections in terms of the service frequencies also attracting the highest passenger numbers. The principal flows are summarised below:</w:t>
      </w:r>
    </w:p>
    <w:p w:rsidR="00660414" w:rsidRPr="000A76BD" w:rsidRDefault="00660414" w:rsidP="00273D5E">
      <w:pPr>
        <w:pStyle w:val="BulletLevel1"/>
      </w:pPr>
      <w:r w:rsidRPr="008C5B1B">
        <w:t>The approach to Bucuresti Nord attracts up to 70,000 passengers per day;</w:t>
      </w:r>
    </w:p>
    <w:p w:rsidR="00660414" w:rsidRPr="000A76BD" w:rsidRDefault="00660414" w:rsidP="00273D5E">
      <w:pPr>
        <w:pStyle w:val="BulletLevel1"/>
      </w:pPr>
      <w:r w:rsidRPr="008C5B1B">
        <w:t xml:space="preserve">Bucuresti Nord to Focsani, plus the sections to Brasov and Craiova attract over 9,000 trips per day with up to 27,500 using the busiest sections; </w:t>
      </w:r>
    </w:p>
    <w:p w:rsidR="00660414" w:rsidRPr="000A76BD" w:rsidRDefault="00660414" w:rsidP="00273D5E">
      <w:pPr>
        <w:pStyle w:val="BulletLevel1"/>
      </w:pPr>
      <w:r w:rsidRPr="008C5B1B">
        <w:t xml:space="preserve">The number of passengers using the rail network towards Timisoara, Arad, Oradea, Cluj Napoca, Iasi and Suceava exceeds 3,500 per day, although there are generally fewer trains compared with the frequencies towards Bucuresti Nord; </w:t>
      </w:r>
    </w:p>
    <w:p w:rsidR="00660414" w:rsidRPr="000A76BD" w:rsidRDefault="00660414" w:rsidP="00273D5E">
      <w:pPr>
        <w:pStyle w:val="BulletLevel1"/>
      </w:pPr>
      <w:r w:rsidRPr="008C5B1B">
        <w:t>There are numerous branch lines which attract fewer than 1,</w:t>
      </w:r>
      <w:r>
        <w:t>0</w:t>
      </w:r>
      <w:r w:rsidRPr="008C5B1B">
        <w:t xml:space="preserve">00 </w:t>
      </w:r>
      <w:r>
        <w:t xml:space="preserve">passengers </w:t>
      </w:r>
      <w:r w:rsidRPr="008C5B1B">
        <w:t>per day, although this is generally consistent with the lower service frequencies (typically less than 8 trains per day).</w:t>
      </w:r>
    </w:p>
    <w:p w:rsidR="00660414" w:rsidRDefault="00660414" w:rsidP="00660414">
      <w:pPr>
        <w:rPr>
          <w:b/>
          <w:sz w:val="22"/>
          <w:szCs w:val="22"/>
        </w:rPr>
      </w:pPr>
      <w:r w:rsidRPr="008C5B1B">
        <w:rPr>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341D680" wp14:editId="7FCEC151">
            <wp:extent cx="5676354" cy="3960000"/>
            <wp:effectExtent l="0" t="0" r="635" b="2540"/>
            <wp:docPr id="549" name="Picture 4" descr="Demand_Base_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mand_Base_scenario"/>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676354" cy="3960000"/>
                    </a:xfrm>
                    <a:prstGeom prst="rect">
                      <a:avLst/>
                    </a:prstGeom>
                    <a:noFill/>
                    <a:ln w="9525">
                      <a:noFill/>
                      <a:miter lim="800000"/>
                      <a:headEnd/>
                      <a:tailEnd/>
                    </a:ln>
                  </pic:spPr>
                </pic:pic>
              </a:graphicData>
            </a:graphic>
          </wp:inline>
        </w:drawing>
      </w:r>
    </w:p>
    <w:p w:rsidR="00660414" w:rsidRPr="000A76BD" w:rsidRDefault="00660414" w:rsidP="00660414">
      <w:pPr>
        <w:pStyle w:val="Caption"/>
        <w:rPr>
          <w:b/>
          <w:sz w:val="22"/>
          <w:szCs w:val="22"/>
        </w:rPr>
      </w:pPr>
      <w:bookmarkStart w:id="7897" w:name="_Toc398884981"/>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Summary of Daily Rail Passenger Trip Patterns (2011)</w:t>
      </w:r>
    </w:p>
    <w:p w:rsidR="00660414" w:rsidRPr="00B16B44" w:rsidRDefault="00660414" w:rsidP="007613DE">
      <w:pPr>
        <w:rPr>
          <w:i/>
        </w:rPr>
      </w:pPr>
      <w:bookmarkStart w:id="7898" w:name="_Toc398884982"/>
      <w:bookmarkEnd w:id="7897"/>
      <w:r w:rsidRPr="008C5B1B">
        <w:rPr>
          <w:i/>
        </w:rPr>
        <w:t>Source: AECOM analysis</w:t>
      </w:r>
      <w:bookmarkEnd w:id="7898"/>
    </w:p>
    <w:p w:rsidR="00660414" w:rsidRPr="000A76BD" w:rsidRDefault="00660414" w:rsidP="007613DE">
      <w:pPr>
        <w:pStyle w:val="Hdg3"/>
        <w:ind w:left="851"/>
      </w:pPr>
      <w:bookmarkStart w:id="7899" w:name="_Toc398884983"/>
      <w:r w:rsidRPr="008C5B1B">
        <w:t>Station Usage</w:t>
      </w:r>
      <w:bookmarkEnd w:id="7899"/>
    </w:p>
    <w:p w:rsidR="00660414" w:rsidRPr="000A76BD" w:rsidRDefault="00660414" w:rsidP="00A4081F">
      <w:pPr>
        <w:pStyle w:val="NumberedParas"/>
      </w:pPr>
      <w:r w:rsidRPr="008C5B1B">
        <w:t xml:space="preserve">An analysis of demand shows that approximately 23% of stations are generating 90% of railway demand, which includes 1% of stations that generate 42% of trips.  This suggests that there are a large number of stations </w:t>
      </w:r>
      <w:r>
        <w:t xml:space="preserve">that only generate a </w:t>
      </w:r>
      <w:r w:rsidRPr="008C5B1B">
        <w:t>negligible demand</w:t>
      </w:r>
      <w:r>
        <w:t>. N</w:t>
      </w:r>
      <w:r w:rsidRPr="008C5B1B">
        <w:t>evertheless</w:t>
      </w:r>
      <w:r>
        <w:t>, these stations</w:t>
      </w:r>
      <w:r w:rsidRPr="008C5B1B">
        <w:t xml:space="preserve"> continue to be served, albeit with relatively low frequencies. For example, nearly 1,000 stations in Romania generate fewer than 50 trips per day, </w:t>
      </w:r>
      <w:r>
        <w:t xml:space="preserve">with some stations getting no service. </w:t>
      </w:r>
      <w:r w:rsidRPr="008C5B1B">
        <w:t xml:space="preserve">This has implications on the cost required to operate services, given the limited revenue </w:t>
      </w:r>
      <w:r>
        <w:t xml:space="preserve">from </w:t>
      </w:r>
      <w:r w:rsidRPr="008C5B1B">
        <w:t xml:space="preserve">these stations; </w:t>
      </w:r>
    </w:p>
    <w:p w:rsidR="00660414" w:rsidRPr="000A76BD" w:rsidRDefault="00660414" w:rsidP="00660414">
      <w:pPr>
        <w:pStyle w:val="Caption"/>
        <w:rPr>
          <w:b/>
          <w:sz w:val="22"/>
          <w:szCs w:val="22"/>
        </w:rPr>
      </w:pPr>
      <w:bookmarkStart w:id="7900" w:name="_Toc398884984"/>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w:t>
      </w:r>
      <w:r w:rsidRPr="001F5936">
        <w:rPr>
          <w:b/>
          <w:sz w:val="22"/>
          <w:szCs w:val="22"/>
        </w:rPr>
        <w:fldChar w:fldCharType="end"/>
      </w:r>
      <w:r w:rsidRPr="001F5936">
        <w:rPr>
          <w:b/>
          <w:sz w:val="22"/>
          <w:szCs w:val="22"/>
        </w:rPr>
        <w:t xml:space="preserve">: </w:t>
      </w:r>
      <w:r w:rsidRPr="008C5B1B">
        <w:rPr>
          <w:b/>
          <w:sz w:val="22"/>
          <w:szCs w:val="22"/>
        </w:rPr>
        <w:t>Station Boarding Patterns</w:t>
      </w:r>
      <w:bookmarkEnd w:id="7900"/>
    </w:p>
    <w:tbl>
      <w:tblPr>
        <w:tblW w:w="6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2552"/>
      </w:tblGrid>
      <w:tr w:rsidR="00660414" w:rsidRPr="000A76BD" w:rsidTr="007613DE">
        <w:tc>
          <w:tcPr>
            <w:tcW w:w="4400" w:type="dxa"/>
            <w:shd w:val="clear" w:color="auto" w:fill="C6D9F1"/>
            <w:vAlign w:val="center"/>
          </w:tcPr>
          <w:p w:rsidR="00660414" w:rsidRPr="008C5B1B" w:rsidRDefault="00660414" w:rsidP="007613DE">
            <w:pPr>
              <w:rPr>
                <w:rFonts w:cs="Arial"/>
                <w:b/>
                <w:sz w:val="22"/>
                <w:szCs w:val="22"/>
              </w:rPr>
            </w:pPr>
            <w:r w:rsidRPr="008C5B1B">
              <w:rPr>
                <w:rFonts w:cs="Arial"/>
                <w:b/>
                <w:sz w:val="22"/>
                <w:szCs w:val="22"/>
              </w:rPr>
              <w:t>Number of Daily Boardings</w:t>
            </w:r>
          </w:p>
        </w:tc>
        <w:tc>
          <w:tcPr>
            <w:tcW w:w="2552" w:type="dxa"/>
            <w:shd w:val="clear" w:color="auto" w:fill="C6D9F1"/>
            <w:vAlign w:val="center"/>
          </w:tcPr>
          <w:p w:rsidR="00660414" w:rsidRPr="008C5B1B" w:rsidRDefault="00660414" w:rsidP="007613DE">
            <w:pPr>
              <w:rPr>
                <w:rFonts w:cs="Arial"/>
                <w:b/>
                <w:sz w:val="22"/>
                <w:szCs w:val="22"/>
              </w:rPr>
            </w:pPr>
            <w:r w:rsidRPr="008C5B1B">
              <w:rPr>
                <w:rFonts w:cs="Arial"/>
                <w:b/>
                <w:sz w:val="22"/>
                <w:szCs w:val="22"/>
              </w:rPr>
              <w:t>Number of stations</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&gt;1,000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42</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500-1,000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42</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251-500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71</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101-250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188</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51-100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175</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11-50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435</w:t>
            </w:r>
          </w:p>
        </w:tc>
      </w:tr>
      <w:tr w:rsidR="00660414" w:rsidRPr="000A76BD" w:rsidTr="007613DE">
        <w:trPr>
          <w:trHeight w:hRule="exact" w:val="340"/>
        </w:trPr>
        <w:tc>
          <w:tcPr>
            <w:tcW w:w="4400" w:type="dxa"/>
            <w:vAlign w:val="center"/>
          </w:tcPr>
          <w:p w:rsidR="00660414" w:rsidRPr="008C5B1B" w:rsidRDefault="00660414" w:rsidP="007613DE">
            <w:pPr>
              <w:rPr>
                <w:rFonts w:cs="Arial"/>
                <w:sz w:val="22"/>
                <w:szCs w:val="22"/>
              </w:rPr>
            </w:pPr>
            <w:r w:rsidRPr="008C5B1B">
              <w:rPr>
                <w:rFonts w:cs="Arial"/>
                <w:sz w:val="22"/>
                <w:szCs w:val="22"/>
              </w:rPr>
              <w:t>&lt;10 boardings</w:t>
            </w:r>
          </w:p>
        </w:tc>
        <w:tc>
          <w:tcPr>
            <w:tcW w:w="2552" w:type="dxa"/>
            <w:vAlign w:val="center"/>
          </w:tcPr>
          <w:p w:rsidR="00660414" w:rsidRPr="008C5B1B" w:rsidRDefault="00660414" w:rsidP="007613DE">
            <w:pPr>
              <w:rPr>
                <w:rFonts w:cs="Arial"/>
                <w:sz w:val="22"/>
                <w:szCs w:val="22"/>
              </w:rPr>
            </w:pPr>
            <w:r w:rsidRPr="008C5B1B">
              <w:rPr>
                <w:rFonts w:cs="Arial"/>
                <w:sz w:val="22"/>
                <w:szCs w:val="22"/>
              </w:rPr>
              <w:t>535</w:t>
            </w:r>
          </w:p>
        </w:tc>
      </w:tr>
    </w:tbl>
    <w:p w:rsidR="00660414" w:rsidRDefault="00660414" w:rsidP="007613DE">
      <w:pPr>
        <w:rPr>
          <w:i/>
        </w:rPr>
      </w:pPr>
      <w:r w:rsidRPr="008C5B1B">
        <w:rPr>
          <w:i/>
        </w:rPr>
        <w:t>Source: AECOM analysis of CFR Calatori data</w:t>
      </w:r>
    </w:p>
    <w:p w:rsidR="00660414" w:rsidRPr="00506DF9" w:rsidRDefault="00660414" w:rsidP="00660414">
      <w:pPr>
        <w:outlineLvl w:val="0"/>
        <w:rPr>
          <w:i/>
        </w:rPr>
      </w:pPr>
    </w:p>
    <w:p w:rsidR="00660414" w:rsidRPr="000A76BD" w:rsidRDefault="00660414" w:rsidP="00273D5E">
      <w:pPr>
        <w:pStyle w:val="BulletLevel1"/>
      </w:pPr>
      <w:r w:rsidRPr="008C5B1B">
        <w:t>A review of the detailed station loading data from other countries indicates the following trends:Romania: 1% of stations generate 42% of demand, with 23% of stations generating 90%;</w:t>
      </w:r>
    </w:p>
    <w:p w:rsidR="00660414" w:rsidRPr="000A76BD" w:rsidRDefault="00660414" w:rsidP="00273D5E">
      <w:pPr>
        <w:pStyle w:val="BulletLevel1"/>
      </w:pPr>
      <w:r w:rsidRPr="008C5B1B">
        <w:t>England: 1% of stations generate 35% of demand, with 33% of stations generating 90%;</w:t>
      </w:r>
    </w:p>
    <w:p w:rsidR="00660414" w:rsidRPr="000A76BD" w:rsidRDefault="00660414" w:rsidP="00273D5E">
      <w:pPr>
        <w:pStyle w:val="BulletLevel1"/>
      </w:pPr>
      <w:r w:rsidRPr="008C5B1B">
        <w:t>Scotland: 1% of stations generate 44% of demand, with 37% of stations generating 90%;</w:t>
      </w:r>
    </w:p>
    <w:p w:rsidR="00660414" w:rsidRPr="000A76BD" w:rsidRDefault="00660414" w:rsidP="00273D5E">
      <w:pPr>
        <w:pStyle w:val="BulletLevel1"/>
      </w:pPr>
      <w:r w:rsidRPr="008C5B1B">
        <w:t>Wales: 1% of stations generate 35% of demand, with 31% of stations generating 90%.</w:t>
      </w:r>
    </w:p>
    <w:p w:rsidR="00660414" w:rsidRDefault="00660414" w:rsidP="00A4081F">
      <w:pPr>
        <w:pStyle w:val="NumberedParas"/>
      </w:pPr>
      <w:r w:rsidRPr="008C5B1B">
        <w:t>This comparison highlights there is a higher percentage of stations which only generate 10% of demand versus England, Scotland or Wales. These results indicate there are a much larger percentage of stations in Romania that generate very limited demand compared with the UK examples. Figure 5.5 illustrates the cumulative distribution.</w:t>
      </w:r>
    </w:p>
    <w:p w:rsidR="00660414" w:rsidRPr="008C5B1B" w:rsidRDefault="00660414" w:rsidP="00660414">
      <w:pPr>
        <w:rPr>
          <w:b/>
          <w:noProof/>
          <w:sz w:val="22"/>
          <w:szCs w:val="22"/>
          <w:lang w:eastAsia="en-GB"/>
        </w:rPr>
      </w:pPr>
      <w:r>
        <w:rPr>
          <w:b/>
          <w:noProof/>
          <w:sz w:val="22"/>
          <w:szCs w:val="22"/>
          <w:lang w:val="ro-RO" w:eastAsia="ro-RO"/>
        </w:rPr>
        <w:drawing>
          <wp:inline distT="0" distB="0" distL="0" distR="0" wp14:anchorId="2C78A939" wp14:editId="2C00C07B">
            <wp:extent cx="6057054" cy="3960000"/>
            <wp:effectExtent l="0" t="0" r="1270" b="254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57054" cy="3960000"/>
                    </a:xfrm>
                    <a:prstGeom prst="rect">
                      <a:avLst/>
                    </a:prstGeom>
                    <a:noFill/>
                  </pic:spPr>
                </pic:pic>
              </a:graphicData>
            </a:graphic>
          </wp:inline>
        </w:drawing>
      </w:r>
    </w:p>
    <w:p w:rsidR="00660414" w:rsidRPr="008C7A83"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5</w:t>
      </w:r>
      <w:r w:rsidRPr="008C7A83">
        <w:rPr>
          <w:b/>
          <w:sz w:val="22"/>
          <w:szCs w:val="22"/>
        </w:rPr>
        <w:fldChar w:fldCharType="end"/>
      </w:r>
      <w:r w:rsidRPr="008C7A83">
        <w:rPr>
          <w:b/>
          <w:sz w:val="22"/>
          <w:szCs w:val="22"/>
        </w:rPr>
        <w:t>: Cumulative Distribution of Passenger Numbers using Stations</w:t>
      </w:r>
    </w:p>
    <w:p w:rsidR="00660414" w:rsidRPr="00003464" w:rsidRDefault="00660414" w:rsidP="007613DE">
      <w:pPr>
        <w:rPr>
          <w:i/>
        </w:rPr>
      </w:pPr>
      <w:bookmarkStart w:id="7901" w:name="_Toc398884986"/>
      <w:r w:rsidRPr="008C5B1B">
        <w:rPr>
          <w:i/>
        </w:rPr>
        <w:t>Source: AECOM analysis of data from the Romanian National Transport Model</w:t>
      </w:r>
      <w:bookmarkEnd w:id="7901"/>
    </w:p>
    <w:p w:rsidR="00660414" w:rsidRPr="000A76BD" w:rsidRDefault="00660414" w:rsidP="007613DE">
      <w:pPr>
        <w:pStyle w:val="Hdg3"/>
        <w:ind w:left="851"/>
      </w:pPr>
      <w:bookmarkStart w:id="7902" w:name="_Toc398884987"/>
      <w:r w:rsidRPr="008C5B1B">
        <w:t>Ticketless Travel</w:t>
      </w:r>
      <w:bookmarkEnd w:id="7902"/>
    </w:p>
    <w:p w:rsidR="00660414" w:rsidRPr="000A76BD" w:rsidRDefault="00660414" w:rsidP="00A4081F">
      <w:pPr>
        <w:pStyle w:val="NumberedParas"/>
      </w:pPr>
      <w:r w:rsidRPr="008C5B1B">
        <w:t xml:space="preserve">There is a range of evidence which illustrates the level of ticketless travel. For example, CFR Calatori has previously estimated that the percentage of passengers travelling without tickets is about 5% which would be comparable to some other European railways. However, there is alternative evidence which suggests that ticketless travel is significantly higher, with almost one-third of passengers travelling without a ticket. Anecdotal evidence suggests that the proportion </w:t>
      </w:r>
      <w:r>
        <w:t>travelling without a ticket may be</w:t>
      </w:r>
      <w:r w:rsidRPr="008C5B1B">
        <w:t xml:space="preserve"> closer to the higher estimate. In any event, measures which seek to minimise the proportion of ticketless travel should form the basis of future proposals since the incremental revenue will help to strengthen the financial case for investment. The estimated revenue loss is about €50m per annum. Lines operated by CFR Calatori generally have the highest levels of fare evasion which reflects the </w:t>
      </w:r>
      <w:r>
        <w:t xml:space="preserve">most onerous </w:t>
      </w:r>
      <w:r w:rsidRPr="008C5B1B">
        <w:t xml:space="preserve">revenue </w:t>
      </w:r>
      <w:r>
        <w:t xml:space="preserve">protection measures now enforced by private operators. </w:t>
      </w:r>
    </w:p>
    <w:p w:rsidR="00660414" w:rsidRPr="000A76BD" w:rsidRDefault="00660414" w:rsidP="007613DE">
      <w:pPr>
        <w:pStyle w:val="Hdg3"/>
        <w:ind w:left="851"/>
      </w:pPr>
      <w:bookmarkStart w:id="7903" w:name="_Toc398884988"/>
      <w:r w:rsidRPr="008C5B1B">
        <w:t>Ticket Prices</w:t>
      </w:r>
      <w:bookmarkEnd w:id="7903"/>
    </w:p>
    <w:p w:rsidR="00660414" w:rsidRPr="008C5B1B" w:rsidRDefault="00660414" w:rsidP="00A4081F">
      <w:pPr>
        <w:pStyle w:val="NumberedParas"/>
        <w:rPr>
          <w:rFonts w:cs="Arial"/>
          <w:b/>
        </w:rPr>
      </w:pPr>
      <w:bookmarkStart w:id="7904" w:name="_Toc398884989"/>
      <w:r w:rsidRPr="008C5B1B">
        <w:t xml:space="preserve">A benchmarking exercise indicates that Romanian rail fares are relatively high compared with other </w:t>
      </w:r>
      <w:r>
        <w:t xml:space="preserve">European </w:t>
      </w:r>
      <w:r w:rsidRPr="008C5B1B">
        <w:t>countries when they are normalised to take account of comparative spending power</w:t>
      </w:r>
      <w:r>
        <w:t xml:space="preserve">. </w:t>
      </w:r>
      <w:r w:rsidRPr="008C5B1B">
        <w:t>This constraint is particularly relevant for advance purchase tickets. The high fares restrict the opportunities to attract new passengers and reduces the net economic benefit of the railway system, as shown in Figure 5.6.</w:t>
      </w:r>
      <w:bookmarkEnd w:id="7904"/>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3E5012E" wp14:editId="736B1B06">
            <wp:extent cx="5650230" cy="3580130"/>
            <wp:effectExtent l="19050" t="0" r="7620" b="0"/>
            <wp:docPr id="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650230" cy="358013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05" w:name="_Toc398884991"/>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6</w:t>
      </w:r>
      <w:r w:rsidRPr="008C7A83">
        <w:rPr>
          <w:b/>
          <w:sz w:val="22"/>
          <w:szCs w:val="22"/>
        </w:rPr>
        <w:fldChar w:fldCharType="end"/>
      </w:r>
      <w:r w:rsidRPr="008C7A83">
        <w:rPr>
          <w:b/>
          <w:sz w:val="22"/>
          <w:szCs w:val="22"/>
        </w:rPr>
        <w:t>: Comparison of Romanian Fares with Selected EU Examples (Cost € per 100km trip)</w:t>
      </w:r>
    </w:p>
    <w:bookmarkEnd w:id="7905"/>
    <w:p w:rsidR="00660414" w:rsidRPr="00194A40" w:rsidRDefault="00660414" w:rsidP="007613DE">
      <w:pPr>
        <w:rPr>
          <w:i/>
        </w:rPr>
      </w:pPr>
      <w:r w:rsidRPr="008C5B1B">
        <w:rPr>
          <w:i/>
        </w:rPr>
        <w:t>Source: AECOM analysis of a selection of fares per 100 km of journey. Fares are adjusted to take account of differences in GDP</w:t>
      </w:r>
    </w:p>
    <w:p w:rsidR="00660414" w:rsidRPr="000A76BD" w:rsidRDefault="00660414" w:rsidP="007613DE">
      <w:pPr>
        <w:pStyle w:val="Hdg3"/>
        <w:ind w:left="851"/>
      </w:pPr>
      <w:bookmarkStart w:id="7906" w:name="_Toc398884992"/>
      <w:r w:rsidRPr="008C5B1B">
        <w:t>Freight Usage</w:t>
      </w:r>
      <w:bookmarkEnd w:id="7906"/>
    </w:p>
    <w:p w:rsidR="00660414" w:rsidRDefault="00660414" w:rsidP="00A4081F">
      <w:pPr>
        <w:pStyle w:val="NumberedParas"/>
      </w:pPr>
      <w:r w:rsidRPr="008C5B1B">
        <w:t xml:space="preserve">Romania is relatively large and hence is suited to rail. Although it is not universally the case, goods that have to be transported large distances can be </w:t>
      </w:r>
      <w:r>
        <w:t xml:space="preserve">moved </w:t>
      </w:r>
      <w:r w:rsidRPr="008C5B1B">
        <w:t>more economically by rail due to the better economies of scale that rail offers over road. However, Romania’s rail freight sector is in a long term decline</w:t>
      </w:r>
      <w:r>
        <w:t xml:space="preserve"> which is due in part to established industries such as steel-making being affected by lower level of output. </w:t>
      </w:r>
      <w:r w:rsidRPr="008C5B1B">
        <w:t>Rail still achieved an 18% market share in 2012 which represented a 1% fall from 2011</w:t>
      </w:r>
      <w:r>
        <w:t>. However rail freight is expected to continue losing market share unless it becomes involved in newer, more dynamic industrial sectors. Rail freight’s three largest commodity flows in 2011 were solid mineral fuels, petroleum products and metal products – which are all linked to more traditional industriesas shown in Figure 5.7. Furthermore, road has established itself as a strong competitor to rail, offering cheaper prices alongside faster and more reliable journey times.</w:t>
      </w:r>
    </w:p>
    <w:p w:rsidR="00660414" w:rsidRDefault="00660414" w:rsidP="00660414">
      <w:pPr>
        <w:spacing w:before="120" w:after="120" w:line="276" w:lineRule="auto"/>
      </w:pPr>
      <w:r>
        <w:br w:type="page"/>
      </w:r>
    </w:p>
    <w:p w:rsidR="00660414" w:rsidRPr="000A76BD" w:rsidRDefault="00660414" w:rsidP="00F17B06">
      <w:pPr>
        <w:spacing w:before="120" w:after="120" w:line="276" w:lineRule="auto"/>
        <w:ind w:left="567"/>
        <w:rPr>
          <w:b/>
          <w:sz w:val="22"/>
          <w:szCs w:val="22"/>
        </w:rPr>
      </w:pPr>
      <w:r w:rsidRPr="00194A40">
        <w:rPr>
          <w:noProof/>
          <w:lang w:val="ro-RO" w:eastAsia="ro-RO"/>
        </w:rPr>
        <w:drawing>
          <wp:inline distT="0" distB="0" distL="0" distR="0" wp14:anchorId="6EF8A2CC" wp14:editId="538A626C">
            <wp:extent cx="4040505" cy="208407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040505" cy="2084070"/>
                    </a:xfrm>
                    <a:prstGeom prst="rect">
                      <a:avLst/>
                    </a:prstGeom>
                    <a:noFill/>
                    <a:ln>
                      <a:noFill/>
                    </a:ln>
                  </pic:spPr>
                </pic:pic>
              </a:graphicData>
            </a:graphic>
          </wp:inline>
        </w:drawing>
      </w:r>
    </w:p>
    <w:p w:rsidR="00660414" w:rsidRPr="000A76BD" w:rsidRDefault="00660414" w:rsidP="00660414">
      <w:pPr>
        <w:pStyle w:val="Caption"/>
        <w:rPr>
          <w:b/>
          <w:sz w:val="22"/>
          <w:szCs w:val="22"/>
        </w:rPr>
      </w:pPr>
      <w:bookmarkStart w:id="7907" w:name="_Toc398884993"/>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 xml:space="preserve">Freight Market Share </w:t>
      </w:r>
      <w:r>
        <w:rPr>
          <w:b/>
          <w:sz w:val="22"/>
          <w:szCs w:val="22"/>
        </w:rPr>
        <w:t>in Romania (2012)</w:t>
      </w:r>
    </w:p>
    <w:bookmarkEnd w:id="7907"/>
    <w:p w:rsidR="00660414" w:rsidRDefault="00660414" w:rsidP="00660414">
      <w:pPr>
        <w:rPr>
          <w:i/>
        </w:rPr>
      </w:pPr>
      <w:r w:rsidRPr="008C5B1B">
        <w:rPr>
          <w:i/>
        </w:rPr>
        <w:t xml:space="preserve">Source:  </w:t>
      </w:r>
      <w:hyperlink r:id="rId171" w:history="1">
        <w:r w:rsidRPr="008C5B1B">
          <w:rPr>
            <w:i/>
          </w:rPr>
          <w:t>http://www.insse.ro/cms/files/publicatii/Romania%20in%20cifre%202013_ro.pdf</w:t>
        </w:r>
      </w:hyperlink>
    </w:p>
    <w:p w:rsidR="00660414" w:rsidRDefault="00660414" w:rsidP="00A4081F">
      <w:pPr>
        <w:pStyle w:val="NumberedParas"/>
      </w:pPr>
      <w:r>
        <w:t xml:space="preserve">Rail’s current top three commodity groups are Solid Mineral Fuels, Petroleum Products and Metal Products (see Figure 8.19). </w:t>
      </w:r>
    </w:p>
    <w:p w:rsidR="00660414" w:rsidRDefault="00660414" w:rsidP="00660414">
      <w:pPr>
        <w:rPr>
          <w:b/>
          <w:noProof/>
          <w:lang w:eastAsia="en-GB"/>
        </w:rPr>
      </w:pPr>
      <w:r w:rsidRPr="008C5B1B">
        <w:rPr>
          <w:b/>
          <w:noProof/>
          <w:sz w:val="22"/>
          <w:szCs w:val="22"/>
          <w:lang w:val="ro-RO" w:eastAsia="ro-RO"/>
        </w:rPr>
        <w:drawing>
          <wp:inline distT="0" distB="0" distL="0" distR="0" wp14:anchorId="7EEE9BE0" wp14:editId="22DEEDFE">
            <wp:extent cx="6515100" cy="3486150"/>
            <wp:effectExtent l="0" t="0" r="19050" b="19050"/>
            <wp:docPr id="42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660414" w:rsidRDefault="00660414" w:rsidP="00660414">
      <w:pPr>
        <w:pStyle w:val="Caption"/>
        <w:rPr>
          <w:b/>
          <w:sz w:val="22"/>
          <w:szCs w:val="22"/>
        </w:rPr>
      </w:pPr>
      <w:r w:rsidRPr="00B37875">
        <w:rPr>
          <w:b/>
          <w:sz w:val="22"/>
          <w:szCs w:val="22"/>
        </w:rPr>
        <w:t>Figure 5.</w:t>
      </w:r>
      <w:r w:rsidRPr="008C7A83">
        <w:rPr>
          <w:b/>
          <w:sz w:val="22"/>
          <w:szCs w:val="22"/>
        </w:rPr>
        <w:fldChar w:fldCharType="begin"/>
      </w:r>
      <w:r w:rsidRPr="00B37875">
        <w:rPr>
          <w:b/>
          <w:sz w:val="22"/>
          <w:szCs w:val="22"/>
        </w:rPr>
        <w:instrText xml:space="preserve"> SEQ Figure \* ARABIC </w:instrText>
      </w:r>
      <w:r w:rsidRPr="008C7A83">
        <w:rPr>
          <w:b/>
          <w:sz w:val="22"/>
          <w:szCs w:val="22"/>
        </w:rPr>
        <w:fldChar w:fldCharType="separate"/>
      </w:r>
      <w:r w:rsidR="00C168ED">
        <w:rPr>
          <w:b/>
          <w:noProof/>
          <w:sz w:val="22"/>
          <w:szCs w:val="22"/>
        </w:rPr>
        <w:t>8</w:t>
      </w:r>
      <w:r w:rsidRPr="008C7A83">
        <w:rPr>
          <w:b/>
          <w:sz w:val="22"/>
          <w:szCs w:val="22"/>
        </w:rPr>
        <w:fldChar w:fldCharType="end"/>
      </w:r>
      <w:r w:rsidRPr="00B37875">
        <w:rPr>
          <w:b/>
          <w:sz w:val="22"/>
          <w:szCs w:val="22"/>
        </w:rPr>
        <w:t>: Daily Commodity Flows (Tonnes) by Type and Mode Share</w:t>
      </w:r>
    </w:p>
    <w:p w:rsidR="00660414" w:rsidRDefault="00660414" w:rsidP="00660414">
      <w:pPr>
        <w:rPr>
          <w:i/>
        </w:rPr>
      </w:pPr>
      <w:r w:rsidRPr="00F9076E">
        <w:rPr>
          <w:i/>
        </w:rPr>
        <w:t xml:space="preserve">Source:  </w:t>
      </w:r>
      <w:hyperlink r:id="rId173" w:history="1">
        <w:r w:rsidRPr="00F9076E">
          <w:rPr>
            <w:i/>
          </w:rPr>
          <w:t>http://www.insse.ro/cms/files/publicatii/Romania%20in%20cifre%202013_ro.pdf</w:t>
        </w:r>
      </w:hyperlink>
    </w:p>
    <w:p w:rsidR="00660414" w:rsidRPr="000A76BD" w:rsidRDefault="00660414" w:rsidP="00A4081F">
      <w:pPr>
        <w:pStyle w:val="NumberedParas"/>
      </w:pPr>
      <w:r>
        <w:t xml:space="preserve">The movement of traditional bulk commodities is not as time sensitive as consumer goods, food and automotive products. Consequently, having low average speeds on the railway may not have been an issue to customers. Aside from ensuring traditional bulk customers are well looked after it is important to learn the lessons from countries where rail freight is growing, such as Germany, Italy and the UK and selectively apply these to Romania. This includes the shipment of manufactured, consumer and retail goods, often transported in intermodal units such as containers, and these commodities require trains to arrive on time and offer competitive journey times and costs with road freight. Between these two extremes are a range of products where improvements in the rail freight offer could increase the percentage of traffic moved by rail in Romania. These have been identified through comparison with other rail freight markets. In sectors such as Metal Products and Fertilisers, there is scope for rail to exploit its current good position to further enhance its modal share through targeted investment leading to improved journey time reliability and reduced costs for the key corridors where these commodities are moved. </w:t>
      </w:r>
    </w:p>
    <w:p w:rsidR="00660414" w:rsidRDefault="00660414" w:rsidP="00A4081F">
      <w:pPr>
        <w:pStyle w:val="NumberedParas"/>
      </w:pPr>
      <w:r w:rsidRPr="008C5B1B">
        <w:t>With about 28% of goods moved by rail, Romania is ranked 6</w:t>
      </w:r>
      <w:r>
        <w:rPr>
          <w:vertAlign w:val="superscript"/>
        </w:rPr>
        <w:t>th</w:t>
      </w:r>
      <w:r w:rsidRPr="008C5B1B">
        <w:t xml:space="preserve"> compared with other countries. This proportion was about 10% higher compared with the EU27 average of 18.4% (2011 data was the most recent year for a full countrywide comparison available on Eurostat at the time of writing). This proportion could reduce if roads are improved, hauliers become more efficient or if the rail industry is not modernised. Data for Romania in 2012 showed a significant downward trend in market share </w:t>
      </w:r>
      <w:r>
        <w:t>of</w:t>
      </w:r>
      <w:r w:rsidRPr="008C5B1B">
        <w:t xml:space="preserve"> tonne kilometres from 28% to 21% by 2011. The decline of the traditional heavy industries has also contributed to the contraction of the rail freight market including a decline from 72m tonnes in 2008 to 56m tonnes in 2012. This reduction in core business reduces the revenue to the railway network, and has not been replaced by demand from newer </w:t>
      </w:r>
      <w:r>
        <w:t xml:space="preserve">emerging </w:t>
      </w:r>
      <w:r w:rsidRPr="008C5B1B">
        <w:t>markets. Figure 5.</w:t>
      </w:r>
      <w:r>
        <w:t>9</w:t>
      </w:r>
      <w:r w:rsidRPr="008C5B1B">
        <w:t xml:space="preserve"> demonstrates that the volume of goods transported by rail has decreased since 2006, with the market share held by CFR Marfa declining from 75% to 60%. This trend has continued and the state operator had just 50% of the market in 2012. </w:t>
      </w:r>
    </w:p>
    <w:p w:rsidR="00660414" w:rsidRPr="008C5B1B" w:rsidRDefault="00660414" w:rsidP="00660414">
      <w:pPr>
        <w:rPr>
          <w:b/>
          <w:noProof/>
          <w:lang w:eastAsia="en-GB"/>
        </w:rPr>
      </w:pPr>
      <w:r w:rsidRPr="008C5B1B">
        <w:rPr>
          <w:b/>
          <w:noProof/>
          <w:sz w:val="22"/>
          <w:szCs w:val="22"/>
          <w:lang w:val="ro-RO" w:eastAsia="ro-RO"/>
        </w:rPr>
        <w:drawing>
          <wp:inline distT="0" distB="0" distL="0" distR="0" wp14:anchorId="5D5CE849" wp14:editId="50482F81">
            <wp:extent cx="4495800" cy="3409950"/>
            <wp:effectExtent l="19050" t="0" r="0" b="0"/>
            <wp:docPr id="5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cstate="print"/>
                    <a:srcRect/>
                    <a:stretch>
                      <a:fillRect/>
                    </a:stretch>
                  </pic:blipFill>
                  <pic:spPr bwMode="auto">
                    <a:xfrm>
                      <a:off x="0" y="0"/>
                      <a:ext cx="4495800" cy="3409950"/>
                    </a:xfrm>
                    <a:prstGeom prst="rect">
                      <a:avLst/>
                    </a:prstGeom>
                    <a:noFill/>
                  </pic:spPr>
                </pic:pic>
              </a:graphicData>
            </a:graphic>
          </wp:inline>
        </w:drawing>
      </w:r>
    </w:p>
    <w:p w:rsidR="00660414" w:rsidRPr="008C7A83" w:rsidRDefault="00660414" w:rsidP="00660414">
      <w:pPr>
        <w:pStyle w:val="Caption"/>
        <w:rPr>
          <w:b/>
          <w:sz w:val="22"/>
          <w:szCs w:val="22"/>
        </w:rPr>
      </w:pPr>
      <w:bookmarkStart w:id="7908" w:name="_Toc398884994"/>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9</w:t>
      </w:r>
      <w:r w:rsidRPr="008C7A83">
        <w:rPr>
          <w:b/>
          <w:sz w:val="22"/>
          <w:szCs w:val="22"/>
        </w:rPr>
        <w:fldChar w:fldCharType="end"/>
      </w:r>
      <w:r w:rsidRPr="008C7A83">
        <w:rPr>
          <w:b/>
          <w:sz w:val="22"/>
          <w:szCs w:val="22"/>
        </w:rPr>
        <w:t>: Change in Rail Freight Tonnes (2006-2011)</w:t>
      </w:r>
    </w:p>
    <w:bookmarkEnd w:id="7908"/>
    <w:p w:rsidR="00660414" w:rsidRPr="00503808" w:rsidRDefault="00660414" w:rsidP="007613DE">
      <w:pPr>
        <w:rPr>
          <w:i/>
        </w:rPr>
      </w:pPr>
      <w:r w:rsidRPr="008C5B1B">
        <w:rPr>
          <w:i/>
        </w:rPr>
        <w:t>Source: Eurostat</w:t>
      </w:r>
    </w:p>
    <w:p w:rsidR="00660414" w:rsidRPr="000A76BD" w:rsidRDefault="00660414" w:rsidP="007613DE">
      <w:pPr>
        <w:pStyle w:val="Hdg3"/>
        <w:ind w:left="851"/>
      </w:pPr>
      <w:bookmarkStart w:id="7909" w:name="_Toc398884995"/>
      <w:r w:rsidRPr="008C5B1B">
        <w:t>Service Level</w:t>
      </w:r>
      <w:bookmarkEnd w:id="7909"/>
    </w:p>
    <w:p w:rsidR="00660414" w:rsidRPr="000A76BD" w:rsidRDefault="00660414" w:rsidP="00A4081F">
      <w:pPr>
        <w:pStyle w:val="NumberedParas"/>
      </w:pPr>
      <w:r w:rsidRPr="008C5B1B">
        <w:t>The passenger rail network in Romania is designated as either “interoperable” or non-interoperable”. Trains on interoperable lines are operated either by the state-owned operator CFR Calatori or private operators and maintained by the state-owned infrastructure company CFR SA. To provide context, Figure 5.</w:t>
      </w:r>
      <w:r>
        <w:t>10</w:t>
      </w:r>
      <w:r w:rsidRPr="008C5B1B">
        <w:t xml:space="preserve"> illustrates the extent of the inter-operable and non inter-operable lines. The inter-operable lines account for 85% of the network. In contrast, the non inter-operable routes have been transferred to the private sector, following competitive tendering. </w:t>
      </w:r>
    </w:p>
    <w:p w:rsidR="00660414" w:rsidRDefault="00660414" w:rsidP="00A4081F">
      <w:pPr>
        <w:pStyle w:val="NumberedParas"/>
      </w:pPr>
      <w:r w:rsidRPr="008C5B1B">
        <w:t xml:space="preserve">Most single lines are closed for maintenance during the morning (typically between 08.00 and 13.00), or only open 16 hours a day. Closures also apply to some freight terminals and customs facilities. Trains may need to be stabled to await the section being re-opened or be timetabled to avoid such closures. This constraint also applies to passenger services, with gaps of up to seven hours between some trains that call at local stations between Bucharest and Brasov or Craiova. As a consequence these routes fail to offer timetables that are aligned with customer requirements.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C5352C8" wp14:editId="239BCA94">
            <wp:extent cx="5592637" cy="3960000"/>
            <wp:effectExtent l="0" t="0" r="8255" b="2540"/>
            <wp:docPr id="554" name="Picture 1" descr="Interoperable_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operable_links"/>
                    <pic:cNvPicPr>
                      <a:picLocks noChangeAspect="1" noChangeArrowheads="1"/>
                    </pic:cNvPicPr>
                  </pic:nvPicPr>
                  <pic:blipFill>
                    <a:blip r:embed="rId175" cstate="print"/>
                    <a:srcRect/>
                    <a:stretch>
                      <a:fillRect/>
                    </a:stretch>
                  </pic:blipFill>
                  <pic:spPr bwMode="auto">
                    <a:xfrm>
                      <a:off x="0" y="0"/>
                      <a:ext cx="5592637"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rPr>
      </w:pPr>
      <w:bookmarkStart w:id="7910" w:name="_Toc398884996"/>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10</w:t>
      </w:r>
      <w:r w:rsidRPr="008C7A83">
        <w:rPr>
          <w:b/>
          <w:sz w:val="22"/>
          <w:szCs w:val="22"/>
        </w:rPr>
        <w:fldChar w:fldCharType="end"/>
      </w:r>
      <w:r w:rsidRPr="008C7A83">
        <w:rPr>
          <w:b/>
          <w:sz w:val="22"/>
          <w:szCs w:val="22"/>
        </w:rPr>
        <w:t>: Inter-operable and Non interoperable Lines</w:t>
      </w:r>
    </w:p>
    <w:p w:rsidR="00660414" w:rsidRPr="00503808" w:rsidRDefault="00660414" w:rsidP="007613DE">
      <w:pPr>
        <w:rPr>
          <w:i/>
        </w:rPr>
      </w:pPr>
      <w:bookmarkStart w:id="7911" w:name="_Toc398884997"/>
      <w:bookmarkEnd w:id="7910"/>
      <w:r w:rsidRPr="008C5B1B">
        <w:rPr>
          <w:i/>
        </w:rPr>
        <w:t>Source: AECOM analysis of National Transport Model data</w:t>
      </w:r>
      <w:bookmarkEnd w:id="7911"/>
    </w:p>
    <w:p w:rsidR="00660414" w:rsidRPr="000A76BD" w:rsidRDefault="00660414" w:rsidP="007613DE">
      <w:pPr>
        <w:pStyle w:val="Hdg3"/>
        <w:ind w:left="851"/>
      </w:pPr>
      <w:bookmarkStart w:id="7912" w:name="_Toc398884998"/>
      <w:r w:rsidRPr="008C5B1B">
        <w:t>Network Performance</w:t>
      </w:r>
      <w:bookmarkEnd w:id="7912"/>
    </w:p>
    <w:p w:rsidR="00660414" w:rsidRDefault="00660414" w:rsidP="00A4081F">
      <w:pPr>
        <w:pStyle w:val="NumberedParas"/>
      </w:pPr>
      <w:r w:rsidRPr="008C5B1B">
        <w:t xml:space="preserve">Network performance has been summarised in terms of the suitability of the timetable and the pattern of services. Figure 5.10 illustrates the median service frequency for passenger services using each corridor, but also highlights significant gaps in the timetable affecting selected routes. Departure times along the busiest sections of the railway network, such as services between Bucharest and Craiova, Constanta, Brasov and Focsani/Suceava, have irregular headways, which results in </w:t>
      </w:r>
      <w:r>
        <w:t xml:space="preserve">a </w:t>
      </w:r>
      <w:r w:rsidRPr="008C5B1B">
        <w:t xml:space="preserve">complex timetable pattern for passengers. This reduces the convenience of the rail travel. Furthermore, the frequency from smaller local stations is very </w:t>
      </w:r>
      <w:r>
        <w:t>limited</w:t>
      </w:r>
      <w:r w:rsidRPr="008C5B1B">
        <w:t>, with a low number of departures at irregular times. For example, there are gaps of 7 hours between Ploiesti to Brasov, Arad to Oradea</w:t>
      </w:r>
      <w:r>
        <w:t xml:space="preserve">. The </w:t>
      </w:r>
      <w:r w:rsidRPr="008C5B1B">
        <w:t>sections between Brasov to Alba Iulia via Sibiu, Caracal to Sibiu via Ramnicu Valcea, plus Suceava to Dej are predominantly single track</w:t>
      </w:r>
      <w:r>
        <w:t xml:space="preserve"> and this track layout restricts the number of trains operating expecially during the daytime given the maintenance work</w:t>
      </w:r>
      <w:r w:rsidRPr="008C5B1B">
        <w:t xml:space="preserve">. Numerous overnight services also compensate for the low number of daytime trains.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AB75646" wp14:editId="56759258">
            <wp:extent cx="5578309" cy="3960000"/>
            <wp:effectExtent l="0" t="0" r="3810" b="2540"/>
            <wp:docPr id="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578309"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rPr>
      </w:pPr>
      <w:bookmarkStart w:id="7913" w:name="_Toc398884999"/>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11</w:t>
      </w:r>
      <w:r w:rsidRPr="008C7A83">
        <w:rPr>
          <w:b/>
          <w:sz w:val="22"/>
          <w:szCs w:val="22"/>
        </w:rPr>
        <w:fldChar w:fldCharType="end"/>
      </w:r>
      <w:r w:rsidRPr="008C7A83">
        <w:rPr>
          <w:b/>
          <w:sz w:val="22"/>
          <w:szCs w:val="22"/>
        </w:rPr>
        <w:t xml:space="preserve">: Summary of the Median Rail Frequencies </w:t>
      </w:r>
    </w:p>
    <w:p w:rsidR="00660414" w:rsidRPr="00503808" w:rsidRDefault="00660414" w:rsidP="007613DE">
      <w:pPr>
        <w:rPr>
          <w:i/>
        </w:rPr>
      </w:pPr>
      <w:bookmarkStart w:id="7914" w:name="_Toc398885000"/>
      <w:bookmarkEnd w:id="7913"/>
      <w:r w:rsidRPr="008C5B1B">
        <w:rPr>
          <w:i/>
        </w:rPr>
        <w:t>Source: AECOM analysis of the CFR Calatori timetable</w:t>
      </w:r>
      <w:bookmarkEnd w:id="7914"/>
    </w:p>
    <w:p w:rsidR="00660414" w:rsidRPr="000A76BD" w:rsidRDefault="00660414" w:rsidP="007613DE">
      <w:pPr>
        <w:pStyle w:val="Hdg3"/>
        <w:ind w:left="851"/>
      </w:pPr>
      <w:bookmarkStart w:id="7915" w:name="_Toc398885001"/>
      <w:r w:rsidRPr="008C5B1B">
        <w:t>Rail Speeds</w:t>
      </w:r>
      <w:bookmarkEnd w:id="7915"/>
    </w:p>
    <w:p w:rsidR="00660414" w:rsidRPr="000A76BD" w:rsidRDefault="00660414" w:rsidP="00A4081F">
      <w:pPr>
        <w:pStyle w:val="NumberedParas"/>
      </w:pPr>
      <w:r w:rsidRPr="008C5B1B">
        <w:t>Figure 5.1</w:t>
      </w:r>
      <w:r>
        <w:t>2</w:t>
      </w:r>
      <w:r w:rsidRPr="008C5B1B">
        <w:t xml:space="preserve"> compares operating and design speeds</w:t>
      </w:r>
      <w:r>
        <w:t xml:space="preserve"> on the network</w:t>
      </w:r>
      <w:r w:rsidRPr="008C5B1B">
        <w:t xml:space="preserve">, highlighting the parts of the network impacted by a particularly low speed. Much of the network approaching Bucharest has a ratio of between 0.4-0.6, highlighting the relatively slow speeds compared with the theoretical maximum. </w:t>
      </w:r>
      <w:r>
        <w:t xml:space="preserve">Some </w:t>
      </w:r>
      <w:r w:rsidRPr="008C5B1B">
        <w:t>parts of the network have a ratio of above 0.8</w:t>
      </w:r>
      <w:r>
        <w:t xml:space="preserve"> but the distribution of these links does not follow a specific pattern, for example, links closest to Bucharest benefiting from the highest speeds</w:t>
      </w:r>
      <w:r w:rsidRPr="008C5B1B">
        <w:t xml:space="preserve">. The removal of many intercity services from the timetable and their subsequent replacement with slower InterRegio trains, which typically feature additional intermediate stops, is likely to have contributed to this outcome. </w:t>
      </w:r>
    </w:p>
    <w:p w:rsidR="00660414" w:rsidRDefault="00660414" w:rsidP="00660414">
      <w:pPr>
        <w:rPr>
          <w:rFonts w:cs="Arial"/>
          <w:b/>
          <w:sz w:val="22"/>
          <w:szCs w:val="22"/>
        </w:rPr>
      </w:pPr>
      <w:r w:rsidRPr="008C5B1B">
        <w:rPr>
          <w:rFonts w:cs="Arial"/>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77C2EC7" wp14:editId="721B8F50">
            <wp:extent cx="5618906" cy="3960000"/>
            <wp:effectExtent l="0" t="0" r="1270" b="2540"/>
            <wp:docPr id="556" name="Picture 20" descr="E:\Ratio_design_vs_Av_Speed_Base_scenario_fast_slow_t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Ratio_design_vs_Av_Speed_Base_scenario_fast_slow_trains.jpg"/>
                    <pic:cNvPicPr>
                      <a:picLocks noChangeAspect="1" noChangeArrowheads="1"/>
                    </pic:cNvPicPr>
                  </pic:nvPicPr>
                  <pic:blipFill>
                    <a:blip r:embed="rId177" cstate="print"/>
                    <a:srcRect l="2636" t="2759" r="2441" b="2710"/>
                    <a:stretch>
                      <a:fillRect/>
                    </a:stretch>
                  </pic:blipFill>
                  <pic:spPr bwMode="auto">
                    <a:xfrm>
                      <a:off x="0" y="0"/>
                      <a:ext cx="5618906" cy="3960000"/>
                    </a:xfrm>
                    <a:prstGeom prst="rect">
                      <a:avLst/>
                    </a:prstGeom>
                    <a:noFill/>
                    <a:ln w="9525">
                      <a:noFill/>
                      <a:miter lim="800000"/>
                      <a:headEnd/>
                      <a:tailEnd/>
                    </a:ln>
                  </pic:spPr>
                </pic:pic>
              </a:graphicData>
            </a:graphic>
          </wp:inline>
        </w:drawing>
      </w:r>
    </w:p>
    <w:p w:rsidR="00660414" w:rsidRPr="000A76BD" w:rsidRDefault="00660414" w:rsidP="00660414">
      <w:pPr>
        <w:pStyle w:val="Caption"/>
        <w:rPr>
          <w:b/>
          <w:sz w:val="22"/>
          <w:szCs w:val="22"/>
        </w:rPr>
      </w:pPr>
      <w:bookmarkStart w:id="7916" w:name="_Toc398885002"/>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12</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Comparison of Average and Design Speeds</w:t>
      </w:r>
    </w:p>
    <w:p w:rsidR="00660414" w:rsidRPr="00503808" w:rsidRDefault="00660414" w:rsidP="007613DE">
      <w:pPr>
        <w:rPr>
          <w:i/>
        </w:rPr>
      </w:pPr>
      <w:bookmarkStart w:id="7917" w:name="_Toc398885003"/>
      <w:bookmarkEnd w:id="7916"/>
      <w:r w:rsidRPr="008C5B1B">
        <w:rPr>
          <w:i/>
        </w:rPr>
        <w:t>Source: AECOM analysis of CFR Calatori timetables and data from CFR Infrastructure</w:t>
      </w:r>
      <w:r w:rsidRPr="008C5B1B">
        <w:rPr>
          <w:i/>
        </w:rPr>
        <w:footnoteReference w:id="26"/>
      </w:r>
      <w:bookmarkEnd w:id="7917"/>
    </w:p>
    <w:p w:rsidR="00660414" w:rsidRPr="000A76BD" w:rsidRDefault="00660414" w:rsidP="00A4081F">
      <w:pPr>
        <w:pStyle w:val="NumberedParas"/>
      </w:pPr>
      <w:r w:rsidRPr="008C5B1B">
        <w:t xml:space="preserve">Selected rail journey speeds in Romania have been compared with a sample of European services as shown in Figure 5.12. For example, the average speeds in Romania are about 65-70km/h, yet a comparison with the UK and Germany indicates rail journey speeds in Romania are about twice as slow as the examples. Furthermore, timings in Romania are 40% slower compared with Hungary and Poland. The topography in Romania is a partial factor for some </w:t>
      </w:r>
      <w:r>
        <w:t>of these slower speeds</w:t>
      </w:r>
      <w:r w:rsidRPr="008C5B1B">
        <w:t xml:space="preserve">, for example, the hilly terrain between Bucharest and Cluj, but there are other contributory factors including the numerous intermediate stops, lengthy dwell times and various technical reasons described below.   </w:t>
      </w:r>
    </w:p>
    <w:p w:rsidR="00660414" w:rsidRDefault="00660414" w:rsidP="00660414">
      <w:pPr>
        <w:rPr>
          <w:rFonts w:cs="Arial"/>
          <w:b/>
          <w:sz w:val="22"/>
          <w:szCs w:val="22"/>
        </w:rPr>
      </w:pPr>
      <w:r w:rsidRPr="008C5B1B">
        <w:rPr>
          <w:rFonts w:cs="Arial"/>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655D60B" wp14:editId="46011FB7">
            <wp:extent cx="5356860" cy="3510915"/>
            <wp:effectExtent l="19050" t="0" r="0" b="0"/>
            <wp:docPr id="5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356860" cy="3510915"/>
                    </a:xfrm>
                    <a:prstGeom prst="rect">
                      <a:avLst/>
                    </a:prstGeom>
                    <a:noFill/>
                    <a:ln w="9525">
                      <a:noFill/>
                      <a:miter lim="800000"/>
                      <a:headEnd/>
                      <a:tailEnd/>
                    </a:ln>
                  </pic:spPr>
                </pic:pic>
              </a:graphicData>
            </a:graphic>
          </wp:inline>
        </w:drawing>
      </w:r>
    </w:p>
    <w:p w:rsidR="00660414" w:rsidRPr="000A76BD" w:rsidRDefault="00660414" w:rsidP="00660414">
      <w:pPr>
        <w:pStyle w:val="Caption"/>
        <w:rPr>
          <w:b/>
          <w:sz w:val="22"/>
          <w:szCs w:val="22"/>
        </w:rPr>
      </w:pPr>
      <w:bookmarkStart w:id="7918" w:name="_Toc398885004"/>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13</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Comparison of Rail Journey Times – Romanian versus European Examples (km/h)</w:t>
      </w:r>
    </w:p>
    <w:p w:rsidR="00660414" w:rsidRPr="00123EFD" w:rsidRDefault="00660414" w:rsidP="007613DE">
      <w:pPr>
        <w:rPr>
          <w:i/>
        </w:rPr>
      </w:pPr>
      <w:bookmarkStart w:id="7919" w:name="_Toc398885005"/>
      <w:bookmarkEnd w:id="7918"/>
      <w:r w:rsidRPr="008C5B1B">
        <w:rPr>
          <w:i/>
        </w:rPr>
        <w:t>Source: AECOM analysis of CFR Calatori timetables and DB website</w:t>
      </w:r>
      <w:bookmarkEnd w:id="7919"/>
    </w:p>
    <w:p w:rsidR="00660414" w:rsidRPr="000A76BD" w:rsidRDefault="00660414" w:rsidP="00A4081F">
      <w:pPr>
        <w:pStyle w:val="NumberedParas"/>
      </w:pPr>
      <w:r w:rsidRPr="008C5B1B">
        <w:t>There are several factors that contribute to the slow journey speeds described above. These include extended journey times at stations including:</w:t>
      </w:r>
    </w:p>
    <w:p w:rsidR="00660414" w:rsidRPr="000A76BD" w:rsidRDefault="00660414" w:rsidP="00273D5E">
      <w:pPr>
        <w:pStyle w:val="BulletLevel1"/>
      </w:pPr>
      <w:r w:rsidRPr="008C5B1B">
        <w:t>changes from electric to diesel traction;</w:t>
      </w:r>
    </w:p>
    <w:p w:rsidR="00660414" w:rsidRPr="000A76BD" w:rsidRDefault="00660414" w:rsidP="00273D5E">
      <w:pPr>
        <w:pStyle w:val="BulletLevel1"/>
      </w:pPr>
      <w:r w:rsidRPr="008C5B1B">
        <w:t xml:space="preserve">the requirement to reverse at some stations which is exacerbated by the operation of loco-hauled sets rather than deploying electric or diesel multiple units or push/pull units for longer distance services, </w:t>
      </w:r>
    </w:p>
    <w:p w:rsidR="00660414" w:rsidRPr="000A76BD" w:rsidRDefault="00660414" w:rsidP="00273D5E">
      <w:pPr>
        <w:pStyle w:val="BulletLevel1"/>
      </w:pPr>
      <w:r w:rsidRPr="008C5B1B">
        <w:t>delays when awaiting train paths at single track sections; and</w:t>
      </w:r>
    </w:p>
    <w:p w:rsidR="00660414" w:rsidRPr="000A76BD" w:rsidRDefault="00660414" w:rsidP="00273D5E">
      <w:pPr>
        <w:pStyle w:val="BulletLevel1"/>
      </w:pPr>
      <w:r w:rsidRPr="008C5B1B">
        <w:t xml:space="preserve">the requirement for periodic inspections of old rolling stock. </w:t>
      </w:r>
    </w:p>
    <w:p w:rsidR="00660414" w:rsidRPr="000A76BD" w:rsidRDefault="00660414" w:rsidP="00A4081F">
      <w:pPr>
        <w:pStyle w:val="NumberedParas"/>
      </w:pPr>
      <w:r w:rsidRPr="008C5B1B">
        <w:t>The current border control procedures also contribute to lengthy delays</w:t>
      </w:r>
      <w:r>
        <w:t>. These delays</w:t>
      </w:r>
      <w:r w:rsidRPr="008C5B1B">
        <w:t xml:space="preserve"> are not conducive to encouraging cross-border trade. This includes border control delays at fellow EU Member States. At the Hungarian border freight train delays are typically up to 30 hours on the Hungarian side and 4–5 hours on the Romanian side. This makes cross-border rail freight very uncompetitive</w:t>
      </w:r>
      <w:r>
        <w:t xml:space="preserve"> given the much shorter delays affecting road transport</w:t>
      </w:r>
      <w:r w:rsidRPr="008C5B1B">
        <w:t xml:space="preserve">. Extended delays at border controls also impact on passenger services, although their duration is significantly shorter than freight. </w:t>
      </w:r>
    </w:p>
    <w:p w:rsidR="00660414" w:rsidRPr="000A76BD" w:rsidRDefault="00660414" w:rsidP="00A4081F">
      <w:pPr>
        <w:pStyle w:val="NumberedParas"/>
      </w:pPr>
      <w:r w:rsidRPr="008C5B1B">
        <w:t xml:space="preserve">CFR has recently obtained funding for the installation of overheated axle boxes and brakes detectors, although the introduction of newer rolling stock with better braking systems would also address this issue. Passenger services with numerous intermediate stops also incur significant boarding delays at stations, although the scope to address this issue is limited unless the stopping pattern is revised or stations closed. Figure 5.13 illustrates the total dwell time as a proportion of the overall travel time for selected services and Figure 5.14 presents the average dwell time for all stations. The latter </w:t>
      </w:r>
      <w:r>
        <w:t xml:space="preserve">diagram </w:t>
      </w:r>
      <w:r w:rsidRPr="008C5B1B">
        <w:t>illustrates the locations where the highest average delays occur</w:t>
      </w:r>
      <w:r>
        <w:t xml:space="preserve"> and confirms the border crossings incur the longest delays.</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5526E0A2" wp14:editId="4F849B97">
            <wp:extent cx="5443220" cy="3338195"/>
            <wp:effectExtent l="19050" t="0" r="0" b="0"/>
            <wp:docPr id="5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email">
                      <a:extLst>
                        <a:ext uri="{28A0092B-C50C-407E-A947-70E740481C1C}">
                          <a14:useLocalDpi xmlns:a14="http://schemas.microsoft.com/office/drawing/2010/main"/>
                        </a:ext>
                      </a:extLst>
                    </a:blip>
                    <a:srcRect l="6679" r="6319"/>
                    <a:stretch>
                      <a:fillRect/>
                    </a:stretch>
                  </pic:blipFill>
                  <pic:spPr bwMode="auto">
                    <a:xfrm>
                      <a:off x="0" y="0"/>
                      <a:ext cx="5443220" cy="3338195"/>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20" w:name="_Toc398885006"/>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14</w:t>
      </w:r>
      <w:r w:rsidRPr="008C7A83">
        <w:rPr>
          <w:b/>
          <w:sz w:val="22"/>
          <w:szCs w:val="22"/>
        </w:rPr>
        <w:fldChar w:fldCharType="end"/>
      </w:r>
      <w:r w:rsidRPr="008C7A83">
        <w:rPr>
          <w:b/>
          <w:sz w:val="22"/>
          <w:szCs w:val="22"/>
        </w:rPr>
        <w:t>: Overall Dwell Time as a Percentage of the Total Travel Time</w:t>
      </w:r>
    </w:p>
    <w:p w:rsidR="00660414" w:rsidRDefault="00660414" w:rsidP="007613DE">
      <w:pPr>
        <w:rPr>
          <w:i/>
        </w:rPr>
      </w:pPr>
      <w:bookmarkStart w:id="7921" w:name="_Toc398885007"/>
      <w:bookmarkEnd w:id="7920"/>
      <w:r w:rsidRPr="008C5B1B">
        <w:rPr>
          <w:i/>
        </w:rPr>
        <w:t>Source: AECOM analysis of CFR Calatori timetables</w:t>
      </w:r>
      <w:bookmarkEnd w:id="7921"/>
    </w:p>
    <w:p w:rsidR="00660414" w:rsidRDefault="00660414" w:rsidP="00660414">
      <w:pPr>
        <w:outlineLvl w:val="0"/>
        <w:rPr>
          <w:i/>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D51C98C" wp14:editId="35ADC398">
            <wp:extent cx="5634362" cy="3960000"/>
            <wp:effectExtent l="0" t="0" r="4445" b="2540"/>
            <wp:docPr id="559" name="Picture 22" descr="E:\Dwell_Time_Base_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well_Time_Base_Av.jpg"/>
                    <pic:cNvPicPr>
                      <a:picLocks noChangeAspect="1" noChangeArrowheads="1"/>
                    </pic:cNvPicPr>
                  </pic:nvPicPr>
                  <pic:blipFill>
                    <a:blip r:embed="rId179" cstate="print"/>
                    <a:srcRect l="2350" t="2243" r="2141" b="2784"/>
                    <a:stretch>
                      <a:fillRect/>
                    </a:stretch>
                  </pic:blipFill>
                  <pic:spPr bwMode="auto">
                    <a:xfrm>
                      <a:off x="0" y="0"/>
                      <a:ext cx="5634362" cy="3960000"/>
                    </a:xfrm>
                    <a:prstGeom prst="rect">
                      <a:avLst/>
                    </a:prstGeom>
                    <a:noFill/>
                    <a:ln w="9525">
                      <a:noFill/>
                      <a:miter lim="800000"/>
                      <a:headEnd/>
                      <a:tailEnd/>
                    </a:ln>
                  </pic:spPr>
                </pic:pic>
              </a:graphicData>
            </a:graphic>
          </wp:inline>
        </w:drawing>
      </w:r>
    </w:p>
    <w:p w:rsidR="00660414" w:rsidRPr="00F91EDE" w:rsidRDefault="00660414" w:rsidP="00660414">
      <w:pPr>
        <w:pStyle w:val="Caption"/>
        <w:rPr>
          <w:b/>
          <w:sz w:val="22"/>
          <w:szCs w:val="22"/>
        </w:rPr>
      </w:pPr>
      <w:bookmarkStart w:id="7922" w:name="_Toc398885008"/>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15</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 xml:space="preserve">Average Dwell Time at Railway Stations / Service </w:t>
      </w:r>
    </w:p>
    <w:p w:rsidR="00660414" w:rsidRPr="00123EFD" w:rsidRDefault="00660414" w:rsidP="007613DE">
      <w:pPr>
        <w:rPr>
          <w:i/>
        </w:rPr>
      </w:pPr>
      <w:bookmarkStart w:id="7923" w:name="_Toc398885009"/>
      <w:bookmarkEnd w:id="7922"/>
      <w:r w:rsidRPr="008C5B1B">
        <w:rPr>
          <w:i/>
        </w:rPr>
        <w:t>Source: AECOM analysis of CFR Calatori data</w:t>
      </w:r>
      <w:bookmarkEnd w:id="7923"/>
    </w:p>
    <w:p w:rsidR="00660414" w:rsidRPr="000A76BD" w:rsidRDefault="00660414" w:rsidP="00A4081F">
      <w:pPr>
        <w:pStyle w:val="NumberedParas"/>
      </w:pPr>
      <w:r w:rsidRPr="008C5B1B">
        <w:t xml:space="preserve">Only 37% of the current network is electrified which </w:t>
      </w:r>
      <w:r>
        <w:t xml:space="preserve">means </w:t>
      </w:r>
      <w:r w:rsidRPr="008C5B1B">
        <w:t xml:space="preserve">a number of </w:t>
      </w:r>
      <w:r>
        <w:t xml:space="preserve">services that require </w:t>
      </w:r>
      <w:r w:rsidRPr="008C5B1B">
        <w:t xml:space="preserve">traction changes and </w:t>
      </w:r>
      <w:r>
        <w:t xml:space="preserve">results in extended </w:t>
      </w:r>
      <w:r w:rsidRPr="008C5B1B">
        <w:t>journey times</w:t>
      </w:r>
      <w:r>
        <w:t>. O</w:t>
      </w:r>
      <w:r w:rsidRPr="008C5B1B">
        <w:t xml:space="preserve">ne of the main gaps is Cluj Napoca to Oradea, whilst other gaps include Caracal to Craiova, Iasi to Barlad, plus the line serving Botosani, Piatra Neamt, Baia Mare and Satu Mare. </w:t>
      </w:r>
      <w:r>
        <w:t xml:space="preserve">There are other gaps in the electrified network which affect the TEN-T network including Craiova to Calafat, Giurgiu to Bucharest and Suceava to Ukraine. </w:t>
      </w:r>
    </w:p>
    <w:p w:rsidR="00660414" w:rsidRPr="000A76BD" w:rsidRDefault="00660414" w:rsidP="007613DE">
      <w:pPr>
        <w:pStyle w:val="Hdg3"/>
        <w:ind w:left="851"/>
      </w:pPr>
      <w:bookmarkStart w:id="7924" w:name="_Toc398885010"/>
      <w:r w:rsidRPr="008C5B1B">
        <w:t>Rail Journey Times</w:t>
      </w:r>
      <w:bookmarkEnd w:id="7924"/>
    </w:p>
    <w:p w:rsidR="00660414" w:rsidRDefault="00660414" w:rsidP="00A4081F">
      <w:pPr>
        <w:pStyle w:val="NumberedParas"/>
      </w:pPr>
      <w:r w:rsidRPr="008C5B1B">
        <w:t>Figure 5.15 illustrates the journey time contours to Bucharest</w:t>
      </w:r>
      <w:r>
        <w:t xml:space="preserve"> for </w:t>
      </w:r>
      <w:r w:rsidRPr="00613D7D">
        <w:t>generalised rail</w:t>
      </w:r>
      <w:r>
        <w:t xml:space="preserve"> journey time</w:t>
      </w:r>
      <w:r w:rsidRPr="008C5B1B">
        <w:t xml:space="preserve">. This dataset represents travel time spent on the train, as well as the impact of the irregular frequencies </w:t>
      </w:r>
      <w:r>
        <w:t xml:space="preserve">which results in extended wait times as </w:t>
      </w:r>
      <w:r w:rsidRPr="008C5B1B">
        <w:t xml:space="preserve">discussed earlier. Craiova, Pitesti, Buzau and Predeal have a GJT less than 400 minutes to Bucharest. The GJT from Cluj to Bucharest is over 1,000 minutes, whilst the time period from Satu Mare, Baia Mare, Oradea and Arad is over 1,200 minutes. </w:t>
      </w:r>
      <w:r>
        <w:t xml:space="preserve">This reflects the slow timings spent on the train and the lengthy wait time for services.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6357FD9" wp14:editId="2D769BAC">
            <wp:extent cx="5592846" cy="3960000"/>
            <wp:effectExtent l="0" t="0" r="8255" b="2540"/>
            <wp:docPr id="5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5592846"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25" w:name="_Toc398885011"/>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16</w:t>
      </w:r>
      <w:r w:rsidRPr="008C7A83">
        <w:rPr>
          <w:b/>
          <w:sz w:val="22"/>
          <w:szCs w:val="22"/>
        </w:rPr>
        <w:fldChar w:fldCharType="end"/>
      </w:r>
      <w:r w:rsidRPr="008C7A83">
        <w:rPr>
          <w:b/>
          <w:sz w:val="22"/>
          <w:szCs w:val="22"/>
        </w:rPr>
        <w:t>: Generalised Rail Journey Times to Bucharest</w:t>
      </w:r>
    </w:p>
    <w:p w:rsidR="00660414" w:rsidRPr="00123EFD" w:rsidRDefault="00660414" w:rsidP="007613DE">
      <w:pPr>
        <w:rPr>
          <w:i/>
        </w:rPr>
      </w:pPr>
      <w:bookmarkStart w:id="7926" w:name="_Toc398885012"/>
      <w:bookmarkEnd w:id="7925"/>
      <w:r w:rsidRPr="008C5B1B">
        <w:rPr>
          <w:i/>
        </w:rPr>
        <w:t>Source: AECOM analysis of Romanian National Transport Model</w:t>
      </w:r>
      <w:bookmarkEnd w:id="7926"/>
    </w:p>
    <w:p w:rsidR="00660414" w:rsidRPr="000A76BD" w:rsidRDefault="00660414" w:rsidP="007613DE">
      <w:pPr>
        <w:pStyle w:val="Hdg3"/>
        <w:ind w:left="851"/>
      </w:pPr>
      <w:bookmarkStart w:id="7927" w:name="_Toc398885013"/>
      <w:r w:rsidRPr="008C5B1B">
        <w:t>Passenger Rolling Stock</w:t>
      </w:r>
      <w:bookmarkEnd w:id="7927"/>
      <w:r w:rsidRPr="008C5B1B">
        <w:t xml:space="preserve"> </w:t>
      </w:r>
    </w:p>
    <w:p w:rsidR="00660414" w:rsidRPr="000A76BD" w:rsidRDefault="00660414" w:rsidP="00A4081F">
      <w:pPr>
        <w:pStyle w:val="NumberedParas"/>
        <w:numPr>
          <w:ilvl w:val="0"/>
          <w:numId w:val="0"/>
        </w:numPr>
        <w:ind w:left="964"/>
      </w:pPr>
      <w:r w:rsidRPr="008C5B1B">
        <w:t>There are two key issues affecting rolling stock. Firstly, the deployment of units is generally inefficient, for example the Bucharest - Constanta trains layover for up to five hours between services. This reduces the utilisation of rolling stock and means a larger fleet size is required. Large gaps between passenger services result in the relatively inefficient deployment of rolling stock. There are substantial scope to improve the operating efficiencies of both train sets and the crew, thus creating opportunities to generate additional revenue. Figure 5.16 compares the turnaround times for the Bucharest to Constanta route with other European examples</w:t>
      </w:r>
      <w:r>
        <w:t>.</w:t>
      </w:r>
    </w:p>
    <w:p w:rsidR="00660414" w:rsidRDefault="00660414" w:rsidP="00660414">
      <w:pPr>
        <w:rPr>
          <w:b/>
          <w:bCs/>
          <w:sz w:val="22"/>
          <w:szCs w:val="22"/>
        </w:rPr>
      </w:pPr>
      <w:r>
        <w:rPr>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A3EE848" wp14:editId="1A61E0FC">
            <wp:extent cx="5710555" cy="3640455"/>
            <wp:effectExtent l="19050" t="0" r="4445" b="0"/>
            <wp:docPr id="5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710555" cy="3640455"/>
                    </a:xfrm>
                    <a:prstGeom prst="rect">
                      <a:avLst/>
                    </a:prstGeom>
                    <a:noFill/>
                    <a:ln w="9525">
                      <a:noFill/>
                      <a:miter lim="800000"/>
                      <a:headEnd/>
                      <a:tailEnd/>
                    </a:ln>
                  </pic:spPr>
                </pic:pic>
              </a:graphicData>
            </a:graphic>
          </wp:inline>
        </w:drawing>
      </w:r>
    </w:p>
    <w:p w:rsidR="00660414" w:rsidRPr="008C7A83" w:rsidRDefault="00660414" w:rsidP="00660414">
      <w:pPr>
        <w:pStyle w:val="Caption"/>
        <w:rPr>
          <w:b/>
        </w:rPr>
      </w:pPr>
      <w:bookmarkStart w:id="7928" w:name="_Toc398885014"/>
      <w:r w:rsidRPr="0075501B">
        <w:rPr>
          <w:b/>
          <w:sz w:val="22"/>
          <w:szCs w:val="22"/>
        </w:rPr>
        <w:t>Figure 5.</w:t>
      </w:r>
      <w:r w:rsidRPr="0075501B">
        <w:rPr>
          <w:b/>
          <w:bCs w:val="0"/>
          <w:sz w:val="22"/>
          <w:szCs w:val="22"/>
        </w:rPr>
        <w:fldChar w:fldCharType="begin"/>
      </w:r>
      <w:r w:rsidRPr="0075501B">
        <w:rPr>
          <w:b/>
          <w:sz w:val="22"/>
          <w:szCs w:val="22"/>
        </w:rPr>
        <w:instrText xml:space="preserve"> SEQ Figure \* ARABIC </w:instrText>
      </w:r>
      <w:r w:rsidRPr="0075501B">
        <w:rPr>
          <w:b/>
          <w:bCs w:val="0"/>
          <w:sz w:val="22"/>
          <w:szCs w:val="22"/>
        </w:rPr>
        <w:fldChar w:fldCharType="separate"/>
      </w:r>
      <w:r w:rsidR="00C168ED">
        <w:rPr>
          <w:b/>
          <w:noProof/>
          <w:sz w:val="22"/>
          <w:szCs w:val="22"/>
        </w:rPr>
        <w:t>17</w:t>
      </w:r>
      <w:r w:rsidRPr="0075501B">
        <w:rPr>
          <w:b/>
          <w:bCs w:val="0"/>
          <w:sz w:val="22"/>
          <w:szCs w:val="22"/>
        </w:rPr>
        <w:fldChar w:fldCharType="end"/>
      </w:r>
      <w:r>
        <w:rPr>
          <w:b/>
          <w:sz w:val="22"/>
          <w:szCs w:val="22"/>
        </w:rPr>
        <w:t>:</w:t>
      </w:r>
      <w:r w:rsidRPr="0075501B">
        <w:rPr>
          <w:b/>
          <w:sz w:val="22"/>
          <w:szCs w:val="22"/>
        </w:rPr>
        <w:t xml:space="preserve"> </w:t>
      </w:r>
      <w:r w:rsidRPr="00F91EDE">
        <w:rPr>
          <w:b/>
          <w:sz w:val="22"/>
          <w:szCs w:val="22"/>
        </w:rPr>
        <w:t>Comparison of Turnaround Times (minutes)</w:t>
      </w:r>
    </w:p>
    <w:p w:rsidR="00660414" w:rsidRPr="009E035F" w:rsidRDefault="00660414" w:rsidP="007613DE">
      <w:pPr>
        <w:rPr>
          <w:i/>
        </w:rPr>
      </w:pPr>
      <w:bookmarkStart w:id="7929" w:name="_Toc398885015"/>
      <w:bookmarkEnd w:id="7928"/>
      <w:r w:rsidRPr="008C5B1B">
        <w:rPr>
          <w:i/>
        </w:rPr>
        <w:t>Source: AECOM analysis of CFR Calatori data</w:t>
      </w:r>
      <w:bookmarkEnd w:id="7929"/>
    </w:p>
    <w:p w:rsidR="00660414" w:rsidRPr="000A76BD" w:rsidRDefault="00660414" w:rsidP="00A4081F">
      <w:pPr>
        <w:pStyle w:val="NumberedParas"/>
      </w:pPr>
      <w:r w:rsidRPr="008C5B1B">
        <w:t>The second issue is the age of the rolling stock fleet. The average age of the units is about 35 years, although some units are over 60 years old</w:t>
      </w:r>
      <w:r>
        <w:t xml:space="preserve">, with just 50% of the latter in use. </w:t>
      </w:r>
      <w:r w:rsidRPr="008C5B1B">
        <w:t>Several other types of unit including loco-diesel electric, loco-diesel, and EMUs have an average age greater than 30 years, yet have an utilisation rate less than 60%. Table 5.4 summarises the information.</w:t>
      </w:r>
    </w:p>
    <w:p w:rsidR="00660414" w:rsidRPr="000A76BD" w:rsidRDefault="00660414" w:rsidP="00660414">
      <w:pPr>
        <w:pStyle w:val="Caption"/>
        <w:rPr>
          <w:b/>
          <w:sz w:val="22"/>
          <w:szCs w:val="22"/>
        </w:rPr>
      </w:pPr>
      <w:bookmarkStart w:id="7930" w:name="_Toc398885016"/>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w:t>
      </w:r>
      <w:r w:rsidRPr="001F5936">
        <w:rPr>
          <w:b/>
          <w:sz w:val="22"/>
          <w:szCs w:val="22"/>
        </w:rPr>
        <w:fldChar w:fldCharType="end"/>
      </w:r>
      <w:r w:rsidRPr="001F5936">
        <w:rPr>
          <w:b/>
          <w:sz w:val="22"/>
          <w:szCs w:val="22"/>
        </w:rPr>
        <w:t xml:space="preserve">: </w:t>
      </w:r>
      <w:r w:rsidRPr="008C5B1B">
        <w:rPr>
          <w:b/>
          <w:sz w:val="22"/>
          <w:szCs w:val="22"/>
        </w:rPr>
        <w:t>Summary of Passenger Rolling Stock Availability (2013)</w:t>
      </w:r>
      <w:bookmarkEnd w:id="7930"/>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75"/>
        <w:gridCol w:w="1418"/>
        <w:gridCol w:w="993"/>
        <w:gridCol w:w="1843"/>
        <w:gridCol w:w="1133"/>
        <w:gridCol w:w="1559"/>
      </w:tblGrid>
      <w:tr w:rsidR="00660414" w:rsidRPr="000A76BD" w:rsidTr="007613DE">
        <w:trPr>
          <w:trHeight w:hRule="exact" w:val="666"/>
        </w:trPr>
        <w:tc>
          <w:tcPr>
            <w:tcW w:w="212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8C5B1B" w:rsidRDefault="00660414" w:rsidP="007613DE">
            <w:pPr>
              <w:rPr>
                <w:rFonts w:cs="Arial"/>
                <w:sz w:val="22"/>
                <w:szCs w:val="22"/>
              </w:rPr>
            </w:pPr>
            <w:r w:rsidRPr="008C5B1B">
              <w:rPr>
                <w:rFonts w:cs="Arial"/>
                <w:b/>
                <w:sz w:val="22"/>
                <w:szCs w:val="22"/>
              </w:rPr>
              <w:t>Type</w:t>
            </w:r>
          </w:p>
        </w:tc>
        <w:tc>
          <w:tcPr>
            <w:tcW w:w="1275" w:type="dxa"/>
            <w:tcBorders>
              <w:top w:val="single" w:sz="4" w:space="0" w:color="auto"/>
              <w:left w:val="single" w:sz="4" w:space="0" w:color="auto"/>
              <w:bottom w:val="single" w:sz="4" w:space="0" w:color="auto"/>
              <w:right w:val="single" w:sz="4" w:space="0" w:color="auto"/>
            </w:tcBorders>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Inventory</w:t>
            </w:r>
          </w:p>
        </w:tc>
        <w:tc>
          <w:tcPr>
            <w:tcW w:w="1418" w:type="dxa"/>
            <w:tcBorders>
              <w:top w:val="single" w:sz="4" w:space="0" w:color="auto"/>
              <w:left w:val="single" w:sz="4" w:space="0" w:color="auto"/>
              <w:bottom w:val="single" w:sz="4" w:space="0" w:color="auto"/>
              <w:right w:val="single" w:sz="4" w:space="0" w:color="auto"/>
            </w:tcBorders>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Necessary</w:t>
            </w:r>
          </w:p>
        </w:tc>
        <w:tc>
          <w:tcPr>
            <w:tcW w:w="993" w:type="dxa"/>
            <w:tcBorders>
              <w:top w:val="single" w:sz="4" w:space="0" w:color="auto"/>
              <w:left w:val="single" w:sz="4" w:space="0" w:color="auto"/>
              <w:bottom w:val="single" w:sz="4" w:space="0" w:color="auto"/>
              <w:right w:val="single" w:sz="4" w:space="0" w:color="auto"/>
            </w:tcBorders>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 in use</w:t>
            </w:r>
          </w:p>
        </w:tc>
        <w:tc>
          <w:tcPr>
            <w:tcW w:w="1843" w:type="dxa"/>
            <w:tcBorders>
              <w:top w:val="single" w:sz="4" w:space="0" w:color="auto"/>
              <w:left w:val="single" w:sz="4" w:space="0" w:color="auto"/>
              <w:bottom w:val="single" w:sz="4" w:space="0" w:color="auto"/>
              <w:right w:val="single" w:sz="4" w:space="0" w:color="auto"/>
            </w:tcBorders>
            <w:shd w:val="clear" w:color="auto" w:fill="B8CCE4"/>
            <w:vAlign w:val="center"/>
          </w:tcPr>
          <w:p w:rsidR="00660414" w:rsidRPr="008C5B1B" w:rsidRDefault="00660414" w:rsidP="007613DE">
            <w:pPr>
              <w:jc w:val="center"/>
              <w:rPr>
                <w:rFonts w:cs="Arial"/>
                <w:b/>
                <w:sz w:val="22"/>
                <w:szCs w:val="22"/>
              </w:rPr>
            </w:pPr>
            <w:r w:rsidRPr="008C5B1B">
              <w:rPr>
                <w:rFonts w:cs="Arial"/>
                <w:b/>
                <w:sz w:val="22"/>
                <w:szCs w:val="22"/>
              </w:rPr>
              <w:t>...of which new / refurbished</w:t>
            </w:r>
          </w:p>
        </w:tc>
        <w:tc>
          <w:tcPr>
            <w:tcW w:w="1133"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8C5B1B" w:rsidRDefault="00660414" w:rsidP="007613DE">
            <w:pPr>
              <w:jc w:val="center"/>
              <w:rPr>
                <w:rFonts w:cs="Arial"/>
                <w:b/>
                <w:sz w:val="22"/>
                <w:szCs w:val="22"/>
              </w:rPr>
            </w:pPr>
            <w:r w:rsidRPr="008C5B1B">
              <w:rPr>
                <w:rFonts w:cs="Arial"/>
                <w:b/>
                <w:sz w:val="22"/>
                <w:szCs w:val="22"/>
              </w:rPr>
              <w:t>Average age</w:t>
            </w:r>
          </w:p>
        </w:tc>
        <w:tc>
          <w:tcPr>
            <w:tcW w:w="1559"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8C5B1B" w:rsidRDefault="00660414" w:rsidP="007613DE">
            <w:pPr>
              <w:jc w:val="center"/>
              <w:rPr>
                <w:rFonts w:cs="Arial"/>
                <w:b/>
                <w:sz w:val="22"/>
                <w:szCs w:val="22"/>
              </w:rPr>
            </w:pPr>
            <w:r w:rsidRPr="008C5B1B">
              <w:rPr>
                <w:rFonts w:cs="Arial"/>
                <w:b/>
                <w:sz w:val="22"/>
                <w:szCs w:val="22"/>
              </w:rPr>
              <w:t>Speed range (km/h)</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Loco-electric</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363</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282</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78%</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b/>
                <w:sz w:val="22"/>
                <w:szCs w:val="22"/>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b/>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b/>
                <w:sz w:val="22"/>
                <w:szCs w:val="22"/>
              </w:rPr>
            </w:pP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Loco-diesel electric</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244</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133</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55%</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59</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36</w:t>
            </w: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100-120</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Loco-diesel</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185</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103</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56%</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18</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36</w:t>
            </w: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100</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DMU (Desiro)</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120</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89</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74%</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120</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8</w:t>
            </w: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120</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EMU</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19</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19</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100%</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19</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42</w:t>
            </w: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120</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DMU</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143</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74</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52%</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30</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64</w:t>
            </w:r>
          </w:p>
        </w:tc>
        <w:tc>
          <w:tcPr>
            <w:tcW w:w="155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70-120</w:t>
            </w:r>
          </w:p>
        </w:tc>
      </w:tr>
      <w:tr w:rsidR="00660414" w:rsidRPr="000A76BD" w:rsidTr="007613DE">
        <w:trPr>
          <w:trHeight w:val="506"/>
        </w:trPr>
        <w:tc>
          <w:tcPr>
            <w:tcW w:w="2127"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rPr>
                <w:rFonts w:cs="Arial"/>
                <w:sz w:val="22"/>
                <w:szCs w:val="22"/>
              </w:rPr>
            </w:pPr>
            <w:r w:rsidRPr="008C5B1B">
              <w:rPr>
                <w:rFonts w:cs="Arial"/>
                <w:sz w:val="22"/>
                <w:szCs w:val="22"/>
              </w:rPr>
              <w:t>Total</w:t>
            </w:r>
          </w:p>
        </w:tc>
        <w:tc>
          <w:tcPr>
            <w:tcW w:w="1275"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1066</w:t>
            </w:r>
          </w:p>
        </w:tc>
        <w:tc>
          <w:tcPr>
            <w:tcW w:w="141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700</w:t>
            </w:r>
          </w:p>
        </w:tc>
        <w:tc>
          <w:tcPr>
            <w:tcW w:w="99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66%</w:t>
            </w:r>
          </w:p>
        </w:tc>
        <w:tc>
          <w:tcPr>
            <w:tcW w:w="1843"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r w:rsidRPr="008C5B1B">
              <w:rPr>
                <w:rFonts w:cs="Arial"/>
                <w:sz w:val="22"/>
                <w:szCs w:val="22"/>
              </w:rPr>
              <w:t>295</w:t>
            </w:r>
          </w:p>
        </w:tc>
        <w:tc>
          <w:tcPr>
            <w:tcW w:w="113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jc w:val="center"/>
              <w:rPr>
                <w:rFonts w:cs="Arial"/>
                <w:sz w:val="22"/>
                <w:szCs w:val="22"/>
              </w:rPr>
            </w:pPr>
            <w:r w:rsidRPr="008C5B1B">
              <w:rPr>
                <w:rFonts w:cs="Arial"/>
                <w:sz w:val="22"/>
                <w:szCs w:val="22"/>
              </w:rPr>
              <w:t>35.4</w:t>
            </w:r>
          </w:p>
        </w:tc>
        <w:tc>
          <w:tcPr>
            <w:tcW w:w="1559"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jc w:val="center"/>
              <w:rPr>
                <w:rFonts w:cs="Arial"/>
                <w:sz w:val="22"/>
                <w:szCs w:val="22"/>
              </w:rPr>
            </w:pPr>
          </w:p>
        </w:tc>
      </w:tr>
    </w:tbl>
    <w:p w:rsidR="00660414" w:rsidRPr="009E035F" w:rsidRDefault="00660414" w:rsidP="007613DE">
      <w:pPr>
        <w:rPr>
          <w:i/>
        </w:rPr>
      </w:pPr>
      <w:r w:rsidRPr="008C5B1B">
        <w:rPr>
          <w:i/>
        </w:rPr>
        <w:t>Source: Information from CFR Calatori</w:t>
      </w:r>
      <w:r>
        <w:rPr>
          <w:i/>
        </w:rPr>
        <w:t xml:space="preserve"> (2003)</w:t>
      </w:r>
      <w:r w:rsidRPr="008C5B1B">
        <w:rPr>
          <w:i/>
        </w:rPr>
        <w:t xml:space="preserve"> </w:t>
      </w:r>
    </w:p>
    <w:p w:rsidR="00660414" w:rsidRPr="000A76BD" w:rsidRDefault="00660414" w:rsidP="00A4081F">
      <w:pPr>
        <w:pStyle w:val="NumberedParas"/>
      </w:pPr>
      <w:r w:rsidRPr="008C5B1B">
        <w:t xml:space="preserve">The relative age of the rolling stock contributes to the low utilisation. Older fleets are generally less reliable, and require higher maintenance to deliver a </w:t>
      </w:r>
      <w:r>
        <w:t xml:space="preserve">timetable </w:t>
      </w:r>
      <w:r w:rsidRPr="008C5B1B">
        <w:t>ilar service compared with an operation using a more modern fleet</w:t>
      </w:r>
      <w:r>
        <w:t xml:space="preserve">. This </w:t>
      </w:r>
      <w:r w:rsidRPr="008C5B1B">
        <w:t xml:space="preserve">means a surplus is retained. Old rolling stock is </w:t>
      </w:r>
      <w:r>
        <w:t xml:space="preserve">also </w:t>
      </w:r>
      <w:r w:rsidRPr="008C5B1B">
        <w:t xml:space="preserve">less attractive to passengers. It is understood that a lack of spare parts and low levels of investment in maintenance have also contributed to this outcome. The utilisation of passenger rolling stock is about 65%, compared with the 85-90% which is normally achieved in other European countries. In the case of the newer, eight year old, Desiro trains less than 80% of the fleet is required to operate the currently scheduled services. It is understood that a programme of wheel modifications is currently underway, and this has reduced the number of units available. Once these </w:t>
      </w:r>
      <w:r>
        <w:t xml:space="preserve">revisions </w:t>
      </w:r>
      <w:r w:rsidRPr="008C5B1B">
        <w:t xml:space="preserve">have been completed, fleet productivity should increase. </w:t>
      </w:r>
    </w:p>
    <w:p w:rsidR="00660414" w:rsidRPr="000A76BD" w:rsidRDefault="00660414" w:rsidP="00A4081F">
      <w:pPr>
        <w:pStyle w:val="NumberedParas"/>
      </w:pPr>
      <w:r w:rsidRPr="008C5B1B">
        <w:t>It is notable that the railway network in Romania has experienced a reduction in the total train kilometres of 10% since 2008</w:t>
      </w:r>
      <w:r>
        <w:t>. O</w:t>
      </w:r>
      <w:r w:rsidRPr="008C5B1B">
        <w:t xml:space="preserve">ver the same period, there has been a </w:t>
      </w:r>
      <w:r>
        <w:t xml:space="preserve">10% </w:t>
      </w:r>
      <w:r w:rsidRPr="008C5B1B">
        <w:t xml:space="preserve">rise in the number of units required to operate the </w:t>
      </w:r>
      <w:r>
        <w:t>timetable</w:t>
      </w:r>
      <w:r w:rsidRPr="008C5B1B">
        <w:t>. This is mainly due to the increased rolling stock average age</w:t>
      </w:r>
      <w:r>
        <w:t xml:space="preserve"> leading to declining maintenance</w:t>
      </w:r>
      <w:r w:rsidRPr="008C5B1B">
        <w:t xml:space="preserve"> and </w:t>
      </w:r>
      <w:r>
        <w:t xml:space="preserve">the </w:t>
      </w:r>
      <w:r w:rsidRPr="008C5B1B">
        <w:t>additional speed restrictions which have been imposed</w:t>
      </w:r>
      <w:r>
        <w:t xml:space="preserve">. </w:t>
      </w:r>
      <w:r w:rsidRPr="008C5B1B">
        <w:t>Both factors constrain the productivity of the fleet. The high average age of units</w:t>
      </w:r>
      <w:r>
        <w:t xml:space="preserve"> </w:t>
      </w:r>
      <w:r w:rsidRPr="008C5B1B">
        <w:t xml:space="preserve">and </w:t>
      </w:r>
      <w:r>
        <w:t>l</w:t>
      </w:r>
      <w:r w:rsidRPr="008C5B1B">
        <w:t>ow utilisation, explains the requirement for an increased fleet size. The low utilisation rates mean almost 240 extra units are required to operate the current timetable</w:t>
      </w:r>
      <w:r>
        <w:t xml:space="preserve"> compared with fleet from a West European country</w:t>
      </w:r>
      <w:r w:rsidRPr="008C5B1B">
        <w:t>.</w:t>
      </w:r>
    </w:p>
    <w:p w:rsidR="00660414" w:rsidRPr="000A76BD" w:rsidRDefault="00660414" w:rsidP="00A4081F">
      <w:pPr>
        <w:pStyle w:val="NumberedParas"/>
      </w:pPr>
      <w:r w:rsidRPr="008C5B1B">
        <w:t xml:space="preserve">The use of loco-hauled passenger trains composed of just 3-4 carriages is very cost-inefficient when compared with DMU or EMU operation. Loco-hauled services also </w:t>
      </w:r>
      <w:r>
        <w:t xml:space="preserve">lead to </w:t>
      </w:r>
      <w:r w:rsidRPr="008C5B1B">
        <w:t>inefficiencies at terminal stations w</w:t>
      </w:r>
      <w:r>
        <w:t xml:space="preserve">ith </w:t>
      </w:r>
      <w:r w:rsidRPr="008C5B1B">
        <w:t xml:space="preserve">incoming locos are </w:t>
      </w:r>
      <w:r>
        <w:t xml:space="preserve">then </w:t>
      </w:r>
      <w:r w:rsidRPr="008C5B1B">
        <w:t>‘trapped’</w:t>
      </w:r>
      <w:r>
        <w:t>. This contributes to the lengthy turnaround times</w:t>
      </w:r>
      <w:r w:rsidRPr="008C5B1B">
        <w:t xml:space="preserve"> at the head of incoming trains.</w:t>
      </w:r>
    </w:p>
    <w:p w:rsidR="00660414" w:rsidRPr="000A76BD" w:rsidRDefault="00660414" w:rsidP="007613DE">
      <w:pPr>
        <w:pStyle w:val="Hdg3"/>
        <w:ind w:left="851"/>
      </w:pPr>
      <w:bookmarkStart w:id="7931" w:name="_Toc398885017"/>
      <w:r w:rsidRPr="008C5B1B">
        <w:t>Freight Rolling Stock</w:t>
      </w:r>
      <w:bookmarkEnd w:id="7931"/>
      <w:r w:rsidRPr="008C5B1B">
        <w:t xml:space="preserve"> </w:t>
      </w:r>
    </w:p>
    <w:p w:rsidR="00660414" w:rsidRPr="000A76BD" w:rsidRDefault="00660414" w:rsidP="00A4081F">
      <w:pPr>
        <w:pStyle w:val="NumberedParas"/>
      </w:pPr>
      <w:r w:rsidRPr="008C5B1B">
        <w:t xml:space="preserve">A high proportion of CFR Marfă’s stock is in poor condition although it is understood from interviews </w:t>
      </w:r>
      <w:r>
        <w:t xml:space="preserve">with operators </w:t>
      </w:r>
      <w:r w:rsidRPr="008C5B1B">
        <w:t>that relatively few units held by private rail operators are obsolete. The average age of a CFR Marfă locomotive was around 33 years and 30 years for wagons. Only 370 out of the 907 locomotives were active in 2012, with just less than 60% of wagons used. Much of the operational fleet is not suited to the emerging markets, including the expanding intermodal sector. There is a large monetary value associated with both the scrap metal of abandoned rolling stock and the track it’s stored on. The rolling stock fleet is shown in Table 5.5.</w:t>
      </w:r>
    </w:p>
    <w:p w:rsidR="00660414" w:rsidRPr="000A76BD" w:rsidRDefault="00660414" w:rsidP="00660414">
      <w:pPr>
        <w:pStyle w:val="Caption"/>
        <w:rPr>
          <w:b/>
          <w:sz w:val="22"/>
          <w:szCs w:val="22"/>
        </w:rPr>
      </w:pPr>
      <w:bookmarkStart w:id="7932" w:name="_Toc398885018"/>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w:t>
      </w:r>
      <w:r w:rsidRPr="001F5936">
        <w:rPr>
          <w:b/>
          <w:sz w:val="22"/>
          <w:szCs w:val="22"/>
        </w:rPr>
        <w:fldChar w:fldCharType="end"/>
      </w:r>
      <w:r w:rsidRPr="001F5936">
        <w:rPr>
          <w:b/>
          <w:sz w:val="22"/>
          <w:szCs w:val="22"/>
        </w:rPr>
        <w:t xml:space="preserve">: </w:t>
      </w:r>
      <w:r w:rsidRPr="008C5B1B">
        <w:rPr>
          <w:b/>
          <w:sz w:val="22"/>
          <w:szCs w:val="22"/>
        </w:rPr>
        <w:t>Summary of Freight Rolling Stock Availability (2013)</w:t>
      </w:r>
      <w:bookmarkEnd w:id="7932"/>
    </w:p>
    <w:tbl>
      <w:tblPr>
        <w:tblW w:w="9627" w:type="dxa"/>
        <w:tblInd w:w="108" w:type="dxa"/>
        <w:tblBorders>
          <w:top w:val="single" w:sz="12" w:space="0" w:color="000000"/>
          <w:bottom w:val="single" w:sz="12" w:space="0" w:color="000000"/>
        </w:tblBorders>
        <w:tblLook w:val="04A0" w:firstRow="1" w:lastRow="0" w:firstColumn="1" w:lastColumn="0" w:noHBand="0" w:noVBand="1"/>
      </w:tblPr>
      <w:tblGrid>
        <w:gridCol w:w="2415"/>
        <w:gridCol w:w="1452"/>
        <w:gridCol w:w="960"/>
        <w:gridCol w:w="960"/>
        <w:gridCol w:w="960"/>
        <w:gridCol w:w="960"/>
        <w:gridCol w:w="960"/>
        <w:gridCol w:w="960"/>
      </w:tblGrid>
      <w:tr w:rsidR="00660414" w:rsidRPr="000A76BD" w:rsidTr="007613DE">
        <w:trPr>
          <w:trHeight w:val="288"/>
        </w:trPr>
        <w:tc>
          <w:tcPr>
            <w:tcW w:w="3867" w:type="dxa"/>
            <w:gridSpan w:val="2"/>
            <w:tcBorders>
              <w:top w:val="single" w:sz="4" w:space="0" w:color="auto"/>
              <w:left w:val="single" w:sz="4" w:space="0" w:color="auto"/>
              <w:bottom w:val="single" w:sz="4" w:space="0" w:color="000000"/>
              <w:right w:val="single" w:sz="6" w:space="0" w:color="000000"/>
            </w:tcBorders>
            <w:shd w:val="clear" w:color="auto" w:fill="C6D9F1"/>
            <w:hideMark/>
          </w:tcPr>
          <w:p w:rsidR="00660414" w:rsidRPr="008C5B1B" w:rsidRDefault="00660414" w:rsidP="007613DE">
            <w:pPr>
              <w:spacing w:before="120" w:after="120"/>
              <w:jc w:val="center"/>
              <w:rPr>
                <w:rFonts w:cs="Arial"/>
                <w:b/>
                <w:bCs/>
                <w:i/>
                <w:iCs/>
                <w:sz w:val="22"/>
                <w:szCs w:val="22"/>
                <w:lang w:val="en-US"/>
              </w:rPr>
            </w:pPr>
            <w:r w:rsidRPr="008C5B1B">
              <w:rPr>
                <w:rFonts w:cs="Arial"/>
                <w:b/>
                <w:bCs/>
                <w:i/>
                <w:iCs/>
                <w:sz w:val="22"/>
                <w:szCs w:val="22"/>
                <w:lang w:val="en-US"/>
              </w:rPr>
              <w:t>Rolling stock for CFR Marfa</w:t>
            </w:r>
          </w:p>
        </w:tc>
        <w:tc>
          <w:tcPr>
            <w:tcW w:w="960" w:type="dxa"/>
            <w:tcBorders>
              <w:top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2007</w:t>
            </w:r>
          </w:p>
        </w:tc>
        <w:tc>
          <w:tcPr>
            <w:tcW w:w="960" w:type="dxa"/>
            <w:tcBorders>
              <w:top w:val="single" w:sz="4" w:space="0" w:color="auto"/>
              <w:left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2008</w:t>
            </w:r>
          </w:p>
        </w:tc>
        <w:tc>
          <w:tcPr>
            <w:tcW w:w="960" w:type="dxa"/>
            <w:tcBorders>
              <w:top w:val="single" w:sz="4" w:space="0" w:color="auto"/>
              <w:left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2009</w:t>
            </w:r>
          </w:p>
        </w:tc>
        <w:tc>
          <w:tcPr>
            <w:tcW w:w="960" w:type="dxa"/>
            <w:tcBorders>
              <w:top w:val="single" w:sz="4" w:space="0" w:color="auto"/>
              <w:left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2010</w:t>
            </w:r>
          </w:p>
        </w:tc>
        <w:tc>
          <w:tcPr>
            <w:tcW w:w="960" w:type="dxa"/>
            <w:tcBorders>
              <w:top w:val="single" w:sz="4" w:space="0" w:color="auto"/>
              <w:left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2011</w:t>
            </w:r>
          </w:p>
        </w:tc>
        <w:tc>
          <w:tcPr>
            <w:tcW w:w="960" w:type="dxa"/>
            <w:tcBorders>
              <w:top w:val="single" w:sz="4" w:space="0" w:color="auto"/>
              <w:left w:val="single" w:sz="4" w:space="0" w:color="auto"/>
              <w:bottom w:val="single" w:sz="4" w:space="0" w:color="000000"/>
              <w:right w:val="single" w:sz="4" w:space="0" w:color="auto"/>
            </w:tcBorders>
            <w:shd w:val="clear" w:color="auto" w:fill="C6D9F1"/>
            <w:noWrap/>
            <w:hideMark/>
          </w:tcPr>
          <w:p w:rsidR="00660414" w:rsidRPr="008C5B1B" w:rsidRDefault="00660414" w:rsidP="007613DE">
            <w:pPr>
              <w:spacing w:before="120" w:after="120"/>
              <w:jc w:val="center"/>
              <w:rPr>
                <w:rFonts w:cs="Arial"/>
                <w:b/>
                <w:bCs/>
                <w:i/>
                <w:iCs/>
                <w:color w:val="000000"/>
                <w:sz w:val="22"/>
                <w:szCs w:val="22"/>
                <w:lang w:val="en-US"/>
              </w:rPr>
            </w:pPr>
            <w:r w:rsidRPr="008C5B1B">
              <w:rPr>
                <w:rFonts w:cs="Arial"/>
                <w:b/>
                <w:bCs/>
                <w:i/>
                <w:iCs/>
                <w:color w:val="000000"/>
                <w:sz w:val="22"/>
                <w:szCs w:val="22"/>
                <w:lang w:val="en-US"/>
              </w:rPr>
              <w:t>2012</w:t>
            </w:r>
          </w:p>
        </w:tc>
      </w:tr>
      <w:tr w:rsidR="00660414" w:rsidRPr="000A76BD" w:rsidTr="007613DE">
        <w:trPr>
          <w:trHeight w:val="288"/>
        </w:trPr>
        <w:tc>
          <w:tcPr>
            <w:tcW w:w="2415" w:type="dxa"/>
            <w:vMerge w:val="restart"/>
            <w:tcBorders>
              <w:top w:val="single" w:sz="4" w:space="0" w:color="000000"/>
              <w:left w:val="single" w:sz="4" w:space="0" w:color="auto"/>
              <w:bottom w:val="single" w:sz="4" w:space="0" w:color="000000"/>
              <w:right w:val="single" w:sz="4" w:space="0" w:color="auto"/>
            </w:tcBorders>
            <w:shd w:val="clear" w:color="auto" w:fill="auto"/>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Rolling stock CFR Marfă</w:t>
            </w:r>
          </w:p>
        </w:tc>
        <w:tc>
          <w:tcPr>
            <w:tcW w:w="1452" w:type="dxa"/>
            <w:tcBorders>
              <w:top w:val="single" w:sz="4" w:space="0" w:color="000000"/>
              <w:left w:val="single" w:sz="4" w:space="0" w:color="auto"/>
              <w:bottom w:val="single" w:sz="4" w:space="0" w:color="auto"/>
              <w:right w:val="single" w:sz="4" w:space="0" w:color="000000"/>
            </w:tcBorders>
            <w:shd w:val="clear" w:color="auto" w:fill="auto"/>
            <w:noWrap/>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Locomotives</w:t>
            </w:r>
          </w:p>
        </w:tc>
        <w:tc>
          <w:tcPr>
            <w:tcW w:w="960" w:type="dxa"/>
            <w:tcBorders>
              <w:top w:val="single" w:sz="6" w:space="0" w:color="000000"/>
              <w:left w:val="single" w:sz="4" w:space="0" w:color="000000"/>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991</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956</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907</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907</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907</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907</w:t>
            </w:r>
          </w:p>
        </w:tc>
      </w:tr>
      <w:tr w:rsidR="00660414" w:rsidRPr="000A76BD" w:rsidTr="007613DE">
        <w:trPr>
          <w:trHeight w:val="288"/>
        </w:trPr>
        <w:tc>
          <w:tcPr>
            <w:tcW w:w="2415" w:type="dxa"/>
            <w:vMerge/>
            <w:tcBorders>
              <w:top w:val="single" w:sz="4" w:space="0" w:color="000000"/>
              <w:left w:val="single" w:sz="4" w:space="0" w:color="auto"/>
              <w:bottom w:val="single" w:sz="4" w:space="0" w:color="000000"/>
              <w:right w:val="single" w:sz="4" w:space="0" w:color="auto"/>
            </w:tcBorders>
            <w:shd w:val="clear" w:color="auto" w:fill="auto"/>
            <w:hideMark/>
          </w:tcPr>
          <w:p w:rsidR="00660414" w:rsidRPr="008C5B1B" w:rsidRDefault="00660414" w:rsidP="007613DE">
            <w:pPr>
              <w:spacing w:before="120" w:after="120"/>
              <w:rPr>
                <w:rFonts w:cs="Arial"/>
                <w:bCs/>
                <w:color w:val="000000"/>
                <w:sz w:val="22"/>
                <w:szCs w:val="22"/>
                <w:lang w:val="en-US"/>
              </w:rPr>
            </w:pPr>
          </w:p>
        </w:tc>
        <w:tc>
          <w:tcPr>
            <w:tcW w:w="1452" w:type="dxa"/>
            <w:tcBorders>
              <w:top w:val="single" w:sz="4" w:space="0" w:color="auto"/>
              <w:left w:val="single" w:sz="4" w:space="0" w:color="auto"/>
              <w:bottom w:val="single" w:sz="4" w:space="0" w:color="000000"/>
              <w:right w:val="single" w:sz="4" w:space="0" w:color="000000"/>
            </w:tcBorders>
            <w:shd w:val="clear" w:color="auto" w:fill="auto"/>
            <w:noWrap/>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Wagons</w:t>
            </w:r>
          </w:p>
        </w:tc>
        <w:tc>
          <w:tcPr>
            <w:tcW w:w="960" w:type="dxa"/>
            <w:tcBorders>
              <w:top w:val="single" w:sz="4" w:space="0" w:color="auto"/>
              <w:left w:val="single" w:sz="4" w:space="0" w:color="000000"/>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50,151</w:t>
            </w:r>
          </w:p>
        </w:tc>
        <w:tc>
          <w:tcPr>
            <w:tcW w:w="960" w:type="dxa"/>
            <w:tcBorders>
              <w:top w:val="single" w:sz="4" w:space="0" w:color="auto"/>
              <w:left w:val="single" w:sz="4" w:space="0" w:color="auto"/>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42,925</w:t>
            </w:r>
          </w:p>
        </w:tc>
        <w:tc>
          <w:tcPr>
            <w:tcW w:w="960" w:type="dxa"/>
            <w:tcBorders>
              <w:top w:val="single" w:sz="4" w:space="0" w:color="auto"/>
              <w:left w:val="single" w:sz="4" w:space="0" w:color="auto"/>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41,754</w:t>
            </w:r>
          </w:p>
        </w:tc>
        <w:tc>
          <w:tcPr>
            <w:tcW w:w="960" w:type="dxa"/>
            <w:tcBorders>
              <w:top w:val="single" w:sz="4" w:space="0" w:color="auto"/>
              <w:left w:val="single" w:sz="4" w:space="0" w:color="auto"/>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39,741</w:t>
            </w:r>
          </w:p>
        </w:tc>
        <w:tc>
          <w:tcPr>
            <w:tcW w:w="960" w:type="dxa"/>
            <w:tcBorders>
              <w:top w:val="single" w:sz="4" w:space="0" w:color="auto"/>
              <w:left w:val="single" w:sz="4" w:space="0" w:color="auto"/>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39,149</w:t>
            </w:r>
          </w:p>
        </w:tc>
        <w:tc>
          <w:tcPr>
            <w:tcW w:w="960" w:type="dxa"/>
            <w:tcBorders>
              <w:top w:val="single" w:sz="4" w:space="0" w:color="auto"/>
              <w:left w:val="single" w:sz="4" w:space="0" w:color="auto"/>
              <w:bottom w:val="single" w:sz="6" w:space="0" w:color="000000"/>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38,498</w:t>
            </w:r>
          </w:p>
        </w:tc>
      </w:tr>
      <w:tr w:rsidR="00660414" w:rsidRPr="000A76BD" w:rsidTr="007613DE">
        <w:trPr>
          <w:trHeight w:val="288"/>
        </w:trPr>
        <w:tc>
          <w:tcPr>
            <w:tcW w:w="2415" w:type="dxa"/>
            <w:vMerge w:val="restart"/>
            <w:tcBorders>
              <w:top w:val="single" w:sz="4" w:space="0" w:color="000000"/>
              <w:left w:val="single" w:sz="4" w:space="0" w:color="auto"/>
              <w:bottom w:val="single" w:sz="4" w:space="0" w:color="000000"/>
              <w:right w:val="single" w:sz="4" w:space="0" w:color="auto"/>
            </w:tcBorders>
            <w:shd w:val="clear" w:color="auto" w:fill="auto"/>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Active rolling stock CFR Marfă %</w:t>
            </w:r>
          </w:p>
        </w:tc>
        <w:tc>
          <w:tcPr>
            <w:tcW w:w="1452" w:type="dxa"/>
            <w:tcBorders>
              <w:top w:val="single" w:sz="4" w:space="0" w:color="000000"/>
              <w:left w:val="single" w:sz="4" w:space="0" w:color="auto"/>
              <w:bottom w:val="single" w:sz="4" w:space="0" w:color="auto"/>
              <w:right w:val="single" w:sz="4" w:space="0" w:color="000000"/>
            </w:tcBorders>
            <w:shd w:val="clear" w:color="auto" w:fill="auto"/>
            <w:noWrap/>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Locomotives</w:t>
            </w:r>
          </w:p>
        </w:tc>
        <w:tc>
          <w:tcPr>
            <w:tcW w:w="960" w:type="dxa"/>
            <w:tcBorders>
              <w:top w:val="single" w:sz="6" w:space="0" w:color="000000"/>
              <w:left w:val="single" w:sz="4" w:space="0" w:color="000000"/>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44.9%</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40.1%</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26.8%</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24.8%</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42.2%</w:t>
            </w:r>
          </w:p>
        </w:tc>
        <w:tc>
          <w:tcPr>
            <w:tcW w:w="960" w:type="dxa"/>
            <w:tcBorders>
              <w:top w:val="single" w:sz="6" w:space="0" w:color="000000"/>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40.8%</w:t>
            </w:r>
          </w:p>
        </w:tc>
      </w:tr>
      <w:tr w:rsidR="00660414" w:rsidRPr="000A76BD" w:rsidTr="007613DE">
        <w:trPr>
          <w:trHeight w:val="288"/>
        </w:trPr>
        <w:tc>
          <w:tcPr>
            <w:tcW w:w="2415" w:type="dxa"/>
            <w:vMerge/>
            <w:tcBorders>
              <w:top w:val="single" w:sz="4" w:space="0" w:color="000000"/>
              <w:left w:val="single" w:sz="4" w:space="0" w:color="auto"/>
              <w:bottom w:val="single" w:sz="4" w:space="0" w:color="auto"/>
              <w:right w:val="single" w:sz="4" w:space="0" w:color="auto"/>
            </w:tcBorders>
            <w:shd w:val="clear" w:color="auto" w:fill="auto"/>
            <w:hideMark/>
          </w:tcPr>
          <w:p w:rsidR="00660414" w:rsidRPr="008C5B1B" w:rsidRDefault="00660414" w:rsidP="007613DE">
            <w:pPr>
              <w:spacing w:before="120" w:after="120"/>
              <w:rPr>
                <w:bCs/>
                <w:color w:val="000000"/>
                <w:sz w:val="22"/>
                <w:szCs w:val="22"/>
                <w:lang w:val="en-US"/>
              </w:rPr>
            </w:pPr>
          </w:p>
        </w:tc>
        <w:tc>
          <w:tcPr>
            <w:tcW w:w="1452" w:type="dxa"/>
            <w:tcBorders>
              <w:top w:val="single" w:sz="4" w:space="0" w:color="auto"/>
              <w:left w:val="single" w:sz="4" w:space="0" w:color="auto"/>
              <w:bottom w:val="single" w:sz="4" w:space="0" w:color="auto"/>
              <w:right w:val="single" w:sz="4" w:space="0" w:color="000000"/>
            </w:tcBorders>
            <w:shd w:val="clear" w:color="auto" w:fill="auto"/>
            <w:noWrap/>
            <w:hideMark/>
          </w:tcPr>
          <w:p w:rsidR="00660414" w:rsidRPr="008C5B1B" w:rsidRDefault="00660414" w:rsidP="007613DE">
            <w:pPr>
              <w:spacing w:before="120" w:after="120"/>
              <w:jc w:val="center"/>
              <w:rPr>
                <w:rFonts w:cs="Arial"/>
                <w:bCs/>
                <w:color w:val="000000"/>
                <w:sz w:val="22"/>
                <w:szCs w:val="22"/>
                <w:lang w:val="en-US"/>
              </w:rPr>
            </w:pPr>
            <w:r w:rsidRPr="008C5B1B">
              <w:rPr>
                <w:rFonts w:cs="Arial"/>
                <w:bCs/>
                <w:color w:val="000000"/>
                <w:sz w:val="22"/>
                <w:szCs w:val="22"/>
                <w:lang w:val="en-US"/>
              </w:rPr>
              <w:t>Wagons</w:t>
            </w:r>
          </w:p>
        </w:tc>
        <w:tc>
          <w:tcPr>
            <w:tcW w:w="960" w:type="dxa"/>
            <w:tcBorders>
              <w:top w:val="single" w:sz="4" w:space="0" w:color="auto"/>
              <w:left w:val="single" w:sz="4" w:space="0" w:color="000000"/>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660414" w:rsidRPr="008C5B1B" w:rsidRDefault="00660414" w:rsidP="007613DE">
            <w:pPr>
              <w:spacing w:before="120" w:after="120"/>
              <w:jc w:val="center"/>
              <w:rPr>
                <w:rFonts w:cs="Arial"/>
                <w:color w:val="000000"/>
                <w:sz w:val="22"/>
                <w:szCs w:val="22"/>
                <w:lang w:val="en-US"/>
              </w:rPr>
            </w:pPr>
            <w:r w:rsidRPr="008C5B1B">
              <w:rPr>
                <w:rFonts w:cs="Arial"/>
                <w:color w:val="000000"/>
                <w:sz w:val="22"/>
                <w:szCs w:val="22"/>
                <w:lang w:val="en-US"/>
              </w:rPr>
              <w:t>59.9%</w:t>
            </w:r>
          </w:p>
        </w:tc>
      </w:tr>
    </w:tbl>
    <w:p w:rsidR="00660414" w:rsidRPr="00A94CC5" w:rsidRDefault="00660414" w:rsidP="007613DE">
      <w:pPr>
        <w:rPr>
          <w:i/>
        </w:rPr>
      </w:pPr>
      <w:r w:rsidRPr="008C5B1B">
        <w:rPr>
          <w:i/>
        </w:rPr>
        <w:t>Source: Rail Directorate - MT</w:t>
      </w:r>
    </w:p>
    <w:p w:rsidR="00660414" w:rsidRPr="000A76BD" w:rsidRDefault="00660414" w:rsidP="00A4081F">
      <w:pPr>
        <w:pStyle w:val="NumberedParas"/>
      </w:pPr>
      <w:r w:rsidRPr="008C5B1B">
        <w:t>Old</w:t>
      </w:r>
      <w:r>
        <w:t>er freight</w:t>
      </w:r>
      <w:r w:rsidRPr="008C5B1B">
        <w:t xml:space="preserve"> rolling stock will invariably require </w:t>
      </w:r>
      <w:r>
        <w:t xml:space="preserve">additional </w:t>
      </w:r>
      <w:r w:rsidRPr="008C5B1B">
        <w:t xml:space="preserve">maintenance, be less reliable with </w:t>
      </w:r>
      <w:r>
        <w:t xml:space="preserve">more </w:t>
      </w:r>
      <w:r w:rsidRPr="008C5B1B">
        <w:t xml:space="preserve">unscheduled maintenance required. Furthermore, the availability of spare parts has been reduced. There is also a shortage of open hopper wagons. A further constraint is the axle weight limit which is just 20.5 tonnes and less than many other EU countries (22.5 tonnes). As a result, payload per wagon is reduced and means a </w:t>
      </w:r>
      <w:r>
        <w:t>higher n</w:t>
      </w:r>
      <w:r w:rsidRPr="008C5B1B">
        <w:t xml:space="preserve">umber of wagons </w:t>
      </w:r>
      <w:r>
        <w:t xml:space="preserve">will be required </w:t>
      </w:r>
      <w:r w:rsidRPr="008C5B1B">
        <w:t>to move the equivalent quantity of goods. This is problematic for trains crossing borders or using other routes in Romania, which have to use the lowest weight limit in order to remain legal throughout their journey. Although some rehabilitated lines have been upgraded to 22.7 tonnes, a train in Romania that uses non-rehabilitated routes or makes cross border journeys will travel for much of its journey using the lower weight limits</w:t>
      </w:r>
      <w:r>
        <w:t xml:space="preserve"> and hence becomes more inefficient</w:t>
      </w:r>
      <w:r w:rsidRPr="008C5B1B">
        <w:t>.</w:t>
      </w:r>
    </w:p>
    <w:p w:rsidR="00660414" w:rsidRPr="000A76BD" w:rsidRDefault="00660414" w:rsidP="007613DE">
      <w:pPr>
        <w:pStyle w:val="Hdg3"/>
        <w:ind w:left="851"/>
      </w:pPr>
      <w:bookmarkStart w:id="7933" w:name="_Toc398885019"/>
      <w:r w:rsidRPr="008C5B1B">
        <w:t>Maintenance and Renewals Regime</w:t>
      </w:r>
      <w:bookmarkEnd w:id="7933"/>
    </w:p>
    <w:p w:rsidR="00660414" w:rsidRPr="000A76BD" w:rsidRDefault="00660414" w:rsidP="00A4081F">
      <w:pPr>
        <w:pStyle w:val="NumberedParas"/>
      </w:pPr>
      <w:r w:rsidRPr="008C5B1B">
        <w:t xml:space="preserve">The spending required to keep the railway network in a good condition are categorised under two headings: maintenance and renewals. These terms are defined in this section, together with an assessment of the current and forecast spending under these two categories. Maintenance is ongoing expenditure to ensure the safe use of an infrastructure item.  The ‘steady state’ level of maintenance ensures that the infrastructure item continues to be used to the standard it was built, for example ensuring trains are able to travel safely at the design speed of the network.  If maintenance falls below the steady state level, its condition will deteriorate leading to less efficient use and operation, commonly the imposition of speed restrictions, either at specific points or over longer sections of track, or in extreme cases, line closures. </w:t>
      </w:r>
    </w:p>
    <w:p w:rsidR="00660414" w:rsidRDefault="00660414" w:rsidP="00A4081F">
      <w:pPr>
        <w:pStyle w:val="NumberedParas"/>
      </w:pPr>
      <w:r w:rsidRPr="008C5B1B">
        <w:t xml:space="preserve">Recent investment in railway infrastructure has not yielded journey time improvements along the main routes. For example, journey times between Bucharest and Constanta remained relatively static between 2001 and 2012 despite significant investment to rehabilitate the line. This calls into question the value of infrastructure investment, and highlights that there are other institutional and organisational barriers that exist which do not allow rail to fulfil its potential. For example in 2001 freight trains were allowed to run at a maximum speed of 120km/hour </w:t>
      </w:r>
      <w:r>
        <w:t xml:space="preserve">if </w:t>
      </w:r>
      <w:r w:rsidRPr="008C5B1B">
        <w:t xml:space="preserve">the track was suitable, but a safety-related blanket restriction has </w:t>
      </w:r>
      <w:r>
        <w:t xml:space="preserve">subsequently </w:t>
      </w:r>
      <w:r w:rsidRPr="008C5B1B">
        <w:t>been imposed at 80km/hour on all freight on all routes including rehabilitated lines. This is currently being reviewed for the 2013/14 timetable and may, under certain operating circumstances, facilitate increase</w:t>
      </w:r>
      <w:r>
        <w:t>d</w:t>
      </w:r>
      <w:r w:rsidRPr="008C5B1B">
        <w:t xml:space="preserve"> line speeds. Figure 5.17 illustrates the ‘before’ and ‘after’ situation for a corridor which has benefited from rehabilitat</w:t>
      </w:r>
      <w:r>
        <w:t>ion</w:t>
      </w:r>
      <w:r w:rsidRPr="008C5B1B">
        <w:t xml:space="preserve"> route.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3"/>
        <w:gridCol w:w="5254"/>
      </w:tblGrid>
      <w:tr w:rsidR="00660414" w:rsidRPr="000A76BD" w:rsidTr="007613DE">
        <w:tc>
          <w:tcPr>
            <w:tcW w:w="5253" w:type="dxa"/>
            <w:tcBorders>
              <w:top w:val="nil"/>
              <w:left w:val="nil"/>
              <w:bottom w:val="nil"/>
              <w:right w:val="nil"/>
            </w:tcBorders>
            <w:shd w:val="clear" w:color="auto" w:fill="auto"/>
          </w:tcPr>
          <w:p w:rsidR="00660414" w:rsidRPr="008C5B1B" w:rsidRDefault="00660414" w:rsidP="007613DE">
            <w:pPr>
              <w:spacing w:after="60"/>
              <w:rPr>
                <w:b/>
                <w:sz w:val="22"/>
                <w:szCs w:val="22"/>
              </w:rPr>
            </w:pPr>
            <w:r w:rsidRPr="008C5B1B">
              <w:rPr>
                <w:b/>
                <w:noProof/>
                <w:sz w:val="22"/>
                <w:szCs w:val="22"/>
                <w:lang w:val="ro-RO" w:eastAsia="ro-RO"/>
              </w:rPr>
              <w:drawing>
                <wp:inline distT="0" distB="0" distL="0" distR="0" wp14:anchorId="3800DA52" wp14:editId="13C44D2A">
                  <wp:extent cx="3051769" cy="2377440"/>
                  <wp:effectExtent l="19050" t="0" r="0" b="0"/>
                  <wp:docPr id="5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056660" cy="2381250"/>
                          </a:xfrm>
                          <a:prstGeom prst="rect">
                            <a:avLst/>
                          </a:prstGeom>
                          <a:noFill/>
                        </pic:spPr>
                      </pic:pic>
                    </a:graphicData>
                  </a:graphic>
                </wp:inline>
              </w:drawing>
            </w:r>
          </w:p>
        </w:tc>
        <w:tc>
          <w:tcPr>
            <w:tcW w:w="5254" w:type="dxa"/>
            <w:tcBorders>
              <w:top w:val="nil"/>
              <w:left w:val="nil"/>
              <w:bottom w:val="nil"/>
              <w:right w:val="nil"/>
            </w:tcBorders>
            <w:shd w:val="clear" w:color="auto" w:fill="auto"/>
          </w:tcPr>
          <w:p w:rsidR="00660414" w:rsidRPr="008C5B1B" w:rsidRDefault="00660414" w:rsidP="007613DE">
            <w:pPr>
              <w:spacing w:after="60"/>
              <w:rPr>
                <w:b/>
                <w:sz w:val="22"/>
                <w:szCs w:val="22"/>
              </w:rPr>
            </w:pPr>
            <w:r w:rsidRPr="008C5B1B">
              <w:rPr>
                <w:b/>
                <w:noProof/>
                <w:sz w:val="22"/>
                <w:szCs w:val="22"/>
                <w:lang w:val="ro-RO" w:eastAsia="ro-RO"/>
              </w:rPr>
              <w:drawing>
                <wp:inline distT="0" distB="0" distL="0" distR="0" wp14:anchorId="6CD101C6" wp14:editId="293DE7A4">
                  <wp:extent cx="3162300" cy="2381250"/>
                  <wp:effectExtent l="19050" t="0" r="0" b="0"/>
                  <wp:docPr id="5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cstate="print"/>
                          <a:srcRect/>
                          <a:stretch>
                            <a:fillRect/>
                          </a:stretch>
                        </pic:blipFill>
                        <pic:spPr bwMode="auto">
                          <a:xfrm>
                            <a:off x="0" y="0"/>
                            <a:ext cx="3162300" cy="2381250"/>
                          </a:xfrm>
                          <a:prstGeom prst="rect">
                            <a:avLst/>
                          </a:prstGeom>
                          <a:noFill/>
                        </pic:spPr>
                      </pic:pic>
                    </a:graphicData>
                  </a:graphic>
                </wp:inline>
              </w:drawing>
            </w:r>
          </w:p>
        </w:tc>
      </w:tr>
    </w:tbl>
    <w:p w:rsidR="00660414" w:rsidRPr="000A76BD"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18</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Example of Pre and Post Rehabilitated Networks</w:t>
      </w:r>
    </w:p>
    <w:p w:rsidR="00660414" w:rsidRPr="000A76BD" w:rsidRDefault="00660414" w:rsidP="00A4081F">
      <w:pPr>
        <w:pStyle w:val="NumberedParas"/>
      </w:pPr>
      <w:r w:rsidRPr="008C5B1B">
        <w:t>Recent information from CFR Infrastructure indicates maintenance expenditure was €342.72m (2010), €320.90m (2011), €314.99m (2012) and €324.32m (2013). It is uncertain whether this level of funding will be continued. For example, CFR SA previously produced data which implie</w:t>
      </w:r>
      <w:r>
        <w:t>d</w:t>
      </w:r>
      <w:r w:rsidRPr="008C5B1B">
        <w:t xml:space="preserve"> that the maintenance budget between 2013 and 2020 would be €958m, an average of €137m per year. Between 2020 and 2030, a maintenance budget of €1,368m is assumed, equating to €137m per year. </w:t>
      </w:r>
    </w:p>
    <w:p w:rsidR="00660414" w:rsidRPr="000A76BD" w:rsidRDefault="00660414" w:rsidP="00A4081F">
      <w:pPr>
        <w:pStyle w:val="NumberedParas"/>
      </w:pPr>
      <w:r w:rsidRPr="008C5B1B">
        <w:t xml:space="preserve">All infrastructure items have a defined life expectancy (for example: a bridge may be 60 years) and </w:t>
      </w:r>
      <w:r>
        <w:t xml:space="preserve">will then </w:t>
      </w:r>
      <w:r w:rsidRPr="008C5B1B">
        <w:t xml:space="preserve">require replacement.  A long-term programme of ongoing renewals of infrastructure items each year is also required in order to ensure that the </w:t>
      </w:r>
      <w:r>
        <w:t xml:space="preserve">extent </w:t>
      </w:r>
      <w:r w:rsidRPr="008C5B1B">
        <w:t xml:space="preserve">of infrastructure that is life-expired is reduced and eventually removed.  This, combined with the steady state maintenance and repair programme, will ensure that speed restrictions do not start to materialise again and trains operate at the maximum possible speeds. Recent information from CFR Infrastructure indicated the expenditure </w:t>
      </w:r>
      <w:r>
        <w:t xml:space="preserve">was </w:t>
      </w:r>
      <w:r w:rsidRPr="008C5B1B">
        <w:t xml:space="preserve">€17.55m </w:t>
      </w:r>
      <w:r>
        <w:t xml:space="preserve">in </w:t>
      </w:r>
      <w:r w:rsidRPr="008C5B1B">
        <w:t xml:space="preserve">2010, </w:t>
      </w:r>
      <w:r>
        <w:t xml:space="preserve">with </w:t>
      </w:r>
      <w:r w:rsidRPr="008C5B1B">
        <w:t>€9.97m (2011), €8.34m (2012) and €12.36m (2013).</w:t>
      </w:r>
    </w:p>
    <w:p w:rsidR="00660414" w:rsidRDefault="00660414" w:rsidP="00A4081F">
      <w:pPr>
        <w:pStyle w:val="NumberedParas"/>
      </w:pPr>
      <w:r w:rsidRPr="008C5B1B">
        <w:t>The condition of the infrastructure has deteriorated with the combination of a lengthening backlog of maintenance and renewal, resulting in life expired assets</w:t>
      </w:r>
      <w:r>
        <w:t xml:space="preserve"> and </w:t>
      </w:r>
      <w:r w:rsidRPr="008C5B1B">
        <w:t>speed restrictions</w:t>
      </w:r>
      <w:r>
        <w:t>. A</w:t>
      </w:r>
      <w:r w:rsidRPr="008C5B1B">
        <w:t>verage speeds over the network</w:t>
      </w:r>
      <w:r>
        <w:t xml:space="preserve"> would decrease</w:t>
      </w:r>
      <w:r w:rsidRPr="008C5B1B">
        <w:t>. By 2012, about 65% of the track, 80% of the turnouts, 85% of the overhead catenary, 66% of the embankments and 40% of the bridges appear to be life expired and require renewal (“capital repairs”). This reinforces the conclusion that recent renewals expenditure has been completely inadequate. Locally controlled signalling systems are in place across much of the network. This results in high staff and maintenance costs to operate services</w:t>
      </w:r>
      <w:r>
        <w:t xml:space="preserve">, regardless of low </w:t>
      </w:r>
      <w:r w:rsidRPr="008C5B1B">
        <w:t>service frequencies</w:t>
      </w:r>
      <w:r>
        <w:t xml:space="preserve">. </w:t>
      </w:r>
    </w:p>
    <w:p w:rsidR="00660414" w:rsidRDefault="00660414" w:rsidP="00A4081F">
      <w:pPr>
        <w:pStyle w:val="NumberedParas"/>
      </w:pPr>
      <w:r w:rsidRPr="008C5B1B">
        <w:t xml:space="preserve">The lack of current funding for maintenance has resulted in 1,800 temporary speed restrictions being imposed, which in turn result in slower overall journey times. There were 3.18 million delay minutes in 2012, with speed restrictions accounting for over one-third of this total. These restrictions particularly impact on passenger services. Figure 5.18 presents the annual delay minutes affecting passenger services and the </w:t>
      </w:r>
      <w:r>
        <w:t xml:space="preserve">organisation responsible </w:t>
      </w:r>
      <w:r w:rsidRPr="008C5B1B">
        <w:t>between 2005 and 2010.</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6EC48D5" wp14:editId="71B2ED71">
            <wp:extent cx="5170031" cy="32400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70031" cy="3240000"/>
                    </a:xfrm>
                    <a:prstGeom prst="rect">
                      <a:avLst/>
                    </a:prstGeom>
                    <a:noFill/>
                  </pic:spPr>
                </pic:pic>
              </a:graphicData>
            </a:graphic>
          </wp:inline>
        </w:drawing>
      </w:r>
    </w:p>
    <w:p w:rsidR="00660414" w:rsidRPr="000A76BD" w:rsidRDefault="00660414" w:rsidP="00660414">
      <w:pPr>
        <w:pStyle w:val="Caption"/>
        <w:rPr>
          <w:b/>
          <w:sz w:val="22"/>
          <w:szCs w:val="22"/>
        </w:rPr>
      </w:pPr>
      <w:bookmarkStart w:id="7934" w:name="_Toc398885021"/>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19</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Summary of Total Annual Delay Minutes and the Contributory Factors – Passenger Services</w:t>
      </w:r>
    </w:p>
    <w:p w:rsidR="00660414" w:rsidRPr="008A590A" w:rsidRDefault="00660414" w:rsidP="007613DE">
      <w:pPr>
        <w:rPr>
          <w:i/>
        </w:rPr>
      </w:pPr>
      <w:bookmarkStart w:id="7935" w:name="_Toc398885022"/>
      <w:bookmarkEnd w:id="7934"/>
      <w:r w:rsidRPr="008C5B1B">
        <w:rPr>
          <w:i/>
        </w:rPr>
        <w:t>Source: AECOM analysis of CFR Infrastructure and Calatori data</w:t>
      </w:r>
      <w:bookmarkEnd w:id="7935"/>
      <w:r w:rsidRPr="008C5B1B">
        <w:rPr>
          <w:i/>
        </w:rPr>
        <w:t xml:space="preserve"> </w:t>
      </w:r>
    </w:p>
    <w:p w:rsidR="00660414" w:rsidRPr="000A76BD" w:rsidRDefault="00660414" w:rsidP="00A4081F">
      <w:pPr>
        <w:pStyle w:val="NumberedParas"/>
      </w:pPr>
      <w:r w:rsidRPr="008C5B1B">
        <w:t xml:space="preserve">The delay minutes shown in Figure 5.16 are sub-divided into three categories, infrastructure related, CFR Calatori and other factors. There was some evidence of a reduction in delay minutes during 2011. </w:t>
      </w:r>
      <w:r>
        <w:t xml:space="preserve">Whilst </w:t>
      </w:r>
      <w:r w:rsidRPr="008C5B1B">
        <w:t xml:space="preserve">there was a 45% drop in delays, there is evidence that </w:t>
      </w:r>
      <w:r>
        <w:t>t</w:t>
      </w:r>
      <w:r w:rsidRPr="008C5B1B">
        <w:t xml:space="preserve">he introduction of revised timetables </w:t>
      </w:r>
      <w:r>
        <w:t xml:space="preserve">with </w:t>
      </w:r>
      <w:r w:rsidRPr="008C5B1B">
        <w:t>extended journey times</w:t>
      </w:r>
      <w:r>
        <w:t xml:space="preserve"> has contributed to this outcome</w:t>
      </w:r>
      <w:r w:rsidRPr="008C5B1B">
        <w:t xml:space="preserve">. At present, single track sections </w:t>
      </w:r>
      <w:r>
        <w:t xml:space="preserve">are </w:t>
      </w:r>
      <w:r w:rsidRPr="008C5B1B">
        <w:t>closed during the morning from 08.00 to about 13.00 for maintenance, whilst there is a requirement for single track working on double track routes for similar reasons. This either results in lengthy gaps in services that use single line sections, or longer journey times on other parts of the network</w:t>
      </w:r>
      <w:r>
        <w:t>. A</w:t>
      </w:r>
      <w:r w:rsidRPr="008C5B1B">
        <w:t xml:space="preserve"> review </w:t>
      </w:r>
      <w:r>
        <w:t xml:space="preserve">of </w:t>
      </w:r>
      <w:r w:rsidRPr="008C5B1B">
        <w:t xml:space="preserve">operating practice in Hungary and Poland </w:t>
      </w:r>
      <w:r>
        <w:t>using several c</w:t>
      </w:r>
      <w:r w:rsidRPr="008C5B1B">
        <w:t>ase studies</w:t>
      </w:r>
      <w:r>
        <w:rPr>
          <w:rStyle w:val="FootnoteReference"/>
        </w:rPr>
        <w:footnoteReference w:id="27"/>
      </w:r>
      <w:r w:rsidRPr="008C5B1B">
        <w:t xml:space="preserve"> demonstrates that routes do not close for an extended period during the morning for maintenance. Furthermore, these lines are generally served by a higher frequency than five trains per day. </w:t>
      </w:r>
    </w:p>
    <w:p w:rsidR="00660414" w:rsidRPr="000A76BD" w:rsidRDefault="00660414" w:rsidP="00A4081F">
      <w:pPr>
        <w:pStyle w:val="NumberedParas"/>
      </w:pPr>
      <w:r w:rsidRPr="008C5B1B">
        <w:t xml:space="preserve">Selected parts of the network are </w:t>
      </w:r>
      <w:r>
        <w:t xml:space="preserve">affected </w:t>
      </w:r>
      <w:r w:rsidRPr="008C5B1B">
        <w:t xml:space="preserve">by regular and ongoing theft of cables and other equipment, particularly on the Constanta corridor. This has had a significant adverse impact on service reliability. Furthermore, the response </w:t>
      </w:r>
      <w:r>
        <w:t xml:space="preserve">from the operator </w:t>
      </w:r>
      <w:r w:rsidRPr="008C5B1B">
        <w:t xml:space="preserve">has been </w:t>
      </w:r>
      <w:r>
        <w:t>to r</w:t>
      </w:r>
      <w:r w:rsidRPr="008C5B1B">
        <w:t>educ</w:t>
      </w:r>
      <w:r>
        <w:t>e</w:t>
      </w:r>
      <w:r w:rsidRPr="008C5B1B">
        <w:t xml:space="preserve"> the operating speed</w:t>
      </w:r>
      <w:r>
        <w:t xml:space="preserve"> and therefore include </w:t>
      </w:r>
      <w:r w:rsidRPr="008C5B1B">
        <w:t>additional time in the timetable to take account of the repairs to the signalling systems</w:t>
      </w:r>
      <w:r>
        <w:t xml:space="preserve"> for all services</w:t>
      </w:r>
      <w:r w:rsidRPr="008C5B1B">
        <w:t>.</w:t>
      </w:r>
    </w:p>
    <w:p w:rsidR="00660414" w:rsidRDefault="00660414" w:rsidP="00A4081F">
      <w:pPr>
        <w:pStyle w:val="NumberedParas"/>
      </w:pPr>
      <w:r w:rsidRPr="008C5B1B">
        <w:t>Despite this, Figure 5.19 demonstrates that CFR Marfa experiences fewer delays than private operators</w:t>
      </w:r>
      <w:r>
        <w:t xml:space="preserve">. Furthermore, </w:t>
      </w:r>
      <w:r w:rsidRPr="008C5B1B">
        <w:t xml:space="preserve">the most significant cause of delays associated with the state operator is </w:t>
      </w:r>
      <w:r>
        <w:t xml:space="preserve">the action of </w:t>
      </w:r>
      <w:r w:rsidRPr="008C5B1B">
        <w:t>other</w:t>
      </w:r>
      <w:r>
        <w:t>s</w:t>
      </w:r>
      <w:r w:rsidRPr="008C5B1B">
        <w:t>. Private operators experience over twice as many delays as the state operator, with the most significant primary cause being operator i</w:t>
      </w:r>
      <w:r>
        <w:t xml:space="preserve">ncurred delays. This appears consistent with the changing market share noted in Figure 5.9 between the state and private operators. </w:t>
      </w:r>
      <w:r w:rsidRPr="008C5B1B">
        <w:t>The figures also show that delays associated with CFR Marfa are in decline, whilst those associated with private operators have risen between 2010 and 2012.</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84BEEA0" wp14:editId="140E6398">
            <wp:extent cx="5858540" cy="3115339"/>
            <wp:effectExtent l="0" t="0" r="27940" b="27940"/>
            <wp:docPr id="565"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660414" w:rsidRPr="008C7A83" w:rsidRDefault="00660414" w:rsidP="00660414">
      <w:pPr>
        <w:pStyle w:val="Caption"/>
        <w:rPr>
          <w:b/>
        </w:rPr>
      </w:pPr>
      <w:bookmarkStart w:id="7936" w:name="_Toc398885023"/>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20</w:t>
      </w:r>
      <w:r w:rsidRPr="008C7A83">
        <w:rPr>
          <w:b/>
          <w:sz w:val="22"/>
          <w:szCs w:val="22"/>
        </w:rPr>
        <w:fldChar w:fldCharType="end"/>
      </w:r>
      <w:r w:rsidRPr="008C7A83">
        <w:rPr>
          <w:b/>
          <w:sz w:val="22"/>
          <w:szCs w:val="22"/>
        </w:rPr>
        <w:t>: Summary of Total Annual Freight Delay Minutes and the Contributory Factors</w:t>
      </w:r>
    </w:p>
    <w:bookmarkEnd w:id="7936"/>
    <w:p w:rsidR="00660414" w:rsidRPr="008C5B1B" w:rsidRDefault="00660414" w:rsidP="007613DE">
      <w:pPr>
        <w:rPr>
          <w:i/>
        </w:rPr>
      </w:pPr>
      <w:r w:rsidRPr="008C5B1B">
        <w:rPr>
          <w:i/>
        </w:rPr>
        <w:t xml:space="preserve">Source: </w:t>
      </w:r>
      <w:r>
        <w:rPr>
          <w:i/>
        </w:rPr>
        <w:t>CFR Marfa</w:t>
      </w:r>
    </w:p>
    <w:p w:rsidR="00660414" w:rsidRDefault="00660414" w:rsidP="00A4081F">
      <w:pPr>
        <w:pStyle w:val="NumberedParas"/>
      </w:pPr>
      <w:bookmarkStart w:id="7937" w:name="_Toc398885024"/>
      <w:r w:rsidRPr="008C5B1B">
        <w:t>Figure 5.20 demonstrates the average delays at Constanta compared with other locations in Romania. This indicates delays are much more significant in the area around the port than other parts of the country.</w:t>
      </w:r>
      <w:bookmarkEnd w:id="7937"/>
    </w:p>
    <w:p w:rsidR="00660414" w:rsidRDefault="00660414" w:rsidP="00660414">
      <w:pPr>
        <w:rPr>
          <w:b/>
          <w:noProof/>
          <w:sz w:val="22"/>
          <w:szCs w:val="22"/>
          <w:lang w:eastAsia="en-GB"/>
        </w:rPr>
      </w:pPr>
      <w:r w:rsidRPr="008C5B1B">
        <w:rPr>
          <w:b/>
          <w:i/>
          <w:noProof/>
          <w:sz w:val="22"/>
          <w:szCs w:val="22"/>
          <w:lang w:val="ro-RO" w:eastAsia="ro-RO"/>
        </w:rPr>
        <w:drawing>
          <wp:inline distT="0" distB="0" distL="0" distR="0" wp14:anchorId="070F6E40" wp14:editId="76055148">
            <wp:extent cx="6323162" cy="3536286"/>
            <wp:effectExtent l="0" t="0" r="1905" b="762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6827" t="15325" r="1015" b="6234"/>
                    <a:stretch/>
                  </pic:blipFill>
                  <pic:spPr bwMode="auto">
                    <a:xfrm>
                      <a:off x="0" y="0"/>
                      <a:ext cx="6332669" cy="3541603"/>
                    </a:xfrm>
                    <a:prstGeom prst="rect">
                      <a:avLst/>
                    </a:prstGeom>
                    <a:noFill/>
                    <a:ln>
                      <a:noFill/>
                    </a:ln>
                    <a:extLst>
                      <a:ext uri="{53640926-AAD7-44D8-BBD7-CCE9431645EC}">
                        <a14:shadowObscured xmlns:a14="http://schemas.microsoft.com/office/drawing/2010/main"/>
                      </a:ext>
                    </a:extLst>
                  </pic:spPr>
                </pic:pic>
              </a:graphicData>
            </a:graphic>
          </wp:inline>
        </w:drawing>
      </w:r>
      <w:bookmarkStart w:id="7938" w:name="_Toc398885026"/>
    </w:p>
    <w:p w:rsidR="00660414" w:rsidRPr="008C7A83" w:rsidRDefault="00660414" w:rsidP="00660414">
      <w:pPr>
        <w:pStyle w:val="Caption"/>
        <w:rPr>
          <w:b/>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21</w:t>
      </w:r>
      <w:r w:rsidRPr="008C7A83">
        <w:rPr>
          <w:b/>
          <w:sz w:val="22"/>
          <w:szCs w:val="22"/>
        </w:rPr>
        <w:fldChar w:fldCharType="end"/>
      </w:r>
      <w:r w:rsidRPr="008C7A83">
        <w:rPr>
          <w:b/>
          <w:sz w:val="22"/>
          <w:szCs w:val="22"/>
        </w:rPr>
        <w:t>: Average Minutes Delays per 100 train / kilometres</w:t>
      </w:r>
    </w:p>
    <w:bookmarkEnd w:id="7938"/>
    <w:p w:rsidR="00660414" w:rsidRPr="007613DE" w:rsidRDefault="00660414" w:rsidP="007613DE">
      <w:pPr>
        <w:rPr>
          <w:i/>
        </w:rPr>
      </w:pPr>
      <w:r w:rsidRPr="008C5B1B">
        <w:rPr>
          <w:i/>
        </w:rPr>
        <w:t xml:space="preserve">Source: CFR Marfa </w:t>
      </w:r>
    </w:p>
    <w:p w:rsidR="00660414" w:rsidRPr="000A76BD" w:rsidRDefault="00660414" w:rsidP="007613DE">
      <w:pPr>
        <w:pStyle w:val="Hdg3"/>
        <w:ind w:left="851"/>
      </w:pPr>
      <w:bookmarkStart w:id="7939" w:name="_Toc398885027"/>
      <w:r w:rsidRPr="008C5B1B">
        <w:t>Labour Efficiency</w:t>
      </w:r>
      <w:bookmarkEnd w:id="7939"/>
      <w:r w:rsidRPr="008C5B1B">
        <w:t xml:space="preserve"> </w:t>
      </w:r>
    </w:p>
    <w:p w:rsidR="00660414" w:rsidRPr="000A76BD" w:rsidRDefault="00660414" w:rsidP="00A4081F">
      <w:pPr>
        <w:pStyle w:val="NumberedParas"/>
      </w:pPr>
      <w:r w:rsidRPr="008C5B1B">
        <w:t>In the last decade there has been a considerable improvement in labour efficiency. However the ratio the ratio of operating costs per employee has risen by around 20% during the last 5 years, whereas the ratio of passenger kilometres and freight tonne kilometres is significantly lower compared with examples in Western Europe.</w:t>
      </w:r>
    </w:p>
    <w:p w:rsidR="00660414" w:rsidRPr="000A76BD" w:rsidRDefault="00660414" w:rsidP="00A4081F">
      <w:pPr>
        <w:pStyle w:val="NumberedParas"/>
      </w:pPr>
      <w:r w:rsidRPr="008C5B1B">
        <w:t>Staff numbers employed by CFR Calatori have reduced by 20% between 2005 and 2012. The ratio of passenger trips to staff numbers has dropped by 10% between 2009 and 2013, the ratio of passenger kilometres to total staff has dropped by 24%.</w:t>
      </w:r>
      <w:r>
        <w:t xml:space="preserve"> </w:t>
      </w:r>
      <w:r w:rsidRPr="008C5B1B">
        <w:t>There is considerable scope to further improve efficiencies if staff numbers were rationalised and alternative methods of train control delivered. A progression towards centralised signalling for the main lines, with radio controlled operations on branch lines, would enable staff to control services over a larger geographic area</w:t>
      </w:r>
      <w:r>
        <w:t xml:space="preserve">. </w:t>
      </w:r>
    </w:p>
    <w:p w:rsidR="00660414" w:rsidRPr="000A76BD" w:rsidRDefault="00660414" w:rsidP="00A4081F">
      <w:pPr>
        <w:pStyle w:val="NumberedParas"/>
      </w:pPr>
      <w:r w:rsidRPr="008C5B1B">
        <w:t>On an average day, there were about 223,000 train kilometres (2012). This comprises 80% of services operated by CFR Calatori, with the remainder operated by private operators. Of the latter, Regiotrans is the largest private operator which provides a wide range of services, mainly on branch lines, though some services are also operated on the other routes. Based on a network covering 10,820 kilometres, and 70.7m train kilometres per annum, this equates to about 20.9 trains per route kilometre each day. Whilst this total is broadly comparable to the statistics for the Hungarian network, it is much lower than the totals for the Netherlands (134 trains/route-km), UK (95 trains/route-km) and France (47 trains/route-km)</w:t>
      </w:r>
      <w:r>
        <w:rPr>
          <w:rStyle w:val="FootnoteReference"/>
        </w:rPr>
        <w:footnoteReference w:id="28"/>
      </w:r>
      <w:r w:rsidRPr="008C5B1B">
        <w:t>.</w:t>
      </w:r>
    </w:p>
    <w:p w:rsidR="00660414" w:rsidRPr="000A76BD" w:rsidRDefault="00660414" w:rsidP="00A4081F">
      <w:pPr>
        <w:pStyle w:val="NumberedParas"/>
      </w:pPr>
      <w:r w:rsidRPr="008C5B1B">
        <w:t xml:space="preserve">In the last decade there has been a significant improvement in labour efficiency affecting CFR SA as shown in Table 5.6. The number of CFR SA employees has almost halved between 2002 and 2011, whereas the size of the network is virtually unchanged. This implies that the ratio of employees per route kilometre which could be used as a measure of labour productivity, demonstrates a reduction from 4.12 employees per route kilometre in 2002 to 2.21 in 2011. This equates to a 46% improvement in labour productivity. There may be further scope to achieve efficiency savings if other changes are introduced, for example, centralised signalling control. </w:t>
      </w:r>
    </w:p>
    <w:p w:rsidR="00660414" w:rsidRPr="000A76BD" w:rsidRDefault="00660414" w:rsidP="00660414">
      <w:pPr>
        <w:pStyle w:val="Caption"/>
        <w:rPr>
          <w:b/>
          <w:sz w:val="22"/>
          <w:szCs w:val="22"/>
        </w:rPr>
      </w:pPr>
      <w:bookmarkStart w:id="7940" w:name="_Toc398885028"/>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6</w:t>
      </w:r>
      <w:r w:rsidRPr="001F5936">
        <w:rPr>
          <w:b/>
          <w:sz w:val="22"/>
          <w:szCs w:val="22"/>
        </w:rPr>
        <w:fldChar w:fldCharType="end"/>
      </w:r>
      <w:r w:rsidRPr="001F5936">
        <w:rPr>
          <w:b/>
          <w:sz w:val="22"/>
          <w:szCs w:val="22"/>
        </w:rPr>
        <w:t xml:space="preserve">: </w:t>
      </w:r>
      <w:r w:rsidRPr="008C5B1B">
        <w:rPr>
          <w:b/>
          <w:sz w:val="22"/>
          <w:szCs w:val="22"/>
        </w:rPr>
        <w:t>CFR SA Employees per Route Km</w:t>
      </w:r>
      <w:bookmarkEnd w:id="79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835"/>
        <w:gridCol w:w="1417"/>
        <w:gridCol w:w="2694"/>
      </w:tblGrid>
      <w:tr w:rsidR="00660414" w:rsidRPr="000A76BD" w:rsidTr="007613DE">
        <w:trPr>
          <w:trHeight w:hRule="exact" w:val="401"/>
        </w:trPr>
        <w:tc>
          <w:tcPr>
            <w:tcW w:w="1560" w:type="dxa"/>
            <w:shd w:val="clear" w:color="auto" w:fill="C6D9F1"/>
          </w:tcPr>
          <w:p w:rsidR="00660414" w:rsidRPr="008C5B1B" w:rsidRDefault="00660414" w:rsidP="007613DE">
            <w:pPr>
              <w:rPr>
                <w:rFonts w:cs="Arial"/>
                <w:b/>
                <w:sz w:val="22"/>
                <w:szCs w:val="22"/>
              </w:rPr>
            </w:pPr>
            <w:r w:rsidRPr="008C5B1B">
              <w:rPr>
                <w:rFonts w:cs="Arial"/>
                <w:b/>
                <w:sz w:val="22"/>
                <w:szCs w:val="22"/>
              </w:rPr>
              <w:t>Year</w:t>
            </w:r>
          </w:p>
        </w:tc>
        <w:tc>
          <w:tcPr>
            <w:tcW w:w="2835" w:type="dxa"/>
            <w:shd w:val="clear" w:color="auto" w:fill="C6D9F1"/>
          </w:tcPr>
          <w:p w:rsidR="00660414" w:rsidRPr="008C5B1B" w:rsidRDefault="00660414" w:rsidP="007613DE">
            <w:pPr>
              <w:rPr>
                <w:rFonts w:cs="Arial"/>
                <w:b/>
                <w:sz w:val="22"/>
                <w:szCs w:val="22"/>
              </w:rPr>
            </w:pPr>
            <w:r w:rsidRPr="008C5B1B">
              <w:rPr>
                <w:rFonts w:cs="Arial"/>
                <w:b/>
                <w:sz w:val="22"/>
                <w:szCs w:val="22"/>
              </w:rPr>
              <w:t>Number of Employees</w:t>
            </w:r>
          </w:p>
        </w:tc>
        <w:tc>
          <w:tcPr>
            <w:tcW w:w="1417" w:type="dxa"/>
            <w:shd w:val="clear" w:color="auto" w:fill="C6D9F1"/>
          </w:tcPr>
          <w:p w:rsidR="00660414" w:rsidRPr="008C5B1B" w:rsidRDefault="00660414" w:rsidP="007613DE">
            <w:pPr>
              <w:jc w:val="center"/>
              <w:rPr>
                <w:rFonts w:cs="Arial"/>
                <w:b/>
                <w:sz w:val="22"/>
                <w:szCs w:val="22"/>
              </w:rPr>
            </w:pPr>
            <w:r w:rsidRPr="008C5B1B">
              <w:rPr>
                <w:rFonts w:cs="Arial"/>
                <w:b/>
                <w:sz w:val="22"/>
                <w:szCs w:val="22"/>
              </w:rPr>
              <w:t>Route km</w:t>
            </w:r>
          </w:p>
        </w:tc>
        <w:tc>
          <w:tcPr>
            <w:tcW w:w="2694" w:type="dxa"/>
            <w:shd w:val="clear" w:color="auto" w:fill="C6D9F1"/>
          </w:tcPr>
          <w:p w:rsidR="00660414" w:rsidRPr="008C5B1B" w:rsidRDefault="00660414" w:rsidP="007613DE">
            <w:pPr>
              <w:jc w:val="center"/>
              <w:rPr>
                <w:rFonts w:cs="Arial"/>
                <w:b/>
                <w:sz w:val="22"/>
                <w:szCs w:val="22"/>
              </w:rPr>
            </w:pPr>
            <w:r w:rsidRPr="008C5B1B">
              <w:rPr>
                <w:rFonts w:cs="Arial"/>
                <w:b/>
                <w:sz w:val="22"/>
                <w:szCs w:val="22"/>
              </w:rPr>
              <w:t>Employees / Route km</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2002</w:t>
            </w:r>
          </w:p>
        </w:tc>
        <w:tc>
          <w:tcPr>
            <w:tcW w:w="2835" w:type="dxa"/>
          </w:tcPr>
          <w:p w:rsidR="00660414" w:rsidRPr="008C5B1B" w:rsidRDefault="00660414" w:rsidP="007613DE">
            <w:pPr>
              <w:jc w:val="center"/>
              <w:rPr>
                <w:rFonts w:cs="Arial"/>
                <w:sz w:val="22"/>
                <w:szCs w:val="22"/>
              </w:rPr>
            </w:pPr>
            <w:r w:rsidRPr="008C5B1B">
              <w:rPr>
                <w:rFonts w:cs="Arial"/>
                <w:sz w:val="22"/>
                <w:szCs w:val="22"/>
              </w:rPr>
              <w:t>45,337</w:t>
            </w:r>
          </w:p>
        </w:tc>
        <w:tc>
          <w:tcPr>
            <w:tcW w:w="1417" w:type="dxa"/>
          </w:tcPr>
          <w:p w:rsidR="00660414" w:rsidRPr="008C5B1B" w:rsidRDefault="00660414" w:rsidP="007613DE">
            <w:pPr>
              <w:jc w:val="center"/>
              <w:rPr>
                <w:rFonts w:cs="Arial"/>
                <w:sz w:val="22"/>
                <w:szCs w:val="22"/>
              </w:rPr>
            </w:pPr>
            <w:r w:rsidRPr="008C5B1B">
              <w:rPr>
                <w:rFonts w:cs="Arial"/>
                <w:sz w:val="22"/>
                <w:szCs w:val="22"/>
              </w:rPr>
              <w:t>11,002</w:t>
            </w:r>
          </w:p>
        </w:tc>
        <w:tc>
          <w:tcPr>
            <w:tcW w:w="2694" w:type="dxa"/>
          </w:tcPr>
          <w:p w:rsidR="00660414" w:rsidRPr="008C5B1B" w:rsidRDefault="00660414" w:rsidP="007613DE">
            <w:pPr>
              <w:jc w:val="center"/>
              <w:rPr>
                <w:rFonts w:cs="Arial"/>
                <w:sz w:val="22"/>
                <w:szCs w:val="22"/>
              </w:rPr>
            </w:pPr>
            <w:r w:rsidRPr="008C5B1B">
              <w:rPr>
                <w:rFonts w:cs="Arial"/>
                <w:sz w:val="22"/>
                <w:szCs w:val="22"/>
              </w:rPr>
              <w:t>4.12</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2003</w:t>
            </w:r>
          </w:p>
        </w:tc>
        <w:tc>
          <w:tcPr>
            <w:tcW w:w="2835" w:type="dxa"/>
          </w:tcPr>
          <w:p w:rsidR="00660414" w:rsidRPr="008C5B1B" w:rsidRDefault="00660414" w:rsidP="007613DE">
            <w:pPr>
              <w:jc w:val="center"/>
              <w:rPr>
                <w:rFonts w:cs="Arial"/>
                <w:sz w:val="22"/>
                <w:szCs w:val="22"/>
              </w:rPr>
            </w:pPr>
            <w:r w:rsidRPr="008C5B1B">
              <w:rPr>
                <w:rFonts w:cs="Arial"/>
                <w:sz w:val="22"/>
                <w:szCs w:val="22"/>
              </w:rPr>
              <w:t>35,896</w:t>
            </w:r>
          </w:p>
        </w:tc>
        <w:tc>
          <w:tcPr>
            <w:tcW w:w="1417" w:type="dxa"/>
          </w:tcPr>
          <w:p w:rsidR="00660414" w:rsidRPr="008C5B1B" w:rsidRDefault="00660414" w:rsidP="007613DE">
            <w:pPr>
              <w:jc w:val="center"/>
              <w:rPr>
                <w:rFonts w:cs="Arial"/>
                <w:sz w:val="22"/>
                <w:szCs w:val="22"/>
              </w:rPr>
            </w:pPr>
            <w:r w:rsidRPr="008C5B1B">
              <w:rPr>
                <w:rFonts w:cs="Arial"/>
                <w:sz w:val="22"/>
                <w:szCs w:val="22"/>
              </w:rPr>
              <w:t>11,077</w:t>
            </w:r>
          </w:p>
        </w:tc>
        <w:tc>
          <w:tcPr>
            <w:tcW w:w="2694" w:type="dxa"/>
          </w:tcPr>
          <w:p w:rsidR="00660414" w:rsidRPr="008C5B1B" w:rsidRDefault="00660414" w:rsidP="007613DE">
            <w:pPr>
              <w:jc w:val="center"/>
              <w:rPr>
                <w:rFonts w:cs="Arial"/>
                <w:sz w:val="22"/>
                <w:szCs w:val="22"/>
              </w:rPr>
            </w:pPr>
            <w:r w:rsidRPr="008C5B1B">
              <w:rPr>
                <w:rFonts w:cs="Arial"/>
                <w:sz w:val="22"/>
                <w:szCs w:val="22"/>
              </w:rPr>
              <w:t>3.24</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2004</w:t>
            </w:r>
          </w:p>
        </w:tc>
        <w:tc>
          <w:tcPr>
            <w:tcW w:w="2835" w:type="dxa"/>
          </w:tcPr>
          <w:p w:rsidR="00660414" w:rsidRPr="008C5B1B" w:rsidRDefault="00660414" w:rsidP="007613DE">
            <w:pPr>
              <w:jc w:val="center"/>
              <w:rPr>
                <w:rFonts w:cs="Arial"/>
                <w:sz w:val="22"/>
                <w:szCs w:val="22"/>
              </w:rPr>
            </w:pPr>
            <w:r w:rsidRPr="008C5B1B">
              <w:rPr>
                <w:rFonts w:cs="Arial"/>
                <w:sz w:val="22"/>
                <w:szCs w:val="22"/>
              </w:rPr>
              <w:t>33,003</w:t>
            </w:r>
          </w:p>
        </w:tc>
        <w:tc>
          <w:tcPr>
            <w:tcW w:w="1417" w:type="dxa"/>
          </w:tcPr>
          <w:p w:rsidR="00660414" w:rsidRPr="008C5B1B" w:rsidRDefault="00660414" w:rsidP="007613DE">
            <w:pPr>
              <w:jc w:val="center"/>
              <w:rPr>
                <w:rFonts w:cs="Arial"/>
                <w:sz w:val="22"/>
                <w:szCs w:val="22"/>
              </w:rPr>
            </w:pPr>
            <w:r w:rsidRPr="008C5B1B">
              <w:rPr>
                <w:rFonts w:cs="Arial"/>
                <w:sz w:val="22"/>
                <w:szCs w:val="22"/>
              </w:rPr>
              <w:t>11,053</w:t>
            </w:r>
          </w:p>
        </w:tc>
        <w:tc>
          <w:tcPr>
            <w:tcW w:w="2694" w:type="dxa"/>
          </w:tcPr>
          <w:p w:rsidR="00660414" w:rsidRPr="008C5B1B" w:rsidRDefault="00660414" w:rsidP="007613DE">
            <w:pPr>
              <w:jc w:val="center"/>
              <w:rPr>
                <w:rFonts w:cs="Arial"/>
                <w:sz w:val="22"/>
                <w:szCs w:val="22"/>
              </w:rPr>
            </w:pPr>
            <w:r w:rsidRPr="008C5B1B">
              <w:rPr>
                <w:rFonts w:cs="Arial"/>
                <w:sz w:val="22"/>
                <w:szCs w:val="22"/>
              </w:rPr>
              <w:t>2.98</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2005</w:t>
            </w:r>
          </w:p>
        </w:tc>
        <w:tc>
          <w:tcPr>
            <w:tcW w:w="2835" w:type="dxa"/>
          </w:tcPr>
          <w:p w:rsidR="00660414" w:rsidRPr="008C5B1B" w:rsidRDefault="00660414" w:rsidP="007613DE">
            <w:pPr>
              <w:jc w:val="center"/>
              <w:rPr>
                <w:rFonts w:cs="Arial"/>
                <w:sz w:val="22"/>
                <w:szCs w:val="22"/>
              </w:rPr>
            </w:pPr>
            <w:r w:rsidRPr="008C5B1B">
              <w:rPr>
                <w:rFonts w:cs="Arial"/>
                <w:sz w:val="22"/>
                <w:szCs w:val="22"/>
              </w:rPr>
              <w:t>28,006</w:t>
            </w:r>
          </w:p>
        </w:tc>
        <w:tc>
          <w:tcPr>
            <w:tcW w:w="1417" w:type="dxa"/>
          </w:tcPr>
          <w:p w:rsidR="00660414" w:rsidRPr="008C5B1B" w:rsidRDefault="00660414" w:rsidP="007613DE">
            <w:pPr>
              <w:jc w:val="center"/>
              <w:rPr>
                <w:rFonts w:cs="Arial"/>
                <w:sz w:val="22"/>
                <w:szCs w:val="22"/>
              </w:rPr>
            </w:pPr>
            <w:r w:rsidRPr="008C5B1B">
              <w:rPr>
                <w:rFonts w:cs="Arial"/>
                <w:sz w:val="22"/>
                <w:szCs w:val="22"/>
              </w:rPr>
              <w:t>10,948</w:t>
            </w:r>
          </w:p>
        </w:tc>
        <w:tc>
          <w:tcPr>
            <w:tcW w:w="2694" w:type="dxa"/>
          </w:tcPr>
          <w:p w:rsidR="00660414" w:rsidRPr="008C5B1B" w:rsidRDefault="00660414" w:rsidP="007613DE">
            <w:pPr>
              <w:jc w:val="center"/>
              <w:rPr>
                <w:rFonts w:cs="Arial"/>
                <w:sz w:val="22"/>
                <w:szCs w:val="22"/>
              </w:rPr>
            </w:pPr>
            <w:r w:rsidRPr="008C5B1B">
              <w:rPr>
                <w:rFonts w:cs="Arial"/>
                <w:sz w:val="22"/>
                <w:szCs w:val="22"/>
              </w:rPr>
              <w:t>2.56</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2006</w:t>
            </w:r>
          </w:p>
        </w:tc>
        <w:tc>
          <w:tcPr>
            <w:tcW w:w="2835" w:type="dxa"/>
          </w:tcPr>
          <w:p w:rsidR="00660414" w:rsidRPr="008C5B1B" w:rsidRDefault="00660414" w:rsidP="007613DE">
            <w:pPr>
              <w:jc w:val="center"/>
              <w:rPr>
                <w:rFonts w:cs="Arial"/>
                <w:sz w:val="22"/>
                <w:szCs w:val="22"/>
              </w:rPr>
            </w:pPr>
            <w:r w:rsidRPr="008C5B1B">
              <w:rPr>
                <w:rFonts w:cs="Arial"/>
                <w:sz w:val="22"/>
                <w:szCs w:val="22"/>
              </w:rPr>
              <w:t>28,189</w:t>
            </w:r>
          </w:p>
        </w:tc>
        <w:tc>
          <w:tcPr>
            <w:tcW w:w="1417" w:type="dxa"/>
          </w:tcPr>
          <w:p w:rsidR="00660414" w:rsidRPr="008C5B1B" w:rsidRDefault="00660414" w:rsidP="007613DE">
            <w:pPr>
              <w:jc w:val="center"/>
              <w:rPr>
                <w:rFonts w:cs="Arial"/>
                <w:sz w:val="22"/>
                <w:szCs w:val="22"/>
              </w:rPr>
            </w:pPr>
            <w:r w:rsidRPr="008C5B1B">
              <w:rPr>
                <w:rFonts w:cs="Arial"/>
                <w:sz w:val="22"/>
                <w:szCs w:val="22"/>
              </w:rPr>
              <w:t>10,789</w:t>
            </w:r>
          </w:p>
        </w:tc>
        <w:tc>
          <w:tcPr>
            <w:tcW w:w="2694" w:type="dxa"/>
          </w:tcPr>
          <w:p w:rsidR="00660414" w:rsidRPr="008C5B1B" w:rsidRDefault="00660414" w:rsidP="007613DE">
            <w:pPr>
              <w:jc w:val="center"/>
              <w:rPr>
                <w:rFonts w:cs="Arial"/>
                <w:sz w:val="22"/>
                <w:szCs w:val="22"/>
              </w:rPr>
            </w:pPr>
            <w:r w:rsidRPr="008C5B1B">
              <w:rPr>
                <w:rFonts w:cs="Arial"/>
                <w:sz w:val="22"/>
                <w:szCs w:val="22"/>
              </w:rPr>
              <w:t>2.61</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2007</w:t>
            </w:r>
          </w:p>
        </w:tc>
        <w:tc>
          <w:tcPr>
            <w:tcW w:w="2835" w:type="dxa"/>
          </w:tcPr>
          <w:p w:rsidR="00660414" w:rsidRPr="008C5B1B" w:rsidRDefault="00660414" w:rsidP="007613DE">
            <w:pPr>
              <w:jc w:val="center"/>
              <w:rPr>
                <w:rFonts w:cs="Arial"/>
                <w:sz w:val="22"/>
                <w:szCs w:val="22"/>
              </w:rPr>
            </w:pPr>
            <w:r w:rsidRPr="008C5B1B">
              <w:rPr>
                <w:rFonts w:cs="Arial"/>
                <w:sz w:val="22"/>
                <w:szCs w:val="22"/>
              </w:rPr>
              <w:t>27,951</w:t>
            </w:r>
          </w:p>
        </w:tc>
        <w:tc>
          <w:tcPr>
            <w:tcW w:w="1417" w:type="dxa"/>
          </w:tcPr>
          <w:p w:rsidR="00660414" w:rsidRPr="008C5B1B" w:rsidRDefault="00660414" w:rsidP="007613DE">
            <w:pPr>
              <w:jc w:val="center"/>
              <w:rPr>
                <w:rFonts w:cs="Arial"/>
                <w:sz w:val="22"/>
                <w:szCs w:val="22"/>
              </w:rPr>
            </w:pPr>
            <w:r w:rsidRPr="008C5B1B">
              <w:rPr>
                <w:rFonts w:cs="Arial"/>
                <w:sz w:val="22"/>
                <w:szCs w:val="22"/>
              </w:rPr>
              <w:t>10,777</w:t>
            </w:r>
          </w:p>
        </w:tc>
        <w:tc>
          <w:tcPr>
            <w:tcW w:w="2694" w:type="dxa"/>
          </w:tcPr>
          <w:p w:rsidR="00660414" w:rsidRPr="008C5B1B" w:rsidRDefault="00660414" w:rsidP="007613DE">
            <w:pPr>
              <w:jc w:val="center"/>
              <w:rPr>
                <w:rFonts w:cs="Arial"/>
                <w:sz w:val="22"/>
                <w:szCs w:val="22"/>
              </w:rPr>
            </w:pPr>
            <w:r w:rsidRPr="008C5B1B">
              <w:rPr>
                <w:rFonts w:cs="Arial"/>
                <w:sz w:val="22"/>
                <w:szCs w:val="22"/>
              </w:rPr>
              <w:t>2.59</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2008</w:t>
            </w:r>
          </w:p>
        </w:tc>
        <w:tc>
          <w:tcPr>
            <w:tcW w:w="2835" w:type="dxa"/>
          </w:tcPr>
          <w:p w:rsidR="00660414" w:rsidRPr="008C5B1B" w:rsidRDefault="00660414" w:rsidP="007613DE">
            <w:pPr>
              <w:jc w:val="center"/>
              <w:rPr>
                <w:rFonts w:cs="Arial"/>
                <w:sz w:val="22"/>
                <w:szCs w:val="22"/>
              </w:rPr>
            </w:pPr>
            <w:r w:rsidRPr="008C5B1B">
              <w:rPr>
                <w:rFonts w:cs="Arial"/>
                <w:sz w:val="22"/>
                <w:szCs w:val="22"/>
              </w:rPr>
              <w:t>27,610</w:t>
            </w:r>
          </w:p>
        </w:tc>
        <w:tc>
          <w:tcPr>
            <w:tcW w:w="1417" w:type="dxa"/>
          </w:tcPr>
          <w:p w:rsidR="00660414" w:rsidRPr="008C5B1B" w:rsidRDefault="00660414" w:rsidP="007613DE">
            <w:pPr>
              <w:jc w:val="center"/>
              <w:rPr>
                <w:rFonts w:cs="Arial"/>
                <w:sz w:val="22"/>
                <w:szCs w:val="22"/>
              </w:rPr>
            </w:pPr>
            <w:r w:rsidRPr="008C5B1B">
              <w:rPr>
                <w:rFonts w:cs="Arial"/>
                <w:sz w:val="22"/>
                <w:szCs w:val="22"/>
              </w:rPr>
              <w:t>10,785</w:t>
            </w:r>
          </w:p>
        </w:tc>
        <w:tc>
          <w:tcPr>
            <w:tcW w:w="2694" w:type="dxa"/>
          </w:tcPr>
          <w:p w:rsidR="00660414" w:rsidRPr="008C5B1B" w:rsidRDefault="00660414" w:rsidP="007613DE">
            <w:pPr>
              <w:jc w:val="center"/>
              <w:rPr>
                <w:rFonts w:cs="Arial"/>
                <w:sz w:val="22"/>
                <w:szCs w:val="22"/>
              </w:rPr>
            </w:pPr>
            <w:r w:rsidRPr="008C5B1B">
              <w:rPr>
                <w:rFonts w:cs="Arial"/>
                <w:sz w:val="22"/>
                <w:szCs w:val="22"/>
              </w:rPr>
              <w:t>2.56</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2009</w:t>
            </w:r>
          </w:p>
        </w:tc>
        <w:tc>
          <w:tcPr>
            <w:tcW w:w="2835" w:type="dxa"/>
          </w:tcPr>
          <w:p w:rsidR="00660414" w:rsidRPr="008C5B1B" w:rsidRDefault="00660414" w:rsidP="007613DE">
            <w:pPr>
              <w:jc w:val="center"/>
              <w:rPr>
                <w:rFonts w:cs="Arial"/>
                <w:sz w:val="22"/>
                <w:szCs w:val="22"/>
              </w:rPr>
            </w:pPr>
            <w:r w:rsidRPr="008C5B1B">
              <w:rPr>
                <w:rFonts w:cs="Arial"/>
                <w:sz w:val="22"/>
                <w:szCs w:val="22"/>
              </w:rPr>
              <w:t>26,830</w:t>
            </w:r>
          </w:p>
        </w:tc>
        <w:tc>
          <w:tcPr>
            <w:tcW w:w="1417" w:type="dxa"/>
          </w:tcPr>
          <w:p w:rsidR="00660414" w:rsidRPr="008C5B1B" w:rsidRDefault="00660414" w:rsidP="007613DE">
            <w:pPr>
              <w:jc w:val="center"/>
              <w:rPr>
                <w:rFonts w:cs="Arial"/>
                <w:sz w:val="22"/>
                <w:szCs w:val="22"/>
              </w:rPr>
            </w:pPr>
            <w:r w:rsidRPr="008C5B1B">
              <w:rPr>
                <w:rFonts w:cs="Arial"/>
                <w:sz w:val="22"/>
                <w:szCs w:val="22"/>
              </w:rPr>
              <w:t>10,784</w:t>
            </w:r>
          </w:p>
        </w:tc>
        <w:tc>
          <w:tcPr>
            <w:tcW w:w="2694" w:type="dxa"/>
          </w:tcPr>
          <w:p w:rsidR="00660414" w:rsidRPr="008C5B1B" w:rsidRDefault="00660414" w:rsidP="007613DE">
            <w:pPr>
              <w:jc w:val="center"/>
              <w:rPr>
                <w:rFonts w:cs="Arial"/>
                <w:sz w:val="22"/>
                <w:szCs w:val="22"/>
              </w:rPr>
            </w:pPr>
            <w:r w:rsidRPr="008C5B1B">
              <w:rPr>
                <w:rFonts w:cs="Arial"/>
                <w:sz w:val="22"/>
                <w:szCs w:val="22"/>
              </w:rPr>
              <w:t>2.49</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2010</w:t>
            </w:r>
          </w:p>
        </w:tc>
        <w:tc>
          <w:tcPr>
            <w:tcW w:w="2835" w:type="dxa"/>
          </w:tcPr>
          <w:p w:rsidR="00660414" w:rsidRPr="008C5B1B" w:rsidRDefault="00660414" w:rsidP="007613DE">
            <w:pPr>
              <w:jc w:val="center"/>
              <w:rPr>
                <w:rFonts w:cs="Arial"/>
                <w:sz w:val="22"/>
                <w:szCs w:val="22"/>
              </w:rPr>
            </w:pPr>
            <w:r w:rsidRPr="008C5B1B">
              <w:rPr>
                <w:rFonts w:cs="Arial"/>
                <w:sz w:val="22"/>
                <w:szCs w:val="22"/>
              </w:rPr>
              <w:t>24,993</w:t>
            </w:r>
          </w:p>
        </w:tc>
        <w:tc>
          <w:tcPr>
            <w:tcW w:w="1417" w:type="dxa"/>
          </w:tcPr>
          <w:p w:rsidR="00660414" w:rsidRPr="008C5B1B" w:rsidRDefault="00660414" w:rsidP="007613DE">
            <w:pPr>
              <w:jc w:val="center"/>
              <w:rPr>
                <w:rFonts w:cs="Arial"/>
                <w:sz w:val="22"/>
                <w:szCs w:val="22"/>
              </w:rPr>
            </w:pPr>
            <w:r w:rsidRPr="008C5B1B">
              <w:rPr>
                <w:rFonts w:cs="Arial"/>
                <w:sz w:val="22"/>
                <w:szCs w:val="22"/>
              </w:rPr>
              <w:t>10,785</w:t>
            </w:r>
          </w:p>
        </w:tc>
        <w:tc>
          <w:tcPr>
            <w:tcW w:w="2694" w:type="dxa"/>
          </w:tcPr>
          <w:p w:rsidR="00660414" w:rsidRPr="008C5B1B" w:rsidRDefault="00660414" w:rsidP="007613DE">
            <w:pPr>
              <w:jc w:val="center"/>
              <w:rPr>
                <w:rFonts w:cs="Arial"/>
                <w:sz w:val="22"/>
                <w:szCs w:val="22"/>
              </w:rPr>
            </w:pPr>
            <w:r w:rsidRPr="008C5B1B">
              <w:rPr>
                <w:rFonts w:cs="Arial"/>
                <w:sz w:val="22"/>
                <w:szCs w:val="22"/>
              </w:rPr>
              <w:t>2.32</w:t>
            </w:r>
          </w:p>
        </w:tc>
      </w:tr>
      <w:tr w:rsidR="00660414" w:rsidRPr="000A76BD" w:rsidTr="007613DE">
        <w:trPr>
          <w:trHeight w:hRule="exact" w:val="340"/>
        </w:trPr>
        <w:tc>
          <w:tcPr>
            <w:tcW w:w="1560" w:type="dxa"/>
          </w:tcPr>
          <w:p w:rsidR="00660414" w:rsidRPr="008C5B1B" w:rsidRDefault="00660414" w:rsidP="007613DE">
            <w:pPr>
              <w:rPr>
                <w:rFonts w:cs="Arial"/>
                <w:b/>
                <w:sz w:val="22"/>
                <w:szCs w:val="22"/>
              </w:rPr>
            </w:pPr>
            <w:r w:rsidRPr="008C5B1B">
              <w:rPr>
                <w:rFonts w:cs="Arial"/>
                <w:b/>
                <w:sz w:val="22"/>
                <w:szCs w:val="22"/>
              </w:rPr>
              <w:t>2011</w:t>
            </w:r>
          </w:p>
        </w:tc>
        <w:tc>
          <w:tcPr>
            <w:tcW w:w="2835" w:type="dxa"/>
          </w:tcPr>
          <w:p w:rsidR="00660414" w:rsidRPr="008C5B1B" w:rsidRDefault="00660414" w:rsidP="007613DE">
            <w:pPr>
              <w:jc w:val="center"/>
              <w:rPr>
                <w:rFonts w:cs="Arial"/>
                <w:sz w:val="22"/>
                <w:szCs w:val="22"/>
              </w:rPr>
            </w:pPr>
            <w:r w:rsidRPr="008C5B1B">
              <w:rPr>
                <w:rFonts w:cs="Arial"/>
                <w:sz w:val="22"/>
                <w:szCs w:val="22"/>
              </w:rPr>
              <w:t>23,839</w:t>
            </w:r>
          </w:p>
        </w:tc>
        <w:tc>
          <w:tcPr>
            <w:tcW w:w="1417" w:type="dxa"/>
          </w:tcPr>
          <w:p w:rsidR="00660414" w:rsidRPr="008C5B1B" w:rsidRDefault="00660414" w:rsidP="007613DE">
            <w:pPr>
              <w:jc w:val="center"/>
              <w:rPr>
                <w:rFonts w:cs="Arial"/>
                <w:sz w:val="22"/>
                <w:szCs w:val="22"/>
              </w:rPr>
            </w:pPr>
            <w:r w:rsidRPr="008C5B1B">
              <w:rPr>
                <w:rFonts w:cs="Arial"/>
                <w:sz w:val="22"/>
                <w:szCs w:val="22"/>
              </w:rPr>
              <w:t>10,777</w:t>
            </w:r>
          </w:p>
        </w:tc>
        <w:tc>
          <w:tcPr>
            <w:tcW w:w="2694" w:type="dxa"/>
          </w:tcPr>
          <w:p w:rsidR="00660414" w:rsidRPr="008C5B1B" w:rsidRDefault="00660414" w:rsidP="007613DE">
            <w:pPr>
              <w:jc w:val="center"/>
              <w:rPr>
                <w:rFonts w:cs="Arial"/>
                <w:sz w:val="22"/>
                <w:szCs w:val="22"/>
              </w:rPr>
            </w:pPr>
            <w:r w:rsidRPr="008C5B1B">
              <w:rPr>
                <w:rFonts w:cs="Arial"/>
                <w:sz w:val="22"/>
                <w:szCs w:val="22"/>
              </w:rPr>
              <w:t>2.21</w:t>
            </w:r>
          </w:p>
        </w:tc>
      </w:tr>
    </w:tbl>
    <w:p w:rsidR="00660414" w:rsidRPr="002F60EF" w:rsidRDefault="00660414" w:rsidP="007613DE">
      <w:pPr>
        <w:rPr>
          <w:i/>
        </w:rPr>
      </w:pPr>
      <w:r w:rsidRPr="008C5B1B">
        <w:rPr>
          <w:i/>
        </w:rPr>
        <w:t>Source: Eurostat, CFR Consolidated Financial Accounts 2002-11</w:t>
      </w:r>
    </w:p>
    <w:p w:rsidR="00660414" w:rsidRPr="000A76BD" w:rsidRDefault="00660414" w:rsidP="007613DE">
      <w:pPr>
        <w:pStyle w:val="Hdg3"/>
        <w:ind w:left="851"/>
      </w:pPr>
      <w:bookmarkStart w:id="7941" w:name="_Toc398885029"/>
      <w:r w:rsidRPr="008C5B1B">
        <w:t>Public Service Contracts</w:t>
      </w:r>
      <w:bookmarkEnd w:id="7941"/>
    </w:p>
    <w:p w:rsidR="00660414" w:rsidRPr="000A76BD" w:rsidRDefault="00660414" w:rsidP="00A4081F">
      <w:pPr>
        <w:pStyle w:val="NumberedParas"/>
      </w:pPr>
      <w:r w:rsidRPr="008C5B1B">
        <w:t>Public Service Contracts are awarded to CFR Calatori</w:t>
      </w:r>
      <w:r>
        <w:t xml:space="preserve">, whilst other </w:t>
      </w:r>
      <w:r w:rsidRPr="008C5B1B">
        <w:t xml:space="preserve">organisations </w:t>
      </w:r>
      <w:r>
        <w:t xml:space="preserve">run </w:t>
      </w:r>
      <w:r w:rsidRPr="008C5B1B">
        <w:t xml:space="preserve">rail services which CFR Calatori has recently declined to operate. A number of private bidders are invited to submit proposals to operate trains based on a minimum service specification. These contracts tend to be described in a relatively prescriptive manner. The private sector operators receive a payment based on the train kilometres operated. If services are cancelled, the operator is not paid for running these trains. The Ministry of Transport has recently announced changes to the payments to private sector operators, with 20% of the compensation linked to the total passenger kilometres, and the remaining 80% based on train kilometres. </w:t>
      </w:r>
      <w:r>
        <w:t xml:space="preserve">This regime means the operator has relatively limited incentive to introduce more commercially focussed initiatives. </w:t>
      </w:r>
      <w:r w:rsidRPr="008C5B1B">
        <w:t xml:space="preserve">Furthermore, the payment rates for passenger kilometres have been significantly reduced, although this impact has been partially offset by a rise in payments for train kilometres. This approach applies to services both on secondary branch lines, and trains using the main lines. Private sector operators pay track access charges to CFR SA if their trains run on the interoperable lines </w:t>
      </w:r>
      <w:r>
        <w:t xml:space="preserve">and are compensated for delays </w:t>
      </w:r>
      <w:r w:rsidRPr="008C5B1B">
        <w:t xml:space="preserve">but receive no compensation for delays caused by infrastructure or other operator’s defects. On non-interoperable routes, these private companies maintain the track themselves (via a sister company). </w:t>
      </w:r>
    </w:p>
    <w:p w:rsidR="00660414" w:rsidRPr="000A76BD" w:rsidRDefault="00660414" w:rsidP="00A4081F">
      <w:pPr>
        <w:pStyle w:val="NumberedParas"/>
      </w:pPr>
      <w:r w:rsidRPr="008C5B1B">
        <w:t xml:space="preserve">The payment of public subsidy is dependent on a specified number of trains being operated. With the closure of some routes during the morning for maintenance requirements, this necessitates a requirement to run some trains overnight to ensure the train mileages are met. This means many services attract very few passengers. </w:t>
      </w:r>
    </w:p>
    <w:p w:rsidR="00660414" w:rsidRPr="000A76BD" w:rsidRDefault="00660414" w:rsidP="007613DE">
      <w:pPr>
        <w:pStyle w:val="Hdg3"/>
        <w:ind w:left="851"/>
      </w:pPr>
      <w:bookmarkStart w:id="7942" w:name="_Toc398885030"/>
      <w:r w:rsidRPr="008C5B1B">
        <w:t>Availability of Redundant Land</w:t>
      </w:r>
      <w:bookmarkEnd w:id="7942"/>
    </w:p>
    <w:p w:rsidR="00660414" w:rsidRPr="000A76BD" w:rsidRDefault="00660414" w:rsidP="00A4081F">
      <w:pPr>
        <w:pStyle w:val="NumberedParas"/>
      </w:pPr>
      <w:r w:rsidRPr="008C5B1B">
        <w:t xml:space="preserve">The </w:t>
      </w:r>
      <w:r>
        <w:t xml:space="preserve">high </w:t>
      </w:r>
      <w:r w:rsidRPr="008C5B1B">
        <w:t xml:space="preserve">number of train services previously operated in Romania </w:t>
      </w:r>
      <w:r>
        <w:t xml:space="preserve">and ancillary </w:t>
      </w:r>
      <w:r w:rsidRPr="008C5B1B">
        <w:t xml:space="preserve">required significant amounts of land for stabling rolling stock and conducting maintenance activities. The reduction in train services and other efficiency savings mean the land requirements are significantly reduced and hence there is considerable scope to re-use this now redundant land for other purposes, for example, office development or retail. This opportunity is particularly relevant in the larger population centres if the </w:t>
      </w:r>
      <w:r>
        <w:t xml:space="preserve">redundant </w:t>
      </w:r>
      <w:r w:rsidRPr="008C5B1B">
        <w:t>parcels of land are located adjacent to the city centre or the main road network since the value of these sites would be greater. This proximity to the major office developments in the city centre or the principal road network for retail activity would improve the attractiveness of the site to be sold for such uses. Similarly, it may also be possible to sell an existing stabling area adjacent to the city centre for commercial activities if an alternative site elsewhere could be identified</w:t>
      </w:r>
      <w:r>
        <w:t xml:space="preserve">. </w:t>
      </w:r>
      <w:r w:rsidRPr="008C5B1B">
        <w:t xml:space="preserve">It is understood that the ownership of railway land is relatively complex, involving the State, CFR-SA and private owners. Land has been gifted to the State by CFR-SA to help re-pay former debts, but this arrangement means the infrastructure operator has little or no commercial incentive to identify potential schemes. </w:t>
      </w:r>
    </w:p>
    <w:p w:rsidR="00660414" w:rsidRPr="000A76BD" w:rsidRDefault="00660414" w:rsidP="007613DE">
      <w:pPr>
        <w:pStyle w:val="Hdg3"/>
        <w:ind w:left="851"/>
      </w:pPr>
      <w:bookmarkStart w:id="7943" w:name="_Toc398885031"/>
      <w:r w:rsidRPr="008C5B1B">
        <w:t>Safety</w:t>
      </w:r>
      <w:bookmarkEnd w:id="7943"/>
    </w:p>
    <w:p w:rsidR="00660414" w:rsidRDefault="00660414" w:rsidP="00A4081F">
      <w:pPr>
        <w:pStyle w:val="NumberedParas"/>
      </w:pPr>
      <w:r>
        <w:t>T</w:t>
      </w:r>
      <w:r w:rsidRPr="008C5B1B">
        <w:t xml:space="preserve">he number of fatalities involving passengers or railway employees is relatively </w:t>
      </w:r>
      <w:r>
        <w:t xml:space="preserve">high </w:t>
      </w:r>
      <w:r w:rsidRPr="008C5B1B">
        <w:t>when expressed in terms of numbers per billion passenger kilometres</w:t>
      </w:r>
      <w:r>
        <w:t xml:space="preserve"> when compared with other EU countries. T</w:t>
      </w:r>
      <w:r w:rsidRPr="008C5B1B">
        <w:t xml:space="preserve">here </w:t>
      </w:r>
      <w:r>
        <w:t xml:space="preserve">was </w:t>
      </w:r>
      <w:r w:rsidRPr="008C5B1B">
        <w:t>a relatively high number of deaths due to suicides and other incidents at level crossings</w:t>
      </w:r>
      <w:r>
        <w:t xml:space="preserve">, with </w:t>
      </w:r>
      <w:r w:rsidRPr="008C5B1B">
        <w:t>79 rail-related fatalities (all deaths occurring on railway property) per billion train kilometres between 2007 and 2011.  This is almost four times higher than the EU average, and the 4th highest rate overall, as demonstrated in Figure 5.21.</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50C34A9" wp14:editId="004D1AD4">
            <wp:extent cx="4924545" cy="2648309"/>
            <wp:effectExtent l="0" t="0" r="0" b="0"/>
            <wp:docPr id="567" name="Picture 56"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rotWithShape="1">
                    <a:blip r:embed="rId187" cstate="print"/>
                    <a:srcRect t="5090" b="2995"/>
                    <a:stretch/>
                  </pic:blipFill>
                  <pic:spPr bwMode="auto">
                    <a:xfrm>
                      <a:off x="0" y="0"/>
                      <a:ext cx="4922453" cy="2647184"/>
                    </a:xfrm>
                    <a:prstGeom prst="rect">
                      <a:avLst/>
                    </a:prstGeom>
                    <a:ln>
                      <a:noFill/>
                    </a:ln>
                    <a:extLst>
                      <a:ext uri="{53640926-AAD7-44D8-BBD7-CCE9431645EC}">
                        <a14:shadowObscured xmlns:a14="http://schemas.microsoft.com/office/drawing/2010/main"/>
                      </a:ext>
                    </a:extLst>
                  </pic:spPr>
                </pic:pic>
              </a:graphicData>
            </a:graphic>
          </wp:inline>
        </w:drawing>
      </w:r>
    </w:p>
    <w:p w:rsidR="00660414" w:rsidRPr="008C7A83" w:rsidRDefault="00660414" w:rsidP="00660414">
      <w:pPr>
        <w:pStyle w:val="Caption"/>
        <w:rPr>
          <w:b/>
          <w:sz w:val="22"/>
          <w:szCs w:val="22"/>
        </w:rPr>
      </w:pPr>
      <w:bookmarkStart w:id="7944" w:name="_Toc398885032"/>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22</w:t>
      </w:r>
      <w:r w:rsidRPr="008C7A83">
        <w:rPr>
          <w:b/>
          <w:sz w:val="22"/>
          <w:szCs w:val="22"/>
        </w:rPr>
        <w:fldChar w:fldCharType="end"/>
      </w:r>
      <w:r w:rsidRPr="008C7A83">
        <w:rPr>
          <w:b/>
          <w:sz w:val="22"/>
          <w:szCs w:val="22"/>
        </w:rPr>
        <w:t>: Comparative Number of Fatalities (per billion train kilometres)</w:t>
      </w:r>
    </w:p>
    <w:p w:rsidR="00660414" w:rsidRPr="00830CD0" w:rsidRDefault="00660414" w:rsidP="007613DE">
      <w:pPr>
        <w:rPr>
          <w:i/>
        </w:rPr>
      </w:pPr>
      <w:bookmarkStart w:id="7945" w:name="_Toc398885033"/>
      <w:bookmarkEnd w:id="7944"/>
      <w:r w:rsidRPr="008C5B1B">
        <w:rPr>
          <w:i/>
        </w:rPr>
        <w:t>Source: European Union information, printed in the Guardian 13 May 2013</w:t>
      </w:r>
      <w:bookmarkEnd w:id="7945"/>
    </w:p>
    <w:p w:rsidR="00660414" w:rsidRPr="000A76BD" w:rsidRDefault="00660414" w:rsidP="00045287">
      <w:pPr>
        <w:pStyle w:val="Hdg2"/>
      </w:pPr>
      <w:bookmarkStart w:id="7946" w:name="_Toc398885034"/>
      <w:bookmarkStart w:id="7947" w:name="_Toc403555333"/>
      <w:bookmarkStart w:id="7948" w:name="_Toc413056052"/>
      <w:r w:rsidRPr="008C5B1B">
        <w:t>Road Competition</w:t>
      </w:r>
      <w:bookmarkEnd w:id="7946"/>
      <w:bookmarkEnd w:id="7947"/>
      <w:bookmarkEnd w:id="7948"/>
    </w:p>
    <w:p w:rsidR="00660414" w:rsidRPr="000A76BD" w:rsidRDefault="00660414" w:rsidP="00A4081F">
      <w:pPr>
        <w:pStyle w:val="NumberedParas"/>
      </w:pPr>
      <w:r w:rsidRPr="008C5B1B">
        <w:t>The rail journey times have been compared with road to assess the relative competitiveness of each mode to Bucharest. The</w:t>
      </w:r>
      <w:r>
        <w:t xml:space="preserve"> ratio of </w:t>
      </w:r>
      <w:r w:rsidRPr="008C5B1B">
        <w:t xml:space="preserve">results </w:t>
      </w:r>
      <w:r>
        <w:t xml:space="preserve">is </w:t>
      </w:r>
      <w:r w:rsidRPr="008C5B1B">
        <w:t xml:space="preserve">presented in terms of a </w:t>
      </w:r>
      <w:r>
        <w:t xml:space="preserve">contour, with shading illustrating areas where rail is up to 50% slower than car, up to 100% and more than 100% slower. </w:t>
      </w:r>
      <w:r w:rsidRPr="008C5B1B">
        <w:t>There are very few areas of Romania where the difference in journey time between rail and car is less than 50% as shown in Figure 5.22. Furthermore, large areas of Romania have a rail GJT to Bucharest which is at least double compared with the equivalent by car. The corridor to Craiova from Bucharest, plus parts of Corridor IX towards Suceava, has rail journey times which are only 50% slower than car. The relatively slow parallel road corridors have influenced this outcome, rather than these rail services being notably faster</w:t>
      </w:r>
      <w:r>
        <w:t xml:space="preserve">. </w:t>
      </w:r>
      <w:r w:rsidRPr="008C5B1B">
        <w:t>This analysis also highlights network gaps which necessitate a longer journey by rail, for example, the route from Bucharest to Ramnicu Valcea and Sibiu is currently via Brașov, when the actual crow-fly distance is much shorter. In summary, rail journey times to a number of cities from Bucharest to a number of cities, such as Sibiu, Cluj-Napoca, Oradea, Baia Mare, Satu Mare and Timisoara are significantly higher than road which is the main competing mode. A combination of factors contributes to this outcome. These are:</w:t>
      </w:r>
    </w:p>
    <w:p w:rsidR="00660414" w:rsidRPr="000A76BD" w:rsidRDefault="00660414" w:rsidP="00273D5E">
      <w:pPr>
        <w:pStyle w:val="BulletLevel1"/>
      </w:pPr>
      <w:r w:rsidRPr="008C5B1B">
        <w:t>the numerous intermediate stops which result from rail trying to fulfil multiple functions</w:t>
      </w:r>
      <w:r>
        <w:t xml:space="preserve">. These include trying to </w:t>
      </w:r>
      <w:r w:rsidRPr="008C5B1B">
        <w:t>link</w:t>
      </w:r>
      <w:r>
        <w:t xml:space="preserve"> </w:t>
      </w:r>
      <w:r w:rsidRPr="008C5B1B">
        <w:t>the largest towns and cities in Romania</w:t>
      </w:r>
      <w:r>
        <w:t xml:space="preserve"> with the capital</w:t>
      </w:r>
      <w:r w:rsidRPr="008C5B1B">
        <w:t>,</w:t>
      </w:r>
      <w:r>
        <w:t xml:space="preserve"> as well as </w:t>
      </w:r>
      <w:r w:rsidRPr="008C5B1B">
        <w:t>trains serv</w:t>
      </w:r>
      <w:r>
        <w:t xml:space="preserve">ing </w:t>
      </w:r>
      <w:r w:rsidRPr="008C5B1B">
        <w:t>smaller catchments</w:t>
      </w:r>
      <w:r>
        <w:t xml:space="preserve"> which </w:t>
      </w:r>
      <w:r w:rsidRPr="008C5B1B">
        <w:t>connect</w:t>
      </w:r>
      <w:r>
        <w:t xml:space="preserve"> to</w:t>
      </w:r>
      <w:r w:rsidRPr="008C5B1B">
        <w:t xml:space="preserve"> the nearest regional centre;</w:t>
      </w:r>
    </w:p>
    <w:p w:rsidR="00660414" w:rsidRPr="000A76BD" w:rsidRDefault="00660414" w:rsidP="00273D5E">
      <w:pPr>
        <w:pStyle w:val="BulletLevel1"/>
      </w:pPr>
      <w:r w:rsidRPr="008C5B1B">
        <w:t>the extended dwell times at some intermediate stations; and</w:t>
      </w:r>
    </w:p>
    <w:p w:rsidR="00660414" w:rsidRPr="000A76BD" w:rsidRDefault="00660414" w:rsidP="00273D5E">
      <w:pPr>
        <w:pStyle w:val="BulletLevel1"/>
      </w:pPr>
      <w:r w:rsidRPr="008C5B1B">
        <w:t>the inadequate maintenance regime also contribute to the slower rail journey times.</w:t>
      </w:r>
    </w:p>
    <w:p w:rsidR="00660414" w:rsidRDefault="00660414" w:rsidP="00A4081F">
      <w:pPr>
        <w:pStyle w:val="NumberedParas"/>
      </w:pPr>
      <w:r w:rsidRPr="008C5B1B">
        <w:t>The overall impact is that, for those travellers with a choice, rail is less convenient for accessing job opportunities, visiting friends and relatives or leisure trips including holiday travel.</w:t>
      </w:r>
    </w:p>
    <w:p w:rsidR="00660414" w:rsidRDefault="00660414" w:rsidP="00660414">
      <w:pPr>
        <w:rPr>
          <w:b/>
          <w:bCs/>
          <w:sz w:val="22"/>
          <w:szCs w:val="22"/>
        </w:rPr>
      </w:pPr>
    </w:p>
    <w:p w:rsidR="00660414" w:rsidRPr="000A76BD" w:rsidRDefault="00660414" w:rsidP="00660414">
      <w:pPr>
        <w:rPr>
          <w:b/>
          <w:noProof/>
          <w:sz w:val="22"/>
          <w:szCs w:val="22"/>
          <w:lang w:eastAsia="en-GB"/>
        </w:rPr>
      </w:pPr>
      <w:r w:rsidRPr="008C5B1B">
        <w:rPr>
          <w:b/>
          <w:noProof/>
          <w:sz w:val="22"/>
          <w:szCs w:val="22"/>
          <w:lang w:val="ro-RO" w:eastAsia="ro-RO"/>
        </w:rPr>
        <w:drawing>
          <wp:inline distT="0" distB="0" distL="0" distR="0" wp14:anchorId="36F087B0" wp14:editId="449247B3">
            <wp:extent cx="5634740" cy="3960000"/>
            <wp:effectExtent l="0" t="0" r="4445" b="2540"/>
            <wp:docPr id="5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srcRect/>
                    <a:stretch>
                      <a:fillRect/>
                    </a:stretch>
                  </pic:blipFill>
                  <pic:spPr bwMode="auto">
                    <a:xfrm>
                      <a:off x="0" y="0"/>
                      <a:ext cx="5634740"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49" w:name="_Toc398885035"/>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23</w:t>
      </w:r>
      <w:r w:rsidRPr="008C7A83">
        <w:rPr>
          <w:b/>
          <w:sz w:val="22"/>
          <w:szCs w:val="22"/>
        </w:rPr>
        <w:fldChar w:fldCharType="end"/>
      </w:r>
      <w:r w:rsidRPr="008C7A83">
        <w:rPr>
          <w:b/>
          <w:sz w:val="22"/>
          <w:szCs w:val="22"/>
        </w:rPr>
        <w:t>: Comparison of Generalised Journey Times by Rail and Road to Bucharest</w:t>
      </w:r>
    </w:p>
    <w:p w:rsidR="00660414" w:rsidRPr="007B1E1D" w:rsidRDefault="00660414" w:rsidP="007613DE">
      <w:pPr>
        <w:rPr>
          <w:i/>
        </w:rPr>
      </w:pPr>
      <w:bookmarkStart w:id="7950" w:name="_Toc398885036"/>
      <w:bookmarkEnd w:id="7949"/>
      <w:r w:rsidRPr="008C5B1B">
        <w:rPr>
          <w:i/>
        </w:rPr>
        <w:t>Source: AECOM analysis of Romanian National Transport Model</w:t>
      </w:r>
      <w:bookmarkEnd w:id="7950"/>
    </w:p>
    <w:p w:rsidR="00660414" w:rsidRPr="000A76BD" w:rsidRDefault="00660414" w:rsidP="00A4081F">
      <w:pPr>
        <w:pStyle w:val="NumberedParas"/>
      </w:pPr>
      <w:r w:rsidRPr="008C5B1B">
        <w:t>Figure 5.23 presents the rail mode share, the total number of daily non-rail trips, the ratio of rail journey time versus car, the average rail speed and the average rail headway for the main corridors. Link flows are also illustrated.</w:t>
      </w:r>
    </w:p>
    <w:p w:rsidR="00660414" w:rsidRPr="008C5B1B" w:rsidRDefault="00660414" w:rsidP="00660414">
      <w:pPr>
        <w:rPr>
          <w:sz w:val="22"/>
          <w:szCs w:val="22"/>
        </w:rPr>
      </w:pPr>
    </w:p>
    <w:p w:rsidR="00660414" w:rsidRPr="008C5B1B" w:rsidRDefault="00660414" w:rsidP="00660414">
      <w:pPr>
        <w:rPr>
          <w:sz w:val="22"/>
          <w:szCs w:val="22"/>
        </w:rPr>
        <w:sectPr w:rsidR="00660414" w:rsidRPr="008C5B1B" w:rsidSect="007613DE">
          <w:headerReference w:type="default" r:id="rId189"/>
          <w:pgSz w:w="11907" w:h="16840" w:code="9"/>
          <w:pgMar w:top="1418" w:right="709" w:bottom="1418" w:left="907" w:header="357" w:footer="567" w:gutter="0"/>
          <w:cols w:space="187"/>
          <w:docGrid w:linePitch="360"/>
        </w:sect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AD572EC" wp14:editId="29A699DC">
            <wp:extent cx="8842076" cy="5660118"/>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90" cstate="email">
                      <a:extLst>
                        <a:ext uri="{28A0092B-C50C-407E-A947-70E740481C1C}">
                          <a14:useLocalDpi xmlns:a14="http://schemas.microsoft.com/office/drawing/2010/main"/>
                        </a:ext>
                      </a:extLst>
                    </a:blip>
                    <a:srcRect r="6313"/>
                    <a:stretch/>
                  </pic:blipFill>
                  <pic:spPr bwMode="auto">
                    <a:xfrm>
                      <a:off x="0" y="0"/>
                      <a:ext cx="8856116" cy="5669105"/>
                    </a:xfrm>
                    <a:prstGeom prst="rect">
                      <a:avLst/>
                    </a:prstGeom>
                    <a:noFill/>
                    <a:ln>
                      <a:noFill/>
                    </a:ln>
                    <a:extLst>
                      <a:ext uri="{53640926-AAD7-44D8-BBD7-CCE9431645EC}">
                        <a14:shadowObscured xmlns:a14="http://schemas.microsoft.com/office/drawing/2010/main"/>
                      </a:ext>
                    </a:extLst>
                  </pic:spPr>
                </pic:pic>
              </a:graphicData>
            </a:graphic>
          </wp:inline>
        </w:drawing>
      </w:r>
    </w:p>
    <w:p w:rsidR="00660414" w:rsidRPr="000A76BD"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24</w:t>
      </w:r>
      <w:r w:rsidRPr="0075501B">
        <w:rPr>
          <w:b/>
          <w:sz w:val="22"/>
          <w:szCs w:val="22"/>
        </w:rPr>
        <w:fldChar w:fldCharType="end"/>
      </w:r>
      <w:r>
        <w:rPr>
          <w:b/>
          <w:sz w:val="22"/>
          <w:szCs w:val="22"/>
        </w:rPr>
        <w:t>:</w:t>
      </w:r>
      <w:r w:rsidRPr="0075501B">
        <w:rPr>
          <w:b/>
          <w:sz w:val="22"/>
          <w:szCs w:val="22"/>
        </w:rPr>
        <w:t xml:space="preserve"> </w:t>
      </w:r>
      <w:r w:rsidRPr="00F91EDE">
        <w:rPr>
          <w:b/>
          <w:sz w:val="22"/>
          <w:szCs w:val="22"/>
        </w:rPr>
        <w:t xml:space="preserve">Summary of Baseline </w:t>
      </w:r>
      <w:r>
        <w:rPr>
          <w:b/>
          <w:sz w:val="22"/>
          <w:szCs w:val="22"/>
        </w:rPr>
        <w:t xml:space="preserve">Multi-modal </w:t>
      </w:r>
      <w:r w:rsidRPr="00F91EDE">
        <w:rPr>
          <w:b/>
          <w:sz w:val="22"/>
          <w:szCs w:val="22"/>
        </w:rPr>
        <w:t>Data for Selected Corridors</w:t>
      </w:r>
    </w:p>
    <w:p w:rsidR="00660414" w:rsidRPr="007B1E1D" w:rsidRDefault="00660414" w:rsidP="007613DE">
      <w:pPr>
        <w:rPr>
          <w:i/>
        </w:rPr>
      </w:pPr>
      <w:r w:rsidRPr="00F842FB">
        <w:rPr>
          <w:i/>
        </w:rPr>
        <w:t>Source: AECOM analysis of Romanian National Transport Model</w:t>
      </w:r>
    </w:p>
    <w:p w:rsidR="00660414" w:rsidRPr="008C5B1B" w:rsidRDefault="00660414" w:rsidP="007613DE">
      <w:pPr>
        <w:rPr>
          <w:i/>
        </w:rPr>
        <w:sectPr w:rsidR="00660414" w:rsidRPr="008C5B1B" w:rsidSect="007613DE">
          <w:pgSz w:w="16840" w:h="11907" w:orient="landscape" w:code="9"/>
          <w:pgMar w:top="907" w:right="1418" w:bottom="709" w:left="1418" w:header="357" w:footer="567" w:gutter="0"/>
          <w:cols w:space="187"/>
          <w:docGrid w:linePitch="360"/>
        </w:sectPr>
      </w:pPr>
    </w:p>
    <w:p w:rsidR="00660414" w:rsidRDefault="00660414" w:rsidP="00045287">
      <w:pPr>
        <w:pStyle w:val="Hdg2"/>
      </w:pPr>
      <w:bookmarkStart w:id="7951" w:name="_Toc398885038"/>
      <w:bookmarkStart w:id="7952" w:name="_Toc403555334"/>
      <w:bookmarkStart w:id="7953" w:name="_Toc413056053"/>
      <w:r w:rsidRPr="008C5B1B">
        <w:t>Strategic objectives</w:t>
      </w:r>
      <w:bookmarkEnd w:id="7951"/>
      <w:bookmarkEnd w:id="7952"/>
      <w:bookmarkEnd w:id="7953"/>
    </w:p>
    <w:p w:rsidR="00660414" w:rsidRDefault="00660414" w:rsidP="00A4081F">
      <w:pPr>
        <w:pStyle w:val="NumberedParas"/>
      </w:pPr>
      <w:r>
        <w:t xml:space="preserve">This section describes the overarching themes to link the problems and issues from the baseline to possible solutions, depending on the overall value for money case. </w:t>
      </w:r>
    </w:p>
    <w:p w:rsidR="00660414" w:rsidRDefault="00660414" w:rsidP="00660414">
      <w:pPr>
        <w:rPr>
          <w:b/>
          <w:noProof/>
          <w:sz w:val="22"/>
          <w:szCs w:val="22"/>
          <w:lang w:eastAsia="en-GB"/>
        </w:rPr>
      </w:pPr>
      <w:r w:rsidRPr="008C5B1B">
        <w:rPr>
          <w:b/>
          <w:noProof/>
          <w:sz w:val="22"/>
          <w:szCs w:val="22"/>
          <w:lang w:val="ro-RO" w:eastAsia="ro-RO"/>
        </w:rPr>
        <w:drawing>
          <wp:inline distT="0" distB="0" distL="0" distR="0" wp14:anchorId="77694364" wp14:editId="1C4B558E">
            <wp:extent cx="5943600" cy="2622550"/>
            <wp:effectExtent l="19050" t="0" r="0" b="0"/>
            <wp:docPr id="5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943600" cy="262255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25</w:t>
      </w:r>
      <w:r w:rsidRPr="008C7A83">
        <w:rPr>
          <w:b/>
          <w:sz w:val="22"/>
          <w:szCs w:val="22"/>
        </w:rPr>
        <w:fldChar w:fldCharType="end"/>
      </w:r>
      <w:r w:rsidRPr="008C7A83">
        <w:rPr>
          <w:b/>
          <w:sz w:val="22"/>
          <w:szCs w:val="22"/>
        </w:rPr>
        <w:t>: Summarises the overarching objectives for the TEN – T Core and Comprehensive networks</w:t>
      </w:r>
    </w:p>
    <w:p w:rsidR="00660414" w:rsidRPr="000A76BD" w:rsidRDefault="00660414" w:rsidP="00A4081F">
      <w:pPr>
        <w:pStyle w:val="NumberedParas"/>
      </w:pPr>
      <w:r w:rsidRPr="008C5B1B">
        <w:t>Ensuring a sustainable, economically efficient, flexible, environmental friendly, safe and balanced rail network that integrates with other modes and is compatible with TEN–T Core and Comprehensive networks plus other EU strategies and regulations is an overarching objective. The General Objective</w:t>
      </w:r>
      <w:r>
        <w:t>s</w:t>
      </w:r>
      <w:r w:rsidRPr="008C5B1B">
        <w:t xml:space="preserve"> will be achieved through the following ways:</w:t>
      </w:r>
    </w:p>
    <w:p w:rsidR="00660414" w:rsidRPr="000A76BD" w:rsidRDefault="00660414" w:rsidP="00273D5E">
      <w:pPr>
        <w:pStyle w:val="BulletLevel1"/>
      </w:pPr>
      <w:r w:rsidRPr="008C5B1B">
        <w:t>Common Objectives setting for all modes;</w:t>
      </w:r>
    </w:p>
    <w:p w:rsidR="00660414" w:rsidRPr="000A76BD" w:rsidRDefault="00660414" w:rsidP="00273D5E">
      <w:pPr>
        <w:pStyle w:val="BulletLevel1"/>
      </w:pPr>
      <w:r w:rsidRPr="008C5B1B">
        <w:t>Specific Objectives setting for each mode.</w:t>
      </w:r>
    </w:p>
    <w:p w:rsidR="00660414" w:rsidRPr="000A76BD" w:rsidRDefault="00660414" w:rsidP="00A4081F">
      <w:pPr>
        <w:pStyle w:val="NumberedParas"/>
      </w:pPr>
      <w:r w:rsidRPr="008C5B1B">
        <w:t xml:space="preserve">Five more detailed objectives have also been defined </w:t>
      </w:r>
      <w:r>
        <w:t>comprising</w:t>
      </w:r>
      <w:r w:rsidRPr="008C5B1B">
        <w:t>:</w:t>
      </w:r>
    </w:p>
    <w:p w:rsidR="00660414" w:rsidRPr="000A76BD" w:rsidRDefault="00660414" w:rsidP="00273D5E">
      <w:pPr>
        <w:pStyle w:val="BulletLevel1"/>
      </w:pPr>
      <w:r w:rsidRPr="008C5B1B">
        <w:rPr>
          <w:b/>
        </w:rPr>
        <w:t>Economic Efficiency:</w:t>
      </w:r>
      <w:r w:rsidRPr="008C5B1B">
        <w:t xml:space="preserve"> a transport system that generates benefits that are greater than its costs;</w:t>
      </w:r>
    </w:p>
    <w:p w:rsidR="00660414" w:rsidRPr="000A76BD" w:rsidRDefault="00660414" w:rsidP="00273D5E">
      <w:pPr>
        <w:pStyle w:val="BulletLevel1"/>
      </w:pPr>
      <w:r w:rsidRPr="008C5B1B">
        <w:rPr>
          <w:b/>
        </w:rPr>
        <w:t>Equity:</w:t>
      </w:r>
      <w:r w:rsidRPr="008C5B1B">
        <w:t xml:space="preserve"> the costs and benefits of the transport system should be distributed fairly among citizens, industries and geographic areas;</w:t>
      </w:r>
    </w:p>
    <w:p w:rsidR="00660414" w:rsidRPr="000A76BD" w:rsidRDefault="00660414" w:rsidP="00273D5E">
      <w:pPr>
        <w:pStyle w:val="BulletLevel1"/>
      </w:pPr>
      <w:r w:rsidRPr="008C5B1B">
        <w:rPr>
          <w:b/>
        </w:rPr>
        <w:t>Safety:</w:t>
      </w:r>
      <w:r w:rsidRPr="008C5B1B">
        <w:t xml:space="preserve"> the transport infrastructure and services should be provided in a manner that protects people from death and injury;</w:t>
      </w:r>
    </w:p>
    <w:p w:rsidR="00660414" w:rsidRPr="000A76BD" w:rsidRDefault="00660414" w:rsidP="00273D5E">
      <w:pPr>
        <w:pStyle w:val="BulletLevel1"/>
      </w:pPr>
      <w:r w:rsidRPr="008C5B1B">
        <w:rPr>
          <w:b/>
        </w:rPr>
        <w:t>Integration:</w:t>
      </w:r>
      <w:r w:rsidRPr="008C5B1B">
        <w:t xml:space="preserve"> the transport system should enable people to travel conveniently and reliably using a combination of different modes of transport, and to minimise the costs of transporting goods;</w:t>
      </w:r>
    </w:p>
    <w:p w:rsidR="00660414" w:rsidRPr="000A76BD" w:rsidRDefault="00660414" w:rsidP="00273D5E">
      <w:pPr>
        <w:pStyle w:val="BulletLevel1"/>
      </w:pPr>
      <w:r w:rsidRPr="008C5B1B">
        <w:rPr>
          <w:b/>
        </w:rPr>
        <w:t>Environment:</w:t>
      </w:r>
      <w:r w:rsidRPr="008C5B1B">
        <w:t xml:space="preserve"> the transport system should protect the environment and by so doing should support social and economic development for the benefit of today’s and future generations.</w:t>
      </w:r>
    </w:p>
    <w:p w:rsidR="00660414" w:rsidRPr="000A76BD" w:rsidRDefault="00660414" w:rsidP="00A4081F">
      <w:pPr>
        <w:pStyle w:val="NumberedParas"/>
      </w:pPr>
      <w:r w:rsidRPr="008C5B1B">
        <w:t xml:space="preserve">In addition to the strategic objectives identified, a number of operational objectives were also collated. These objectives were informed by the problems identified by the baseline analysis. These operational objectives </w:t>
      </w:r>
      <w:r>
        <w:t xml:space="preserve">(OR) </w:t>
      </w:r>
      <w:r w:rsidRPr="008C5B1B">
        <w:t>were grouped into themes:</w:t>
      </w:r>
    </w:p>
    <w:p w:rsidR="00660414" w:rsidRPr="000A76BD" w:rsidRDefault="00660414" w:rsidP="00273D5E">
      <w:pPr>
        <w:pStyle w:val="BulletLevel1"/>
      </w:pPr>
      <w:r w:rsidRPr="008C5B1B">
        <w:t>OR1: Reform radically the system as to establish a sustainable framework for development;</w:t>
      </w:r>
    </w:p>
    <w:p w:rsidR="00660414" w:rsidRPr="000A76BD" w:rsidRDefault="00660414" w:rsidP="00273D5E">
      <w:pPr>
        <w:pStyle w:val="BulletLevel1"/>
      </w:pPr>
      <w:r w:rsidRPr="008C5B1B">
        <w:t>OR 2: Focus the scarce maintenance and development resources on a reduced sustainable network;</w:t>
      </w:r>
    </w:p>
    <w:p w:rsidR="00660414" w:rsidRPr="000A76BD" w:rsidRDefault="00660414" w:rsidP="00273D5E">
      <w:pPr>
        <w:pStyle w:val="BulletLevel1"/>
      </w:pPr>
      <w:r w:rsidRPr="008C5B1B">
        <w:t>OR 3: Establish a competitive and commercial framework for passengers operations;</w:t>
      </w:r>
    </w:p>
    <w:p w:rsidR="00660414" w:rsidRPr="000A76BD" w:rsidRDefault="00660414" w:rsidP="00273D5E">
      <w:pPr>
        <w:pStyle w:val="BulletLevel1"/>
      </w:pPr>
      <w:r w:rsidRPr="008C5B1B">
        <w:t>OR 4: Establish a sound performance accountability system;</w:t>
      </w:r>
    </w:p>
    <w:p w:rsidR="00660414" w:rsidRPr="000A76BD" w:rsidRDefault="00660414" w:rsidP="00273D5E">
      <w:pPr>
        <w:pStyle w:val="BulletLevel1"/>
        <w:rPr>
          <w:b/>
        </w:rPr>
      </w:pPr>
      <w:r w:rsidRPr="008C5B1B">
        <w:t>OR 5: Improve the management efficiency of the rail companies and thus the financial sustainability of the system.</w:t>
      </w:r>
    </w:p>
    <w:p w:rsidR="00660414" w:rsidRPr="000A76BD" w:rsidRDefault="00660414" w:rsidP="00A4081F">
      <w:pPr>
        <w:pStyle w:val="NumberedParas"/>
      </w:pPr>
      <w:r w:rsidRPr="008C5B1B">
        <w:t>As well as the generic operational objectives, the following corridor</w:t>
      </w:r>
      <w:r>
        <w:t>s</w:t>
      </w:r>
      <w:r w:rsidRPr="008C5B1B">
        <w:t xml:space="preserve"> have also been identified to improve the competitiveness of passenger rail services:</w:t>
      </w:r>
    </w:p>
    <w:p w:rsidR="00660414" w:rsidRPr="000A76BD" w:rsidRDefault="00660414" w:rsidP="00273D5E">
      <w:pPr>
        <w:pStyle w:val="BulletLevel1"/>
      </w:pPr>
      <w:r w:rsidRPr="008C5B1B">
        <w:t>OR 6 Bucharest to Arad/Cluj via Brasov and Teius;</w:t>
      </w:r>
    </w:p>
    <w:p w:rsidR="00660414" w:rsidRPr="000A76BD" w:rsidRDefault="00660414" w:rsidP="00273D5E">
      <w:pPr>
        <w:pStyle w:val="BulletLevel1"/>
      </w:pPr>
      <w:r w:rsidRPr="008C5B1B">
        <w:t>OR 7: Bucharest to Constanta;</w:t>
      </w:r>
    </w:p>
    <w:p w:rsidR="00660414" w:rsidRPr="000A76BD" w:rsidRDefault="00660414" w:rsidP="00273D5E">
      <w:pPr>
        <w:pStyle w:val="BulletLevel1"/>
      </w:pPr>
      <w:r w:rsidRPr="008C5B1B">
        <w:t>OR 8: Bucharest to Arad via Craiova and Timisoara;</w:t>
      </w:r>
    </w:p>
    <w:p w:rsidR="00660414" w:rsidRPr="000A76BD" w:rsidRDefault="00660414" w:rsidP="00273D5E">
      <w:pPr>
        <w:pStyle w:val="BulletLevel1"/>
      </w:pPr>
      <w:r w:rsidRPr="008C5B1B">
        <w:t>OR 9: Bucharest to Iasi via Bacau, and Buzau to Galati;</w:t>
      </w:r>
    </w:p>
    <w:p w:rsidR="00660414" w:rsidRPr="000A76BD" w:rsidRDefault="00660414" w:rsidP="00273D5E">
      <w:pPr>
        <w:pStyle w:val="BulletLevel1"/>
      </w:pPr>
      <w:r w:rsidRPr="008C5B1B">
        <w:t>OR 10: Bucharest to Sibiu via Pitesti and Ramnicu Valcea;</w:t>
      </w:r>
    </w:p>
    <w:p w:rsidR="00660414" w:rsidRPr="000A76BD" w:rsidRDefault="00660414" w:rsidP="00273D5E">
      <w:pPr>
        <w:pStyle w:val="BulletLevel1"/>
      </w:pPr>
      <w:r w:rsidRPr="008C5B1B">
        <w:t>OR 11: Cluj-Napoca to Iasi;</w:t>
      </w:r>
    </w:p>
    <w:p w:rsidR="00660414" w:rsidRPr="000A76BD" w:rsidRDefault="00660414" w:rsidP="00273D5E">
      <w:pPr>
        <w:pStyle w:val="BulletLevel1"/>
      </w:pPr>
      <w:r w:rsidRPr="008C5B1B">
        <w:t>OR 12: Cluj-Napoca to Oradea: including electrification and line doubling;</w:t>
      </w:r>
    </w:p>
    <w:p w:rsidR="00660414" w:rsidRPr="000A76BD" w:rsidRDefault="00660414" w:rsidP="00273D5E">
      <w:pPr>
        <w:pStyle w:val="BulletLevel1"/>
      </w:pPr>
      <w:r w:rsidRPr="008C5B1B">
        <w:t>OR 13: Oradea to Timisoara;</w:t>
      </w:r>
    </w:p>
    <w:p w:rsidR="00660414" w:rsidRPr="000A76BD" w:rsidRDefault="00660414" w:rsidP="00273D5E">
      <w:pPr>
        <w:pStyle w:val="BulletLevel1"/>
        <w:rPr>
          <w:b/>
        </w:rPr>
      </w:pPr>
      <w:r w:rsidRPr="008C5B1B">
        <w:t>OR 14: Oradea to Baia Mare, and Satu Mare to Cluj-Napoca via Baia Mare.</w:t>
      </w:r>
    </w:p>
    <w:p w:rsidR="00660414" w:rsidRPr="000A76BD" w:rsidRDefault="00660414" w:rsidP="00A4081F">
      <w:pPr>
        <w:pStyle w:val="NumberedParas"/>
      </w:pPr>
      <w:r w:rsidRPr="008C5B1B">
        <w:t xml:space="preserve">The selection of the corridors described above reflects current traffic levels </w:t>
      </w:r>
      <w:r>
        <w:t xml:space="preserve">using individual corridors in the baseline scenario </w:t>
      </w:r>
      <w:r w:rsidRPr="008C5B1B">
        <w:t xml:space="preserve">as well as taking account of the requirements of Regulation no 1315/2013 of the European Parliament on the development of the trans-European transport network. The components of the projects takes account of the mandatory elements of the legislation which include infrastructure enhancements, signalling improvements, electrification, and the operation of high quality rolling stock. If the economic assessment demonstrates that some components of each package are deemed to be uneconomic, exceptions will need to be sought from the Commission. </w:t>
      </w:r>
    </w:p>
    <w:p w:rsidR="00660414" w:rsidRPr="000A76BD" w:rsidRDefault="00660414" w:rsidP="00A4081F">
      <w:pPr>
        <w:pStyle w:val="NumberedParas"/>
      </w:pPr>
      <w:r w:rsidRPr="008C5B1B">
        <w:t>To address the uncompetitive rail services, the corridors were identified and analysed in terms of rail mode share, total travel market, understanding the components of overall generalised cost including journey time and headway.</w:t>
      </w:r>
    </w:p>
    <w:p w:rsidR="00660414" w:rsidRPr="000A76BD" w:rsidRDefault="00660414" w:rsidP="00A4081F">
      <w:pPr>
        <w:pStyle w:val="NumberedParas"/>
      </w:pPr>
      <w:r w:rsidRPr="008C5B1B">
        <w:t>Table 5.7 summarises the main problems using supporting evidence, with the operational objectives described above ‘mapped’ to the issues. The proposed interventions and their suitability for testing using the National Transport Model are also shown.</w:t>
      </w:r>
    </w:p>
    <w:p w:rsidR="00660414" w:rsidRPr="000A76BD" w:rsidRDefault="00660414" w:rsidP="00A4081F">
      <w:pPr>
        <w:pStyle w:val="NumberedParas"/>
        <w:numPr>
          <w:ilvl w:val="0"/>
          <w:numId w:val="0"/>
        </w:numPr>
        <w:ind w:left="964"/>
        <w:sectPr w:rsidR="00660414" w:rsidRPr="000A76BD" w:rsidSect="007613DE">
          <w:headerReference w:type="default" r:id="rId192"/>
          <w:pgSz w:w="11907" w:h="16840" w:code="9"/>
          <w:pgMar w:top="1418" w:right="709" w:bottom="1418" w:left="907" w:header="357" w:footer="567" w:gutter="0"/>
          <w:cols w:space="187"/>
          <w:docGrid w:linePitch="360"/>
        </w:sectPr>
      </w:pPr>
    </w:p>
    <w:p w:rsidR="00660414" w:rsidRPr="000A76BD" w:rsidRDefault="00660414" w:rsidP="00660414">
      <w:pPr>
        <w:pStyle w:val="Caption"/>
        <w:rPr>
          <w:b/>
          <w:sz w:val="22"/>
          <w:szCs w:val="22"/>
        </w:rPr>
      </w:pPr>
      <w:r w:rsidRPr="001F5936">
        <w:rPr>
          <w:b/>
          <w:sz w:val="22"/>
          <w:szCs w:val="22"/>
        </w:rPr>
        <w:t>Table 5.</w:t>
      </w:r>
      <w:r w:rsidRPr="008C5B1B">
        <w:rPr>
          <w:b/>
          <w:bCs w:val="0"/>
          <w:sz w:val="22"/>
          <w:szCs w:val="22"/>
        </w:rPr>
        <w:fldChar w:fldCharType="begin"/>
      </w:r>
      <w:r w:rsidRPr="001F5936">
        <w:rPr>
          <w:b/>
          <w:sz w:val="22"/>
          <w:szCs w:val="22"/>
        </w:rPr>
        <w:instrText xml:space="preserve"> SEQ Table \* ARABIC </w:instrText>
      </w:r>
      <w:r w:rsidRPr="008C5B1B">
        <w:rPr>
          <w:b/>
          <w:bCs w:val="0"/>
          <w:sz w:val="22"/>
          <w:szCs w:val="22"/>
        </w:rPr>
        <w:fldChar w:fldCharType="separate"/>
      </w:r>
      <w:r w:rsidR="00C168ED">
        <w:rPr>
          <w:b/>
          <w:noProof/>
          <w:sz w:val="22"/>
          <w:szCs w:val="22"/>
        </w:rPr>
        <w:t>7</w:t>
      </w:r>
      <w:r w:rsidRPr="008C5B1B">
        <w:rPr>
          <w:b/>
          <w:bCs w:val="0"/>
          <w:sz w:val="22"/>
          <w:szCs w:val="22"/>
        </w:rPr>
        <w:fldChar w:fldCharType="end"/>
      </w:r>
      <w:r w:rsidRPr="001F5936">
        <w:rPr>
          <w:b/>
          <w:sz w:val="22"/>
          <w:szCs w:val="22"/>
        </w:rPr>
        <w:t>:</w:t>
      </w:r>
      <w:bookmarkStart w:id="7954" w:name="_Toc398885039"/>
      <w:r w:rsidRPr="008C5B1B">
        <w:rPr>
          <w:b/>
          <w:sz w:val="22"/>
          <w:szCs w:val="22"/>
        </w:rPr>
        <w:t xml:space="preserve"> High Level Objectives and Supporting Evidence for Passenger Rail and Freight</w:t>
      </w:r>
      <w:bookmarkEnd w:id="7954"/>
    </w:p>
    <w:tbl>
      <w:tblPr>
        <w:tblW w:w="22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666"/>
        <w:gridCol w:w="10"/>
        <w:gridCol w:w="1592"/>
        <w:gridCol w:w="2977"/>
        <w:gridCol w:w="3118"/>
        <w:gridCol w:w="2127"/>
        <w:gridCol w:w="992"/>
        <w:gridCol w:w="3543"/>
        <w:gridCol w:w="1134"/>
        <w:gridCol w:w="1701"/>
        <w:gridCol w:w="1560"/>
        <w:gridCol w:w="1118"/>
        <w:gridCol w:w="17"/>
      </w:tblGrid>
      <w:tr w:rsidR="00660414" w:rsidRPr="000A76BD" w:rsidTr="007613DE">
        <w:trPr>
          <w:tblHeader/>
        </w:trPr>
        <w:tc>
          <w:tcPr>
            <w:tcW w:w="1526" w:type="dxa"/>
            <w:vMerge w:val="restart"/>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High level</w:t>
            </w:r>
          </w:p>
        </w:tc>
        <w:tc>
          <w:tcPr>
            <w:tcW w:w="5245" w:type="dxa"/>
            <w:gridSpan w:val="4"/>
            <w:shd w:val="clear" w:color="auto" w:fill="C6D9F1"/>
            <w:vAlign w:val="center"/>
          </w:tcPr>
          <w:p w:rsidR="00660414" w:rsidRPr="008C5B1B" w:rsidRDefault="00660414" w:rsidP="007613DE">
            <w:pPr>
              <w:spacing w:before="60" w:after="60"/>
              <w:jc w:val="center"/>
              <w:rPr>
                <w:rFonts w:cs="Arial"/>
                <w:b/>
                <w:sz w:val="22"/>
                <w:szCs w:val="22"/>
              </w:rPr>
            </w:pPr>
            <w:r w:rsidRPr="008C5B1B">
              <w:rPr>
                <w:rFonts w:cs="Arial"/>
                <w:b/>
                <w:sz w:val="22"/>
                <w:szCs w:val="22"/>
              </w:rPr>
              <w:t>Problem</w:t>
            </w:r>
          </w:p>
        </w:tc>
        <w:tc>
          <w:tcPr>
            <w:tcW w:w="3118" w:type="dxa"/>
            <w:vMerge w:val="restart"/>
            <w:shd w:val="clear" w:color="auto" w:fill="C6D9F1"/>
            <w:vAlign w:val="center"/>
          </w:tcPr>
          <w:p w:rsidR="00660414" w:rsidRPr="008C5B1B" w:rsidRDefault="00660414" w:rsidP="007613DE">
            <w:pPr>
              <w:spacing w:before="120" w:after="120"/>
              <w:jc w:val="both"/>
              <w:rPr>
                <w:rFonts w:cs="Arial"/>
                <w:b/>
                <w:sz w:val="22"/>
                <w:szCs w:val="22"/>
              </w:rPr>
            </w:pPr>
            <w:r w:rsidRPr="008C5B1B">
              <w:rPr>
                <w:rFonts w:cs="Arial"/>
                <w:b/>
                <w:sz w:val="22"/>
                <w:szCs w:val="22"/>
              </w:rPr>
              <w:t>Summary of supporting information</w:t>
            </w:r>
          </w:p>
        </w:tc>
        <w:tc>
          <w:tcPr>
            <w:tcW w:w="3119" w:type="dxa"/>
            <w:gridSpan w:val="2"/>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Operational objectives</w:t>
            </w:r>
          </w:p>
        </w:tc>
        <w:tc>
          <w:tcPr>
            <w:tcW w:w="3543" w:type="dxa"/>
            <w:shd w:val="clear" w:color="auto" w:fill="C6D9F1"/>
            <w:vAlign w:val="center"/>
          </w:tcPr>
          <w:p w:rsidR="00660414" w:rsidRPr="008C5B1B" w:rsidRDefault="00660414" w:rsidP="007613DE">
            <w:pPr>
              <w:spacing w:before="60" w:after="60"/>
              <w:jc w:val="center"/>
              <w:rPr>
                <w:rFonts w:cs="Arial"/>
                <w:b/>
                <w:sz w:val="22"/>
                <w:szCs w:val="22"/>
              </w:rPr>
            </w:pPr>
            <w:r w:rsidRPr="008C5B1B">
              <w:rPr>
                <w:rFonts w:cs="Arial"/>
                <w:b/>
                <w:sz w:val="22"/>
                <w:szCs w:val="22"/>
              </w:rPr>
              <w:t>Interventions(s)</w:t>
            </w:r>
          </w:p>
        </w:tc>
        <w:tc>
          <w:tcPr>
            <w:tcW w:w="4395" w:type="dxa"/>
            <w:gridSpan w:val="3"/>
            <w:shd w:val="clear" w:color="auto" w:fill="C6D9F1"/>
            <w:vAlign w:val="center"/>
          </w:tcPr>
          <w:p w:rsidR="00660414" w:rsidRPr="008C5B1B" w:rsidRDefault="00660414" w:rsidP="007613DE">
            <w:pPr>
              <w:spacing w:before="60" w:after="60"/>
              <w:jc w:val="center"/>
              <w:rPr>
                <w:rFonts w:cs="Arial"/>
                <w:b/>
                <w:sz w:val="22"/>
                <w:szCs w:val="22"/>
              </w:rPr>
            </w:pPr>
            <w:r w:rsidRPr="008C5B1B">
              <w:rPr>
                <w:rFonts w:cs="Arial"/>
                <w:b/>
                <w:sz w:val="22"/>
                <w:szCs w:val="22"/>
              </w:rPr>
              <w:t>Testing plan</w:t>
            </w:r>
          </w:p>
        </w:tc>
        <w:tc>
          <w:tcPr>
            <w:tcW w:w="1135" w:type="dxa"/>
            <w:gridSpan w:val="2"/>
            <w:vMerge w:val="restart"/>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Project</w:t>
            </w:r>
          </w:p>
        </w:tc>
      </w:tr>
      <w:tr w:rsidR="00660414" w:rsidRPr="000A76BD" w:rsidTr="007613DE">
        <w:trPr>
          <w:tblHeader/>
        </w:trPr>
        <w:tc>
          <w:tcPr>
            <w:tcW w:w="1526" w:type="dxa"/>
            <w:vMerge/>
            <w:shd w:val="clear" w:color="auto" w:fill="C6D9F1"/>
            <w:vAlign w:val="center"/>
          </w:tcPr>
          <w:p w:rsidR="00660414" w:rsidRPr="008C5B1B" w:rsidRDefault="00660414" w:rsidP="007613DE">
            <w:pPr>
              <w:spacing w:before="60" w:after="60"/>
              <w:jc w:val="both"/>
              <w:rPr>
                <w:rFonts w:cs="Arial"/>
                <w:b/>
                <w:sz w:val="22"/>
                <w:szCs w:val="22"/>
              </w:rPr>
            </w:pPr>
          </w:p>
        </w:tc>
        <w:tc>
          <w:tcPr>
            <w:tcW w:w="666"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No.</w:t>
            </w:r>
          </w:p>
        </w:tc>
        <w:tc>
          <w:tcPr>
            <w:tcW w:w="1602" w:type="dxa"/>
            <w:gridSpan w:val="2"/>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Theme</w:t>
            </w:r>
          </w:p>
        </w:tc>
        <w:tc>
          <w:tcPr>
            <w:tcW w:w="2977" w:type="dxa"/>
            <w:shd w:val="clear" w:color="auto" w:fill="C6D9F1"/>
            <w:vAlign w:val="center"/>
          </w:tcPr>
          <w:p w:rsidR="00660414" w:rsidRPr="008C5B1B" w:rsidRDefault="00660414" w:rsidP="007613DE">
            <w:pPr>
              <w:spacing w:before="60" w:after="60"/>
              <w:rPr>
                <w:rFonts w:cs="Arial"/>
                <w:b/>
                <w:sz w:val="22"/>
                <w:szCs w:val="22"/>
              </w:rPr>
            </w:pPr>
            <w:r w:rsidRPr="008C5B1B">
              <w:rPr>
                <w:rFonts w:cs="Arial"/>
                <w:b/>
                <w:sz w:val="22"/>
                <w:szCs w:val="22"/>
              </w:rPr>
              <w:t>Description</w:t>
            </w:r>
          </w:p>
        </w:tc>
        <w:tc>
          <w:tcPr>
            <w:tcW w:w="3118" w:type="dxa"/>
            <w:vMerge/>
            <w:shd w:val="clear" w:color="auto" w:fill="C6D9F1"/>
            <w:vAlign w:val="center"/>
          </w:tcPr>
          <w:p w:rsidR="00660414" w:rsidRPr="008C5B1B" w:rsidRDefault="00660414" w:rsidP="007613DE">
            <w:pPr>
              <w:spacing w:before="120" w:after="120"/>
              <w:jc w:val="both"/>
              <w:rPr>
                <w:rFonts w:cs="Arial"/>
                <w:b/>
                <w:sz w:val="22"/>
                <w:szCs w:val="22"/>
              </w:rPr>
            </w:pPr>
          </w:p>
        </w:tc>
        <w:tc>
          <w:tcPr>
            <w:tcW w:w="2127" w:type="dxa"/>
            <w:shd w:val="clear" w:color="auto" w:fill="C6D9F1"/>
            <w:vAlign w:val="center"/>
          </w:tcPr>
          <w:p w:rsidR="00660414" w:rsidRPr="008C5B1B" w:rsidRDefault="00660414" w:rsidP="007613DE">
            <w:pPr>
              <w:spacing w:before="60" w:after="60"/>
              <w:rPr>
                <w:rFonts w:cs="Arial"/>
                <w:b/>
                <w:sz w:val="22"/>
                <w:szCs w:val="22"/>
              </w:rPr>
            </w:pPr>
            <w:r w:rsidRPr="008C5B1B">
              <w:rPr>
                <w:rFonts w:cs="Arial"/>
                <w:b/>
                <w:sz w:val="22"/>
                <w:szCs w:val="22"/>
              </w:rPr>
              <w:t>Description</w:t>
            </w:r>
          </w:p>
        </w:tc>
        <w:tc>
          <w:tcPr>
            <w:tcW w:w="992"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Ref</w:t>
            </w:r>
          </w:p>
        </w:tc>
        <w:tc>
          <w:tcPr>
            <w:tcW w:w="3543"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Description / Alternatives</w:t>
            </w:r>
          </w:p>
        </w:tc>
        <w:tc>
          <w:tcPr>
            <w:tcW w:w="1134"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Suitable for testing</w:t>
            </w:r>
          </w:p>
        </w:tc>
        <w:tc>
          <w:tcPr>
            <w:tcW w:w="1701"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Type of project to be tested</w:t>
            </w:r>
          </w:p>
        </w:tc>
        <w:tc>
          <w:tcPr>
            <w:tcW w:w="1560" w:type="dxa"/>
            <w:shd w:val="clear" w:color="auto" w:fill="C6D9F1"/>
            <w:vAlign w:val="center"/>
          </w:tcPr>
          <w:p w:rsidR="00660414" w:rsidRPr="008C5B1B" w:rsidRDefault="00660414" w:rsidP="007613DE">
            <w:pPr>
              <w:spacing w:before="60" w:after="60"/>
              <w:jc w:val="both"/>
              <w:rPr>
                <w:rFonts w:cs="Arial"/>
                <w:b/>
                <w:sz w:val="22"/>
                <w:szCs w:val="22"/>
              </w:rPr>
            </w:pPr>
            <w:r w:rsidRPr="008C5B1B">
              <w:rPr>
                <w:rFonts w:cs="Arial"/>
                <w:b/>
                <w:sz w:val="22"/>
                <w:szCs w:val="22"/>
              </w:rPr>
              <w:t>Level of aggregation to be tested</w:t>
            </w:r>
          </w:p>
        </w:tc>
        <w:tc>
          <w:tcPr>
            <w:tcW w:w="1135" w:type="dxa"/>
            <w:gridSpan w:val="2"/>
            <w:vMerge/>
            <w:shd w:val="clear" w:color="auto" w:fill="C6D9F1"/>
            <w:vAlign w:val="center"/>
          </w:tcPr>
          <w:p w:rsidR="00660414" w:rsidRPr="008C5B1B" w:rsidRDefault="00660414" w:rsidP="007613DE">
            <w:pPr>
              <w:spacing w:before="60" w:after="60"/>
              <w:jc w:val="both"/>
              <w:rPr>
                <w:rFonts w:cs="Arial"/>
                <w:b/>
                <w:sz w:val="22"/>
                <w:szCs w:val="22"/>
              </w:rPr>
            </w:pPr>
          </w:p>
        </w:tc>
      </w:tr>
      <w:tr w:rsidR="00660414" w:rsidRPr="000A76BD" w:rsidTr="007613DE">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Sustainability</w:t>
            </w:r>
          </w:p>
        </w:tc>
        <w:tc>
          <w:tcPr>
            <w:tcW w:w="2268" w:type="dxa"/>
            <w:gridSpan w:val="3"/>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General</w:t>
            </w:r>
          </w:p>
        </w:tc>
        <w:tc>
          <w:tcPr>
            <w:tcW w:w="2977" w:type="dxa"/>
            <w:shd w:val="clear" w:color="auto" w:fill="auto"/>
            <w:vAlign w:val="center"/>
          </w:tcPr>
          <w:p w:rsidR="00660414" w:rsidRPr="008C5B1B" w:rsidRDefault="00660414" w:rsidP="007613DE">
            <w:pPr>
              <w:spacing w:before="60" w:after="60"/>
              <w:rPr>
                <w:rFonts w:cs="Arial"/>
                <w:sz w:val="22"/>
                <w:szCs w:val="22"/>
              </w:rPr>
            </w:pPr>
            <w:r w:rsidRPr="008C5B1B">
              <w:rPr>
                <w:rFonts w:cs="Arial"/>
                <w:sz w:val="22"/>
                <w:szCs w:val="22"/>
              </w:rPr>
              <w:t>The railway sector in Romania is in crisis.  Since 1990 there has been a severe and continuous decline in all the key performance indicators.</w:t>
            </w:r>
          </w:p>
          <w:p w:rsidR="00660414" w:rsidRPr="008C5B1B" w:rsidRDefault="00660414" w:rsidP="007613DE">
            <w:pPr>
              <w:spacing w:before="60" w:after="60"/>
              <w:rPr>
                <w:rFonts w:cs="Arial"/>
                <w:sz w:val="22"/>
                <w:szCs w:val="22"/>
              </w:rPr>
            </w:pPr>
            <w:r w:rsidRPr="008C5B1B">
              <w:rPr>
                <w:rFonts w:cs="Arial"/>
                <w:sz w:val="22"/>
                <w:szCs w:val="22"/>
              </w:rPr>
              <w:t>Unless the system is radically reformed the investments in infrastructure upgrade have no actual benefits.</w:t>
            </w:r>
          </w:p>
          <w:p w:rsidR="00660414" w:rsidRPr="008C5B1B" w:rsidRDefault="00660414" w:rsidP="007613DE">
            <w:pPr>
              <w:spacing w:before="60" w:after="60"/>
              <w:rPr>
                <w:rFonts w:cs="Arial"/>
                <w:sz w:val="22"/>
                <w:szCs w:val="22"/>
              </w:rPr>
            </w:pPr>
            <w:r w:rsidRPr="008C5B1B">
              <w:rPr>
                <w:rFonts w:cs="Arial"/>
                <w:sz w:val="22"/>
                <w:szCs w:val="22"/>
              </w:rPr>
              <w:t>There is a complex of problems behind the crisis, which are grouped under the following sub-themes.</w:t>
            </w:r>
          </w:p>
        </w:tc>
        <w:tc>
          <w:tcPr>
            <w:tcW w:w="3118" w:type="dxa"/>
            <w:shd w:val="clear" w:color="auto" w:fill="auto"/>
            <w:vAlign w:val="center"/>
          </w:tcPr>
          <w:p w:rsidR="00660414" w:rsidRPr="008C5B1B" w:rsidRDefault="00660414" w:rsidP="007613DE">
            <w:pPr>
              <w:spacing w:before="120" w:after="120"/>
              <w:jc w:val="both"/>
              <w:rPr>
                <w:rFonts w:cs="Arial"/>
                <w:sz w:val="22"/>
                <w:szCs w:val="22"/>
              </w:rPr>
            </w:pPr>
            <w:r w:rsidRPr="008C5B1B">
              <w:rPr>
                <w:rFonts w:cs="Arial"/>
                <w:sz w:val="22"/>
                <w:szCs w:val="22"/>
              </w:rPr>
              <w:t>See Existing Conditions Report and Problem Definition Report.</w:t>
            </w:r>
          </w:p>
        </w:tc>
        <w:tc>
          <w:tcPr>
            <w:tcW w:w="2127" w:type="dxa"/>
            <w:shd w:val="clear" w:color="auto" w:fill="auto"/>
            <w:vAlign w:val="center"/>
          </w:tcPr>
          <w:p w:rsidR="00660414" w:rsidRPr="008C5B1B" w:rsidRDefault="00660414" w:rsidP="007613DE">
            <w:pPr>
              <w:spacing w:before="60" w:after="60"/>
              <w:rPr>
                <w:rFonts w:cs="Arial"/>
                <w:sz w:val="22"/>
                <w:szCs w:val="22"/>
              </w:rPr>
            </w:pPr>
            <w:r w:rsidRPr="008C5B1B">
              <w:rPr>
                <w:rFonts w:cs="Arial"/>
                <w:sz w:val="22"/>
                <w:szCs w:val="22"/>
              </w:rPr>
              <w:t>Reform radically the system as to establish a sustainable framework for development.</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01</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A comprehensive reform package to be implemented as soon as possible (its key components being presented below).  </w:t>
            </w:r>
          </w:p>
          <w:p w:rsidR="00660414" w:rsidRPr="008C5B1B" w:rsidRDefault="00660414" w:rsidP="007613DE">
            <w:pPr>
              <w:spacing w:before="60" w:after="60"/>
              <w:jc w:val="both"/>
              <w:rPr>
                <w:rFonts w:cs="Arial"/>
                <w:sz w:val="22"/>
                <w:szCs w:val="22"/>
              </w:rPr>
            </w:pPr>
            <w:r w:rsidRPr="008C5B1B">
              <w:rPr>
                <w:rFonts w:cs="Arial"/>
                <w:sz w:val="22"/>
                <w:szCs w:val="22"/>
              </w:rPr>
              <w:t xml:space="preserve">To this end a Rail Reform Agency should be established by </w:t>
            </w:r>
            <w:r>
              <w:rPr>
                <w:rFonts w:cs="Arial"/>
                <w:sz w:val="22"/>
                <w:szCs w:val="22"/>
              </w:rPr>
              <w:t xml:space="preserve">June </w:t>
            </w:r>
            <w:r w:rsidRPr="008C5B1B">
              <w:rPr>
                <w:rFonts w:cs="Arial"/>
                <w:sz w:val="22"/>
                <w:szCs w:val="22"/>
              </w:rPr>
              <w:t>2015 under the authority of MoT to implement the radical reforms required and then evolve in a permanent rail public transport authority.</w:t>
            </w:r>
          </w:p>
          <w:p w:rsidR="00660414" w:rsidRPr="008C5B1B" w:rsidRDefault="00660414" w:rsidP="007613DE">
            <w:pPr>
              <w:spacing w:before="60" w:after="60"/>
              <w:jc w:val="both"/>
              <w:rPr>
                <w:rFonts w:cs="Arial"/>
                <w:sz w:val="22"/>
                <w:szCs w:val="22"/>
              </w:rPr>
            </w:pPr>
            <w:r w:rsidRPr="008C5B1B">
              <w:rPr>
                <w:rFonts w:cs="Arial"/>
                <w:sz w:val="22"/>
                <w:szCs w:val="22"/>
              </w:rPr>
              <w:t>The Rail Reform Agency should seek top international expertise support via TA and also possibly by an IFI advisory task force.</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35"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DS12A</w:t>
            </w:r>
          </w:p>
        </w:tc>
      </w:tr>
      <w:tr w:rsidR="00660414" w:rsidRPr="000A76BD" w:rsidTr="007613DE">
        <w:trPr>
          <w:gridAfter w:val="1"/>
          <w:wAfter w:w="17" w:type="dxa"/>
        </w:trPr>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Sustainability</w:t>
            </w: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(1)</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Infrastructure sustainability</w:t>
            </w:r>
          </w:p>
        </w:tc>
        <w:tc>
          <w:tcPr>
            <w:tcW w:w="2977" w:type="dxa"/>
            <w:shd w:val="clear" w:color="auto" w:fill="auto"/>
            <w:vAlign w:val="center"/>
          </w:tcPr>
          <w:p w:rsidR="00660414" w:rsidRPr="008C5B1B" w:rsidRDefault="00660414" w:rsidP="007613DE">
            <w:pPr>
              <w:spacing w:before="60" w:after="60"/>
              <w:rPr>
                <w:rFonts w:cs="Arial"/>
                <w:sz w:val="22"/>
                <w:szCs w:val="22"/>
              </w:rPr>
            </w:pPr>
            <w:r w:rsidRPr="008C5B1B">
              <w:rPr>
                <w:rFonts w:cs="Arial"/>
                <w:sz w:val="22"/>
                <w:szCs w:val="22"/>
              </w:rPr>
              <w:t>The current network size faces a substantial and growing disparity against both the demand and the financial resources available to maintain and operate it.</w:t>
            </w:r>
          </w:p>
        </w:tc>
        <w:tc>
          <w:tcPr>
            <w:tcW w:w="3118" w:type="dxa"/>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90% of the traffic is carried by some 54% of the routes (63% of track-km).</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The resources actually spent annually for maintenance and renewals are less than  40% compared to what would be needed under a normal regime for the size of the network in operation and less than 20% as compared to what is actually required considering also the renewal backlog.</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Whilst traffic volumes reduced by 93% since 1990 the network size reduced </w:t>
            </w:r>
            <w:r>
              <w:rPr>
                <w:rFonts w:cs="Arial"/>
                <w:sz w:val="22"/>
                <w:szCs w:val="22"/>
              </w:rPr>
              <w:t xml:space="preserve">has </w:t>
            </w:r>
            <w:r w:rsidRPr="008C5B1B">
              <w:rPr>
                <w:rFonts w:cs="Arial"/>
                <w:sz w:val="22"/>
                <w:szCs w:val="22"/>
              </w:rPr>
              <w:t>only by 5% over the same period.</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The </w:t>
            </w:r>
            <w:r>
              <w:rPr>
                <w:rFonts w:cs="Arial"/>
                <w:sz w:val="22"/>
                <w:szCs w:val="22"/>
              </w:rPr>
              <w:t xml:space="preserve">process to reduce the </w:t>
            </w:r>
            <w:r w:rsidRPr="008C5B1B">
              <w:rPr>
                <w:rFonts w:cs="Arial"/>
                <w:sz w:val="22"/>
                <w:szCs w:val="22"/>
              </w:rPr>
              <w:t xml:space="preserve">network in Romania is actually ineffective as even after a line is cut from the “interoperable” network and classified as “non-interoperable”, it does not stop </w:t>
            </w:r>
            <w:r>
              <w:rPr>
                <w:rFonts w:cs="Arial"/>
                <w:sz w:val="22"/>
                <w:szCs w:val="22"/>
              </w:rPr>
              <w:t xml:space="preserve">it </w:t>
            </w:r>
            <w:r w:rsidRPr="008C5B1B">
              <w:rPr>
                <w:rFonts w:cs="Arial"/>
                <w:sz w:val="22"/>
                <w:szCs w:val="22"/>
              </w:rPr>
              <w:t xml:space="preserve">being financed </w:t>
            </w:r>
            <w:r>
              <w:rPr>
                <w:rFonts w:cs="Arial"/>
                <w:sz w:val="22"/>
                <w:szCs w:val="22"/>
              </w:rPr>
              <w:t xml:space="preserve">from </w:t>
            </w:r>
            <w:r w:rsidRPr="008C5B1B">
              <w:rPr>
                <w:rFonts w:cs="Arial"/>
                <w:sz w:val="22"/>
                <w:szCs w:val="22"/>
              </w:rPr>
              <w:t>public funds.</w:t>
            </w:r>
          </w:p>
        </w:tc>
        <w:tc>
          <w:tcPr>
            <w:tcW w:w="2127" w:type="dxa"/>
            <w:shd w:val="clear" w:color="auto" w:fill="auto"/>
            <w:vAlign w:val="center"/>
          </w:tcPr>
          <w:p w:rsidR="00660414" w:rsidRPr="008C5B1B" w:rsidRDefault="00660414" w:rsidP="007613DE">
            <w:pPr>
              <w:spacing w:before="60" w:after="60"/>
              <w:rPr>
                <w:rFonts w:cs="Arial"/>
                <w:sz w:val="22"/>
                <w:szCs w:val="22"/>
              </w:rPr>
            </w:pPr>
            <w:r w:rsidRPr="008C5B1B">
              <w:rPr>
                <w:rFonts w:cs="Arial"/>
                <w:sz w:val="22"/>
                <w:szCs w:val="22"/>
              </w:rPr>
              <w:t>Focus the scarce maintenance and development resources on a reduced sustainable network.</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02</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1. The classification into “interoperable” and “non-interoperable” lines should be replaced (by modifying the relevant legislation) with a clearer structure based on:</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A primary network defined as being of national public interest based on clear routes including both infrastructure and passengers operations. If a route is defined as being part of the public service it shall be subsidised/compensated both for infrastructure and (where relevant for passengers services) for operations. </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A secondary network which is not of national public interest (which could however be of local interest and thus taken over partially or entirely and subsidised e.g. by county or municipal authorities). Once excluded from the national public service no state funding will be possible and in cases where the line cannot be transferred either to local authorities or to private operators it will be automatically closed and could not return to CFR Infrastructure ownership. </w:t>
            </w:r>
          </w:p>
          <w:p w:rsidR="00660414" w:rsidRPr="008C5B1B" w:rsidRDefault="00660414" w:rsidP="007613DE">
            <w:pPr>
              <w:spacing w:before="60" w:after="60" w:line="264" w:lineRule="auto"/>
              <w:ind w:left="175"/>
              <w:jc w:val="both"/>
              <w:rPr>
                <w:rFonts w:cs="Arial"/>
                <w:sz w:val="22"/>
                <w:szCs w:val="22"/>
              </w:rPr>
            </w:pPr>
            <w:r w:rsidRPr="008C5B1B">
              <w:rPr>
                <w:rFonts w:cs="Arial"/>
                <w:sz w:val="22"/>
                <w:szCs w:val="22"/>
              </w:rPr>
              <w:t>2.  The primary network should be limited to approx. 60% of the current track-km size (as per indicative map annexed in the Rail Note)</w:t>
            </w:r>
            <w:r>
              <w:rPr>
                <w:rFonts w:cs="Arial"/>
                <w:sz w:val="22"/>
                <w:szCs w:val="22"/>
              </w:rPr>
              <w:t xml:space="preserve"> since this would capture about 95% of current passenger and freight demand. H</w:t>
            </w:r>
            <w:r w:rsidRPr="008C5B1B">
              <w:rPr>
                <w:rFonts w:cs="Arial"/>
                <w:sz w:val="22"/>
                <w:szCs w:val="22"/>
              </w:rPr>
              <w:t xml:space="preserve">owever this should be fine-tuned within a detailed closure programme (to be supported by a dedicated </w:t>
            </w:r>
            <w:r>
              <w:rPr>
                <w:rFonts w:cs="Arial"/>
                <w:sz w:val="22"/>
                <w:szCs w:val="22"/>
              </w:rPr>
              <w:t>traffic analysis</w:t>
            </w:r>
            <w:r w:rsidRPr="008C5B1B">
              <w:rPr>
                <w:rFonts w:cs="Arial"/>
                <w:sz w:val="22"/>
                <w:szCs w:val="22"/>
              </w:rPr>
              <w:t xml:space="preserve"> including more detailed market and financial sustainability analysis).</w:t>
            </w:r>
          </w:p>
          <w:p w:rsidR="00660414" w:rsidRPr="008C5B1B" w:rsidRDefault="00660414" w:rsidP="007613DE">
            <w:pPr>
              <w:spacing w:before="60" w:after="60" w:line="264" w:lineRule="auto"/>
              <w:ind w:left="175"/>
              <w:jc w:val="both"/>
              <w:rPr>
                <w:rFonts w:cs="Arial"/>
                <w:sz w:val="22"/>
                <w:szCs w:val="22"/>
              </w:rPr>
            </w:pPr>
            <w:r w:rsidRPr="008C5B1B">
              <w:rPr>
                <w:rFonts w:cs="Arial"/>
                <w:sz w:val="22"/>
                <w:szCs w:val="22"/>
              </w:rPr>
              <w:t>3. Increased budget spending from approximately 350 M€/year to some 500 M€/year for the regular maintenance and renewals regime of the primary network. On this basis a rolling renewal programme covering 200-250 track-km every year shall be initiated. This should be ensured through a long-term Government commitment.</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Proposed network following identification of optimal routes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Revised network</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DS13A</w:t>
            </w:r>
          </w:p>
        </w:tc>
      </w:tr>
      <w:tr w:rsidR="00660414" w:rsidRPr="000A76BD" w:rsidTr="007613DE">
        <w:trPr>
          <w:gridAfter w:val="1"/>
          <w:wAfter w:w="17" w:type="dxa"/>
        </w:trPr>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Sustainability</w:t>
            </w: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(2)</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Passengers Operations</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passenger services rail business is uncompetitive and largely uncommercial.</w:t>
            </w:r>
          </w:p>
          <w:p w:rsidR="00660414" w:rsidRPr="008C5B1B" w:rsidRDefault="00660414" w:rsidP="007613DE">
            <w:pPr>
              <w:spacing w:before="60" w:after="60"/>
              <w:jc w:val="both"/>
              <w:rPr>
                <w:rFonts w:cs="Arial"/>
                <w:sz w:val="22"/>
                <w:szCs w:val="22"/>
              </w:rPr>
            </w:pPr>
            <w:r w:rsidRPr="008C5B1B">
              <w:rPr>
                <w:rFonts w:cs="Arial"/>
                <w:sz w:val="22"/>
                <w:szCs w:val="22"/>
              </w:rPr>
              <w:t xml:space="preserve">The services are generally not profitable, therefore services exist only through subsidies from the Ministry of Transport under </w:t>
            </w:r>
            <w:r>
              <w:rPr>
                <w:rFonts w:cs="Arial"/>
                <w:sz w:val="22"/>
                <w:szCs w:val="22"/>
              </w:rPr>
              <w:t>P</w:t>
            </w:r>
            <w:r w:rsidRPr="008C5B1B">
              <w:rPr>
                <w:rFonts w:cs="Arial"/>
                <w:sz w:val="22"/>
                <w:szCs w:val="22"/>
              </w:rPr>
              <w:t xml:space="preserve">ublic </w:t>
            </w:r>
            <w:r>
              <w:rPr>
                <w:rFonts w:cs="Arial"/>
                <w:sz w:val="22"/>
                <w:szCs w:val="22"/>
              </w:rPr>
              <w:t>S</w:t>
            </w:r>
            <w:r w:rsidRPr="008C5B1B">
              <w:rPr>
                <w:rFonts w:cs="Arial"/>
                <w:sz w:val="22"/>
                <w:szCs w:val="22"/>
              </w:rPr>
              <w:t xml:space="preserve">ervice </w:t>
            </w:r>
            <w:r>
              <w:rPr>
                <w:rFonts w:cs="Arial"/>
                <w:sz w:val="22"/>
                <w:szCs w:val="22"/>
              </w:rPr>
              <w:t>C</w:t>
            </w:r>
            <w:r w:rsidRPr="008C5B1B">
              <w:rPr>
                <w:rFonts w:cs="Arial"/>
                <w:sz w:val="22"/>
                <w:szCs w:val="22"/>
              </w:rPr>
              <w:t>ontracts (PSC). The PSCs are not competitively tendered but directly awarded to the operators and CFR Calatori is awarded approx. 85% of the services (2011).</w:t>
            </w:r>
          </w:p>
          <w:p w:rsidR="00660414" w:rsidRPr="008C5B1B" w:rsidRDefault="00660414" w:rsidP="007613DE">
            <w:pPr>
              <w:spacing w:before="60" w:after="60"/>
              <w:jc w:val="both"/>
              <w:rPr>
                <w:rFonts w:cs="Arial"/>
                <w:sz w:val="22"/>
                <w:szCs w:val="22"/>
              </w:rPr>
            </w:pP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lack of competitive environment combined with a lack of business/market orientation, which is not encouraged by the terms of the PSC, and the lack of performance accountability, has led to service levels even lower than the condition of the infrastructure allows. This is evidenced by:</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Poor </w:t>
            </w:r>
            <w:r>
              <w:rPr>
                <w:rFonts w:cs="Arial"/>
                <w:sz w:val="22"/>
                <w:szCs w:val="22"/>
              </w:rPr>
              <w:t xml:space="preserve">network </w:t>
            </w:r>
            <w:r w:rsidRPr="008C5B1B">
              <w:rPr>
                <w:rFonts w:cs="Arial"/>
                <w:sz w:val="22"/>
                <w:szCs w:val="22"/>
              </w:rPr>
              <w:t xml:space="preserve">availability &amp; irregular timetables with up to </w:t>
            </w:r>
            <w:r>
              <w:rPr>
                <w:rFonts w:cs="Arial"/>
                <w:sz w:val="22"/>
                <w:szCs w:val="22"/>
              </w:rPr>
              <w:t xml:space="preserve">seven </w:t>
            </w:r>
            <w:r w:rsidRPr="008C5B1B">
              <w:rPr>
                <w:rFonts w:cs="Arial"/>
                <w:sz w:val="22"/>
                <w:szCs w:val="22"/>
              </w:rPr>
              <w:t>hour gaps between services during daytime.</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Significantly longer travel times generated by high </w:t>
            </w:r>
            <w:r>
              <w:rPr>
                <w:rFonts w:cs="Arial"/>
                <w:sz w:val="22"/>
                <w:szCs w:val="22"/>
              </w:rPr>
              <w:t xml:space="preserve">delay </w:t>
            </w:r>
            <w:r w:rsidRPr="008C5B1B">
              <w:rPr>
                <w:rFonts w:cs="Arial"/>
                <w:sz w:val="22"/>
                <w:szCs w:val="22"/>
              </w:rPr>
              <w:t>time</w:t>
            </w:r>
            <w:r>
              <w:rPr>
                <w:rFonts w:cs="Arial"/>
                <w:sz w:val="22"/>
                <w:szCs w:val="22"/>
              </w:rPr>
              <w:t>s</w:t>
            </w:r>
            <w:r w:rsidRPr="008C5B1B">
              <w:rPr>
                <w:rFonts w:cs="Arial"/>
                <w:sz w:val="22"/>
                <w:szCs w:val="22"/>
              </w:rPr>
              <w:t xml:space="preserve"> </w:t>
            </w:r>
            <w:r>
              <w:rPr>
                <w:rFonts w:cs="Arial"/>
                <w:sz w:val="22"/>
                <w:szCs w:val="22"/>
              </w:rPr>
              <w:t xml:space="preserve">at </w:t>
            </w:r>
            <w:r w:rsidRPr="008C5B1B">
              <w:rPr>
                <w:rFonts w:cs="Arial"/>
                <w:sz w:val="22"/>
                <w:szCs w:val="22"/>
              </w:rPr>
              <w:t xml:space="preserve">stations </w:t>
            </w:r>
            <w:r>
              <w:rPr>
                <w:rFonts w:cs="Arial"/>
                <w:sz w:val="22"/>
                <w:szCs w:val="22"/>
              </w:rPr>
              <w:t xml:space="preserve">which can account for </w:t>
            </w:r>
            <w:r w:rsidRPr="008C5B1B">
              <w:rPr>
                <w:rFonts w:cs="Arial"/>
                <w:sz w:val="22"/>
                <w:szCs w:val="22"/>
              </w:rPr>
              <w:t>up to 50% of the overall travel time.</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Poor quality of rolling stock: 87% of the locomotives are older than 20 years and 82% of the coaches are older than 25 years. The in-house maintenance approach (employing some 7,000 staff) appears to be very inefficient; for example 40% of the new Desiro DMUs fleet went out of service in less than 10 years.</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Poor utilisation of available rolling stock</w:t>
            </w:r>
            <w:r>
              <w:rPr>
                <w:rFonts w:cs="Arial"/>
                <w:sz w:val="22"/>
                <w:szCs w:val="22"/>
              </w:rPr>
              <w:t xml:space="preserve"> with </w:t>
            </w:r>
            <w:r w:rsidRPr="008C5B1B">
              <w:rPr>
                <w:rFonts w:cs="Arial"/>
                <w:sz w:val="22"/>
                <w:szCs w:val="22"/>
              </w:rPr>
              <w:t>turnaround times of up to 5 hours.</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High train operating costs generated by (i) energy inefficient old locomotives and (ii) the poor productivity of the rolling stock.</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Relatively high fares - as compared with prices in France, Germany, Italy or Spain </w:t>
            </w:r>
            <w:r>
              <w:rPr>
                <w:rFonts w:cs="Arial"/>
                <w:sz w:val="22"/>
                <w:szCs w:val="22"/>
              </w:rPr>
              <w:t xml:space="preserve">especially for advance tickets </w:t>
            </w:r>
            <w:r w:rsidRPr="008C5B1B">
              <w:rPr>
                <w:rFonts w:cs="Arial"/>
                <w:sz w:val="22"/>
                <w:szCs w:val="22"/>
              </w:rPr>
              <w:t xml:space="preserve">and substantially higher than of the competing local bus services. </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Poor services in stations – even the large stations rehabilitated/modernised under various financing programmes are passengers unfriendly, commercially unattractive and poorly maintained.</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Establish a competitive and commercial framework for passengers operations</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03</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1.  Define clear level of service requirements - limited to the primary network above (including </w:t>
            </w:r>
            <w:r>
              <w:rPr>
                <w:rFonts w:cs="Arial"/>
                <w:sz w:val="22"/>
                <w:szCs w:val="22"/>
              </w:rPr>
              <w:t xml:space="preserve">measures to ensure an attractive </w:t>
            </w:r>
            <w:r w:rsidRPr="008C5B1B">
              <w:rPr>
                <w:rFonts w:cs="Arial"/>
                <w:sz w:val="22"/>
                <w:szCs w:val="22"/>
              </w:rPr>
              <w:t xml:space="preserve">frequency, performance indicators, etc.) and tender </w:t>
            </w:r>
            <w:r>
              <w:rPr>
                <w:rFonts w:cs="Arial"/>
                <w:sz w:val="22"/>
                <w:szCs w:val="22"/>
              </w:rPr>
              <w:t xml:space="preserve">the lines and services </w:t>
            </w:r>
            <w:r w:rsidRPr="008C5B1B">
              <w:rPr>
                <w:rFonts w:cs="Arial"/>
                <w:sz w:val="22"/>
                <w:szCs w:val="22"/>
              </w:rPr>
              <w:t xml:space="preserve">openly on this basis the </w:t>
            </w:r>
            <w:r>
              <w:rPr>
                <w:rFonts w:cs="Arial"/>
                <w:sz w:val="22"/>
                <w:szCs w:val="22"/>
              </w:rPr>
              <w:t>P</w:t>
            </w:r>
            <w:r w:rsidRPr="008C5B1B">
              <w:rPr>
                <w:rFonts w:cs="Arial"/>
                <w:sz w:val="22"/>
                <w:szCs w:val="22"/>
              </w:rPr>
              <w:t xml:space="preserve">ublic </w:t>
            </w:r>
            <w:r>
              <w:rPr>
                <w:rFonts w:cs="Arial"/>
                <w:sz w:val="22"/>
                <w:szCs w:val="22"/>
              </w:rPr>
              <w:t>S</w:t>
            </w:r>
            <w:r w:rsidRPr="008C5B1B">
              <w:rPr>
                <w:rFonts w:cs="Arial"/>
                <w:sz w:val="22"/>
                <w:szCs w:val="22"/>
              </w:rPr>
              <w:t xml:space="preserve">ervice </w:t>
            </w:r>
            <w:r>
              <w:rPr>
                <w:rFonts w:cs="Arial"/>
                <w:sz w:val="22"/>
                <w:szCs w:val="22"/>
              </w:rPr>
              <w:t>C</w:t>
            </w:r>
            <w:r w:rsidRPr="008C5B1B">
              <w:rPr>
                <w:rFonts w:cs="Arial"/>
                <w:sz w:val="22"/>
                <w:szCs w:val="22"/>
              </w:rPr>
              <w:t xml:space="preserve">ontracts (for example by lines, service groups or regions, possibly including the operation of the stations on the respective lines). Review the scope for in-fill electrification for selected routes. There is potential for the proposed new enhanced service specification to be operated using fewer rolling stock units compared with the current timetable </w:t>
            </w:r>
            <w:r>
              <w:rPr>
                <w:rFonts w:cs="Arial"/>
                <w:sz w:val="22"/>
                <w:szCs w:val="22"/>
              </w:rPr>
              <w:t xml:space="preserve">which </w:t>
            </w:r>
            <w:r w:rsidRPr="008C5B1B">
              <w:rPr>
                <w:rFonts w:cs="Arial"/>
                <w:sz w:val="22"/>
                <w:szCs w:val="22"/>
              </w:rPr>
              <w:t>assume</w:t>
            </w:r>
            <w:r>
              <w:rPr>
                <w:rFonts w:cs="Arial"/>
                <w:sz w:val="22"/>
                <w:szCs w:val="22"/>
              </w:rPr>
              <w:t xml:space="preserve">s </w:t>
            </w:r>
            <w:r w:rsidRPr="008C5B1B">
              <w:rPr>
                <w:rFonts w:cs="Arial"/>
                <w:sz w:val="22"/>
                <w:szCs w:val="22"/>
              </w:rPr>
              <w:t>improved rolling stock utilisation.</w:t>
            </w:r>
          </w:p>
          <w:p w:rsidR="00660414" w:rsidRPr="008C5B1B" w:rsidRDefault="00660414" w:rsidP="007613DE">
            <w:pPr>
              <w:spacing w:before="60" w:after="60"/>
              <w:jc w:val="both"/>
              <w:rPr>
                <w:rFonts w:cs="Arial"/>
                <w:sz w:val="22"/>
                <w:szCs w:val="22"/>
              </w:rPr>
            </w:pPr>
            <w:r w:rsidRPr="008C5B1B">
              <w:rPr>
                <w:rFonts w:cs="Arial"/>
                <w:sz w:val="22"/>
                <w:szCs w:val="22"/>
              </w:rPr>
              <w:t xml:space="preserve">The target for tendering the PSC is 2016, in view of starting the new services in 2017. The process should be managed by the Rail Reform Agency. </w:t>
            </w:r>
          </w:p>
          <w:p w:rsidR="00660414" w:rsidRPr="008C5B1B" w:rsidRDefault="00660414" w:rsidP="007613DE">
            <w:pPr>
              <w:spacing w:before="60" w:after="60"/>
              <w:jc w:val="both"/>
              <w:rPr>
                <w:rFonts w:cs="Arial"/>
                <w:sz w:val="22"/>
                <w:szCs w:val="22"/>
              </w:rPr>
            </w:pPr>
            <w:r w:rsidRPr="008C5B1B">
              <w:rPr>
                <w:rFonts w:cs="Arial"/>
                <w:sz w:val="22"/>
                <w:szCs w:val="22"/>
              </w:rPr>
              <w:t xml:space="preserve">2. Procure a set of high quality rolling stock (e.g. </w:t>
            </w:r>
            <w:r>
              <w:rPr>
                <w:rFonts w:cs="Arial"/>
                <w:sz w:val="22"/>
                <w:szCs w:val="22"/>
              </w:rPr>
              <w:t xml:space="preserve">mostly </w:t>
            </w:r>
            <w:r w:rsidRPr="008C5B1B">
              <w:rPr>
                <w:rFonts w:cs="Arial"/>
                <w:sz w:val="22"/>
                <w:szCs w:val="22"/>
              </w:rPr>
              <w:t xml:space="preserve">EMUs, including possibly tilting sets) to be made available to the operators as part of the tender for the public service contracts. </w:t>
            </w:r>
            <w:r>
              <w:rPr>
                <w:rFonts w:cs="Arial"/>
                <w:sz w:val="22"/>
                <w:szCs w:val="22"/>
              </w:rPr>
              <w:t xml:space="preserve">Some new diesel units may be required depending on the extension to the electrified network. </w:t>
            </w:r>
            <w:r w:rsidRPr="008C5B1B">
              <w:rPr>
                <w:rFonts w:cs="Arial"/>
                <w:sz w:val="22"/>
                <w:szCs w:val="22"/>
              </w:rPr>
              <w:t xml:space="preserve">Procurement to be possibly structured to include a long-term maintenance contract to avoid the experience </w:t>
            </w:r>
            <w:r>
              <w:rPr>
                <w:rFonts w:cs="Arial"/>
                <w:sz w:val="22"/>
                <w:szCs w:val="22"/>
              </w:rPr>
              <w:t xml:space="preserve">following the limited availability of </w:t>
            </w:r>
            <w:r w:rsidRPr="008C5B1B">
              <w:rPr>
                <w:rFonts w:cs="Arial"/>
                <w:sz w:val="22"/>
                <w:szCs w:val="22"/>
              </w:rPr>
              <w:t>the Desiro DMUs fleet</w:t>
            </w:r>
            <w:r>
              <w:rPr>
                <w:rFonts w:cs="Arial"/>
                <w:sz w:val="22"/>
                <w:szCs w:val="22"/>
              </w:rPr>
              <w:t xml:space="preserve"> due to the reliability issues</w:t>
            </w:r>
            <w:r w:rsidRPr="008C5B1B">
              <w:rPr>
                <w:rFonts w:cs="Arial"/>
                <w:sz w:val="22"/>
                <w:szCs w:val="22"/>
              </w:rPr>
              <w:t>.</w:t>
            </w:r>
          </w:p>
          <w:p w:rsidR="00660414" w:rsidRPr="008C5B1B" w:rsidRDefault="00660414" w:rsidP="007613DE">
            <w:pPr>
              <w:spacing w:before="60" w:after="60"/>
              <w:jc w:val="both"/>
              <w:rPr>
                <w:rFonts w:cs="Arial"/>
                <w:sz w:val="22"/>
                <w:szCs w:val="22"/>
              </w:rPr>
            </w:pPr>
            <w:r w:rsidRPr="008C5B1B">
              <w:rPr>
                <w:rFonts w:cs="Arial"/>
                <w:sz w:val="22"/>
                <w:szCs w:val="22"/>
              </w:rPr>
              <w:t>3. In order to ensure a level playing field for all bidders</w:t>
            </w:r>
            <w:r>
              <w:rPr>
                <w:rFonts w:cs="Arial"/>
                <w:sz w:val="22"/>
                <w:szCs w:val="22"/>
              </w:rPr>
              <w:t>, applying for the new services a r</w:t>
            </w:r>
            <w:r w:rsidRPr="008C5B1B">
              <w:rPr>
                <w:rFonts w:cs="Arial"/>
                <w:sz w:val="22"/>
                <w:szCs w:val="22"/>
              </w:rPr>
              <w:t>olling stock</w:t>
            </w:r>
            <w:r>
              <w:rPr>
                <w:rFonts w:cs="Arial"/>
                <w:sz w:val="22"/>
                <w:szCs w:val="22"/>
              </w:rPr>
              <w:t xml:space="preserve"> </w:t>
            </w:r>
            <w:r w:rsidRPr="008C5B1B">
              <w:rPr>
                <w:rFonts w:cs="Arial"/>
                <w:sz w:val="22"/>
                <w:szCs w:val="22"/>
              </w:rPr>
              <w:t>leasing company (ROSCO) should be established under the ministry (or alternatively the Rail Reform Authority could undertake this role directly</w:t>
            </w:r>
            <w:r>
              <w:rPr>
                <w:rFonts w:cs="Arial"/>
                <w:sz w:val="22"/>
                <w:szCs w:val="22"/>
              </w:rPr>
              <w:t xml:space="preserve">. This </w:t>
            </w:r>
            <w:r w:rsidRPr="008C5B1B">
              <w:rPr>
                <w:rFonts w:cs="Arial"/>
                <w:sz w:val="22"/>
                <w:szCs w:val="22"/>
              </w:rPr>
              <w:t xml:space="preserve">would procure the new rolling stock and take over the old assets </w:t>
            </w:r>
            <w:r>
              <w:rPr>
                <w:rFonts w:cs="Arial"/>
                <w:sz w:val="22"/>
                <w:szCs w:val="22"/>
              </w:rPr>
              <w:t xml:space="preserve">after the current contract with CFR Calatori has expired. For example, </w:t>
            </w:r>
            <w:r w:rsidRPr="008C5B1B">
              <w:rPr>
                <w:rFonts w:cs="Arial"/>
                <w:sz w:val="22"/>
                <w:szCs w:val="22"/>
              </w:rPr>
              <w:t>in 2016 from CFR Calatori)</w:t>
            </w:r>
            <w:r>
              <w:rPr>
                <w:rFonts w:cs="Arial"/>
                <w:sz w:val="22"/>
                <w:szCs w:val="22"/>
              </w:rPr>
              <w:t xml:space="preserve">. This would ensure an open tender system was introduced for subsequent opportunities. </w:t>
            </w:r>
          </w:p>
          <w:p w:rsidR="00660414" w:rsidRPr="008C5B1B" w:rsidRDefault="00660414" w:rsidP="007613DE">
            <w:pPr>
              <w:spacing w:before="60" w:after="60"/>
              <w:jc w:val="both"/>
              <w:rPr>
                <w:rFonts w:cs="Arial"/>
                <w:sz w:val="22"/>
                <w:szCs w:val="22"/>
              </w:rPr>
            </w:pPr>
          </w:p>
          <w:p w:rsidR="00660414" w:rsidRPr="008C5B1B" w:rsidRDefault="00660414" w:rsidP="007613DE">
            <w:pPr>
              <w:spacing w:before="60" w:after="60"/>
              <w:jc w:val="both"/>
              <w:rPr>
                <w:rFonts w:cs="Arial"/>
                <w:sz w:val="22"/>
                <w:szCs w:val="22"/>
              </w:rPr>
            </w:pPr>
          </w:p>
          <w:p w:rsidR="00660414" w:rsidRPr="008C5B1B" w:rsidRDefault="00660414" w:rsidP="007613DE">
            <w:pPr>
              <w:spacing w:before="60" w:after="60"/>
              <w:jc w:val="both"/>
              <w:rPr>
                <w:rFonts w:cs="Arial"/>
                <w:sz w:val="22"/>
                <w:szCs w:val="22"/>
              </w:rPr>
            </w:pP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Partially</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Regular interval timetable, introduction of new rolling stock tested using the model. Impact of a revised ticket structure will not be testing using the model</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Rolling stock / timetable interventions will be tested for individual corridors</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DS14A</w:t>
            </w:r>
          </w:p>
        </w:tc>
      </w:tr>
      <w:tr w:rsidR="00660414" w:rsidRPr="000A76BD" w:rsidTr="007613DE">
        <w:trPr>
          <w:gridAfter w:val="1"/>
          <w:wAfter w:w="17" w:type="dxa"/>
        </w:trPr>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Sustainability</w:t>
            </w: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(3)</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System regulation &amp; organisation </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regulatory, organisation and management systems currently in place fail to ensure any of the following fundamentals:</w:t>
            </w:r>
          </w:p>
          <w:p w:rsidR="00660414" w:rsidRPr="008C5B1B" w:rsidRDefault="00660414" w:rsidP="007613DE">
            <w:pPr>
              <w:numPr>
                <w:ilvl w:val="0"/>
                <w:numId w:val="24"/>
              </w:numPr>
              <w:tabs>
                <w:tab w:val="left" w:pos="317"/>
              </w:tabs>
              <w:spacing w:before="60" w:after="60" w:line="276" w:lineRule="auto"/>
              <w:ind w:left="317" w:hanging="294"/>
              <w:jc w:val="both"/>
              <w:rPr>
                <w:rFonts w:cs="Arial"/>
                <w:sz w:val="22"/>
                <w:szCs w:val="22"/>
              </w:rPr>
            </w:pPr>
            <w:r w:rsidRPr="008C5B1B">
              <w:rPr>
                <w:rFonts w:cs="Arial"/>
                <w:sz w:val="22"/>
                <w:szCs w:val="22"/>
              </w:rPr>
              <w:t xml:space="preserve">Accountability for performance in the system. </w:t>
            </w:r>
          </w:p>
          <w:p w:rsidR="00660414" w:rsidRPr="008C5B1B" w:rsidRDefault="00660414" w:rsidP="007613DE">
            <w:pPr>
              <w:numPr>
                <w:ilvl w:val="0"/>
                <w:numId w:val="24"/>
              </w:numPr>
              <w:tabs>
                <w:tab w:val="left" w:pos="317"/>
              </w:tabs>
              <w:spacing w:before="60" w:after="60" w:line="276" w:lineRule="auto"/>
              <w:ind w:left="317" w:hanging="294"/>
              <w:jc w:val="both"/>
              <w:rPr>
                <w:rFonts w:cs="Arial"/>
                <w:sz w:val="22"/>
                <w:szCs w:val="22"/>
              </w:rPr>
            </w:pPr>
            <w:r w:rsidRPr="008C5B1B">
              <w:rPr>
                <w:rFonts w:cs="Arial"/>
                <w:sz w:val="22"/>
                <w:szCs w:val="22"/>
              </w:rPr>
              <w:t>Efficient allocation of the scarce public resources.</w:t>
            </w:r>
          </w:p>
          <w:p w:rsidR="00660414" w:rsidRPr="008C5B1B" w:rsidRDefault="00660414" w:rsidP="007613DE">
            <w:pPr>
              <w:numPr>
                <w:ilvl w:val="0"/>
                <w:numId w:val="24"/>
              </w:numPr>
              <w:tabs>
                <w:tab w:val="left" w:pos="317"/>
              </w:tabs>
              <w:spacing w:before="60" w:after="60" w:line="276" w:lineRule="auto"/>
              <w:ind w:left="317" w:hanging="294"/>
              <w:jc w:val="both"/>
              <w:rPr>
                <w:rFonts w:cs="Arial"/>
                <w:sz w:val="22"/>
                <w:szCs w:val="22"/>
              </w:rPr>
            </w:pPr>
            <w:r w:rsidRPr="008C5B1B">
              <w:rPr>
                <w:rFonts w:cs="Arial"/>
                <w:sz w:val="22"/>
                <w:szCs w:val="22"/>
              </w:rPr>
              <w:t xml:space="preserve">Competitive environment for the passengers services, </w:t>
            </w:r>
          </w:p>
          <w:p w:rsidR="00660414" w:rsidRPr="008C5B1B" w:rsidRDefault="00660414" w:rsidP="007613DE">
            <w:pPr>
              <w:numPr>
                <w:ilvl w:val="0"/>
                <w:numId w:val="24"/>
              </w:numPr>
              <w:tabs>
                <w:tab w:val="left" w:pos="317"/>
              </w:tabs>
              <w:spacing w:before="60" w:after="60" w:line="276" w:lineRule="auto"/>
              <w:ind w:left="317" w:hanging="294"/>
              <w:jc w:val="both"/>
              <w:rPr>
                <w:rFonts w:cs="Arial"/>
                <w:sz w:val="22"/>
                <w:szCs w:val="22"/>
              </w:rPr>
            </w:pPr>
            <w:r w:rsidRPr="008C5B1B">
              <w:rPr>
                <w:rFonts w:cs="Arial"/>
                <w:sz w:val="22"/>
                <w:szCs w:val="22"/>
              </w:rPr>
              <w:t xml:space="preserve">Efficient and commercially oriented management of the state-owned companies. </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See Existing Conditions Report and Problem Definition Report.</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Establish a sound performance accountability system</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04</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relations between the public transport authority, CFR Infrastructure and the operators shall be restructured by:</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Defining </w:t>
            </w:r>
            <w:r>
              <w:rPr>
                <w:rFonts w:cs="Arial"/>
                <w:sz w:val="22"/>
                <w:szCs w:val="22"/>
              </w:rPr>
              <w:t xml:space="preserve">robust </w:t>
            </w:r>
            <w:r w:rsidRPr="008C5B1B">
              <w:rPr>
                <w:rFonts w:cs="Arial"/>
                <w:sz w:val="22"/>
                <w:szCs w:val="22"/>
              </w:rPr>
              <w:t xml:space="preserve">performance indicators for the public service parameters </w:t>
            </w:r>
            <w:r>
              <w:rPr>
                <w:rFonts w:cs="Arial"/>
                <w:sz w:val="22"/>
                <w:szCs w:val="22"/>
              </w:rPr>
              <w:t>which would be au</w:t>
            </w:r>
            <w:r w:rsidRPr="008C5B1B">
              <w:rPr>
                <w:rFonts w:cs="Arial"/>
                <w:sz w:val="22"/>
                <w:szCs w:val="22"/>
              </w:rPr>
              <w:t xml:space="preserve">tomatically linked with the payment terms such as penalties from compensation for delays compared to the travel times defined in the public service contract. </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Extending the same system to the regime between operators and infrastructure</w:t>
            </w:r>
            <w:r>
              <w:rPr>
                <w:rFonts w:cs="Arial"/>
                <w:sz w:val="22"/>
                <w:szCs w:val="22"/>
              </w:rPr>
              <w:t xml:space="preserve">. This would </w:t>
            </w:r>
            <w:r w:rsidRPr="008C5B1B">
              <w:rPr>
                <w:rFonts w:cs="Arial"/>
                <w:sz w:val="22"/>
                <w:szCs w:val="22"/>
              </w:rPr>
              <w:t xml:space="preserve">automatically link the payment terms including penalties from track access charges for delays generated by infrastructure compared to the travel times defined in the </w:t>
            </w:r>
            <w:r>
              <w:rPr>
                <w:rFonts w:cs="Arial"/>
                <w:sz w:val="22"/>
                <w:szCs w:val="22"/>
              </w:rPr>
              <w:t>P</w:t>
            </w:r>
            <w:r w:rsidRPr="008C5B1B">
              <w:rPr>
                <w:rFonts w:cs="Arial"/>
                <w:sz w:val="22"/>
                <w:szCs w:val="22"/>
              </w:rPr>
              <w:t xml:space="preserve">ublic </w:t>
            </w:r>
            <w:r>
              <w:rPr>
                <w:rFonts w:cs="Arial"/>
                <w:sz w:val="22"/>
                <w:szCs w:val="22"/>
              </w:rPr>
              <w:t>S</w:t>
            </w:r>
            <w:r w:rsidRPr="008C5B1B">
              <w:rPr>
                <w:rFonts w:cs="Arial"/>
                <w:sz w:val="22"/>
                <w:szCs w:val="22"/>
              </w:rPr>
              <w:t xml:space="preserve">ervice </w:t>
            </w:r>
            <w:r>
              <w:rPr>
                <w:rFonts w:cs="Arial"/>
                <w:sz w:val="22"/>
                <w:szCs w:val="22"/>
              </w:rPr>
              <w:t>C</w:t>
            </w:r>
            <w:r w:rsidRPr="008C5B1B">
              <w:rPr>
                <w:rFonts w:cs="Arial"/>
                <w:sz w:val="22"/>
                <w:szCs w:val="22"/>
              </w:rPr>
              <w:t xml:space="preserve">ontract. </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Force majeure circumstances to be clearly defined and limited, and regulatory authority to effectively supervise the application of the system.</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jc w:val="center"/>
              <w:rPr>
                <w:sz w:val="22"/>
                <w:szCs w:val="22"/>
              </w:rPr>
            </w:pPr>
            <w:r w:rsidRPr="008C5B1B">
              <w:rPr>
                <w:sz w:val="22"/>
                <w:szCs w:val="22"/>
              </w:rPr>
              <w:t>DS15A</w:t>
            </w:r>
          </w:p>
        </w:tc>
      </w:tr>
      <w:tr w:rsidR="00660414" w:rsidRPr="000A76BD" w:rsidTr="007613DE">
        <w:trPr>
          <w:gridAfter w:val="1"/>
          <w:wAfter w:w="17" w:type="dxa"/>
        </w:trPr>
        <w:tc>
          <w:tcPr>
            <w:tcW w:w="1526" w:type="dxa"/>
            <w:shd w:val="clear" w:color="auto" w:fill="auto"/>
          </w:tcPr>
          <w:p w:rsidR="00660414" w:rsidRPr="008C5B1B" w:rsidRDefault="00660414" w:rsidP="007613DE">
            <w:pPr>
              <w:spacing w:before="60" w:after="60"/>
              <w:jc w:val="both"/>
              <w:rPr>
                <w:rFonts w:cs="Arial"/>
                <w:sz w:val="22"/>
                <w:szCs w:val="22"/>
              </w:rPr>
            </w:pP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(4)</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Management efficiency</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management of the public rail companies is inefficient.</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See Ministry of Transport Strategic Plan prepared with World Bank support, 2013</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management efficiency of the rail companies and thus the financial sustainability of the system</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05</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Re-launch private management </w:t>
            </w:r>
            <w:r>
              <w:rPr>
                <w:rFonts w:cs="Arial"/>
                <w:sz w:val="22"/>
                <w:szCs w:val="22"/>
              </w:rPr>
              <w:t xml:space="preserve">techniques </w:t>
            </w:r>
            <w:r w:rsidRPr="008C5B1B">
              <w:rPr>
                <w:rFonts w:cs="Arial"/>
                <w:sz w:val="22"/>
                <w:szCs w:val="22"/>
              </w:rPr>
              <w:t>with a proper selection process of an efficient business management profile, ideally with experience in reforming similar rail companies elsewhere.</w:t>
            </w:r>
          </w:p>
          <w:p w:rsidR="00660414" w:rsidRPr="008C5B1B" w:rsidRDefault="00660414" w:rsidP="007613DE">
            <w:pPr>
              <w:spacing w:before="60" w:after="60"/>
              <w:jc w:val="both"/>
              <w:rPr>
                <w:rFonts w:cs="Arial"/>
                <w:sz w:val="22"/>
                <w:szCs w:val="22"/>
              </w:rPr>
            </w:pPr>
            <w:r w:rsidRPr="008C5B1B">
              <w:rPr>
                <w:rFonts w:cs="Arial"/>
                <w:sz w:val="22"/>
                <w:szCs w:val="22"/>
              </w:rPr>
              <w:t>2. Audit of assets, operations and costs of CFR Infrastructure and CFR Calatori.</w:t>
            </w:r>
          </w:p>
          <w:p w:rsidR="00660414" w:rsidRPr="008C5B1B" w:rsidRDefault="00660414" w:rsidP="007613DE">
            <w:pPr>
              <w:spacing w:before="60" w:after="60"/>
              <w:jc w:val="both"/>
              <w:rPr>
                <w:rFonts w:cs="Arial"/>
                <w:sz w:val="22"/>
                <w:szCs w:val="22"/>
              </w:rPr>
            </w:pPr>
            <w:r w:rsidRPr="008C5B1B">
              <w:rPr>
                <w:rFonts w:cs="Arial"/>
                <w:sz w:val="22"/>
                <w:szCs w:val="22"/>
              </w:rPr>
              <w:t>3.  Cost-cutting programme</w:t>
            </w:r>
            <w:r>
              <w:rPr>
                <w:rFonts w:cs="Arial"/>
                <w:sz w:val="22"/>
                <w:szCs w:val="22"/>
              </w:rPr>
              <w:t xml:space="preserve"> to be developed</w:t>
            </w:r>
            <w:r w:rsidRPr="008C5B1B">
              <w:rPr>
                <w:rFonts w:cs="Arial"/>
                <w:sz w:val="22"/>
                <w:szCs w:val="22"/>
              </w:rPr>
              <w:t xml:space="preserve"> in particular </w:t>
            </w:r>
            <w:r>
              <w:rPr>
                <w:rFonts w:cs="Arial"/>
                <w:sz w:val="22"/>
                <w:szCs w:val="22"/>
              </w:rPr>
              <w:t>which would include the sale of</w:t>
            </w:r>
            <w:r w:rsidRPr="008C5B1B">
              <w:rPr>
                <w:rFonts w:cs="Arial"/>
                <w:sz w:val="22"/>
                <w:szCs w:val="22"/>
              </w:rPr>
              <w:t>:</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 xml:space="preserve">Non-core business and assets </w:t>
            </w:r>
          </w:p>
          <w:p w:rsidR="00660414" w:rsidRPr="008C5B1B" w:rsidRDefault="00660414" w:rsidP="007613DE">
            <w:pPr>
              <w:numPr>
                <w:ilvl w:val="0"/>
                <w:numId w:val="23"/>
              </w:numPr>
              <w:spacing w:before="60" w:after="60" w:line="264" w:lineRule="auto"/>
              <w:ind w:left="459" w:hanging="284"/>
              <w:jc w:val="both"/>
              <w:rPr>
                <w:rFonts w:cs="Arial"/>
                <w:sz w:val="22"/>
                <w:szCs w:val="22"/>
              </w:rPr>
            </w:pPr>
            <w:r w:rsidRPr="008C5B1B">
              <w:rPr>
                <w:rFonts w:cs="Arial"/>
                <w:sz w:val="22"/>
                <w:szCs w:val="22"/>
              </w:rPr>
              <w:t>Excess of sidings</w:t>
            </w:r>
          </w:p>
          <w:p w:rsidR="00660414" w:rsidRPr="008C5B1B" w:rsidRDefault="00660414" w:rsidP="007613DE">
            <w:pPr>
              <w:numPr>
                <w:ilvl w:val="0"/>
                <w:numId w:val="23"/>
              </w:numPr>
              <w:spacing w:before="60" w:after="60" w:line="264" w:lineRule="auto"/>
              <w:ind w:left="459" w:hanging="284"/>
              <w:jc w:val="both"/>
              <w:rPr>
                <w:rFonts w:cs="Arial"/>
                <w:sz w:val="22"/>
                <w:szCs w:val="22"/>
              </w:rPr>
            </w:pPr>
            <w:r>
              <w:rPr>
                <w:rFonts w:cs="Arial"/>
                <w:sz w:val="22"/>
                <w:szCs w:val="22"/>
              </w:rPr>
              <w:t xml:space="preserve">High number of </w:t>
            </w:r>
            <w:r w:rsidRPr="008C5B1B">
              <w:rPr>
                <w:rFonts w:cs="Arial"/>
                <w:sz w:val="22"/>
                <w:szCs w:val="22"/>
              </w:rPr>
              <w:t>stations (e.g. 533 stations</w:t>
            </w:r>
            <w:r>
              <w:rPr>
                <w:rFonts w:cs="Arial"/>
                <w:sz w:val="22"/>
                <w:szCs w:val="22"/>
              </w:rPr>
              <w:t>)</w:t>
            </w:r>
            <w:r w:rsidRPr="008C5B1B">
              <w:rPr>
                <w:rFonts w:cs="Arial"/>
                <w:sz w:val="22"/>
                <w:szCs w:val="22"/>
              </w:rPr>
              <w:t xml:space="preserve"> with less than 10 passengers boarding per day</w:t>
            </w:r>
          </w:p>
        </w:tc>
        <w:tc>
          <w:tcPr>
            <w:tcW w:w="1134"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DS16A</w:t>
            </w:r>
          </w:p>
        </w:tc>
      </w:tr>
      <w:tr w:rsidR="00660414" w:rsidRPr="000A76BD" w:rsidTr="007613DE">
        <w:trPr>
          <w:gridAfter w:val="1"/>
          <w:wAfter w:w="17" w:type="dxa"/>
        </w:trPr>
        <w:tc>
          <w:tcPr>
            <w:tcW w:w="1526"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Economic efficiency</w:t>
            </w:r>
          </w:p>
        </w:tc>
        <w:tc>
          <w:tcPr>
            <w:tcW w:w="676" w:type="dxa"/>
            <w:gridSpan w:val="2"/>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(5)</w:t>
            </w:r>
          </w:p>
        </w:tc>
        <w:tc>
          <w:tcPr>
            <w:tcW w:w="15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Poor infrastructure and train services</w:t>
            </w:r>
          </w:p>
        </w:tc>
        <w:tc>
          <w:tcPr>
            <w:tcW w:w="297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Uncompetitive passenger services between the main cities of Romania because of low commercial speeds and poor frequenc</w:t>
            </w:r>
            <w:r>
              <w:rPr>
                <w:rFonts w:cs="Arial"/>
                <w:sz w:val="22"/>
                <w:szCs w:val="22"/>
              </w:rPr>
              <w:t xml:space="preserve">ies which have </w:t>
            </w:r>
            <w:r w:rsidRPr="008C5B1B">
              <w:rPr>
                <w:rFonts w:cs="Arial"/>
                <w:sz w:val="22"/>
                <w:szCs w:val="22"/>
              </w:rPr>
              <w:t>result</w:t>
            </w:r>
            <w:r>
              <w:rPr>
                <w:rFonts w:cs="Arial"/>
                <w:sz w:val="22"/>
                <w:szCs w:val="22"/>
              </w:rPr>
              <w:t xml:space="preserve">ed </w:t>
            </w:r>
            <w:r w:rsidRPr="008C5B1B">
              <w:rPr>
                <w:rFonts w:cs="Arial"/>
                <w:sz w:val="22"/>
                <w:szCs w:val="22"/>
              </w:rPr>
              <w:t xml:space="preserve">in </w:t>
            </w:r>
            <w:r>
              <w:rPr>
                <w:rFonts w:cs="Arial"/>
                <w:sz w:val="22"/>
                <w:szCs w:val="22"/>
              </w:rPr>
              <w:t xml:space="preserve">a low </w:t>
            </w:r>
            <w:r w:rsidRPr="008C5B1B">
              <w:rPr>
                <w:rFonts w:cs="Arial"/>
                <w:sz w:val="22"/>
                <w:szCs w:val="22"/>
              </w:rPr>
              <w:t>rail market share</w:t>
            </w:r>
            <w:r>
              <w:rPr>
                <w:rFonts w:cs="Arial"/>
                <w:sz w:val="22"/>
                <w:szCs w:val="22"/>
              </w:rPr>
              <w:t xml:space="preserve"> below its potential</w:t>
            </w:r>
          </w:p>
          <w:p w:rsidR="00660414" w:rsidRPr="008C5B1B" w:rsidRDefault="00660414" w:rsidP="007613DE">
            <w:pPr>
              <w:spacing w:before="60" w:after="60"/>
              <w:jc w:val="both"/>
              <w:rPr>
                <w:rFonts w:cs="Arial"/>
                <w:sz w:val="22"/>
                <w:szCs w:val="22"/>
              </w:rPr>
            </w:pPr>
          </w:p>
        </w:tc>
        <w:tc>
          <w:tcPr>
            <w:tcW w:w="3118"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Average commercial speeds </w:t>
            </w:r>
            <w:r>
              <w:rPr>
                <w:rFonts w:cs="Arial"/>
                <w:sz w:val="22"/>
                <w:szCs w:val="22"/>
              </w:rPr>
              <w:t xml:space="preserve">between </w:t>
            </w:r>
            <w:r w:rsidRPr="008C5B1B">
              <w:rPr>
                <w:rFonts w:cs="Arial"/>
                <w:sz w:val="22"/>
                <w:szCs w:val="22"/>
              </w:rPr>
              <w:t xml:space="preserve">50-60 km/h (which is typically between 40-60% of the initial design speed </w:t>
            </w:r>
            <w:r>
              <w:rPr>
                <w:rFonts w:cs="Arial"/>
                <w:sz w:val="22"/>
                <w:szCs w:val="22"/>
              </w:rPr>
              <w:t xml:space="preserve">and has </w:t>
            </w:r>
            <w:r w:rsidRPr="008C5B1B">
              <w:rPr>
                <w:rFonts w:cs="Arial"/>
                <w:sz w:val="22"/>
                <w:szCs w:val="22"/>
              </w:rPr>
              <w:t>result</w:t>
            </w:r>
            <w:r>
              <w:rPr>
                <w:rFonts w:cs="Arial"/>
                <w:sz w:val="22"/>
                <w:szCs w:val="22"/>
              </w:rPr>
              <w:t>ed from</w:t>
            </w:r>
            <w:r w:rsidRPr="008C5B1B">
              <w:rPr>
                <w:rFonts w:cs="Arial"/>
                <w:sz w:val="22"/>
                <w:szCs w:val="22"/>
              </w:rPr>
              <w:t xml:space="preserve"> </w:t>
            </w:r>
            <w:r>
              <w:rPr>
                <w:rFonts w:cs="Arial"/>
                <w:sz w:val="22"/>
                <w:szCs w:val="22"/>
              </w:rPr>
              <w:t xml:space="preserve">a </w:t>
            </w:r>
            <w:r w:rsidRPr="008C5B1B">
              <w:rPr>
                <w:rFonts w:cs="Arial"/>
                <w:sz w:val="22"/>
                <w:szCs w:val="22"/>
              </w:rPr>
              <w:t>lack of appropriate maintenance &amp; renewals).</w:t>
            </w:r>
          </w:p>
          <w:p w:rsidR="00660414" w:rsidRPr="008C5B1B" w:rsidRDefault="00660414" w:rsidP="007613DE">
            <w:pPr>
              <w:spacing w:before="60" w:after="60"/>
              <w:jc w:val="both"/>
              <w:rPr>
                <w:rFonts w:cs="Arial"/>
                <w:sz w:val="22"/>
                <w:szCs w:val="22"/>
              </w:rPr>
            </w:pPr>
            <w:r w:rsidRPr="008C5B1B">
              <w:rPr>
                <w:rFonts w:cs="Arial"/>
                <w:sz w:val="22"/>
                <w:szCs w:val="22"/>
              </w:rPr>
              <w:t>Average headway of 3-4 hours on many important city to city routes</w:t>
            </w:r>
            <w:r>
              <w:rPr>
                <w:rFonts w:cs="Arial"/>
                <w:sz w:val="22"/>
                <w:szCs w:val="22"/>
              </w:rPr>
              <w:t xml:space="preserve"> including flows from Bucharest</w:t>
            </w:r>
            <w:r w:rsidRPr="008C5B1B">
              <w:rPr>
                <w:rFonts w:cs="Arial"/>
                <w:sz w:val="22"/>
                <w:szCs w:val="22"/>
              </w:rPr>
              <w:t>.</w:t>
            </w:r>
          </w:p>
          <w:p w:rsidR="00660414" w:rsidRPr="008C5B1B" w:rsidRDefault="00660414" w:rsidP="007613DE">
            <w:pPr>
              <w:spacing w:before="60" w:after="60"/>
              <w:jc w:val="both"/>
              <w:rPr>
                <w:rFonts w:cs="Arial"/>
                <w:sz w:val="22"/>
                <w:szCs w:val="22"/>
              </w:rPr>
            </w:pPr>
            <w:r w:rsidRPr="008C5B1B">
              <w:rPr>
                <w:rFonts w:cs="Arial"/>
                <w:sz w:val="22"/>
                <w:szCs w:val="22"/>
              </w:rPr>
              <w:t xml:space="preserve">Generalised costs </w:t>
            </w:r>
            <w:r>
              <w:rPr>
                <w:rFonts w:cs="Arial"/>
                <w:sz w:val="22"/>
                <w:szCs w:val="22"/>
              </w:rPr>
              <w:t xml:space="preserve">are </w:t>
            </w:r>
            <w:r w:rsidRPr="008C5B1B">
              <w:rPr>
                <w:rFonts w:cs="Arial"/>
                <w:sz w:val="22"/>
                <w:szCs w:val="22"/>
              </w:rPr>
              <w:t xml:space="preserve">50-100% </w:t>
            </w:r>
            <w:r>
              <w:rPr>
                <w:rFonts w:cs="Arial"/>
                <w:sz w:val="22"/>
                <w:szCs w:val="22"/>
              </w:rPr>
              <w:t xml:space="preserve">higher </w:t>
            </w:r>
            <w:r w:rsidRPr="008C5B1B">
              <w:rPr>
                <w:rFonts w:cs="Arial"/>
                <w:sz w:val="22"/>
                <w:szCs w:val="22"/>
              </w:rPr>
              <w:t>as compared to the competing road transport routes.</w:t>
            </w:r>
          </w:p>
          <w:p w:rsidR="00660414" w:rsidRPr="008C5B1B" w:rsidRDefault="00660414" w:rsidP="007613DE">
            <w:pPr>
              <w:spacing w:before="60" w:after="60"/>
              <w:jc w:val="both"/>
              <w:rPr>
                <w:rFonts w:cs="Arial"/>
                <w:sz w:val="22"/>
                <w:szCs w:val="22"/>
              </w:rPr>
            </w:pPr>
            <w:r>
              <w:rPr>
                <w:rFonts w:cs="Arial"/>
                <w:sz w:val="22"/>
                <w:szCs w:val="22"/>
              </w:rPr>
              <w:t>The r</w:t>
            </w:r>
            <w:r w:rsidRPr="008C5B1B">
              <w:rPr>
                <w:rFonts w:cs="Arial"/>
                <w:sz w:val="22"/>
                <w:szCs w:val="22"/>
              </w:rPr>
              <w:t xml:space="preserve">ail passenger market share </w:t>
            </w:r>
            <w:r>
              <w:rPr>
                <w:rFonts w:cs="Arial"/>
                <w:sz w:val="22"/>
                <w:szCs w:val="22"/>
              </w:rPr>
              <w:t xml:space="preserve">is </w:t>
            </w:r>
            <w:r w:rsidRPr="008C5B1B">
              <w:rPr>
                <w:rFonts w:cs="Arial"/>
                <w:sz w:val="22"/>
                <w:szCs w:val="22"/>
              </w:rPr>
              <w:t xml:space="preserve">2% </w:t>
            </w:r>
            <w:r>
              <w:rPr>
                <w:rFonts w:cs="Arial"/>
                <w:sz w:val="22"/>
                <w:szCs w:val="22"/>
              </w:rPr>
              <w:t xml:space="preserve">on the </w:t>
            </w:r>
            <w:r w:rsidRPr="008C5B1B">
              <w:rPr>
                <w:rFonts w:cs="Arial"/>
                <w:sz w:val="22"/>
                <w:szCs w:val="22"/>
              </w:rPr>
              <w:t>Bucharest</w:t>
            </w:r>
            <w:r>
              <w:rPr>
                <w:rFonts w:cs="Arial"/>
                <w:sz w:val="22"/>
                <w:szCs w:val="22"/>
              </w:rPr>
              <w:t xml:space="preserve"> to </w:t>
            </w:r>
            <w:r w:rsidRPr="008C5B1B">
              <w:rPr>
                <w:rFonts w:cs="Arial"/>
                <w:sz w:val="22"/>
                <w:szCs w:val="22"/>
              </w:rPr>
              <w:t>Sibiu</w:t>
            </w:r>
            <w:r>
              <w:rPr>
                <w:rFonts w:cs="Arial"/>
                <w:sz w:val="22"/>
                <w:szCs w:val="22"/>
              </w:rPr>
              <w:t xml:space="preserve"> and compares with 3</w:t>
            </w:r>
            <w:r w:rsidRPr="008C5B1B">
              <w:rPr>
                <w:rFonts w:cs="Arial"/>
                <w:sz w:val="22"/>
                <w:szCs w:val="22"/>
              </w:rPr>
              <w:t xml:space="preserve">7% on the better serviced lines (Bucharest-Craiova). </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Bucharest and Hungary via Brasov, Teius / Cluj</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06</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Enhance service frequency with a regular interval timetable </w:t>
            </w:r>
            <w:r>
              <w:rPr>
                <w:rFonts w:cs="Arial"/>
                <w:sz w:val="22"/>
                <w:szCs w:val="22"/>
              </w:rPr>
              <w:t xml:space="preserve">between </w:t>
            </w:r>
            <w:r w:rsidRPr="008C5B1B">
              <w:rPr>
                <w:rFonts w:cs="Arial"/>
                <w:sz w:val="22"/>
                <w:szCs w:val="22"/>
              </w:rPr>
              <w:t xml:space="preserve"> Cluj </w:t>
            </w:r>
            <w:r>
              <w:rPr>
                <w:rFonts w:cs="Arial"/>
                <w:sz w:val="22"/>
                <w:szCs w:val="22"/>
              </w:rPr>
              <w:t xml:space="preserve">and </w:t>
            </w:r>
            <w:r w:rsidRPr="008C5B1B">
              <w:rPr>
                <w:rFonts w:cs="Arial"/>
                <w:sz w:val="22"/>
                <w:szCs w:val="22"/>
              </w:rPr>
              <w:t>Bucharest</w:t>
            </w:r>
            <w:r>
              <w:rPr>
                <w:rFonts w:cs="Arial"/>
                <w:sz w:val="22"/>
                <w:szCs w:val="22"/>
              </w:rPr>
              <w:t xml:space="preserve"> (0.5tph) plus</w:t>
            </w:r>
            <w:r w:rsidRPr="008C5B1B">
              <w:rPr>
                <w:rFonts w:cs="Arial"/>
                <w:sz w:val="22"/>
                <w:szCs w:val="22"/>
              </w:rPr>
              <w:t xml:space="preserve"> 0.5tph from Bucharest to Deva and 1tph Bucharest to Brasov.</w:t>
            </w:r>
          </w:p>
          <w:p w:rsidR="00660414" w:rsidRPr="008C5B1B" w:rsidRDefault="00660414" w:rsidP="007613DE">
            <w:pPr>
              <w:spacing w:before="60" w:after="60"/>
              <w:jc w:val="both"/>
              <w:rPr>
                <w:rFonts w:cs="Arial"/>
                <w:sz w:val="22"/>
                <w:szCs w:val="22"/>
              </w:rPr>
            </w:pPr>
            <w:r w:rsidRPr="008C5B1B">
              <w:rPr>
                <w:rFonts w:cs="Arial"/>
                <w:sz w:val="22"/>
                <w:szCs w:val="22"/>
              </w:rPr>
              <w:t>Raise the speed of the line to the design parameters (Fiches 038 and 057)</w:t>
            </w:r>
          </w:p>
          <w:p w:rsidR="00660414" w:rsidRPr="008C5B1B" w:rsidRDefault="00660414" w:rsidP="007613DE">
            <w:pPr>
              <w:spacing w:before="60" w:after="60"/>
              <w:jc w:val="both"/>
              <w:rPr>
                <w:rFonts w:cs="Arial"/>
                <w:sz w:val="22"/>
                <w:szCs w:val="22"/>
              </w:rPr>
            </w:pPr>
            <w:r w:rsidRPr="008C5B1B">
              <w:rPr>
                <w:rFonts w:cs="Arial"/>
                <w:sz w:val="22"/>
                <w:szCs w:val="22"/>
              </w:rPr>
              <w:t>Examine the scope to improve the efficiency of border crossings to reduce delays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DS01A, DS01B</w:t>
            </w:r>
          </w:p>
        </w:tc>
      </w:tr>
      <w:tr w:rsidR="00660414" w:rsidRPr="000A76BD" w:rsidTr="007613DE">
        <w:trPr>
          <w:gridAfter w:val="1"/>
          <w:wAfter w:w="17" w:type="dxa"/>
        </w:trPr>
        <w:tc>
          <w:tcPr>
            <w:tcW w:w="1526" w:type="dxa"/>
            <w:vMerge/>
            <w:shd w:val="clear" w:color="auto" w:fill="auto"/>
            <w:vAlign w:val="center"/>
          </w:tcPr>
          <w:p w:rsidR="00660414" w:rsidRPr="008C5B1B" w:rsidRDefault="00660414" w:rsidP="007613DE">
            <w:pPr>
              <w:spacing w:before="60" w:after="60"/>
              <w:jc w:val="both"/>
              <w:rPr>
                <w:rFonts w:cs="Arial"/>
                <w:sz w:val="22"/>
                <w:szCs w:val="22"/>
              </w:rPr>
            </w:pPr>
          </w:p>
        </w:tc>
        <w:tc>
          <w:tcPr>
            <w:tcW w:w="676" w:type="dxa"/>
            <w:gridSpan w:val="2"/>
            <w:vMerge/>
            <w:shd w:val="clear" w:color="auto" w:fill="auto"/>
            <w:vAlign w:val="center"/>
          </w:tcPr>
          <w:p w:rsidR="00660414" w:rsidRPr="008C5B1B" w:rsidRDefault="00660414" w:rsidP="007613DE">
            <w:pPr>
              <w:spacing w:before="60" w:after="60"/>
              <w:jc w:val="both"/>
              <w:rPr>
                <w:rFonts w:cs="Arial"/>
                <w:sz w:val="22"/>
                <w:szCs w:val="22"/>
              </w:rPr>
            </w:pPr>
          </w:p>
        </w:tc>
        <w:tc>
          <w:tcPr>
            <w:tcW w:w="1592" w:type="dxa"/>
            <w:vMerge/>
            <w:shd w:val="clear" w:color="auto" w:fill="auto"/>
            <w:vAlign w:val="center"/>
          </w:tcPr>
          <w:p w:rsidR="00660414" w:rsidRPr="008C5B1B" w:rsidRDefault="00660414" w:rsidP="007613DE">
            <w:pPr>
              <w:spacing w:before="60" w:after="60"/>
              <w:jc w:val="both"/>
              <w:rPr>
                <w:rFonts w:cs="Arial"/>
                <w:sz w:val="22"/>
                <w:szCs w:val="22"/>
              </w:rPr>
            </w:pPr>
          </w:p>
        </w:tc>
        <w:tc>
          <w:tcPr>
            <w:tcW w:w="2977" w:type="dxa"/>
            <w:vMerge/>
            <w:shd w:val="clear" w:color="auto" w:fill="auto"/>
            <w:vAlign w:val="center"/>
          </w:tcPr>
          <w:p w:rsidR="00660414" w:rsidRPr="008C5B1B" w:rsidRDefault="00660414" w:rsidP="007613DE">
            <w:pPr>
              <w:spacing w:before="60" w:after="60"/>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passengers rail services on the route between Bucharest and Constanta</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07</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 service frequency with 2tph</w:t>
            </w:r>
          </w:p>
          <w:p w:rsidR="00660414" w:rsidRPr="008C5B1B" w:rsidRDefault="00660414" w:rsidP="007613DE">
            <w:pPr>
              <w:jc w:val="both"/>
              <w:rPr>
                <w:rFonts w:cs="Arial"/>
                <w:sz w:val="22"/>
                <w:szCs w:val="22"/>
              </w:rPr>
            </w:pPr>
          </w:p>
        </w:tc>
        <w:tc>
          <w:tcPr>
            <w:tcW w:w="1134" w:type="dxa"/>
            <w:shd w:val="clear" w:color="auto" w:fill="auto"/>
            <w:vAlign w:val="center"/>
          </w:tcPr>
          <w:p w:rsidR="00660414" w:rsidRPr="008C5B1B" w:rsidRDefault="00660414" w:rsidP="007613DE">
            <w:pPr>
              <w:jc w:val="center"/>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jc w:val="center"/>
              <w:rPr>
                <w:rFonts w:cs="Arial"/>
                <w:sz w:val="22"/>
                <w:szCs w:val="22"/>
              </w:rPr>
            </w:pPr>
            <w:r w:rsidRPr="008C5B1B">
              <w:rPr>
                <w:rFonts w:cs="Arial"/>
                <w:sz w:val="22"/>
                <w:szCs w:val="22"/>
              </w:rPr>
              <w:t>Combination of timetable, rolling stock &amp; infrastructure enhancements</w:t>
            </w:r>
          </w:p>
        </w:tc>
        <w:tc>
          <w:tcPr>
            <w:tcW w:w="1560" w:type="dxa"/>
            <w:shd w:val="clear" w:color="auto" w:fill="auto"/>
            <w:vAlign w:val="center"/>
          </w:tcPr>
          <w:p w:rsidR="00660414" w:rsidRPr="008C5B1B" w:rsidRDefault="00660414" w:rsidP="007613DE">
            <w:pPr>
              <w:jc w:val="center"/>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jc w:val="center"/>
              <w:rPr>
                <w:rFonts w:cs="Arial"/>
                <w:sz w:val="22"/>
                <w:szCs w:val="22"/>
              </w:rPr>
            </w:pPr>
            <w:r w:rsidRPr="008C5B1B">
              <w:rPr>
                <w:rFonts w:cs="Arial"/>
                <w:sz w:val="22"/>
                <w:szCs w:val="22"/>
              </w:rPr>
              <w:t>DS02A</w:t>
            </w:r>
          </w:p>
        </w:tc>
      </w:tr>
      <w:tr w:rsidR="00660414" w:rsidRPr="000A76BD" w:rsidTr="007613DE">
        <w:trPr>
          <w:gridAfter w:val="1"/>
          <w:wAfter w:w="17" w:type="dxa"/>
        </w:trPr>
        <w:tc>
          <w:tcPr>
            <w:tcW w:w="1526" w:type="dxa"/>
            <w:vMerge/>
            <w:shd w:val="clear" w:color="auto" w:fill="auto"/>
            <w:vAlign w:val="center"/>
          </w:tcPr>
          <w:p w:rsidR="00660414" w:rsidRPr="008C5B1B" w:rsidRDefault="00660414" w:rsidP="007613DE">
            <w:pPr>
              <w:spacing w:before="60" w:after="60"/>
              <w:jc w:val="both"/>
              <w:rPr>
                <w:rFonts w:cs="Arial"/>
                <w:sz w:val="22"/>
                <w:szCs w:val="22"/>
              </w:rPr>
            </w:pPr>
          </w:p>
        </w:tc>
        <w:tc>
          <w:tcPr>
            <w:tcW w:w="676" w:type="dxa"/>
            <w:gridSpan w:val="2"/>
            <w:vMerge/>
            <w:shd w:val="clear" w:color="auto" w:fill="auto"/>
            <w:vAlign w:val="center"/>
          </w:tcPr>
          <w:p w:rsidR="00660414" w:rsidRPr="008C5B1B" w:rsidRDefault="00660414" w:rsidP="007613DE">
            <w:pPr>
              <w:spacing w:before="60" w:after="60"/>
              <w:jc w:val="both"/>
              <w:rPr>
                <w:rFonts w:cs="Arial"/>
                <w:sz w:val="22"/>
                <w:szCs w:val="22"/>
              </w:rPr>
            </w:pPr>
          </w:p>
        </w:tc>
        <w:tc>
          <w:tcPr>
            <w:tcW w:w="1592" w:type="dxa"/>
            <w:vMerge/>
            <w:shd w:val="clear" w:color="auto" w:fill="auto"/>
            <w:vAlign w:val="center"/>
          </w:tcPr>
          <w:p w:rsidR="00660414" w:rsidRPr="008C5B1B" w:rsidRDefault="00660414" w:rsidP="007613DE">
            <w:pPr>
              <w:spacing w:before="60" w:after="60"/>
              <w:jc w:val="both"/>
              <w:rPr>
                <w:rFonts w:cs="Arial"/>
                <w:sz w:val="22"/>
                <w:szCs w:val="22"/>
              </w:rPr>
            </w:pPr>
          </w:p>
        </w:tc>
        <w:tc>
          <w:tcPr>
            <w:tcW w:w="2977" w:type="dxa"/>
            <w:vMerge/>
            <w:shd w:val="clear" w:color="auto" w:fill="auto"/>
            <w:vAlign w:val="center"/>
          </w:tcPr>
          <w:p w:rsidR="00660414" w:rsidRPr="008C5B1B" w:rsidRDefault="00660414" w:rsidP="007613DE">
            <w:pPr>
              <w:spacing w:before="60" w:after="60"/>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w:t>
            </w:r>
            <w:r>
              <w:rPr>
                <w:rFonts w:cs="Arial"/>
                <w:sz w:val="22"/>
                <w:szCs w:val="22"/>
              </w:rPr>
              <w:t xml:space="preserve"> </w:t>
            </w:r>
            <w:r w:rsidRPr="008C5B1B">
              <w:rPr>
                <w:rFonts w:cs="Arial"/>
                <w:sz w:val="22"/>
                <w:szCs w:val="22"/>
              </w:rPr>
              <w:t>rail services on the route between Bucharest and Arad via Craiova and Timisoara</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OR08</w:t>
            </w:r>
          </w:p>
        </w:tc>
        <w:tc>
          <w:tcPr>
            <w:tcW w:w="3543"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Enhance service frequency with a regular interval timetable operating every 2 hours to Arad via Timisoara from Bucharest, 0.5tph from Bucharest to Craiova (1tph) and 0.5tph to Simeria via Craiova and Targu Jiu. </w:t>
            </w:r>
          </w:p>
          <w:p w:rsidR="00660414" w:rsidRPr="008C5B1B" w:rsidRDefault="00660414" w:rsidP="007613DE">
            <w:pPr>
              <w:spacing w:before="60" w:after="60"/>
              <w:jc w:val="both"/>
              <w:rPr>
                <w:rFonts w:cs="Arial"/>
                <w:sz w:val="22"/>
                <w:szCs w:val="22"/>
              </w:rPr>
            </w:pPr>
            <w:r w:rsidRPr="008C5B1B">
              <w:rPr>
                <w:rFonts w:cs="Arial"/>
                <w:sz w:val="22"/>
                <w:szCs w:val="22"/>
              </w:rPr>
              <w:t>Rehabilitation to enhance design speed (Fiche 045)</w:t>
            </w:r>
          </w:p>
        </w:tc>
        <w:tc>
          <w:tcPr>
            <w:tcW w:w="1134" w:type="dxa"/>
            <w:shd w:val="clear" w:color="auto" w:fill="auto"/>
            <w:vAlign w:val="center"/>
          </w:tcPr>
          <w:p w:rsidR="00660414" w:rsidRPr="008C5B1B" w:rsidRDefault="00660414" w:rsidP="007613DE">
            <w:pPr>
              <w:jc w:val="center"/>
              <w:rPr>
                <w:sz w:val="22"/>
                <w:szCs w:val="22"/>
              </w:rPr>
            </w:pPr>
            <w:r w:rsidRPr="008C5B1B">
              <w:rPr>
                <w:sz w:val="22"/>
                <w:szCs w:val="22"/>
              </w:rPr>
              <w:t>Yes</w:t>
            </w:r>
          </w:p>
        </w:tc>
        <w:tc>
          <w:tcPr>
            <w:tcW w:w="1701" w:type="dxa"/>
            <w:shd w:val="clear" w:color="auto" w:fill="auto"/>
            <w:vAlign w:val="center"/>
          </w:tcPr>
          <w:p w:rsidR="00660414" w:rsidRPr="008C5B1B" w:rsidRDefault="00660414" w:rsidP="007613DE">
            <w:pPr>
              <w:jc w:val="center"/>
              <w:rPr>
                <w:sz w:val="22"/>
                <w:szCs w:val="22"/>
              </w:rPr>
            </w:pPr>
            <w:r w:rsidRPr="008C5B1B">
              <w:rPr>
                <w:sz w:val="22"/>
                <w:szCs w:val="22"/>
              </w:rPr>
              <w:t>Combination of timetable, rolling stock &amp; infrastructure enhancements</w:t>
            </w:r>
          </w:p>
        </w:tc>
        <w:tc>
          <w:tcPr>
            <w:tcW w:w="1560" w:type="dxa"/>
            <w:shd w:val="clear" w:color="auto" w:fill="auto"/>
            <w:vAlign w:val="center"/>
          </w:tcPr>
          <w:p w:rsidR="00660414" w:rsidRPr="008C5B1B" w:rsidRDefault="00660414" w:rsidP="007613DE">
            <w:pPr>
              <w:jc w:val="center"/>
              <w:rPr>
                <w:sz w:val="22"/>
                <w:szCs w:val="22"/>
              </w:rPr>
            </w:pPr>
            <w:r w:rsidRPr="008C5B1B">
              <w:rPr>
                <w:sz w:val="22"/>
                <w:szCs w:val="22"/>
              </w:rPr>
              <w:t>Individual corridor</w:t>
            </w:r>
          </w:p>
        </w:tc>
        <w:tc>
          <w:tcPr>
            <w:tcW w:w="1118" w:type="dxa"/>
            <w:shd w:val="clear" w:color="auto" w:fill="auto"/>
            <w:vAlign w:val="center"/>
          </w:tcPr>
          <w:p w:rsidR="00660414" w:rsidRPr="008C5B1B" w:rsidRDefault="00660414" w:rsidP="007613DE">
            <w:pPr>
              <w:jc w:val="center"/>
              <w:rPr>
                <w:sz w:val="22"/>
                <w:szCs w:val="22"/>
              </w:rPr>
            </w:pPr>
            <w:r w:rsidRPr="008C5B1B">
              <w:rPr>
                <w:sz w:val="22"/>
                <w:szCs w:val="22"/>
              </w:rPr>
              <w:t>DS03A, DS03B</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Bucharest and Iasi / Suceava / Galati</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 09</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 xml:space="preserve">Enhance service frequency with a regular interval timetable operating every 2 hours to Marasesti, Suceava, Galati, and Iasi via Bacau </w:t>
            </w:r>
          </w:p>
          <w:p w:rsidR="00660414" w:rsidRPr="008C5B1B" w:rsidRDefault="00660414" w:rsidP="007613DE">
            <w:pPr>
              <w:jc w:val="both"/>
              <w:rPr>
                <w:rFonts w:cs="Arial"/>
                <w:sz w:val="22"/>
                <w:szCs w:val="22"/>
              </w:rPr>
            </w:pPr>
            <w:r w:rsidRPr="008C5B1B">
              <w:rPr>
                <w:rFonts w:cs="Arial"/>
                <w:sz w:val="22"/>
                <w:szCs w:val="22"/>
              </w:rPr>
              <w:t>Rehabilitation to design speed</w:t>
            </w:r>
          </w:p>
          <w:p w:rsidR="00660414" w:rsidRPr="008C5B1B" w:rsidRDefault="00660414" w:rsidP="007613DE">
            <w:pPr>
              <w:jc w:val="both"/>
              <w:rPr>
                <w:rFonts w:cs="Arial"/>
                <w:sz w:val="22"/>
                <w:szCs w:val="22"/>
              </w:rPr>
            </w:pPr>
            <w:r w:rsidRPr="008C5B1B">
              <w:rPr>
                <w:rFonts w:cs="Arial"/>
                <w:sz w:val="22"/>
                <w:szCs w:val="22"/>
              </w:rPr>
              <w:t>Examine the scope to improve the efficiency of border crossings to reduce delays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DS04A,</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Improve the competitiveness of passenger rail services on the route between Bucharest and Sibiu via Pitesti and Ramnicu Valcea </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OR10</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 service frequency with a regular interval timetable operating every hour from Bucharest to Pitesti with alternate trains extended to Sibiu via a new link to Ramnicu Valcea</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 including electrification</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DS05A</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Improve the competitiveness of passenger rail services on the route between Cluj Napoca and Iasi </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OR11</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 service frequency with a regular interval timetable operating every 2 hours from Cluj to Iasi</w:t>
            </w:r>
          </w:p>
          <w:p w:rsidR="00660414" w:rsidRPr="008C5B1B" w:rsidRDefault="00660414" w:rsidP="007613DE">
            <w:pPr>
              <w:jc w:val="both"/>
              <w:rPr>
                <w:rFonts w:cs="Arial"/>
                <w:sz w:val="22"/>
                <w:szCs w:val="22"/>
              </w:rPr>
            </w:pPr>
            <w:r w:rsidRPr="008C5B1B">
              <w:rPr>
                <w:rFonts w:cs="Arial"/>
                <w:sz w:val="22"/>
                <w:szCs w:val="22"/>
              </w:rPr>
              <w:t>Rehabilitation to design speed (Fiches 056 and 057)</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DS06A, DS06B</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Improve the competitiveness of passenger rail services on the route between Cluj Napoca and Oradea </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OR12</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 service frequency with a regular interval timetable operating every hour from Cluj to Oradea</w:t>
            </w:r>
          </w:p>
          <w:p w:rsidR="00660414" w:rsidRPr="008C5B1B" w:rsidRDefault="00660414" w:rsidP="007613DE">
            <w:pPr>
              <w:jc w:val="both"/>
              <w:rPr>
                <w:rFonts w:cs="Arial"/>
                <w:sz w:val="22"/>
                <w:szCs w:val="22"/>
              </w:rPr>
            </w:pPr>
            <w:r w:rsidRPr="008C5B1B">
              <w:rPr>
                <w:rFonts w:cs="Arial"/>
                <w:sz w:val="22"/>
                <w:szCs w:val="22"/>
              </w:rPr>
              <w:t>Rehabilitation to design speed (Fiche 067)</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 including electrification</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DS07A, DS07B,</w:t>
            </w:r>
          </w:p>
          <w:p w:rsidR="00660414" w:rsidRPr="008C5B1B" w:rsidRDefault="00660414" w:rsidP="007613DE">
            <w:pPr>
              <w:spacing w:before="60" w:after="60"/>
              <w:jc w:val="both"/>
              <w:rPr>
                <w:rFonts w:cs="Arial"/>
                <w:sz w:val="22"/>
                <w:szCs w:val="22"/>
              </w:rPr>
            </w:pPr>
            <w:r w:rsidRPr="008C5B1B">
              <w:rPr>
                <w:rFonts w:cs="Arial"/>
                <w:sz w:val="22"/>
                <w:szCs w:val="22"/>
              </w:rPr>
              <w:t>DS07C</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Oradea and Timisoara</w:t>
            </w:r>
          </w:p>
        </w:tc>
        <w:tc>
          <w:tcPr>
            <w:tcW w:w="992"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OR13</w:t>
            </w:r>
          </w:p>
        </w:tc>
        <w:tc>
          <w:tcPr>
            <w:tcW w:w="3543" w:type="dxa"/>
            <w:tcBorders>
              <w:bottom w:val="single" w:sz="4" w:space="0" w:color="auto"/>
            </w:tcBorders>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 service frequency with a regular interval timetable operating every 2 hours from Timisoara to Oradea</w:t>
            </w:r>
          </w:p>
        </w:tc>
        <w:tc>
          <w:tcPr>
            <w:tcW w:w="1134"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 including electrification</w:t>
            </w:r>
          </w:p>
        </w:tc>
        <w:tc>
          <w:tcPr>
            <w:tcW w:w="1560"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tcBorders>
              <w:bottom w:val="single" w:sz="4" w:space="0" w:color="auto"/>
            </w:tcBorders>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DS08A</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Oradea and Cluj Napoca via Baia Mare and Satu Mare</w:t>
            </w:r>
          </w:p>
        </w:tc>
        <w:tc>
          <w:tcPr>
            <w:tcW w:w="992"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OR14</w:t>
            </w:r>
          </w:p>
        </w:tc>
        <w:tc>
          <w:tcPr>
            <w:tcW w:w="3543" w:type="dxa"/>
            <w:shd w:val="clear" w:color="auto" w:fill="FFFFFF" w:themeFill="background1"/>
            <w:vAlign w:val="center"/>
          </w:tcPr>
          <w:p w:rsidR="00660414" w:rsidRPr="008C5B1B" w:rsidRDefault="00660414" w:rsidP="007613DE">
            <w:pPr>
              <w:jc w:val="both"/>
              <w:rPr>
                <w:rFonts w:cs="Arial"/>
                <w:sz w:val="22"/>
                <w:szCs w:val="22"/>
              </w:rPr>
            </w:pPr>
            <w:r w:rsidRPr="008C5B1B">
              <w:rPr>
                <w:rFonts w:cs="Arial"/>
                <w:sz w:val="22"/>
                <w:szCs w:val="22"/>
              </w:rPr>
              <w:t xml:space="preserve">Enhanced service frequency with a regular interval timetable operating every 2 hours between Baia Mare and Oradea, and </w:t>
            </w:r>
            <w:r>
              <w:rPr>
                <w:rFonts w:cs="Arial"/>
                <w:sz w:val="22"/>
                <w:szCs w:val="22"/>
              </w:rPr>
              <w:t xml:space="preserve">2 hourly from </w:t>
            </w:r>
            <w:r w:rsidRPr="008C5B1B">
              <w:rPr>
                <w:rFonts w:cs="Arial"/>
                <w:sz w:val="22"/>
                <w:szCs w:val="22"/>
              </w:rPr>
              <w:t>Satu Mare to Cluj Napoca</w:t>
            </w:r>
          </w:p>
        </w:tc>
        <w:tc>
          <w:tcPr>
            <w:tcW w:w="1134"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 rolling stock &amp; infrastructure enhancements including electrification</w:t>
            </w:r>
          </w:p>
        </w:tc>
        <w:tc>
          <w:tcPr>
            <w:tcW w:w="1560"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DS09A</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Bucharest and Giurgiu</w:t>
            </w:r>
          </w:p>
        </w:tc>
        <w:tc>
          <w:tcPr>
            <w:tcW w:w="992"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OR15</w:t>
            </w:r>
          </w:p>
        </w:tc>
        <w:tc>
          <w:tcPr>
            <w:tcW w:w="3543" w:type="dxa"/>
            <w:shd w:val="clear" w:color="auto" w:fill="FFFFFF" w:themeFill="background1"/>
            <w:vAlign w:val="center"/>
          </w:tcPr>
          <w:p w:rsidR="00660414" w:rsidRPr="008C5B1B" w:rsidRDefault="00660414" w:rsidP="007613DE">
            <w:pPr>
              <w:jc w:val="both"/>
              <w:rPr>
                <w:rFonts w:cs="Arial"/>
                <w:sz w:val="22"/>
                <w:szCs w:val="22"/>
              </w:rPr>
            </w:pPr>
            <w:r w:rsidRPr="008C5B1B">
              <w:rPr>
                <w:rFonts w:cs="Arial"/>
                <w:sz w:val="22"/>
                <w:szCs w:val="22"/>
              </w:rPr>
              <w:t>Enhanced service frequency with a regular interval timetable operating every 2 hours between Bucharest and Giurgiu</w:t>
            </w:r>
          </w:p>
        </w:tc>
        <w:tc>
          <w:tcPr>
            <w:tcW w:w="1134"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timetable&amp; infrastructure enhancements including electrification</w:t>
            </w:r>
          </w:p>
        </w:tc>
        <w:tc>
          <w:tcPr>
            <w:tcW w:w="1560"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FFFFFF" w:themeFill="background1"/>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DS10A, </w:t>
            </w:r>
          </w:p>
          <w:p w:rsidR="00660414" w:rsidRPr="008C5B1B" w:rsidRDefault="00660414" w:rsidP="007613DE">
            <w:pPr>
              <w:spacing w:before="60" w:after="60"/>
              <w:jc w:val="both"/>
              <w:rPr>
                <w:rFonts w:cs="Arial"/>
                <w:sz w:val="22"/>
                <w:szCs w:val="22"/>
              </w:rPr>
            </w:pPr>
            <w:r w:rsidRPr="008C5B1B">
              <w:rPr>
                <w:rFonts w:cs="Arial"/>
                <w:sz w:val="22"/>
                <w:szCs w:val="22"/>
              </w:rPr>
              <w:t>DS10B</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Improve the competitiveness of passenger rail services on the route between Craiova and Calafat</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OR16</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Enhanced service frequency with a regular interval timetable operating every 2 hours between Craiova and Calafat</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Combination of timetable&amp; infrastructure enhancements including electrification</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Individual corridor</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DS11A</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Low Average Commercial Speed of Freight Trains</w:t>
            </w:r>
          </w:p>
        </w:tc>
        <w:tc>
          <w:tcPr>
            <w:tcW w:w="3118"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A safety-related blanket restriction has been imposed at 80km/hour on all freight on all routes including rehabilitated lines.</w:t>
            </w:r>
          </w:p>
          <w:p w:rsidR="00660414" w:rsidRPr="008C5B1B" w:rsidRDefault="00660414" w:rsidP="007613DE">
            <w:pPr>
              <w:spacing w:before="60" w:after="60"/>
              <w:jc w:val="both"/>
              <w:rPr>
                <w:rFonts w:cs="Arial"/>
                <w:sz w:val="22"/>
                <w:szCs w:val="22"/>
              </w:rPr>
            </w:pPr>
            <w:r w:rsidRPr="008C5B1B">
              <w:rPr>
                <w:rFonts w:cs="Arial"/>
                <w:sz w:val="22"/>
                <w:szCs w:val="22"/>
              </w:rPr>
              <w:t xml:space="preserve">The current average commercial speed is just 21/22kph. </w:t>
            </w:r>
            <w:r>
              <w:rPr>
                <w:rFonts w:cs="Arial"/>
                <w:sz w:val="22"/>
                <w:szCs w:val="22"/>
              </w:rPr>
              <w:t xml:space="preserve">Journey times are about </w:t>
            </w:r>
            <w:r w:rsidRPr="008C5B1B">
              <w:rPr>
                <w:rFonts w:cs="Arial"/>
                <w:sz w:val="22"/>
                <w:szCs w:val="22"/>
              </w:rPr>
              <w:t>28 hours to go 400kms.</w:t>
            </w:r>
          </w:p>
          <w:p w:rsidR="00660414" w:rsidRPr="008C5B1B" w:rsidRDefault="00660414" w:rsidP="007613DE">
            <w:pPr>
              <w:spacing w:before="60" w:after="60"/>
              <w:jc w:val="both"/>
              <w:rPr>
                <w:rFonts w:cs="Arial"/>
                <w:sz w:val="22"/>
                <w:szCs w:val="22"/>
              </w:rPr>
            </w:pPr>
          </w:p>
          <w:p w:rsidR="00660414" w:rsidRPr="008C5B1B" w:rsidRDefault="00660414" w:rsidP="007613DE">
            <w:pPr>
              <w:spacing w:before="60" w:after="60"/>
              <w:jc w:val="both"/>
              <w:rPr>
                <w:rFonts w:cs="Arial"/>
                <w:sz w:val="22"/>
                <w:szCs w:val="22"/>
              </w:rPr>
            </w:pPr>
            <w:r w:rsidRPr="008C5B1B">
              <w:rPr>
                <w:rFonts w:cs="Arial"/>
                <w:sz w:val="22"/>
                <w:szCs w:val="22"/>
              </w:rPr>
              <w:t>All passenger trains (including extremely slow local services) are currently given priority over even high-value freight services</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Increase rail speeds to a level consistent with target design speeds</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CFR Infrastructure to allow a higher top speed for certain freight trains on rehabilitated lines - 120kph instead of 80kph such as intermodal block trains.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R31</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Enhance the asset performance of the railway especially opportunities to achieve operational efficiencies</w:t>
            </w:r>
          </w:p>
        </w:tc>
        <w:tc>
          <w:tcPr>
            <w:tcW w:w="9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OR13</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CFR Infrastructure to enable better train control by utilising a 2 Tier system to allow properly equipped and dedicated intermodal trains to be prioritised over other types of bulk freight and potentially local, stopping passenger services</w:t>
            </w:r>
            <w:r>
              <w:rPr>
                <w:rFonts w:cs="Arial"/>
                <w:sz w:val="22"/>
                <w:szCs w:val="22"/>
              </w:rPr>
              <w:t xml:space="preserve">. This would reduce </w:t>
            </w:r>
            <w:r w:rsidRPr="008C5B1B">
              <w:rPr>
                <w:rFonts w:cs="Arial"/>
                <w:sz w:val="22"/>
                <w:szCs w:val="22"/>
              </w:rPr>
              <w:t xml:space="preserve">journey times over the core network to </w:t>
            </w:r>
            <w:r>
              <w:rPr>
                <w:rFonts w:cs="Arial"/>
                <w:sz w:val="22"/>
                <w:szCs w:val="22"/>
              </w:rPr>
              <w:t xml:space="preserve">enable freight to </w:t>
            </w:r>
            <w:r w:rsidRPr="008C5B1B">
              <w:rPr>
                <w:rFonts w:cs="Arial"/>
                <w:sz w:val="22"/>
                <w:szCs w:val="22"/>
              </w:rPr>
              <w:t xml:space="preserve">compete </w:t>
            </w:r>
            <w:r>
              <w:rPr>
                <w:rFonts w:cs="Arial"/>
                <w:sz w:val="22"/>
                <w:szCs w:val="22"/>
              </w:rPr>
              <w:t xml:space="preserve">more effectively </w:t>
            </w:r>
            <w:r w:rsidRPr="008C5B1B">
              <w:rPr>
                <w:rFonts w:cs="Arial"/>
                <w:sz w:val="22"/>
                <w:szCs w:val="22"/>
              </w:rPr>
              <w:t>with road.</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R33</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Establish a contract between infrastructure provider and train operators which requires compensation for delays.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R36</w:t>
            </w:r>
          </w:p>
        </w:tc>
      </w:tr>
      <w:tr w:rsidR="00660414" w:rsidRPr="000A76BD" w:rsidTr="007613DE">
        <w:trPr>
          <w:gridAfter w:val="1"/>
          <w:wAfter w:w="17" w:type="dxa"/>
          <w:trHeight w:val="486"/>
        </w:trPr>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Economic efficiency</w:t>
            </w: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(6)</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Management and Operations</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Old systems and paperwork based ways of working coupled with a lack of training are hindering the development of a modern railway</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Train sheets are filled in manually with every wagon number recorded in handwriting and then where each wagon needed to be moved to. There are some modern systems (e.g. ARGOS) but only limited numbers of trained operators.</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Enhance the asset performance of the railway especially opportunities to achieve operational efficiencies</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OR13</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Ensure companies adopt modern best practice and technologies such as the use of GPS for rolling stock tracking. Modern training courses in rail operations, systems and technology should be phased in for both existing and new staff. It is important for the rail sector to have a good blend of experience with technology.</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R27</w:t>
            </w:r>
          </w:p>
        </w:tc>
      </w:tr>
      <w:tr w:rsidR="00660414" w:rsidRPr="000A76BD" w:rsidTr="007613DE">
        <w:trPr>
          <w:gridAfter w:val="1"/>
          <w:wAfter w:w="17" w:type="dxa"/>
          <w:trHeight w:val="486"/>
        </w:trPr>
        <w:tc>
          <w:tcPr>
            <w:tcW w:w="1526"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Economic efficiency</w:t>
            </w:r>
          </w:p>
        </w:tc>
        <w:tc>
          <w:tcPr>
            <w:tcW w:w="676" w:type="dxa"/>
            <w:gridSpan w:val="2"/>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(7)</w:t>
            </w:r>
          </w:p>
        </w:tc>
        <w:tc>
          <w:tcPr>
            <w:tcW w:w="15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Infrastructure Deficit</w:t>
            </w:r>
          </w:p>
        </w:tc>
        <w:tc>
          <w:tcPr>
            <w:tcW w:w="297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Old </w:t>
            </w:r>
            <w:r>
              <w:rPr>
                <w:rFonts w:cs="Arial"/>
                <w:sz w:val="22"/>
                <w:szCs w:val="22"/>
              </w:rPr>
              <w:t>f</w:t>
            </w:r>
            <w:r w:rsidRPr="008C5B1B">
              <w:rPr>
                <w:rFonts w:cs="Arial"/>
                <w:sz w:val="22"/>
                <w:szCs w:val="22"/>
              </w:rPr>
              <w:t xml:space="preserve">reight </w:t>
            </w:r>
            <w:r>
              <w:rPr>
                <w:rFonts w:cs="Arial"/>
                <w:sz w:val="22"/>
                <w:szCs w:val="22"/>
              </w:rPr>
              <w:t>t</w:t>
            </w:r>
            <w:r w:rsidRPr="008C5B1B">
              <w:rPr>
                <w:rFonts w:cs="Arial"/>
                <w:sz w:val="22"/>
                <w:szCs w:val="22"/>
              </w:rPr>
              <w:t>erminals are inefficient and/or poorly located particularly intermodal sites</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Reducing handling times per tonne and other improved efficiencies could be achieved through containerisation and encourage modal shift.</w:t>
            </w:r>
          </w:p>
        </w:tc>
        <w:tc>
          <w:tcPr>
            <w:tcW w:w="212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Develop a network of “open user” freight terminals to serve Romania’s highest demand potential regions, cities and major EU markets in Bulgaria and Hungary. See Supporting Data for full description of terminal requirements and location determinants.</w:t>
            </w:r>
          </w:p>
        </w:tc>
        <w:tc>
          <w:tcPr>
            <w:tcW w:w="9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OR16</w:t>
            </w:r>
          </w:p>
        </w:tc>
        <w:tc>
          <w:tcPr>
            <w:tcW w:w="3543" w:type="dxa"/>
            <w:vMerge w:val="restart"/>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 xml:space="preserve">Close Bucarestii Noi </w:t>
            </w:r>
            <w:r>
              <w:rPr>
                <w:rFonts w:cs="Arial"/>
                <w:sz w:val="22"/>
                <w:szCs w:val="22"/>
              </w:rPr>
              <w:t xml:space="preserve">freight terminal </w:t>
            </w:r>
            <w:r w:rsidRPr="008C5B1B">
              <w:rPr>
                <w:rFonts w:cs="Arial"/>
                <w:sz w:val="22"/>
                <w:szCs w:val="22"/>
              </w:rPr>
              <w:t>and create a new intermodal terminal with extra capacity in Bucharest, with possibilities for tri-modal capabilities in the future.</w:t>
            </w:r>
          </w:p>
        </w:tc>
        <w:tc>
          <w:tcPr>
            <w:tcW w:w="1134"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Intermodal Terminals</w:t>
            </w:r>
          </w:p>
        </w:tc>
        <w:tc>
          <w:tcPr>
            <w:tcW w:w="1560"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Bucharest Only</w:t>
            </w:r>
          </w:p>
        </w:tc>
        <w:tc>
          <w:tcPr>
            <w:tcW w:w="1118"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R42</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Bucharest’s terminals are small and do not have space to accommodate planned growth</w:t>
            </w: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vMerge/>
            <w:shd w:val="clear" w:color="auto" w:fill="auto"/>
            <w:vAlign w:val="center"/>
          </w:tcPr>
          <w:p w:rsidR="00660414" w:rsidRPr="008C5B1B" w:rsidRDefault="00660414" w:rsidP="007613DE">
            <w:pPr>
              <w:jc w:val="both"/>
              <w:rPr>
                <w:rFonts w:cs="Arial"/>
                <w:sz w:val="22"/>
                <w:szCs w:val="22"/>
              </w:rPr>
            </w:pPr>
          </w:p>
        </w:tc>
        <w:tc>
          <w:tcPr>
            <w:tcW w:w="1134" w:type="dxa"/>
            <w:vMerge/>
            <w:shd w:val="clear" w:color="auto" w:fill="auto"/>
            <w:vAlign w:val="center"/>
          </w:tcPr>
          <w:p w:rsidR="00660414" w:rsidRPr="008C5B1B" w:rsidRDefault="00660414" w:rsidP="007613DE">
            <w:pPr>
              <w:spacing w:before="60" w:after="60"/>
              <w:jc w:val="both"/>
              <w:rPr>
                <w:rFonts w:cs="Arial"/>
                <w:sz w:val="22"/>
                <w:szCs w:val="22"/>
              </w:rPr>
            </w:pPr>
          </w:p>
        </w:tc>
        <w:tc>
          <w:tcPr>
            <w:tcW w:w="1701" w:type="dxa"/>
            <w:vMerge/>
            <w:shd w:val="clear" w:color="auto" w:fill="auto"/>
            <w:vAlign w:val="center"/>
          </w:tcPr>
          <w:p w:rsidR="00660414" w:rsidRPr="008C5B1B" w:rsidRDefault="00660414" w:rsidP="007613DE">
            <w:pPr>
              <w:spacing w:before="60" w:after="60"/>
              <w:jc w:val="both"/>
              <w:rPr>
                <w:rFonts w:cs="Arial"/>
                <w:sz w:val="22"/>
                <w:szCs w:val="22"/>
              </w:rPr>
            </w:pPr>
          </w:p>
        </w:tc>
        <w:tc>
          <w:tcPr>
            <w:tcW w:w="1560" w:type="dxa"/>
            <w:vMerge/>
            <w:shd w:val="clear" w:color="auto" w:fill="auto"/>
            <w:vAlign w:val="center"/>
          </w:tcPr>
          <w:p w:rsidR="00660414" w:rsidRPr="008C5B1B" w:rsidRDefault="00660414" w:rsidP="007613DE">
            <w:pPr>
              <w:spacing w:before="60" w:after="60"/>
              <w:jc w:val="both"/>
              <w:rPr>
                <w:rFonts w:cs="Arial"/>
                <w:sz w:val="22"/>
                <w:szCs w:val="22"/>
              </w:rPr>
            </w:pPr>
          </w:p>
        </w:tc>
        <w:tc>
          <w:tcPr>
            <w:tcW w:w="1118" w:type="dxa"/>
            <w:vMerge/>
            <w:shd w:val="clear" w:color="auto" w:fill="auto"/>
            <w:vAlign w:val="center"/>
          </w:tcPr>
          <w:p w:rsidR="00660414" w:rsidRPr="008C5B1B" w:rsidRDefault="00660414" w:rsidP="007613DE">
            <w:pPr>
              <w:spacing w:before="60" w:after="60"/>
              <w:jc w:val="both"/>
              <w:rPr>
                <w:rFonts w:cs="Arial"/>
                <w:sz w:val="22"/>
                <w:szCs w:val="22"/>
              </w:rPr>
            </w:pP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Numerous terminals have been closed despite proximity to large numbers of potential customers and industries (e.g. Craoiva), or are poorly sited for current and predicted freight flows (e.g. Iasi).</w:t>
            </w: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OR13</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Rehabilitate the intermodal terminal serving Iasi at Socola serving this city that currently does not have its own facility and also to provide transhipment potential with Russian gauge railways.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Intermodal Terminals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Iasi Only</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R38</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spacing w:before="60" w:after="60"/>
              <w:jc w:val="both"/>
              <w:rPr>
                <w:rFonts w:cs="Arial"/>
                <w:sz w:val="22"/>
                <w:szCs w:val="22"/>
              </w:rPr>
            </w:pP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 xml:space="preserve">Safeguard the mothballed Semenic Terminal at Timisoara serving this city that currently does not have its own facility </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Intermodal Terminals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Timisoara Only</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R41</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spacing w:before="60" w:after="60"/>
              <w:jc w:val="both"/>
              <w:rPr>
                <w:rFonts w:cs="Arial"/>
                <w:sz w:val="22"/>
                <w:szCs w:val="22"/>
              </w:rPr>
            </w:pP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Build a new intermodal terminal at Craiova, serving t</w:t>
            </w:r>
            <w:r>
              <w:rPr>
                <w:rFonts w:cs="Arial"/>
                <w:sz w:val="22"/>
                <w:szCs w:val="22"/>
              </w:rPr>
              <w:t xml:space="preserve">his </w:t>
            </w:r>
            <w:r w:rsidRPr="008C5B1B">
              <w:rPr>
                <w:rFonts w:cs="Arial"/>
                <w:sz w:val="22"/>
                <w:szCs w:val="22"/>
              </w:rPr>
              <w:t xml:space="preserve">city </w:t>
            </w:r>
            <w:r>
              <w:rPr>
                <w:rFonts w:cs="Arial"/>
                <w:sz w:val="22"/>
                <w:szCs w:val="22"/>
              </w:rPr>
              <w:t xml:space="preserve">which offers </w:t>
            </w:r>
            <w:r w:rsidRPr="008C5B1B">
              <w:rPr>
                <w:rFonts w:cs="Arial"/>
                <w:sz w:val="22"/>
                <w:szCs w:val="22"/>
              </w:rPr>
              <w:t>an important industrial location currently without open user facilities.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Intermodal Terminals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Craiova Only</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R43</w:t>
            </w:r>
          </w:p>
        </w:tc>
      </w:tr>
      <w:tr w:rsidR="00660414" w:rsidRPr="000A76BD" w:rsidTr="007613DE">
        <w:trPr>
          <w:gridAfter w:val="1"/>
          <w:wAfter w:w="17" w:type="dxa"/>
          <w:trHeight w:val="1267"/>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3118" w:type="dxa"/>
            <w:vMerge/>
            <w:shd w:val="clear" w:color="auto" w:fill="auto"/>
            <w:vAlign w:val="center"/>
          </w:tcPr>
          <w:p w:rsidR="00660414" w:rsidRPr="008C5B1B" w:rsidRDefault="00660414" w:rsidP="007613DE">
            <w:pPr>
              <w:spacing w:before="60" w:after="60"/>
              <w:jc w:val="both"/>
              <w:rPr>
                <w:rFonts w:cs="Arial"/>
                <w:sz w:val="22"/>
                <w:szCs w:val="22"/>
              </w:rPr>
            </w:pP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Rehabilitate existing terminals to provide a comprehensive and strategic network for international and domestic intermodal freight at: Cluj Napoca Est, Turdu, Suceava &amp; Bacau.</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Yes</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Intermodal Terminals</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Network-wide</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R44</w:t>
            </w:r>
          </w:p>
        </w:tc>
      </w:tr>
      <w:tr w:rsidR="00660414" w:rsidRPr="000A76BD" w:rsidTr="007613DE">
        <w:trPr>
          <w:gridAfter w:val="1"/>
          <w:wAfter w:w="17" w:type="dxa"/>
          <w:trHeight w:val="486"/>
        </w:trPr>
        <w:tc>
          <w:tcPr>
            <w:tcW w:w="1526"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Economic efficiency</w:t>
            </w:r>
          </w:p>
        </w:tc>
        <w:tc>
          <w:tcPr>
            <w:tcW w:w="676" w:type="dxa"/>
            <w:gridSpan w:val="2"/>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(8)</w:t>
            </w:r>
          </w:p>
        </w:tc>
        <w:tc>
          <w:tcPr>
            <w:tcW w:w="15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Infrastructure Deficit</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The majority of the Romanian rail network has a low maximum axle weight of 20.5 tonnes</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A 20.5 tonne axle limit is currently in force, but this is less than the EU rail network standard of 22.5t. For a 30 wagon train this equates to an additional 240 tonnes of </w:t>
            </w:r>
            <w:r>
              <w:rPr>
                <w:rFonts w:cs="Arial"/>
                <w:sz w:val="22"/>
                <w:szCs w:val="22"/>
              </w:rPr>
              <w:t xml:space="preserve">commodity </w:t>
            </w:r>
            <w:r w:rsidRPr="008C5B1B">
              <w:rPr>
                <w:rFonts w:cs="Arial"/>
                <w:sz w:val="22"/>
                <w:szCs w:val="22"/>
              </w:rPr>
              <w:t>(a 15% productivity enhancement).</w:t>
            </w:r>
          </w:p>
        </w:tc>
        <w:tc>
          <w:tcPr>
            <w:tcW w:w="2127"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Enhance the asset performance of the railway especially opportunities to achieve operational efficiencies</w:t>
            </w:r>
          </w:p>
          <w:p w:rsidR="00660414" w:rsidRPr="008C5B1B" w:rsidRDefault="00660414" w:rsidP="007613DE">
            <w:pPr>
              <w:spacing w:before="60" w:after="60"/>
              <w:jc w:val="both"/>
              <w:rPr>
                <w:rFonts w:cs="Arial"/>
                <w:sz w:val="22"/>
                <w:szCs w:val="22"/>
              </w:rPr>
            </w:pPr>
          </w:p>
        </w:tc>
        <w:tc>
          <w:tcPr>
            <w:tcW w:w="992" w:type="dxa"/>
            <w:vMerge w:val="restart"/>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OR13</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To encourage international and transit traffic allow 22.5 tonne axle weights on rehabilitated routes. Clearly the whole route needs to be cleared for operators to use this productively. This feature should be integrated into all future route rehabilitation.</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R35</w:t>
            </w:r>
          </w:p>
        </w:tc>
      </w:tr>
      <w:tr w:rsidR="00660414" w:rsidRPr="000A76BD" w:rsidTr="007613DE">
        <w:trPr>
          <w:gridAfter w:val="1"/>
          <w:wAfter w:w="17" w:type="dxa"/>
          <w:trHeight w:val="486"/>
        </w:trPr>
        <w:tc>
          <w:tcPr>
            <w:tcW w:w="1526"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676" w:type="dxa"/>
            <w:gridSpan w:val="2"/>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1592" w:type="dxa"/>
            <w:vMerge/>
            <w:shd w:val="clear" w:color="auto" w:fill="auto"/>
            <w:vAlign w:val="center"/>
          </w:tcPr>
          <w:p w:rsidR="00660414" w:rsidRPr="008C5B1B" w:rsidRDefault="00660414" w:rsidP="007613DE">
            <w:pPr>
              <w:numPr>
                <w:ilvl w:val="0"/>
                <w:numId w:val="23"/>
              </w:numPr>
              <w:spacing w:before="60" w:after="60" w:line="264" w:lineRule="auto"/>
              <w:ind w:left="459" w:hanging="284"/>
              <w:jc w:val="both"/>
              <w:rPr>
                <w:rFonts w:cs="Arial"/>
                <w:sz w:val="22"/>
                <w:szCs w:val="22"/>
              </w:rPr>
            </w:pP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Old network infrastructure not taking advantage of modern benefits and opportunities, such as in energy efficiency</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A substantial amount of the rail infrastructure in Romania is life-expired or does not enable modern technology to operate fully.  There is currently no section of track, for example, where power recovery is possible.</w:t>
            </w:r>
          </w:p>
        </w:tc>
        <w:tc>
          <w:tcPr>
            <w:tcW w:w="2127" w:type="dxa"/>
            <w:vMerge/>
            <w:shd w:val="clear" w:color="auto" w:fill="auto"/>
            <w:vAlign w:val="center"/>
          </w:tcPr>
          <w:p w:rsidR="00660414" w:rsidRPr="008C5B1B" w:rsidRDefault="00660414" w:rsidP="007613DE">
            <w:pPr>
              <w:spacing w:before="60" w:after="60"/>
              <w:jc w:val="both"/>
              <w:rPr>
                <w:rFonts w:cs="Arial"/>
                <w:sz w:val="22"/>
                <w:szCs w:val="22"/>
              </w:rPr>
            </w:pPr>
          </w:p>
        </w:tc>
        <w:tc>
          <w:tcPr>
            <w:tcW w:w="992" w:type="dxa"/>
            <w:vMerge/>
            <w:shd w:val="clear" w:color="auto" w:fill="auto"/>
            <w:vAlign w:val="center"/>
          </w:tcPr>
          <w:p w:rsidR="00660414" w:rsidRPr="008C5B1B" w:rsidRDefault="00660414" w:rsidP="007613DE">
            <w:pPr>
              <w:spacing w:before="60" w:after="60"/>
              <w:jc w:val="both"/>
              <w:rPr>
                <w:rFonts w:cs="Arial"/>
                <w:sz w:val="22"/>
                <w:szCs w:val="22"/>
              </w:rPr>
            </w:pP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Undertake a feasibility study with regard to introducing power systems with the capability to return energy generated from regenerative braking to the power network during all future rehabilitation work. Regenerative braking can save 5% on power use on freight but up to 17% on commuter passenger trains</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R34</w:t>
            </w:r>
          </w:p>
        </w:tc>
      </w:tr>
      <w:tr w:rsidR="00660414" w:rsidRPr="000A76BD" w:rsidTr="007613DE">
        <w:trPr>
          <w:gridAfter w:val="1"/>
          <w:wAfter w:w="17" w:type="dxa"/>
          <w:trHeight w:val="486"/>
        </w:trPr>
        <w:tc>
          <w:tcPr>
            <w:tcW w:w="1526"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Economic efficiency</w:t>
            </w:r>
          </w:p>
        </w:tc>
        <w:tc>
          <w:tcPr>
            <w:tcW w:w="676" w:type="dxa"/>
            <w:gridSpan w:val="2"/>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(9)</w:t>
            </w:r>
          </w:p>
        </w:tc>
        <w:tc>
          <w:tcPr>
            <w:tcW w:w="15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Management and Operations</w:t>
            </w:r>
          </w:p>
        </w:tc>
        <w:tc>
          <w:tcPr>
            <w:tcW w:w="297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CFR Marfă’s delayed privatisation</w:t>
            </w:r>
          </w:p>
        </w:tc>
        <w:tc>
          <w:tcPr>
            <w:tcW w:w="3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 xml:space="preserve">The continued uncertainty and delays regarding CFR Marfă’s privatisation mean that rail freight is locked into a cycle of under-investment and short-term contracts.  </w:t>
            </w:r>
          </w:p>
        </w:tc>
        <w:tc>
          <w:tcPr>
            <w:tcW w:w="2127"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Increase revenue capture and efficiency by ensuring contracts are more commercially focussed</w:t>
            </w:r>
          </w:p>
        </w:tc>
        <w:tc>
          <w:tcPr>
            <w:tcW w:w="992"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OR7</w:t>
            </w:r>
          </w:p>
        </w:tc>
        <w:tc>
          <w:tcPr>
            <w:tcW w:w="3543" w:type="dxa"/>
            <w:shd w:val="clear" w:color="auto" w:fill="auto"/>
            <w:vAlign w:val="center"/>
          </w:tcPr>
          <w:p w:rsidR="00660414" w:rsidRPr="008C5B1B" w:rsidRDefault="00660414" w:rsidP="007613DE">
            <w:pPr>
              <w:jc w:val="both"/>
              <w:rPr>
                <w:rFonts w:cs="Arial"/>
                <w:sz w:val="22"/>
                <w:szCs w:val="22"/>
              </w:rPr>
            </w:pPr>
            <w:r w:rsidRPr="008C5B1B">
              <w:rPr>
                <w:rFonts w:cs="Arial"/>
                <w:sz w:val="22"/>
                <w:szCs w:val="22"/>
              </w:rPr>
              <w:t xml:space="preserve">Remove uncertainty over the future of CFR Marfa and privatise as soon as possible. This would give the whole rail industry the opportunity to compete </w:t>
            </w:r>
            <w:r>
              <w:rPr>
                <w:rFonts w:cs="Arial"/>
                <w:sz w:val="22"/>
                <w:szCs w:val="22"/>
              </w:rPr>
              <w:t xml:space="preserve">more effectively </w:t>
            </w:r>
            <w:r w:rsidRPr="008C5B1B">
              <w:rPr>
                <w:rFonts w:cs="Arial"/>
                <w:sz w:val="22"/>
                <w:szCs w:val="22"/>
              </w:rPr>
              <w:t>in the freight sector</w:t>
            </w:r>
          </w:p>
        </w:tc>
        <w:tc>
          <w:tcPr>
            <w:tcW w:w="1134"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No</w:t>
            </w:r>
          </w:p>
        </w:tc>
        <w:tc>
          <w:tcPr>
            <w:tcW w:w="1701"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560"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N/A</w:t>
            </w:r>
          </w:p>
        </w:tc>
        <w:tc>
          <w:tcPr>
            <w:tcW w:w="1118" w:type="dxa"/>
            <w:shd w:val="clear" w:color="auto" w:fill="auto"/>
            <w:vAlign w:val="center"/>
          </w:tcPr>
          <w:p w:rsidR="00660414" w:rsidRPr="008C5B1B" w:rsidRDefault="00660414" w:rsidP="007613DE">
            <w:pPr>
              <w:spacing w:before="60" w:after="60"/>
              <w:jc w:val="both"/>
              <w:rPr>
                <w:rFonts w:cs="Arial"/>
                <w:sz w:val="22"/>
                <w:szCs w:val="22"/>
              </w:rPr>
            </w:pPr>
            <w:r w:rsidRPr="008C5B1B">
              <w:rPr>
                <w:rFonts w:cs="Arial"/>
                <w:sz w:val="22"/>
                <w:szCs w:val="22"/>
              </w:rPr>
              <w:t>R32</w:t>
            </w:r>
          </w:p>
        </w:tc>
      </w:tr>
    </w:tbl>
    <w:p w:rsidR="00660414" w:rsidRPr="000A76BD" w:rsidRDefault="00660414" w:rsidP="00A4081F">
      <w:pPr>
        <w:pStyle w:val="NumberedParas"/>
        <w:numPr>
          <w:ilvl w:val="0"/>
          <w:numId w:val="0"/>
        </w:numPr>
        <w:ind w:left="964"/>
      </w:pPr>
    </w:p>
    <w:p w:rsidR="00660414" w:rsidRPr="000A76BD" w:rsidRDefault="00660414" w:rsidP="00A4081F">
      <w:pPr>
        <w:pStyle w:val="NumberedParas"/>
        <w:numPr>
          <w:ilvl w:val="0"/>
          <w:numId w:val="0"/>
        </w:numPr>
        <w:ind w:left="964"/>
        <w:sectPr w:rsidR="00660414" w:rsidRPr="000A76BD" w:rsidSect="007613DE">
          <w:pgSz w:w="23814" w:h="16839" w:orient="landscape" w:code="8"/>
          <w:pgMar w:top="907" w:right="1418" w:bottom="709" w:left="1418" w:header="357" w:footer="567" w:gutter="0"/>
          <w:cols w:space="187"/>
          <w:docGrid w:linePitch="360"/>
        </w:sectPr>
      </w:pPr>
    </w:p>
    <w:p w:rsidR="00660414" w:rsidRPr="000A76BD" w:rsidRDefault="00660414" w:rsidP="00045287">
      <w:pPr>
        <w:pStyle w:val="Hdg2"/>
      </w:pPr>
      <w:bookmarkStart w:id="7955" w:name="_Toc398885040"/>
      <w:bookmarkStart w:id="7956" w:name="_Toc403555335"/>
      <w:bookmarkStart w:id="7957" w:name="_Toc413056054"/>
      <w:r w:rsidRPr="008C5B1B">
        <w:t>Proposed Improvements</w:t>
      </w:r>
      <w:bookmarkEnd w:id="7955"/>
      <w:bookmarkEnd w:id="7956"/>
      <w:bookmarkEnd w:id="7957"/>
    </w:p>
    <w:p w:rsidR="00660414" w:rsidRPr="000A76BD" w:rsidRDefault="00660414" w:rsidP="00A4081F">
      <w:pPr>
        <w:pStyle w:val="NumberedParas"/>
      </w:pPr>
      <w:r w:rsidRPr="008C5B1B">
        <w:t xml:space="preserve">Using the information collated from the Problems and Issues report, the interventions to resolve these issues have been grouped into five main themes, as shown in Table 5.8. </w:t>
      </w:r>
    </w:p>
    <w:p w:rsidR="00660414" w:rsidRPr="000A76BD"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8</w:t>
      </w:r>
      <w:r w:rsidRPr="001F5936">
        <w:rPr>
          <w:b/>
          <w:sz w:val="22"/>
          <w:szCs w:val="22"/>
        </w:rPr>
        <w:fldChar w:fldCharType="end"/>
      </w:r>
      <w:r w:rsidRPr="001F5936">
        <w:rPr>
          <w:b/>
          <w:sz w:val="22"/>
          <w:szCs w:val="22"/>
        </w:rPr>
        <w:t xml:space="preserve">: </w:t>
      </w:r>
      <w:r w:rsidRPr="008C5B1B">
        <w:rPr>
          <w:b/>
          <w:sz w:val="22"/>
          <w:szCs w:val="22"/>
        </w:rPr>
        <w:t>Summary of the Potential Improvements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7229"/>
      </w:tblGrid>
      <w:tr w:rsidR="00660414" w:rsidRPr="000A76BD" w:rsidTr="007613DE">
        <w:tc>
          <w:tcPr>
            <w:tcW w:w="3227" w:type="dxa"/>
            <w:shd w:val="clear" w:color="auto" w:fill="B6DDE8"/>
            <w:vAlign w:val="center"/>
          </w:tcPr>
          <w:p w:rsidR="00660414" w:rsidRPr="008C5B1B" w:rsidRDefault="00660414" w:rsidP="007613DE">
            <w:pPr>
              <w:spacing w:before="120"/>
              <w:jc w:val="center"/>
              <w:rPr>
                <w:b/>
                <w:sz w:val="22"/>
                <w:szCs w:val="22"/>
              </w:rPr>
            </w:pPr>
            <w:r w:rsidRPr="008C5B1B">
              <w:rPr>
                <w:b/>
                <w:sz w:val="22"/>
                <w:szCs w:val="22"/>
              </w:rPr>
              <w:t>Theme</w:t>
            </w:r>
          </w:p>
        </w:tc>
        <w:tc>
          <w:tcPr>
            <w:tcW w:w="7229" w:type="dxa"/>
            <w:shd w:val="clear" w:color="auto" w:fill="B6DDE8"/>
            <w:vAlign w:val="center"/>
          </w:tcPr>
          <w:p w:rsidR="00660414" w:rsidRPr="008C5B1B" w:rsidRDefault="00660414" w:rsidP="007613DE">
            <w:pPr>
              <w:spacing w:before="120"/>
              <w:jc w:val="center"/>
              <w:rPr>
                <w:b/>
                <w:sz w:val="22"/>
                <w:szCs w:val="22"/>
              </w:rPr>
            </w:pPr>
            <w:r w:rsidRPr="008C5B1B">
              <w:rPr>
                <w:b/>
                <w:sz w:val="22"/>
                <w:szCs w:val="22"/>
              </w:rPr>
              <w:t>Proposed improvements</w:t>
            </w:r>
          </w:p>
        </w:tc>
      </w:tr>
      <w:tr w:rsidR="00660414" w:rsidRPr="000A76BD" w:rsidTr="007613DE">
        <w:tc>
          <w:tcPr>
            <w:tcW w:w="3227" w:type="dxa"/>
            <w:vAlign w:val="center"/>
          </w:tcPr>
          <w:p w:rsidR="00660414" w:rsidRPr="008C5B1B" w:rsidRDefault="00660414" w:rsidP="007613DE">
            <w:pPr>
              <w:rPr>
                <w:rFonts w:cs="Arial"/>
                <w:kern w:val="24"/>
                <w:sz w:val="22"/>
                <w:szCs w:val="22"/>
                <w:lang w:eastAsia="en-GB"/>
              </w:rPr>
            </w:pPr>
            <w:r w:rsidRPr="008C5B1B">
              <w:rPr>
                <w:rFonts w:cs="Arial"/>
                <w:kern w:val="24"/>
                <w:sz w:val="22"/>
                <w:szCs w:val="22"/>
                <w:lang w:eastAsia="en-GB"/>
              </w:rPr>
              <w:t>Theme 1: General</w:t>
            </w:r>
          </w:p>
        </w:tc>
        <w:tc>
          <w:tcPr>
            <w:tcW w:w="7229" w:type="dxa"/>
          </w:tcPr>
          <w:p w:rsidR="00660414" w:rsidRPr="006770E6" w:rsidRDefault="00660414" w:rsidP="007613DE">
            <w:pPr>
              <w:pStyle w:val="ListParagraph"/>
              <w:numPr>
                <w:ilvl w:val="0"/>
                <w:numId w:val="25"/>
              </w:numPr>
              <w:spacing w:line="276" w:lineRule="auto"/>
              <w:ind w:left="175" w:hanging="175"/>
              <w:contextualSpacing/>
            </w:pPr>
            <w:r w:rsidRPr="008C5B1B">
              <w:rPr>
                <w:sz w:val="22"/>
                <w:szCs w:val="22"/>
              </w:rPr>
              <w:t>Creation of a Rail Reform Agency to oversee delivery of improvements</w:t>
            </w:r>
          </w:p>
        </w:tc>
      </w:tr>
      <w:tr w:rsidR="00660414" w:rsidRPr="000A76BD" w:rsidTr="007613DE">
        <w:tc>
          <w:tcPr>
            <w:tcW w:w="3227" w:type="dxa"/>
            <w:vAlign w:val="center"/>
          </w:tcPr>
          <w:p w:rsidR="00660414" w:rsidRPr="008C5B1B" w:rsidRDefault="00660414" w:rsidP="007613DE">
            <w:pPr>
              <w:rPr>
                <w:rFonts w:cs="Arial"/>
                <w:kern w:val="24"/>
                <w:sz w:val="22"/>
                <w:szCs w:val="22"/>
                <w:lang w:eastAsia="en-GB"/>
              </w:rPr>
            </w:pPr>
            <w:r w:rsidRPr="008C5B1B">
              <w:rPr>
                <w:rFonts w:cs="Arial"/>
                <w:kern w:val="24"/>
                <w:sz w:val="22"/>
                <w:szCs w:val="22"/>
                <w:lang w:eastAsia="en-GB"/>
              </w:rPr>
              <w:t>Theme 2: Infrastructure sustainability</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Increase maintenance and renewals budget</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Steady state maintenance of the core network</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Repairs and renewals programmes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Line rehabilitation to design speed</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Line rehabilitation to enhanced speed</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Define a primary network to be retained which comprises nationally important routes and would serve the highest percentage of traffic given the likely funding available</w:t>
            </w:r>
            <w:r>
              <w:rPr>
                <w:sz w:val="22"/>
                <w:szCs w:val="22"/>
              </w:rPr>
              <w:t xml:space="preserve"> for maintenance and renewals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Identify the secondary routes which could be managed by local authorities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 xml:space="preserve">Undertake overnight maintenance and repairs rather than </w:t>
            </w:r>
            <w:r>
              <w:rPr>
                <w:sz w:val="22"/>
                <w:szCs w:val="22"/>
              </w:rPr>
              <w:t xml:space="preserve">completing these works </w:t>
            </w:r>
            <w:r w:rsidRPr="008C5B1B">
              <w:rPr>
                <w:sz w:val="22"/>
                <w:szCs w:val="22"/>
              </w:rPr>
              <w:t>during normal working hours</w:t>
            </w:r>
          </w:p>
        </w:tc>
      </w:tr>
      <w:tr w:rsidR="00660414" w:rsidRPr="000A76BD" w:rsidTr="007613DE">
        <w:tc>
          <w:tcPr>
            <w:tcW w:w="3227" w:type="dxa"/>
            <w:vAlign w:val="center"/>
          </w:tcPr>
          <w:p w:rsidR="00660414" w:rsidRPr="008C5B1B" w:rsidRDefault="00660414" w:rsidP="007613DE">
            <w:pPr>
              <w:rPr>
                <w:kern w:val="24"/>
                <w:sz w:val="22"/>
                <w:szCs w:val="22"/>
                <w:lang w:eastAsia="en-GB"/>
              </w:rPr>
            </w:pPr>
            <w:r w:rsidRPr="008C5B1B">
              <w:rPr>
                <w:rFonts w:cs="Arial"/>
                <w:kern w:val="24"/>
                <w:sz w:val="22"/>
                <w:szCs w:val="22"/>
                <w:lang w:eastAsia="en-GB"/>
              </w:rPr>
              <w:t>Theme 3: Management and Operations</w:t>
            </w:r>
            <w:r w:rsidRPr="008C5B1B">
              <w:rPr>
                <w:kern w:val="24"/>
                <w:sz w:val="22"/>
                <w:szCs w:val="22"/>
                <w:lang w:eastAsia="en-GB"/>
              </w:rPr>
              <w:t xml:space="preserve"> </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Identify rolling stock strategy including the requirement for new units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 xml:space="preserve">Establish a rolling stock leasing company to manage the deployment of units </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Yield management</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Fare evasion strategy</w:t>
            </w:r>
          </w:p>
        </w:tc>
      </w:tr>
      <w:tr w:rsidR="00660414" w:rsidRPr="000A76BD" w:rsidTr="007613DE">
        <w:tc>
          <w:tcPr>
            <w:tcW w:w="3227" w:type="dxa"/>
            <w:vAlign w:val="center"/>
          </w:tcPr>
          <w:p w:rsidR="00660414" w:rsidRPr="008C5B1B" w:rsidRDefault="00660414" w:rsidP="007613DE">
            <w:pPr>
              <w:rPr>
                <w:kern w:val="24"/>
                <w:sz w:val="22"/>
                <w:szCs w:val="22"/>
                <w:lang w:eastAsia="en-GB"/>
              </w:rPr>
            </w:pPr>
            <w:r w:rsidRPr="008C5B1B">
              <w:rPr>
                <w:rFonts w:cs="Arial"/>
                <w:kern w:val="24"/>
                <w:sz w:val="22"/>
                <w:szCs w:val="22"/>
                <w:lang w:eastAsia="en-GB"/>
              </w:rPr>
              <w:t>Theme 4: System regulation and organisation</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 xml:space="preserve">Introduce </w:t>
            </w:r>
            <w:r>
              <w:rPr>
                <w:sz w:val="22"/>
                <w:szCs w:val="22"/>
              </w:rPr>
              <w:t xml:space="preserve">a </w:t>
            </w:r>
            <w:r w:rsidRPr="008C5B1B">
              <w:rPr>
                <w:sz w:val="22"/>
                <w:szCs w:val="22"/>
              </w:rPr>
              <w:t>new transparent performance regime for compensation between infrastru</w:t>
            </w:r>
            <w:r>
              <w:rPr>
                <w:sz w:val="22"/>
                <w:szCs w:val="22"/>
              </w:rPr>
              <w:t>c</w:t>
            </w:r>
            <w:r w:rsidRPr="008C5B1B">
              <w:rPr>
                <w:sz w:val="22"/>
                <w:szCs w:val="22"/>
              </w:rPr>
              <w:t xml:space="preserve">ture </w:t>
            </w:r>
            <w:r w:rsidRPr="006770E6">
              <w:rPr>
                <w:sz w:val="22"/>
                <w:szCs w:val="22"/>
              </w:rPr>
              <w:t>and service providers</w:t>
            </w:r>
          </w:p>
        </w:tc>
      </w:tr>
      <w:tr w:rsidR="00660414" w:rsidRPr="000A76BD" w:rsidTr="007613DE">
        <w:tc>
          <w:tcPr>
            <w:tcW w:w="3227" w:type="dxa"/>
            <w:vAlign w:val="center"/>
          </w:tcPr>
          <w:p w:rsidR="00660414" w:rsidRPr="008C5B1B" w:rsidRDefault="00660414" w:rsidP="007613DE">
            <w:pPr>
              <w:rPr>
                <w:kern w:val="24"/>
                <w:sz w:val="22"/>
                <w:szCs w:val="22"/>
                <w:lang w:eastAsia="en-GB"/>
              </w:rPr>
            </w:pPr>
            <w:r w:rsidRPr="008C5B1B">
              <w:rPr>
                <w:rFonts w:cs="Arial"/>
                <w:kern w:val="24"/>
                <w:sz w:val="22"/>
                <w:szCs w:val="22"/>
                <w:lang w:eastAsia="en-GB"/>
              </w:rPr>
              <w:t>Theme 5: Management efficiency</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Pr>
                <w:sz w:val="22"/>
                <w:szCs w:val="22"/>
              </w:rPr>
              <w:t>Identify a programme of s</w:t>
            </w:r>
            <w:r w:rsidRPr="008C5B1B">
              <w:rPr>
                <w:sz w:val="22"/>
                <w:szCs w:val="22"/>
              </w:rPr>
              <w:t>tation closures</w:t>
            </w:r>
            <w:r>
              <w:rPr>
                <w:sz w:val="22"/>
                <w:szCs w:val="22"/>
              </w:rPr>
              <w:t xml:space="preserve"> which reflects the low footfall</w:t>
            </w:r>
          </w:p>
          <w:p w:rsidR="00660414"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 xml:space="preserve">Introduce new signalling systems to modernise train control enabling staff numbers to be </w:t>
            </w:r>
            <w:r>
              <w:rPr>
                <w:sz w:val="22"/>
                <w:szCs w:val="22"/>
              </w:rPr>
              <w:t xml:space="preserve">further </w:t>
            </w:r>
            <w:r w:rsidRPr="008C5B1B">
              <w:rPr>
                <w:sz w:val="22"/>
                <w:szCs w:val="22"/>
              </w:rPr>
              <w:t>rationalised</w:t>
            </w:r>
          </w:p>
          <w:p w:rsidR="00660414" w:rsidRDefault="00660414" w:rsidP="007613DE">
            <w:pPr>
              <w:pStyle w:val="ListParagraph"/>
              <w:numPr>
                <w:ilvl w:val="0"/>
                <w:numId w:val="25"/>
              </w:numPr>
              <w:spacing w:line="276" w:lineRule="auto"/>
              <w:ind w:left="175" w:hanging="175"/>
              <w:contextualSpacing/>
            </w:pPr>
            <w:r>
              <w:rPr>
                <w:sz w:val="22"/>
                <w:szCs w:val="22"/>
              </w:rPr>
              <w:t xml:space="preserve">Sell </w:t>
            </w:r>
            <w:r w:rsidRPr="00F842FB">
              <w:rPr>
                <w:sz w:val="22"/>
                <w:szCs w:val="22"/>
              </w:rPr>
              <w:t>redundant railway assets and other facilities to generate revenue</w:t>
            </w:r>
          </w:p>
        </w:tc>
      </w:tr>
      <w:tr w:rsidR="00660414" w:rsidRPr="000A76BD" w:rsidTr="007613DE">
        <w:tc>
          <w:tcPr>
            <w:tcW w:w="3227" w:type="dxa"/>
            <w:vAlign w:val="center"/>
          </w:tcPr>
          <w:p w:rsidR="00660414" w:rsidRPr="008C5B1B" w:rsidRDefault="00660414" w:rsidP="007613DE">
            <w:pPr>
              <w:rPr>
                <w:rFonts w:cs="Arial"/>
                <w:kern w:val="24"/>
                <w:sz w:val="22"/>
                <w:szCs w:val="22"/>
                <w:lang w:eastAsia="en-GB"/>
              </w:rPr>
            </w:pPr>
            <w:r w:rsidRPr="008C5B1B">
              <w:rPr>
                <w:rFonts w:cs="Arial"/>
                <w:kern w:val="24"/>
                <w:sz w:val="22"/>
                <w:szCs w:val="22"/>
                <w:lang w:eastAsia="en-GB"/>
              </w:rPr>
              <w:t>Theme 6: Poor infrastructure and unattractive passenger services</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Enhance frequencies on the core rail corridors</w:t>
            </w:r>
            <w:r>
              <w:rPr>
                <w:sz w:val="22"/>
                <w:szCs w:val="22"/>
              </w:rPr>
              <w:t xml:space="preserve"> to improve the competitiveness of rail</w:t>
            </w:r>
          </w:p>
          <w:p w:rsidR="00660414" w:rsidRPr="008C5B1B" w:rsidRDefault="00660414" w:rsidP="007613DE">
            <w:pPr>
              <w:pStyle w:val="ListParagraph"/>
              <w:numPr>
                <w:ilvl w:val="0"/>
                <w:numId w:val="25"/>
              </w:numPr>
              <w:spacing w:line="276" w:lineRule="auto"/>
              <w:ind w:left="175" w:hanging="175"/>
              <w:contextualSpacing/>
              <w:rPr>
                <w:sz w:val="22"/>
                <w:szCs w:val="22"/>
              </w:rPr>
            </w:pPr>
            <w:r>
              <w:rPr>
                <w:sz w:val="22"/>
                <w:szCs w:val="22"/>
              </w:rPr>
              <w:t xml:space="preserve">Expand the network of </w:t>
            </w:r>
            <w:r w:rsidRPr="008C5B1B">
              <w:rPr>
                <w:sz w:val="22"/>
                <w:szCs w:val="22"/>
              </w:rPr>
              <w:t>electrifi</w:t>
            </w:r>
            <w:r>
              <w:rPr>
                <w:sz w:val="22"/>
                <w:szCs w:val="22"/>
              </w:rPr>
              <w:t>ed lines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New track infrastructure – doubling or new lines</w:t>
            </w:r>
          </w:p>
        </w:tc>
      </w:tr>
      <w:tr w:rsidR="00660414" w:rsidRPr="000A76BD" w:rsidTr="007613DE">
        <w:tc>
          <w:tcPr>
            <w:tcW w:w="3227" w:type="dxa"/>
            <w:vAlign w:val="center"/>
          </w:tcPr>
          <w:p w:rsidR="00660414" w:rsidRPr="008C5B1B" w:rsidRDefault="00660414" w:rsidP="007613DE">
            <w:pPr>
              <w:rPr>
                <w:rFonts w:cs="Arial"/>
                <w:kern w:val="24"/>
                <w:sz w:val="22"/>
                <w:szCs w:val="22"/>
                <w:lang w:eastAsia="en-GB"/>
              </w:rPr>
            </w:pPr>
            <w:r w:rsidRPr="008C5B1B">
              <w:rPr>
                <w:rFonts w:cs="Arial"/>
                <w:kern w:val="24"/>
                <w:sz w:val="22"/>
                <w:szCs w:val="22"/>
                <w:lang w:eastAsia="en-GB"/>
              </w:rPr>
              <w:t xml:space="preserve">Theme 7: Poor infrastructure </w:t>
            </w:r>
            <w:r>
              <w:rPr>
                <w:rFonts w:cs="Arial"/>
                <w:kern w:val="24"/>
                <w:sz w:val="22"/>
                <w:szCs w:val="22"/>
                <w:lang w:eastAsia="en-GB"/>
              </w:rPr>
              <w:t>leading to u</w:t>
            </w:r>
            <w:r w:rsidRPr="008C5B1B">
              <w:rPr>
                <w:rFonts w:cs="Arial"/>
                <w:kern w:val="24"/>
                <w:sz w:val="22"/>
                <w:szCs w:val="22"/>
                <w:lang w:eastAsia="en-GB"/>
              </w:rPr>
              <w:t>nattractive freight</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Introduce a higher permitted top speed to enhance the competitiveness of rail freight versus other modes</w:t>
            </w:r>
          </w:p>
        </w:tc>
      </w:tr>
      <w:tr w:rsidR="00660414" w:rsidRPr="000A76BD" w:rsidTr="007613DE">
        <w:tc>
          <w:tcPr>
            <w:tcW w:w="3227" w:type="dxa"/>
            <w:vAlign w:val="center"/>
          </w:tcPr>
          <w:p w:rsidR="00660414" w:rsidRPr="008C5B1B" w:rsidRDefault="00660414" w:rsidP="007613DE">
            <w:pPr>
              <w:spacing w:before="120"/>
              <w:rPr>
                <w:rFonts w:cs="Arial"/>
                <w:kern w:val="24"/>
                <w:sz w:val="22"/>
                <w:szCs w:val="22"/>
                <w:lang w:eastAsia="en-GB"/>
              </w:rPr>
            </w:pPr>
            <w:r w:rsidRPr="008C5B1B">
              <w:rPr>
                <w:rFonts w:cs="Arial"/>
                <w:kern w:val="24"/>
                <w:sz w:val="22"/>
                <w:szCs w:val="22"/>
                <w:lang w:eastAsia="en-GB"/>
              </w:rPr>
              <w:t>Theme 8: Inadequate freight management and operations</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Apply new technology and systems to the rail freight sector to improve efficiency</w:t>
            </w:r>
          </w:p>
        </w:tc>
      </w:tr>
      <w:tr w:rsidR="00660414" w:rsidRPr="000A76BD" w:rsidTr="007613DE">
        <w:tc>
          <w:tcPr>
            <w:tcW w:w="3227" w:type="dxa"/>
            <w:vAlign w:val="center"/>
          </w:tcPr>
          <w:p w:rsidR="00660414" w:rsidRPr="008C5B1B" w:rsidRDefault="00660414" w:rsidP="007613DE">
            <w:pPr>
              <w:spacing w:before="120"/>
              <w:rPr>
                <w:rFonts w:cs="Arial"/>
                <w:kern w:val="24"/>
                <w:sz w:val="22"/>
                <w:szCs w:val="22"/>
                <w:lang w:eastAsia="en-GB"/>
              </w:rPr>
            </w:pPr>
            <w:r w:rsidRPr="008C5B1B">
              <w:rPr>
                <w:rFonts w:cs="Arial"/>
                <w:kern w:val="24"/>
                <w:sz w:val="22"/>
                <w:szCs w:val="22"/>
                <w:lang w:eastAsia="en-GB"/>
              </w:rPr>
              <w:t>Theme 9: Infrastructure deficit affecting freight services</w:t>
            </w:r>
          </w:p>
        </w:tc>
        <w:tc>
          <w:tcPr>
            <w:tcW w:w="7229" w:type="dxa"/>
          </w:tcPr>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Implement new modern inter-modal freight terminals at strategic locations (described in Chapter 8)</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Increase maximum axle weight to 22.5 tonnes</w:t>
            </w:r>
          </w:p>
          <w:p w:rsidR="00660414" w:rsidRPr="008C5B1B" w:rsidRDefault="00660414" w:rsidP="007613DE">
            <w:pPr>
              <w:pStyle w:val="ListParagraph"/>
              <w:numPr>
                <w:ilvl w:val="0"/>
                <w:numId w:val="25"/>
              </w:numPr>
              <w:spacing w:line="276" w:lineRule="auto"/>
              <w:ind w:left="175" w:hanging="175"/>
              <w:contextualSpacing/>
              <w:rPr>
                <w:sz w:val="22"/>
                <w:szCs w:val="22"/>
              </w:rPr>
            </w:pPr>
            <w:r w:rsidRPr="008C5B1B">
              <w:rPr>
                <w:sz w:val="22"/>
                <w:szCs w:val="22"/>
              </w:rPr>
              <w:t>Procure new freight locomotives with functionality for regenerative braking</w:t>
            </w:r>
          </w:p>
        </w:tc>
      </w:tr>
    </w:tbl>
    <w:p w:rsidR="00660414" w:rsidRPr="000A76BD" w:rsidRDefault="00660414" w:rsidP="00045287">
      <w:pPr>
        <w:pStyle w:val="Hdg2"/>
      </w:pPr>
      <w:bookmarkStart w:id="7958" w:name="_Toc398885041"/>
      <w:bookmarkStart w:id="7959" w:name="_Toc403555336"/>
      <w:bookmarkStart w:id="7960" w:name="_Toc413056055"/>
      <w:r w:rsidRPr="008C5B1B">
        <w:t>Description of the Proposals</w:t>
      </w:r>
      <w:bookmarkEnd w:id="7958"/>
      <w:bookmarkEnd w:id="7959"/>
      <w:bookmarkEnd w:id="7960"/>
    </w:p>
    <w:p w:rsidR="00660414" w:rsidRPr="000A76BD" w:rsidRDefault="00660414" w:rsidP="00660414">
      <w:pPr>
        <w:pStyle w:val="Hdg3"/>
        <w:ind w:left="851"/>
      </w:pPr>
      <w:r w:rsidRPr="008C5B1B">
        <w:t xml:space="preserve">Theme 1: Creation of a new Rail Reform Agency </w:t>
      </w:r>
    </w:p>
    <w:p w:rsidR="00660414" w:rsidRPr="000A76BD" w:rsidRDefault="00660414" w:rsidP="00A4081F">
      <w:pPr>
        <w:pStyle w:val="NumberedParas"/>
        <w:rPr>
          <w:b/>
        </w:rPr>
      </w:pPr>
      <w:r w:rsidRPr="008C5B1B">
        <w:rPr>
          <w:b/>
        </w:rPr>
        <w:t xml:space="preserve">Problem: </w:t>
      </w:r>
      <w:r w:rsidRPr="008C5B1B">
        <w:t xml:space="preserve">Fundamental revisions are needed to the governance regime. Consequently, the payments to operators for the Public Service Contracts (PSC) are mainly linked to the number of trains run, rather than the timing of these trains or the actual patronage attracted. The PSC mechanism to compensate train operators is </w:t>
      </w:r>
      <w:r>
        <w:t xml:space="preserve">also </w:t>
      </w:r>
      <w:r w:rsidRPr="008C5B1B">
        <w:t xml:space="preserve">fairly simplistic, with 80% of compensation paid to CFR Calatori depending on the number of train kilometres operated, with a further 20% based on passenger revenues. As a result, this mechanism </w:t>
      </w:r>
      <w:r>
        <w:t>offers</w:t>
      </w:r>
      <w:r w:rsidRPr="008C5B1B">
        <w:t xml:space="preserve"> little or no financial incentive to maximise efficiency, reduce delays </w:t>
      </w:r>
      <w:r>
        <w:t xml:space="preserve">or </w:t>
      </w:r>
      <w:r w:rsidRPr="008C5B1B">
        <w:t>improve performance;</w:t>
      </w:r>
    </w:p>
    <w:p w:rsidR="00660414" w:rsidRPr="000A76BD" w:rsidRDefault="00660414" w:rsidP="00A4081F">
      <w:pPr>
        <w:pStyle w:val="NumberedParas"/>
        <w:rPr>
          <w:b/>
        </w:rPr>
      </w:pPr>
      <w:r w:rsidRPr="008C5B1B">
        <w:rPr>
          <w:b/>
        </w:rPr>
        <w:t xml:space="preserve">Proposed Solutions: </w:t>
      </w:r>
      <w:r w:rsidRPr="008C5B1B">
        <w:t xml:space="preserve">A fundamental revision to the PSC is therefore required and is dependent on the delivery of other interventions described above. This includes delivery of a more intensive operating timetable with 85-90% of units deployed rather than the current 65%. This will deliver substantial savings in </w:t>
      </w:r>
      <w:r>
        <w:t xml:space="preserve">future </w:t>
      </w:r>
      <w:r w:rsidRPr="008C5B1B">
        <w:t xml:space="preserve">rolling stock requirements for the current timetable and would affect the number of replacement units required. In addition to the rolling stock efficiencies, there is also scope to reduce staff costs by allocating train crew in a more efficient way. Other measures include </w:t>
      </w:r>
      <w:r>
        <w:t xml:space="preserve">the implementation of an </w:t>
      </w:r>
      <w:r w:rsidRPr="008C5B1B">
        <w:t xml:space="preserve">alternative maintenance regime which enables services to operate throughout the morning, rather than </w:t>
      </w:r>
      <w:r>
        <w:t xml:space="preserve">leaving </w:t>
      </w:r>
      <w:r w:rsidRPr="008C5B1B">
        <w:t xml:space="preserve">the current gap of up to </w:t>
      </w:r>
      <w:r>
        <w:t>seven</w:t>
      </w:r>
      <w:r w:rsidRPr="008C5B1B">
        <w:t xml:space="preserve"> hours</w:t>
      </w:r>
      <w:r>
        <w:t xml:space="preserve">. The revised approach </w:t>
      </w:r>
      <w:r w:rsidRPr="008C5B1B">
        <w:t xml:space="preserve"> will help to attract new passengers and boost revenues. Various commercial initiatives including more effective yield management, introduction of more competitive rail services plus strategies to target fare evasion. </w:t>
      </w:r>
    </w:p>
    <w:p w:rsidR="00660414" w:rsidRPr="000A76BD" w:rsidRDefault="00660414" w:rsidP="00A4081F">
      <w:pPr>
        <w:pStyle w:val="NumberedParas"/>
      </w:pPr>
      <w:r w:rsidRPr="008C5B1B">
        <w:t xml:space="preserve">The introduction of a revenue share framework may also be advantageous to provide further incentives for the operator to achieve future growth. These changes will need to be introduced gradually to avoid the operator being affected by financial problems if the </w:t>
      </w:r>
      <w:r>
        <w:t xml:space="preserve">timetable revisions </w:t>
      </w:r>
      <w:r w:rsidRPr="008C5B1B">
        <w:t xml:space="preserve">are not introduced quickly enough or </w:t>
      </w:r>
      <w:r>
        <w:t xml:space="preserve">passengers do not respond in a timely manner. </w:t>
      </w:r>
      <w:r w:rsidRPr="008C5B1B">
        <w:t>Once the system has been introduced, useful background evidence will illustrate the scope for revenue growth and / or cost savings which will enable the future commercial targets to be tailored accordingly.</w:t>
      </w:r>
    </w:p>
    <w:p w:rsidR="00660414" w:rsidRPr="000A76BD" w:rsidRDefault="00660414" w:rsidP="00A4081F">
      <w:pPr>
        <w:pStyle w:val="NumberedParas"/>
      </w:pPr>
      <w:r w:rsidRPr="008C5B1B">
        <w:t xml:space="preserve">To ensure the transition between the current compensation regime and a future framework which includes a greater commercial focus is managed effectively, the feasibility of operating passenger rail services as a concession rather than a franchise for an initial period must be examined. Instead of a new operator taking the revenue risk for services that will initially undergo substantial change, the feasibility of the Romanian Government taking revenue risk in the short term during the transitional period </w:t>
      </w:r>
      <w:r>
        <w:t>is recommended</w:t>
      </w:r>
      <w:r w:rsidRPr="008C5B1B">
        <w:t xml:space="preserve">. This would enable the financial impacts of taking revenue risk during this period to be minimised. As part of the concession, the operator should still be incentivised to deliver wider changes and </w:t>
      </w:r>
      <w:r>
        <w:t xml:space="preserve">contribute to </w:t>
      </w:r>
      <w:r w:rsidRPr="008C5B1B">
        <w:t>achiev</w:t>
      </w:r>
      <w:r>
        <w:t>ing</w:t>
      </w:r>
      <w:r w:rsidRPr="008C5B1B">
        <w:t xml:space="preserve"> revenue growth. Once the transitional period is completed, an alternative contractual regime could </w:t>
      </w:r>
      <w:r>
        <w:t xml:space="preserve">then </w:t>
      </w:r>
      <w:r w:rsidRPr="008C5B1B">
        <w:t xml:space="preserve">be introduced based on a franchise with the operator taking revenue risk. </w:t>
      </w:r>
    </w:p>
    <w:p w:rsidR="00660414" w:rsidRPr="000A76BD" w:rsidRDefault="00660414" w:rsidP="00A4081F">
      <w:pPr>
        <w:pStyle w:val="NumberedParas"/>
        <w:rPr>
          <w:b/>
        </w:rPr>
      </w:pPr>
      <w:r w:rsidRPr="008C5B1B">
        <w:t xml:space="preserve">The proposed Rail Reform Agency would be established to implement many of these changes described above. Its role would vary over time, with a remit to tackle specific tasks in a prioritised order to ensure the wider programme of works is completed in a timely manner. This would help to improve the overall financial position of the operator and the infrastructure provider. </w:t>
      </w:r>
    </w:p>
    <w:p w:rsidR="00660414" w:rsidRPr="008C5B1B" w:rsidRDefault="00660414" w:rsidP="00A4081F">
      <w:pPr>
        <w:pStyle w:val="NumberedParas"/>
        <w:rPr>
          <w:b/>
        </w:rPr>
      </w:pPr>
      <w:r w:rsidRPr="008C5B1B">
        <w:t>The RRA would be responsible for</w:t>
      </w:r>
      <w:r>
        <w:t>:</w:t>
      </w:r>
    </w:p>
    <w:p w:rsidR="00660414" w:rsidRPr="008C5B1B" w:rsidRDefault="00660414" w:rsidP="00273D5E">
      <w:pPr>
        <w:pStyle w:val="BulletLevel1"/>
      </w:pPr>
      <w:r w:rsidRPr="008C5B1B">
        <w:t>recruiting staff and defining roles</w:t>
      </w:r>
      <w:r>
        <w:t>;</w:t>
      </w:r>
    </w:p>
    <w:p w:rsidR="00660414" w:rsidRPr="008C5B1B" w:rsidRDefault="00660414" w:rsidP="00273D5E">
      <w:pPr>
        <w:pStyle w:val="BulletLevel1"/>
      </w:pPr>
      <w:r w:rsidRPr="008C5B1B">
        <w:t>managing the transition between the current system and the implementation of different initiatives</w:t>
      </w:r>
      <w:r>
        <w:t>;</w:t>
      </w:r>
    </w:p>
    <w:p w:rsidR="00660414" w:rsidRPr="008C5B1B" w:rsidRDefault="00660414" w:rsidP="00273D5E">
      <w:pPr>
        <w:pStyle w:val="BulletLevel1"/>
      </w:pPr>
      <w:r w:rsidRPr="008C5B1B">
        <w:t>managing the process to identify the primary network and then implement the programme of network closures</w:t>
      </w:r>
      <w:r>
        <w:t>;</w:t>
      </w:r>
    </w:p>
    <w:p w:rsidR="00660414" w:rsidRPr="008C5B1B" w:rsidRDefault="00660414" w:rsidP="00273D5E">
      <w:pPr>
        <w:pStyle w:val="BulletLevel1"/>
      </w:pPr>
      <w:r w:rsidRPr="008C5B1B">
        <w:t>defining the geographic areas for concessions initially and then the transition towards franchises in the longer term</w:t>
      </w:r>
      <w:r>
        <w:t>;</w:t>
      </w:r>
    </w:p>
    <w:p w:rsidR="00660414" w:rsidRPr="008C5B1B" w:rsidRDefault="00660414" w:rsidP="00273D5E">
      <w:pPr>
        <w:pStyle w:val="BulletLevel1"/>
      </w:pPr>
      <w:r w:rsidRPr="008C5B1B">
        <w:t xml:space="preserve">helping CFR Infrastructure draw up a Plan according to EU 34/2012 and obtain agreement with the Ministry of Transport for finance and preparing market responsive contracts between the operator and infrastructure manager to ensure efficient services. </w:t>
      </w:r>
    </w:p>
    <w:p w:rsidR="00660414" w:rsidRDefault="00660414" w:rsidP="00660414">
      <w:pPr>
        <w:pStyle w:val="Hdg3"/>
        <w:ind w:left="851"/>
      </w:pPr>
      <w:r w:rsidRPr="008C5B1B">
        <w:t>Theme 2: Infrastructure Sustainability</w:t>
      </w:r>
    </w:p>
    <w:p w:rsidR="00660414" w:rsidRPr="000A76BD" w:rsidRDefault="00660414" w:rsidP="00A4081F">
      <w:pPr>
        <w:pStyle w:val="NumberedParas"/>
      </w:pPr>
      <w:r w:rsidRPr="008C5B1B">
        <w:t>Rail infrastructure in Romania has experienced a steady deterioration over the past ten years with an increasing maintenance and renewals backlog. Furthermore, a greater number of assets including track, signals and overhead electrification have become life expired. This has resulted in speed restrictions being enforced, leading to a substantial increase in passenger travel times. Although significant funds have been invested to upgrade the rail network on selected corridors including Bucharest to Constanta and Brasov, these improvements have had limited impact on the journey times</w:t>
      </w:r>
      <w:r>
        <w:t xml:space="preserve"> thus far</w:t>
      </w:r>
      <w:r w:rsidRPr="008C5B1B">
        <w:t xml:space="preserve">. Travel times after rehabilitation on the Bucharest to Constanta line are currently 9 minutes longer than before rehabilitation or about 40% slower than the target time of 2 hours. On other routes, journey times have deteriorated at even faster rate since 2000. Consequently, there is a clear need to identify realistic options to deliver a financially sustainable network that can properly serve the core rail markets to enable this to secure a long-term competitive advantage. </w:t>
      </w:r>
    </w:p>
    <w:p w:rsidR="00660414" w:rsidRPr="000A76BD" w:rsidRDefault="00660414" w:rsidP="00660414">
      <w:pPr>
        <w:pStyle w:val="Hdg3"/>
        <w:ind w:left="851"/>
      </w:pPr>
      <w:bookmarkStart w:id="7961" w:name="_Toc398885042"/>
      <w:r w:rsidRPr="008C5B1B">
        <w:t>Theme 2: Increase Maintenance and Renewals Budget</w:t>
      </w:r>
      <w:bookmarkEnd w:id="7961"/>
    </w:p>
    <w:p w:rsidR="00660414" w:rsidRPr="000A76BD" w:rsidRDefault="00660414" w:rsidP="00A4081F">
      <w:pPr>
        <w:pStyle w:val="NumberedParas"/>
      </w:pPr>
      <w:r w:rsidRPr="008C5B1B">
        <w:t>There are two key issues to highlight</w:t>
      </w:r>
      <w:r>
        <w:t xml:space="preserve">. </w:t>
      </w:r>
      <w:r w:rsidRPr="008C5B1B">
        <w:t xml:space="preserve">Firstly, maintaining the current size of the rail network to the required standard is unaffordable. Secondly, significant parts of the </w:t>
      </w:r>
      <w:r>
        <w:t xml:space="preserve">current </w:t>
      </w:r>
      <w:r w:rsidRPr="008C5B1B">
        <w:t xml:space="preserve">network carry very low volumes of passenger or freight traffic which absorb resources that could potentially be better deployed elsewhere. With low passenger and freight usage per track-km </w:t>
      </w:r>
      <w:r>
        <w:t xml:space="preserve">using selected parts of the network, as well as the limited availability of </w:t>
      </w:r>
      <w:r w:rsidRPr="008C5B1B">
        <w:t>funds, an approach which focuses investment towards key corridors that serve a national public interest and carr</w:t>
      </w:r>
      <w:r>
        <w:t>ies</w:t>
      </w:r>
      <w:r w:rsidRPr="008C5B1B">
        <w:t xml:space="preserve"> most of the traffic is therefore required. This would be achieved by focussing on the definition of a primary network which covered a reduced size in terms of the track kilometres. The existing designation of interoperable and non-interoperable lines would instead be replaced by primary routes that fulfil a national interest. Secondary routes which serve a local function could be retained and managed by a local authority albeit with no state funding. If a secondary line was not transferred from CFR Infrastructure’s ownership, it would be automatically closed. The size of the primary network should be dependent on passenger demand and financial resources available. </w:t>
      </w:r>
    </w:p>
    <w:p w:rsidR="00660414" w:rsidRPr="000A76BD" w:rsidRDefault="00660414" w:rsidP="00660414">
      <w:pPr>
        <w:pStyle w:val="Hdg3"/>
        <w:ind w:left="851"/>
      </w:pPr>
      <w:bookmarkStart w:id="7962" w:name="_Toc398885043"/>
      <w:r w:rsidRPr="008C5B1B">
        <w:t>Theme 2: Repairs and Renewals Programme</w:t>
      </w:r>
      <w:bookmarkEnd w:id="7962"/>
    </w:p>
    <w:p w:rsidR="00660414" w:rsidRPr="000A76BD" w:rsidRDefault="00660414" w:rsidP="00A4081F">
      <w:pPr>
        <w:pStyle w:val="NumberedParas"/>
      </w:pPr>
      <w:r w:rsidRPr="008C5B1B">
        <w:t xml:space="preserve">With a substantial shortfall in expenditure </w:t>
      </w:r>
      <w:r>
        <w:t xml:space="preserve">for renewals and repairs </w:t>
      </w:r>
      <w:r w:rsidRPr="008C5B1B">
        <w:t xml:space="preserve">compared with the required levels, and low traffic densities using an under-utilised network, there are a number of possible measures which would produce a more sustainable situation, and cut the funding </w:t>
      </w:r>
      <w:r>
        <w:t xml:space="preserve">requirement. </w:t>
      </w:r>
      <w:r w:rsidRPr="008C5B1B">
        <w:t xml:space="preserve"> These include:</w:t>
      </w:r>
    </w:p>
    <w:p w:rsidR="00660414" w:rsidRPr="000A76BD" w:rsidRDefault="00660414" w:rsidP="00273D5E">
      <w:pPr>
        <w:pStyle w:val="BulletLevel1"/>
      </w:pPr>
      <w:r w:rsidRPr="008C5B1B">
        <w:t>rationalising the network so the funding requirement for maintenance and renewals is smaller;</w:t>
      </w:r>
    </w:p>
    <w:p w:rsidR="00660414" w:rsidRPr="000A76BD" w:rsidRDefault="00660414" w:rsidP="00273D5E">
      <w:pPr>
        <w:pStyle w:val="BulletLevel1"/>
      </w:pPr>
      <w:r w:rsidRPr="008C5B1B">
        <w:t>introduction of various commercial initiatives to increase revenue; and</w:t>
      </w:r>
    </w:p>
    <w:p w:rsidR="00660414" w:rsidRPr="000A76BD" w:rsidRDefault="00660414" w:rsidP="00273D5E">
      <w:pPr>
        <w:pStyle w:val="BulletLevel1"/>
      </w:pPr>
      <w:r w:rsidRPr="008C5B1B">
        <w:t>Increased funding.</w:t>
      </w:r>
    </w:p>
    <w:p w:rsidR="00660414" w:rsidRPr="000A76BD" w:rsidRDefault="00660414" w:rsidP="00A4081F">
      <w:pPr>
        <w:pStyle w:val="NumberedParas"/>
      </w:pPr>
      <w:r w:rsidRPr="008C5B1B">
        <w:t xml:space="preserve">Other initiatives would include the introduction of more competitive passenger services, greater accountability and an improvement programme to deliver better efficiencies.  An exercise to prioritise those links which generated the highest revenue (both from passenger farebox and freight track access charges) compared with the costs (train operating costs, and maintenance and renewals costs) was completed to generate cost to revenue ratios (CRR). The operable and non-interoperable network was treated in the same manner to ensure a sustainable network was identified regardless of ownership or the alternative funding mechanisms </w:t>
      </w:r>
      <w:r>
        <w:t xml:space="preserve">which are currently </w:t>
      </w:r>
      <w:r w:rsidRPr="008C5B1B">
        <w:t>adopted. The main trends include:</w:t>
      </w:r>
    </w:p>
    <w:p w:rsidR="00660414" w:rsidRPr="000A76BD" w:rsidRDefault="00660414" w:rsidP="00273D5E">
      <w:pPr>
        <w:pStyle w:val="BulletLevel1"/>
      </w:pPr>
      <w:r w:rsidRPr="008C5B1B">
        <w:t>The routes generating the highest CRR include the Bucharest to Timisoara via Craiova and Caransebes, plus the branch line used by coal trains north west of Strehaia. Many of these routes have a CRR above 0.6;</w:t>
      </w:r>
    </w:p>
    <w:p w:rsidR="00660414" w:rsidRPr="000A76BD" w:rsidRDefault="00660414" w:rsidP="00273D5E">
      <w:pPr>
        <w:pStyle w:val="BulletLevel1"/>
      </w:pPr>
      <w:r w:rsidRPr="008C5B1B">
        <w:t xml:space="preserve">Bucharest to Constanta has a range of 0.4 which reflects the mixture of freight and passenger services using this corridor; </w:t>
      </w:r>
    </w:p>
    <w:p w:rsidR="00660414" w:rsidRPr="000A76BD" w:rsidRDefault="00660414" w:rsidP="00273D5E">
      <w:pPr>
        <w:pStyle w:val="BulletLevel1"/>
      </w:pPr>
      <w:r w:rsidRPr="008C5B1B">
        <w:t xml:space="preserve">Whilst Bucharest to Suceava via Ploiesti and Ploiesti to Brasov lines have CRR of about 0.4, there are numerous branch lines with a CRR less than 0.1. The majority of these lines are single track and not electrified. Although this contributes to lower maintenance requirements, the lack of passengers and freight trains is the main factor.  </w:t>
      </w:r>
    </w:p>
    <w:p w:rsidR="00660414" w:rsidRDefault="00660414" w:rsidP="007613DE">
      <w:pPr>
        <w:pStyle w:val="Hdg3"/>
        <w:ind w:left="851"/>
      </w:pPr>
      <w:r w:rsidRPr="008C5B1B">
        <w:t>Theme 2: Defining a Primary and Secondary Network</w:t>
      </w:r>
    </w:p>
    <w:p w:rsidR="00660414" w:rsidRPr="000A76BD" w:rsidRDefault="00660414" w:rsidP="00A4081F">
      <w:pPr>
        <w:pStyle w:val="NumberedParas"/>
      </w:pPr>
      <w:r w:rsidRPr="008C5B1B">
        <w:t xml:space="preserve">Large parts of the rail network in Romania generates relatively little revenue, either through fare-box income or freight track access costs, relative to their operating and maintenance costs. Different funding scenarios were examined to understand the trade-offs between the percentage of passenger and freight traffic that would be retained by the </w:t>
      </w:r>
      <w:r>
        <w:t xml:space="preserve">alternative </w:t>
      </w:r>
      <w:r w:rsidRPr="008C5B1B">
        <w:t xml:space="preserve">proposed networks and the funding implications. This assessment highlighted the retention of about 55% of the 18,973km network would enable about 99% of the traffic to continue. The estimated 18,973 track kilometres includes redundant station sidings and running lines, so the impact on the actual operational network would be smaller. Using unit rates per track kilometre for maintenance and renewals which are comparable to other parts of the EU, the budget required would equate to €287m and €245m for renewals per annum respectively, plus a further €518m each year for a 15 year period to address the </w:t>
      </w:r>
      <w:r>
        <w:t xml:space="preserve">current </w:t>
      </w:r>
      <w:r w:rsidRPr="008C5B1B">
        <w:t>backlog. The costs assumed for line rehabilitation are based on average unit rates</w:t>
      </w:r>
      <w:r>
        <w:t xml:space="preserve"> to represent </w:t>
      </w:r>
      <w:r w:rsidRPr="008C5B1B">
        <w:t>single or double track, electric or diesel traction, but there is no account for the specific geographic characteristics of individual lines</w:t>
      </w:r>
      <w:r>
        <w:t xml:space="preserve"> for example, routes located in challenging topographical areas</w:t>
      </w:r>
      <w:r w:rsidRPr="008C5B1B">
        <w:t xml:space="preserve">.  </w:t>
      </w:r>
    </w:p>
    <w:p w:rsidR="00660414" w:rsidRDefault="00660414" w:rsidP="00A4081F">
      <w:pPr>
        <w:pStyle w:val="NumberedParas"/>
      </w:pPr>
      <w:r w:rsidRPr="008C5B1B">
        <w:t xml:space="preserve">The introduction of some commercial initiatives </w:t>
      </w:r>
      <w:r>
        <w:t xml:space="preserve">including more effective revenue protection strategies </w:t>
      </w:r>
      <w:r w:rsidRPr="008C5B1B">
        <w:t xml:space="preserve">might boost revenues by a further €45m per annum. Figure 5.25 presents the coverage of the network that would be retained and includes a small number of links that would also be retained for strategic connectivity. These add-ons include sections near Timisoara and border crossing north of Suceava towards Ukraine. Some other links may </w:t>
      </w:r>
      <w:r>
        <w:t xml:space="preserve">offer a strategic </w:t>
      </w:r>
      <w:r w:rsidRPr="008C5B1B">
        <w:t xml:space="preserve">importance in terms of carrying coal or oil to a power station or raw materials to a steelworks. It should be acknowledged that the use of average costs and revenues may bias the results against privately-operated lines, so it is recommended that some marginal links </w:t>
      </w:r>
      <w:r>
        <w:t xml:space="preserve">which have initially been identified for closure </w:t>
      </w:r>
      <w:r w:rsidRPr="008C5B1B">
        <w:t>will need to be re-examined before decisions are finalised.</w:t>
      </w:r>
    </w:p>
    <w:p w:rsidR="00660414" w:rsidRPr="008C5B1B" w:rsidRDefault="00660414" w:rsidP="00660414">
      <w:pPr>
        <w:rPr>
          <w:b/>
          <w:noProof/>
          <w:lang w:eastAsia="en-GB"/>
        </w:rPr>
      </w:pPr>
      <w:r w:rsidRPr="008C5B1B">
        <w:rPr>
          <w:b/>
          <w:noProof/>
          <w:sz w:val="22"/>
          <w:szCs w:val="22"/>
          <w:lang w:val="ro-RO" w:eastAsia="ro-RO"/>
        </w:rPr>
        <w:drawing>
          <wp:inline distT="0" distB="0" distL="0" distR="0" wp14:anchorId="6344FD5E" wp14:editId="68B8EB58">
            <wp:extent cx="5632759" cy="3960000"/>
            <wp:effectExtent l="0" t="0" r="6350" b="2540"/>
            <wp:docPr id="5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632759"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26</w:t>
      </w:r>
      <w:r w:rsidRPr="008C7A83">
        <w:rPr>
          <w:b/>
          <w:sz w:val="22"/>
          <w:szCs w:val="22"/>
        </w:rPr>
        <w:fldChar w:fldCharType="end"/>
      </w:r>
      <w:r w:rsidRPr="008C7A83">
        <w:rPr>
          <w:b/>
          <w:sz w:val="22"/>
          <w:szCs w:val="22"/>
        </w:rPr>
        <w:t>: Definition of the Primary Network</w:t>
      </w:r>
    </w:p>
    <w:p w:rsidR="00660414" w:rsidRPr="007B1E1D" w:rsidRDefault="00660414" w:rsidP="007613DE">
      <w:pPr>
        <w:rPr>
          <w:i/>
        </w:rPr>
      </w:pPr>
      <w:r w:rsidRPr="00F842FB">
        <w:rPr>
          <w:i/>
        </w:rPr>
        <w:t xml:space="preserve">Source: AECOM </w:t>
      </w:r>
      <w:r>
        <w:rPr>
          <w:i/>
        </w:rPr>
        <w:t>proposal</w:t>
      </w:r>
    </w:p>
    <w:p w:rsidR="00660414" w:rsidRPr="000A76BD" w:rsidRDefault="00660414" w:rsidP="007613DE">
      <w:pPr>
        <w:pStyle w:val="Hdg3"/>
        <w:ind w:left="851"/>
      </w:pPr>
      <w:bookmarkStart w:id="7963" w:name="_Toc398885044"/>
      <w:r w:rsidRPr="008C5B1B">
        <w:t>Theme 2: Alternative Maintenance Regime</w:t>
      </w:r>
      <w:bookmarkEnd w:id="7963"/>
    </w:p>
    <w:p w:rsidR="00660414" w:rsidRPr="000A76BD" w:rsidRDefault="00660414" w:rsidP="00A4081F">
      <w:pPr>
        <w:pStyle w:val="NumberedParas"/>
      </w:pPr>
      <w:r w:rsidRPr="008C5B1B">
        <w:t xml:space="preserve">In addition to the funding </w:t>
      </w:r>
      <w:r>
        <w:t xml:space="preserve">required </w:t>
      </w:r>
      <w:r w:rsidRPr="008C5B1B">
        <w:t xml:space="preserve">to maintain the network, the timing of these works also needs to be revised. The completion of works in the morning is inconvenient for passengers travelling at that time, since trains either do not operate, or are affected by slower journey times. Instead of completing maintenance works between 08.00 and 13.00 it is proposed these works are rescheduled to be completed overnight. Although this change could affect overnight freight services with </w:t>
      </w:r>
      <w:r>
        <w:t xml:space="preserve">a requirement to identify </w:t>
      </w:r>
      <w:r w:rsidRPr="008C5B1B">
        <w:t xml:space="preserve">necessary mitigation measures, it would facilitate the introduction of a more intensive passenger service in the morning by removing the lengthy timetable gaps which </w:t>
      </w:r>
      <w:r>
        <w:t xml:space="preserve">currently </w:t>
      </w:r>
      <w:r w:rsidRPr="008C5B1B">
        <w:t>reduce</w:t>
      </w:r>
      <w:r>
        <w:t>s</w:t>
      </w:r>
      <w:r w:rsidRPr="008C5B1B">
        <w:t xml:space="preserve"> the attractiveness of rail. Whilst this revised strategy would result in higher labour costs and a requirement for additional plant equipment to facilitate overnight works, CFR Infrastructure could recoup these costs from higher track access charges</w:t>
      </w:r>
      <w:r>
        <w:t xml:space="preserve"> levied to the operator</w:t>
      </w:r>
      <w:r w:rsidRPr="008C5B1B">
        <w:t xml:space="preserve">. </w:t>
      </w:r>
      <w:r>
        <w:t xml:space="preserve">In turn, </w:t>
      </w:r>
      <w:r w:rsidRPr="008C5B1B">
        <w:t xml:space="preserve">CFR Calatori would then be able to attract a higher number of passengers and the increased revenues would help to offset the increased costs. </w:t>
      </w:r>
    </w:p>
    <w:p w:rsidR="00660414" w:rsidRPr="000A76BD" w:rsidRDefault="00660414" w:rsidP="00A4081F">
      <w:pPr>
        <w:pStyle w:val="NumberedParas"/>
      </w:pPr>
      <w:r w:rsidRPr="008C5B1B">
        <w:t>Table 5.9 summarises the potential impacts if the maintenance backlog was removed. This can be measured in terms of the current average speed and the results if the design speed was increased. These results are presented for the main rail corridors. The average increase in speed between the current versus the potential scenario is about 33%, although the speeds between Arad and Timisoara would more than double</w:t>
      </w:r>
      <w:r>
        <w:t xml:space="preserve"> if the line speed was increased</w:t>
      </w:r>
      <w:r w:rsidRPr="008C5B1B">
        <w:t>.</w:t>
      </w:r>
    </w:p>
    <w:p w:rsidR="00660414" w:rsidRPr="000A76BD" w:rsidRDefault="00660414" w:rsidP="00660414">
      <w:pPr>
        <w:pStyle w:val="Caption"/>
        <w:rPr>
          <w:b/>
          <w:sz w:val="22"/>
          <w:szCs w:val="22"/>
        </w:rPr>
      </w:pPr>
      <w:bookmarkStart w:id="7964" w:name="_Toc398885045"/>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9</w:t>
      </w:r>
      <w:r w:rsidRPr="001F5936">
        <w:rPr>
          <w:b/>
          <w:sz w:val="22"/>
          <w:szCs w:val="22"/>
        </w:rPr>
        <w:fldChar w:fldCharType="end"/>
      </w:r>
      <w:r w:rsidRPr="001F5936">
        <w:rPr>
          <w:b/>
          <w:sz w:val="22"/>
          <w:szCs w:val="22"/>
        </w:rPr>
        <w:t xml:space="preserve">: </w:t>
      </w:r>
      <w:r w:rsidRPr="008C5B1B">
        <w:rPr>
          <w:b/>
          <w:sz w:val="22"/>
          <w:szCs w:val="22"/>
        </w:rPr>
        <w:t>Summary of the current and average design speed for selected lines</w:t>
      </w:r>
      <w:bookmarkEnd w:id="7964"/>
    </w:p>
    <w:tbl>
      <w:tblPr>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2795"/>
        <w:gridCol w:w="1085"/>
        <w:gridCol w:w="2493"/>
        <w:gridCol w:w="1598"/>
      </w:tblGrid>
      <w:tr w:rsidR="00660414" w:rsidRPr="000A76BD" w:rsidTr="007613DE">
        <w:trPr>
          <w:cantSplit/>
          <w:tblHeader/>
        </w:trPr>
        <w:tc>
          <w:tcPr>
            <w:tcW w:w="1849"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660414" w:rsidRPr="008C5B1B" w:rsidRDefault="00660414" w:rsidP="007613DE">
            <w:pPr>
              <w:jc w:val="center"/>
              <w:rPr>
                <w:b/>
                <w:sz w:val="22"/>
                <w:szCs w:val="22"/>
              </w:rPr>
            </w:pPr>
            <w:r w:rsidRPr="008C5B1B">
              <w:rPr>
                <w:b/>
                <w:sz w:val="22"/>
                <w:szCs w:val="22"/>
              </w:rPr>
              <w:t>Corridor(s)</w:t>
            </w:r>
          </w:p>
        </w:tc>
        <w:tc>
          <w:tcPr>
            <w:tcW w:w="2795"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660414" w:rsidRPr="008C5B1B" w:rsidRDefault="00660414" w:rsidP="007613DE">
            <w:pPr>
              <w:jc w:val="center"/>
              <w:rPr>
                <w:b/>
                <w:sz w:val="22"/>
                <w:szCs w:val="22"/>
              </w:rPr>
            </w:pPr>
            <w:r w:rsidRPr="008C5B1B">
              <w:rPr>
                <w:b/>
                <w:sz w:val="22"/>
                <w:szCs w:val="22"/>
              </w:rPr>
              <w:t>Movement</w:t>
            </w:r>
          </w:p>
        </w:tc>
        <w:tc>
          <w:tcPr>
            <w:tcW w:w="1085"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660414" w:rsidRPr="008C5B1B" w:rsidRDefault="00660414" w:rsidP="007613DE">
            <w:pPr>
              <w:jc w:val="center"/>
              <w:rPr>
                <w:b/>
                <w:sz w:val="22"/>
                <w:szCs w:val="22"/>
              </w:rPr>
            </w:pPr>
            <w:r w:rsidRPr="008C5B1B">
              <w:rPr>
                <w:b/>
                <w:sz w:val="22"/>
                <w:szCs w:val="22"/>
              </w:rPr>
              <w:t>Average Speed (km/h)</w:t>
            </w:r>
          </w:p>
        </w:tc>
        <w:tc>
          <w:tcPr>
            <w:tcW w:w="2493"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660414" w:rsidRPr="008C5B1B" w:rsidRDefault="00660414" w:rsidP="007613DE">
            <w:pPr>
              <w:jc w:val="center"/>
              <w:rPr>
                <w:b/>
                <w:sz w:val="22"/>
                <w:szCs w:val="22"/>
                <w:vertAlign w:val="superscript"/>
              </w:rPr>
            </w:pPr>
            <w:r w:rsidRPr="008C5B1B">
              <w:rPr>
                <w:b/>
                <w:sz w:val="22"/>
                <w:szCs w:val="22"/>
              </w:rPr>
              <w:t>Average speed with design speed - fast service (km/h)</w:t>
            </w:r>
            <w:r w:rsidRPr="008C5B1B">
              <w:rPr>
                <w:b/>
                <w:sz w:val="22"/>
                <w:szCs w:val="22"/>
                <w:vertAlign w:val="superscript"/>
              </w:rPr>
              <w:t>(1)</w:t>
            </w:r>
          </w:p>
        </w:tc>
        <w:tc>
          <w:tcPr>
            <w:tcW w:w="1598" w:type="dxa"/>
            <w:tcBorders>
              <w:top w:val="single" w:sz="4" w:space="0" w:color="auto"/>
              <w:left w:val="single" w:sz="4" w:space="0" w:color="auto"/>
              <w:bottom w:val="single" w:sz="4" w:space="0" w:color="auto"/>
              <w:right w:val="single" w:sz="4" w:space="0" w:color="auto"/>
            </w:tcBorders>
            <w:shd w:val="clear" w:color="auto" w:fill="C6D9F1"/>
          </w:tcPr>
          <w:p w:rsidR="00660414" w:rsidRPr="008C5B1B" w:rsidRDefault="00660414" w:rsidP="007613DE">
            <w:pPr>
              <w:jc w:val="center"/>
              <w:rPr>
                <w:b/>
                <w:sz w:val="22"/>
                <w:szCs w:val="22"/>
              </w:rPr>
            </w:pPr>
            <w:r w:rsidRPr="008C5B1B">
              <w:rPr>
                <w:b/>
                <w:sz w:val="22"/>
                <w:szCs w:val="22"/>
              </w:rPr>
              <w:t>% improvement</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IV-S/900</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Timisoara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61</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70</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15</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IV-S/900</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Craiova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69</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80</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16</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IV-S</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Craiova - Timisoara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55</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65</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18</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IV-S</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Timisoara - Arad</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45</w:t>
            </w:r>
            <w:r w:rsidRPr="008C5B1B">
              <w:rPr>
                <w:rFonts w:cs="Arial"/>
                <w:b/>
                <w:sz w:val="22"/>
                <w:szCs w:val="22"/>
                <w:vertAlign w:val="superscript"/>
              </w:rPr>
              <w:t>(2)</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92</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104</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IV-N</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Constanta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77</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113</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47</w:t>
            </w:r>
          </w:p>
        </w:tc>
      </w:tr>
      <w:tr w:rsidR="00660414" w:rsidRPr="000A76BD" w:rsidTr="007613DE">
        <w:trPr>
          <w:cantSplit/>
          <w:trHeight w:val="77"/>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IV-N</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Brasov</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60</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87</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45</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IV-N</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Arad</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59</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79</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34</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IV-N / 300</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Cluj-Napoca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57</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73</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28</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IV-N / 300</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Oradea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56</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69</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23</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IX</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Bacau</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63</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83</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32</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IX</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Iasi</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59</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82</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39</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IX / 700</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Galati</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55</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79</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44</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IX</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Ploiesti</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77</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98</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27</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Other TEN-T / IV-N</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Cluj-Napoca - Timisoara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55</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68</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24</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Other TEN-T / IX</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Cluj-Napoca - Iasi</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55</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62</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13</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Other TEN-T</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Cluj-Napoca - Oradea</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49</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56</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14</w:t>
            </w:r>
          </w:p>
        </w:tc>
      </w:tr>
      <w:tr w:rsidR="00660414" w:rsidRPr="000A76BD" w:rsidTr="007613DE">
        <w:trPr>
          <w:cantSplit/>
        </w:trPr>
        <w:tc>
          <w:tcPr>
            <w:tcW w:w="1849"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sz w:val="22"/>
                <w:szCs w:val="22"/>
              </w:rPr>
            </w:pPr>
            <w:r w:rsidRPr="008C5B1B">
              <w:rPr>
                <w:rFonts w:cs="Arial"/>
                <w:sz w:val="22"/>
                <w:szCs w:val="22"/>
              </w:rPr>
              <w:t>Other TEN-T</w:t>
            </w:r>
          </w:p>
        </w:tc>
        <w:tc>
          <w:tcPr>
            <w:tcW w:w="279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rPr>
                <w:rFonts w:cs="Arial"/>
                <w:color w:val="000000"/>
                <w:sz w:val="22"/>
                <w:szCs w:val="22"/>
              </w:rPr>
            </w:pPr>
            <w:r w:rsidRPr="008C5B1B">
              <w:rPr>
                <w:rFonts w:cs="Arial"/>
                <w:color w:val="000000"/>
                <w:sz w:val="22"/>
                <w:szCs w:val="22"/>
              </w:rPr>
              <w:t>Bucharest - Sibiu</w:t>
            </w:r>
          </w:p>
        </w:tc>
        <w:tc>
          <w:tcPr>
            <w:tcW w:w="1085"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54</w:t>
            </w:r>
          </w:p>
        </w:tc>
        <w:tc>
          <w:tcPr>
            <w:tcW w:w="2493" w:type="dxa"/>
            <w:tcBorders>
              <w:top w:val="single" w:sz="4" w:space="0" w:color="auto"/>
              <w:left w:val="single" w:sz="4" w:space="0" w:color="auto"/>
              <w:bottom w:val="single" w:sz="4" w:space="0" w:color="auto"/>
              <w:right w:val="single" w:sz="4" w:space="0" w:color="auto"/>
            </w:tcBorders>
            <w:vAlign w:val="center"/>
            <w:hideMark/>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72</w:t>
            </w:r>
          </w:p>
        </w:tc>
        <w:tc>
          <w:tcPr>
            <w:tcW w:w="1598" w:type="dxa"/>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jc w:val="center"/>
              <w:rPr>
                <w:rFonts w:cs="Arial"/>
                <w:color w:val="000000"/>
                <w:sz w:val="22"/>
                <w:szCs w:val="22"/>
              </w:rPr>
            </w:pPr>
            <w:r w:rsidRPr="008C5B1B">
              <w:rPr>
                <w:rFonts w:cs="Arial"/>
                <w:color w:val="000000"/>
                <w:sz w:val="22"/>
                <w:szCs w:val="22"/>
              </w:rPr>
              <w:t>33</w:t>
            </w:r>
          </w:p>
        </w:tc>
      </w:tr>
      <w:tr w:rsidR="00660414" w:rsidRPr="000A76BD" w:rsidTr="007613DE">
        <w:trPr>
          <w:cantSplit/>
        </w:trPr>
        <w:tc>
          <w:tcPr>
            <w:tcW w:w="9820" w:type="dxa"/>
            <w:gridSpan w:val="5"/>
            <w:tcBorders>
              <w:top w:val="single" w:sz="4" w:space="0" w:color="auto"/>
              <w:left w:val="single" w:sz="4" w:space="0" w:color="auto"/>
              <w:bottom w:val="single" w:sz="4" w:space="0" w:color="auto"/>
              <w:right w:val="single" w:sz="4" w:space="0" w:color="auto"/>
            </w:tcBorders>
            <w:vAlign w:val="center"/>
          </w:tcPr>
          <w:p w:rsidR="00660414" w:rsidRPr="008C5B1B" w:rsidRDefault="00660414" w:rsidP="007613DE">
            <w:pPr>
              <w:spacing w:before="100" w:after="100"/>
              <w:rPr>
                <w:rFonts w:cs="Arial"/>
                <w:color w:val="000000"/>
                <w:sz w:val="22"/>
                <w:szCs w:val="22"/>
              </w:rPr>
            </w:pPr>
            <w:r w:rsidRPr="008C5B1B">
              <w:rPr>
                <w:rFonts w:cs="Arial"/>
                <w:b/>
                <w:sz w:val="22"/>
                <w:szCs w:val="22"/>
                <w:vertAlign w:val="superscript"/>
              </w:rPr>
              <w:t>1</w:t>
            </w:r>
            <w:r w:rsidRPr="008C5B1B">
              <w:rPr>
                <w:rFonts w:cs="Arial"/>
                <w:color w:val="000000"/>
                <w:sz w:val="22"/>
                <w:szCs w:val="22"/>
              </w:rPr>
              <w:t xml:space="preserve">  Interregio and Intercity services</w:t>
            </w:r>
            <w:r w:rsidRPr="008C5B1B">
              <w:rPr>
                <w:rFonts w:cs="Arial"/>
                <w:b/>
                <w:sz w:val="22"/>
                <w:szCs w:val="22"/>
                <w:vertAlign w:val="superscript"/>
              </w:rPr>
              <w:t xml:space="preserve">  2</w:t>
            </w:r>
            <w:r w:rsidRPr="008C5B1B">
              <w:rPr>
                <w:rFonts w:cs="Arial"/>
                <w:color w:val="000000"/>
                <w:sz w:val="22"/>
                <w:szCs w:val="22"/>
              </w:rPr>
              <w:t xml:space="preserve"> Includes Regio Services</w:t>
            </w:r>
          </w:p>
        </w:tc>
      </w:tr>
    </w:tbl>
    <w:p w:rsidR="00660414" w:rsidRPr="000A76BD" w:rsidRDefault="00660414" w:rsidP="00A4081F">
      <w:pPr>
        <w:pStyle w:val="NumberedParas"/>
      </w:pPr>
      <w:r w:rsidRPr="008C5B1B">
        <w:t>To support the increased line speeds, a programme of upgrades to the existing level crossings to full barrier operation as part of the line rehabilitation. This initiative, along with other safety related proposals</w:t>
      </w:r>
      <w:r>
        <w:t>,</w:t>
      </w:r>
      <w:r w:rsidRPr="008C5B1B">
        <w:t xml:space="preserve"> will help to address the relatively poor safety record </w:t>
      </w:r>
      <w:r>
        <w:t xml:space="preserve">in Romania which occurs leading to </w:t>
      </w:r>
      <w:r w:rsidRPr="008C5B1B">
        <w:t xml:space="preserve">a high fatality rate per billion passenger kilometres compared with other European countries. </w:t>
      </w:r>
    </w:p>
    <w:p w:rsidR="00660414" w:rsidRPr="000A76BD" w:rsidRDefault="00660414" w:rsidP="007613DE">
      <w:pPr>
        <w:pStyle w:val="Hdg3"/>
        <w:ind w:left="851"/>
      </w:pPr>
      <w:r w:rsidRPr="008C5B1B">
        <w:t>Theme 3: Passenger Operations</w:t>
      </w:r>
    </w:p>
    <w:p w:rsidR="00660414" w:rsidRPr="007613DE" w:rsidRDefault="00660414" w:rsidP="007613DE">
      <w:pPr>
        <w:pStyle w:val="Hdg3"/>
        <w:ind w:left="851"/>
      </w:pPr>
      <w:r w:rsidRPr="007613DE">
        <w:t xml:space="preserve">Rolling Stock Fleet </w:t>
      </w:r>
    </w:p>
    <w:p w:rsidR="00660414" w:rsidRPr="000A76BD" w:rsidRDefault="00660414" w:rsidP="00A4081F">
      <w:pPr>
        <w:pStyle w:val="NumberedParas"/>
        <w:rPr>
          <w:b/>
        </w:rPr>
      </w:pPr>
      <w:r w:rsidRPr="008C5B1B">
        <w:rPr>
          <w:b/>
        </w:rPr>
        <w:t xml:space="preserve">Problem: </w:t>
      </w:r>
      <w:r w:rsidRPr="008C5B1B">
        <w:t xml:space="preserve">Only 65% of the current fleet is required to operate the </w:t>
      </w:r>
      <w:r>
        <w:t>service pattern</w:t>
      </w:r>
      <w:r w:rsidRPr="008C5B1B">
        <w:t xml:space="preserve"> in Romania. This proportion is low</w:t>
      </w:r>
      <w:r>
        <w:t>er</w:t>
      </w:r>
      <w:r w:rsidRPr="008C5B1B">
        <w:t xml:space="preserve"> than other European countries (typically 85-90%). The high rolling stock age contributes to poor reliability and necessitates a larger allowance for spare units to cover breakdowns. A combination of inefficient rolling stock scheduling and a </w:t>
      </w:r>
      <w:r>
        <w:t xml:space="preserve">requirement for a higher number of fleet </w:t>
      </w:r>
      <w:r w:rsidRPr="008C5B1B">
        <w:t>to reflect the poor reliability of old units have contributed to this outcome;</w:t>
      </w:r>
    </w:p>
    <w:p w:rsidR="00660414" w:rsidRPr="000A76BD" w:rsidRDefault="00660414" w:rsidP="00A4081F">
      <w:pPr>
        <w:pStyle w:val="NumberedParas"/>
        <w:rPr>
          <w:b/>
        </w:rPr>
      </w:pPr>
      <w:r w:rsidRPr="008C5B1B">
        <w:rPr>
          <w:b/>
        </w:rPr>
        <w:t xml:space="preserve">Proposed solution: </w:t>
      </w:r>
      <w:r w:rsidRPr="008C5B1B">
        <w:t xml:space="preserve">A restructured, more intensive timetable that features modern </w:t>
      </w:r>
      <w:r>
        <w:t xml:space="preserve">rolling stock </w:t>
      </w:r>
      <w:r w:rsidRPr="008C5B1B">
        <w:t xml:space="preserve">will </w:t>
      </w:r>
      <w:r>
        <w:t xml:space="preserve">deliver </w:t>
      </w:r>
      <w:r w:rsidRPr="008C5B1B">
        <w:t xml:space="preserve">a significantly improved service </w:t>
      </w:r>
      <w:r>
        <w:t xml:space="preserve">‘offer’ </w:t>
      </w:r>
      <w:r w:rsidRPr="008C5B1B">
        <w:t xml:space="preserve">for passengers and will help to strengthen the case for other investment. During the lifetime of the </w:t>
      </w:r>
      <w:r>
        <w:t>M</w:t>
      </w:r>
      <w:r w:rsidRPr="008C5B1B">
        <w:t>aster</w:t>
      </w:r>
      <w:r>
        <w:t xml:space="preserve"> </w:t>
      </w:r>
      <w:r w:rsidRPr="008C5B1B">
        <w:t xml:space="preserve">plan, all rolling stock will need to be replaced with the exception of the Desiro units. This provides an opportunity to replace some of the inefficient loco-hauled sets with electric or diesel multiple units. Instead of replacing loco-hauled trains on a like-for-like basis, the EMUs or DMUs have lower operating costs and would enable the capacities to be more closely aligned with forecast demand. A more detailed description of the rolling stock strategy is set out below. </w:t>
      </w:r>
    </w:p>
    <w:p w:rsidR="00660414" w:rsidRPr="007613DE" w:rsidRDefault="00660414" w:rsidP="007613DE">
      <w:pPr>
        <w:pStyle w:val="Hdg3"/>
        <w:ind w:left="851"/>
      </w:pPr>
      <w:r w:rsidRPr="007613DE">
        <w:t>Rolling Stock Strategy</w:t>
      </w:r>
    </w:p>
    <w:p w:rsidR="00660414" w:rsidRPr="000A76BD" w:rsidRDefault="00660414" w:rsidP="00A4081F">
      <w:pPr>
        <w:pStyle w:val="NumberedParas"/>
      </w:pPr>
      <w:r w:rsidRPr="008C5B1B">
        <w:t xml:space="preserve">Using the ratio of train kilometres per day, the average speed of trains and the actual number of units deployed by Northern Rail in the UK, the revised number of trains required to operate the current timetable in Romania has been calculated. Even if an allowance is included to reflect less efficient diagramming of services compared with Northern Rail, an estimated 680 units would be required to operate the current service, with about 580 in daily service. </w:t>
      </w:r>
    </w:p>
    <w:p w:rsidR="00660414" w:rsidRPr="000A76BD" w:rsidRDefault="00660414" w:rsidP="00A4081F">
      <w:pPr>
        <w:pStyle w:val="NumberedParas"/>
      </w:pPr>
      <w:r w:rsidRPr="008C5B1B">
        <w:t xml:space="preserve">In addition, the number of units </w:t>
      </w:r>
      <w:r>
        <w:t xml:space="preserve">required </w:t>
      </w:r>
      <w:r w:rsidRPr="008C5B1B">
        <w:t xml:space="preserve">to operate the regular </w:t>
      </w:r>
      <w:r>
        <w:t xml:space="preserve">InterRegio </w:t>
      </w:r>
      <w:r w:rsidRPr="008C5B1B">
        <w:t>interval timetable has been calculated. Table 5.1</w:t>
      </w:r>
      <w:r>
        <w:t>0</w:t>
      </w:r>
      <w:r w:rsidRPr="008C5B1B">
        <w:t xml:space="preserve"> summarises the fleet requirements by service proposal, and indicates the type of rolling stock that could be introduced to best meet the journey patterns of passengers. A total of 104 units (or nearly 550 carriages) would be required to operate this timetable. </w:t>
      </w:r>
    </w:p>
    <w:p w:rsidR="00660414" w:rsidRDefault="00660414" w:rsidP="00660414">
      <w:pPr>
        <w:rPr>
          <w:b/>
          <w:sz w:val="22"/>
          <w:szCs w:val="22"/>
        </w:rPr>
      </w:pPr>
      <w:r>
        <w:rPr>
          <w:b/>
          <w:sz w:val="22"/>
          <w:szCs w:val="22"/>
        </w:rPr>
        <w:br w:type="page"/>
      </w:r>
    </w:p>
    <w:p w:rsidR="00660414" w:rsidRPr="000A76BD"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10</w:t>
      </w:r>
      <w:r w:rsidRPr="001F5936">
        <w:rPr>
          <w:b/>
          <w:sz w:val="22"/>
          <w:szCs w:val="22"/>
        </w:rPr>
        <w:fldChar w:fldCharType="end"/>
      </w:r>
      <w:r w:rsidRPr="001F5936">
        <w:rPr>
          <w:b/>
          <w:sz w:val="22"/>
          <w:szCs w:val="22"/>
        </w:rPr>
        <w:t xml:space="preserve">: </w:t>
      </w:r>
      <w:r>
        <w:rPr>
          <w:b/>
          <w:sz w:val="22"/>
          <w:szCs w:val="22"/>
        </w:rPr>
        <w:t>Requirement for Rolling Stock Requirement</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276"/>
        <w:gridCol w:w="992"/>
        <w:gridCol w:w="2127"/>
        <w:gridCol w:w="1842"/>
      </w:tblGrid>
      <w:tr w:rsidR="00660414" w:rsidRPr="000A76BD" w:rsidTr="007613DE">
        <w:trPr>
          <w:trHeight w:hRule="exact" w:val="505"/>
        </w:trPr>
        <w:tc>
          <w:tcPr>
            <w:tcW w:w="4077" w:type="dxa"/>
            <w:shd w:val="clear" w:color="auto" w:fill="C6D9F1"/>
            <w:vAlign w:val="center"/>
          </w:tcPr>
          <w:p w:rsidR="00660414" w:rsidRPr="000A76BD" w:rsidRDefault="00660414" w:rsidP="007613DE">
            <w:pPr>
              <w:jc w:val="center"/>
              <w:rPr>
                <w:b/>
                <w:sz w:val="22"/>
                <w:szCs w:val="22"/>
              </w:rPr>
            </w:pPr>
            <w:r>
              <w:rPr>
                <w:b/>
                <w:sz w:val="22"/>
                <w:szCs w:val="22"/>
              </w:rPr>
              <w:t>Scheme</w:t>
            </w:r>
          </w:p>
        </w:tc>
        <w:tc>
          <w:tcPr>
            <w:tcW w:w="1276" w:type="dxa"/>
            <w:shd w:val="clear" w:color="auto" w:fill="C6D9F1"/>
            <w:vAlign w:val="center"/>
          </w:tcPr>
          <w:p w:rsidR="00660414" w:rsidRPr="000A76BD" w:rsidRDefault="00660414" w:rsidP="007613DE">
            <w:pPr>
              <w:jc w:val="center"/>
              <w:rPr>
                <w:b/>
                <w:sz w:val="22"/>
                <w:szCs w:val="22"/>
              </w:rPr>
            </w:pPr>
            <w:r>
              <w:rPr>
                <w:b/>
                <w:sz w:val="22"/>
                <w:szCs w:val="22"/>
              </w:rPr>
              <w:t>Scheme</w:t>
            </w:r>
          </w:p>
        </w:tc>
        <w:tc>
          <w:tcPr>
            <w:tcW w:w="992" w:type="dxa"/>
            <w:shd w:val="clear" w:color="auto" w:fill="C6D9F1"/>
            <w:vAlign w:val="center"/>
          </w:tcPr>
          <w:p w:rsidR="00660414" w:rsidRPr="000A76BD" w:rsidRDefault="00660414" w:rsidP="007613DE">
            <w:pPr>
              <w:jc w:val="center"/>
              <w:rPr>
                <w:b/>
                <w:sz w:val="22"/>
                <w:szCs w:val="22"/>
              </w:rPr>
            </w:pPr>
            <w:r>
              <w:rPr>
                <w:b/>
                <w:sz w:val="22"/>
                <w:szCs w:val="22"/>
              </w:rPr>
              <w:t>Rolling stock requirement</w:t>
            </w:r>
          </w:p>
        </w:tc>
        <w:tc>
          <w:tcPr>
            <w:tcW w:w="2127" w:type="dxa"/>
            <w:shd w:val="clear" w:color="auto" w:fill="C6D9F1"/>
            <w:vAlign w:val="center"/>
          </w:tcPr>
          <w:p w:rsidR="00660414" w:rsidRPr="000A76BD" w:rsidRDefault="00660414" w:rsidP="007613DE">
            <w:pPr>
              <w:jc w:val="center"/>
              <w:rPr>
                <w:b/>
                <w:sz w:val="22"/>
                <w:szCs w:val="22"/>
              </w:rPr>
            </w:pPr>
            <w:r>
              <w:rPr>
                <w:b/>
                <w:sz w:val="22"/>
                <w:szCs w:val="22"/>
              </w:rPr>
              <w:t>Traction</w:t>
            </w:r>
          </w:p>
        </w:tc>
        <w:tc>
          <w:tcPr>
            <w:tcW w:w="1842" w:type="dxa"/>
            <w:shd w:val="clear" w:color="auto" w:fill="C6D9F1"/>
            <w:vAlign w:val="center"/>
          </w:tcPr>
          <w:p w:rsidR="00660414" w:rsidRPr="000A76BD" w:rsidDel="00C615C6" w:rsidRDefault="00660414" w:rsidP="007613DE">
            <w:pPr>
              <w:jc w:val="center"/>
              <w:rPr>
                <w:b/>
                <w:sz w:val="22"/>
                <w:szCs w:val="22"/>
              </w:rPr>
            </w:pPr>
            <w:r>
              <w:rPr>
                <w:b/>
                <w:sz w:val="22"/>
                <w:szCs w:val="22"/>
              </w:rPr>
              <w:t>No. of carriages</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Bucharest to Arad / Cluj via Brasov</w:t>
            </w:r>
          </w:p>
        </w:tc>
        <w:tc>
          <w:tcPr>
            <w:tcW w:w="1276" w:type="dxa"/>
            <w:shd w:val="clear" w:color="auto" w:fill="auto"/>
            <w:vAlign w:val="center"/>
          </w:tcPr>
          <w:p w:rsidR="00660414" w:rsidRPr="000A76BD" w:rsidRDefault="00660414" w:rsidP="007613DE">
            <w:pPr>
              <w:jc w:val="center"/>
              <w:rPr>
                <w:sz w:val="22"/>
                <w:szCs w:val="22"/>
              </w:rPr>
            </w:pPr>
            <w:r>
              <w:rPr>
                <w:sz w:val="22"/>
                <w:szCs w:val="22"/>
              </w:rPr>
              <w:t>DS01</w:t>
            </w:r>
          </w:p>
        </w:tc>
        <w:tc>
          <w:tcPr>
            <w:tcW w:w="992" w:type="dxa"/>
            <w:shd w:val="clear" w:color="auto" w:fill="auto"/>
            <w:vAlign w:val="center"/>
          </w:tcPr>
          <w:p w:rsidR="00660414" w:rsidRPr="000A76BD" w:rsidRDefault="00660414" w:rsidP="007613DE">
            <w:pPr>
              <w:jc w:val="center"/>
              <w:rPr>
                <w:sz w:val="22"/>
                <w:szCs w:val="22"/>
              </w:rPr>
            </w:pPr>
            <w:r>
              <w:rPr>
                <w:sz w:val="22"/>
                <w:szCs w:val="22"/>
              </w:rPr>
              <w:t>22</w:t>
            </w:r>
          </w:p>
        </w:tc>
        <w:tc>
          <w:tcPr>
            <w:tcW w:w="2127" w:type="dxa"/>
            <w:shd w:val="clear" w:color="auto" w:fill="auto"/>
            <w:vAlign w:val="center"/>
          </w:tcPr>
          <w:p w:rsidR="00660414" w:rsidRPr="000A76BD" w:rsidRDefault="00660414" w:rsidP="007613DE">
            <w:pPr>
              <w:rPr>
                <w:sz w:val="22"/>
                <w:szCs w:val="22"/>
              </w:rPr>
            </w:pPr>
            <w:r>
              <w:rPr>
                <w:sz w:val="22"/>
                <w:szCs w:val="22"/>
              </w:rPr>
              <w:t>Electric</w:t>
            </w:r>
          </w:p>
        </w:tc>
        <w:tc>
          <w:tcPr>
            <w:tcW w:w="1842" w:type="dxa"/>
            <w:vAlign w:val="center"/>
          </w:tcPr>
          <w:p w:rsidR="00660414" w:rsidRPr="000A76BD" w:rsidDel="00C615C6" w:rsidRDefault="00660414" w:rsidP="007613DE">
            <w:pPr>
              <w:jc w:val="center"/>
              <w:rPr>
                <w:sz w:val="22"/>
                <w:szCs w:val="22"/>
              </w:rPr>
            </w:pPr>
            <w:r>
              <w:rPr>
                <w:sz w:val="22"/>
                <w:szCs w:val="22"/>
              </w:rPr>
              <w:t>5</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Bucharest to Constanta</w:t>
            </w:r>
          </w:p>
        </w:tc>
        <w:tc>
          <w:tcPr>
            <w:tcW w:w="1276" w:type="dxa"/>
            <w:shd w:val="clear" w:color="auto" w:fill="auto"/>
            <w:vAlign w:val="center"/>
          </w:tcPr>
          <w:p w:rsidR="00660414" w:rsidRPr="000A76BD" w:rsidRDefault="00660414" w:rsidP="007613DE">
            <w:pPr>
              <w:jc w:val="center"/>
              <w:rPr>
                <w:sz w:val="22"/>
                <w:szCs w:val="22"/>
              </w:rPr>
            </w:pPr>
            <w:r>
              <w:rPr>
                <w:sz w:val="22"/>
                <w:szCs w:val="22"/>
              </w:rPr>
              <w:t>DS02</w:t>
            </w:r>
          </w:p>
        </w:tc>
        <w:tc>
          <w:tcPr>
            <w:tcW w:w="992" w:type="dxa"/>
            <w:shd w:val="clear" w:color="auto" w:fill="auto"/>
            <w:vAlign w:val="center"/>
          </w:tcPr>
          <w:p w:rsidR="00660414" w:rsidRPr="000A76BD" w:rsidRDefault="00660414" w:rsidP="007613DE">
            <w:pPr>
              <w:jc w:val="center"/>
              <w:rPr>
                <w:sz w:val="22"/>
                <w:szCs w:val="22"/>
              </w:rPr>
            </w:pPr>
            <w:r>
              <w:rPr>
                <w:sz w:val="22"/>
                <w:szCs w:val="22"/>
              </w:rPr>
              <w:t>4</w:t>
            </w:r>
          </w:p>
        </w:tc>
        <w:tc>
          <w:tcPr>
            <w:tcW w:w="2127" w:type="dxa"/>
            <w:shd w:val="clear" w:color="auto" w:fill="auto"/>
            <w:vAlign w:val="center"/>
          </w:tcPr>
          <w:p w:rsidR="00660414" w:rsidRPr="000A76BD" w:rsidRDefault="00660414" w:rsidP="007613DE">
            <w:pPr>
              <w:rPr>
                <w:sz w:val="22"/>
                <w:szCs w:val="22"/>
              </w:rPr>
            </w:pPr>
            <w:r>
              <w:rPr>
                <w:sz w:val="22"/>
                <w:szCs w:val="22"/>
              </w:rPr>
              <w:t>Electric</w:t>
            </w:r>
          </w:p>
        </w:tc>
        <w:tc>
          <w:tcPr>
            <w:tcW w:w="1842" w:type="dxa"/>
            <w:vAlign w:val="center"/>
          </w:tcPr>
          <w:p w:rsidR="00660414" w:rsidRPr="000A76BD" w:rsidDel="00C615C6" w:rsidRDefault="00660414" w:rsidP="007613DE">
            <w:pPr>
              <w:jc w:val="center"/>
              <w:rPr>
                <w:sz w:val="22"/>
                <w:szCs w:val="22"/>
              </w:rPr>
            </w:pPr>
            <w:r>
              <w:rPr>
                <w:sz w:val="22"/>
                <w:szCs w:val="22"/>
              </w:rPr>
              <w:t>4</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Bucharest to Arad via Craiova</w:t>
            </w:r>
          </w:p>
        </w:tc>
        <w:tc>
          <w:tcPr>
            <w:tcW w:w="1276" w:type="dxa"/>
            <w:shd w:val="clear" w:color="auto" w:fill="auto"/>
            <w:vAlign w:val="center"/>
          </w:tcPr>
          <w:p w:rsidR="00660414" w:rsidRPr="000A76BD" w:rsidRDefault="00660414" w:rsidP="007613DE">
            <w:pPr>
              <w:jc w:val="center"/>
              <w:rPr>
                <w:sz w:val="22"/>
                <w:szCs w:val="22"/>
              </w:rPr>
            </w:pPr>
            <w:r>
              <w:rPr>
                <w:sz w:val="22"/>
                <w:szCs w:val="22"/>
              </w:rPr>
              <w:t>DS03</w:t>
            </w:r>
          </w:p>
        </w:tc>
        <w:tc>
          <w:tcPr>
            <w:tcW w:w="992" w:type="dxa"/>
            <w:shd w:val="clear" w:color="auto" w:fill="auto"/>
            <w:vAlign w:val="center"/>
          </w:tcPr>
          <w:p w:rsidR="00660414" w:rsidRPr="000A76BD" w:rsidRDefault="00660414" w:rsidP="007613DE">
            <w:pPr>
              <w:jc w:val="center"/>
              <w:rPr>
                <w:sz w:val="22"/>
                <w:szCs w:val="22"/>
              </w:rPr>
            </w:pPr>
            <w:r>
              <w:rPr>
                <w:sz w:val="22"/>
                <w:szCs w:val="22"/>
              </w:rPr>
              <w:t>8-7-4</w:t>
            </w:r>
          </w:p>
        </w:tc>
        <w:tc>
          <w:tcPr>
            <w:tcW w:w="2127" w:type="dxa"/>
            <w:shd w:val="clear" w:color="auto" w:fill="auto"/>
            <w:vAlign w:val="center"/>
          </w:tcPr>
          <w:p w:rsidR="00660414" w:rsidRPr="000A76BD" w:rsidRDefault="00660414" w:rsidP="007613DE">
            <w:pPr>
              <w:rPr>
                <w:sz w:val="22"/>
                <w:szCs w:val="22"/>
              </w:rPr>
            </w:pPr>
            <w:r>
              <w:rPr>
                <w:sz w:val="22"/>
                <w:szCs w:val="22"/>
              </w:rPr>
              <w:t>Electric</w:t>
            </w:r>
          </w:p>
        </w:tc>
        <w:tc>
          <w:tcPr>
            <w:tcW w:w="1842" w:type="dxa"/>
            <w:vAlign w:val="center"/>
          </w:tcPr>
          <w:p w:rsidR="00660414" w:rsidRPr="000A76BD" w:rsidDel="00C615C6" w:rsidRDefault="00660414" w:rsidP="007613DE">
            <w:pPr>
              <w:jc w:val="center"/>
              <w:rPr>
                <w:sz w:val="22"/>
                <w:szCs w:val="22"/>
              </w:rPr>
            </w:pPr>
            <w:r>
              <w:rPr>
                <w:sz w:val="22"/>
                <w:szCs w:val="22"/>
              </w:rPr>
              <w:t>3-4-9</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Bucharest to Galati / Iasi / Suceava</w:t>
            </w:r>
          </w:p>
        </w:tc>
        <w:tc>
          <w:tcPr>
            <w:tcW w:w="1276" w:type="dxa"/>
            <w:shd w:val="clear" w:color="auto" w:fill="auto"/>
            <w:vAlign w:val="center"/>
          </w:tcPr>
          <w:p w:rsidR="00660414" w:rsidRPr="000A76BD" w:rsidRDefault="00660414" w:rsidP="007613DE">
            <w:pPr>
              <w:jc w:val="center"/>
              <w:rPr>
                <w:sz w:val="22"/>
                <w:szCs w:val="22"/>
              </w:rPr>
            </w:pPr>
            <w:r>
              <w:rPr>
                <w:sz w:val="22"/>
                <w:szCs w:val="22"/>
              </w:rPr>
              <w:t>DS04</w:t>
            </w:r>
          </w:p>
        </w:tc>
        <w:tc>
          <w:tcPr>
            <w:tcW w:w="992" w:type="dxa"/>
            <w:shd w:val="clear" w:color="auto" w:fill="auto"/>
            <w:vAlign w:val="center"/>
          </w:tcPr>
          <w:p w:rsidR="00660414" w:rsidRPr="000A76BD" w:rsidRDefault="00660414" w:rsidP="007613DE">
            <w:pPr>
              <w:jc w:val="center"/>
              <w:rPr>
                <w:sz w:val="22"/>
                <w:szCs w:val="22"/>
              </w:rPr>
            </w:pPr>
            <w:r>
              <w:rPr>
                <w:sz w:val="22"/>
                <w:szCs w:val="22"/>
              </w:rPr>
              <w:t>2-23</w:t>
            </w:r>
          </w:p>
        </w:tc>
        <w:tc>
          <w:tcPr>
            <w:tcW w:w="2127" w:type="dxa"/>
            <w:shd w:val="clear" w:color="auto" w:fill="auto"/>
            <w:vAlign w:val="center"/>
          </w:tcPr>
          <w:p w:rsidR="00660414" w:rsidRPr="000A76BD" w:rsidRDefault="00660414" w:rsidP="007613DE">
            <w:pPr>
              <w:rPr>
                <w:sz w:val="22"/>
                <w:szCs w:val="22"/>
              </w:rPr>
            </w:pPr>
            <w:r>
              <w:rPr>
                <w:sz w:val="22"/>
                <w:szCs w:val="22"/>
              </w:rPr>
              <w:t>Electric</w:t>
            </w:r>
          </w:p>
        </w:tc>
        <w:tc>
          <w:tcPr>
            <w:tcW w:w="1842" w:type="dxa"/>
            <w:vAlign w:val="center"/>
          </w:tcPr>
          <w:p w:rsidR="00660414" w:rsidRPr="000A76BD" w:rsidDel="00C615C6" w:rsidRDefault="00660414" w:rsidP="007613DE">
            <w:pPr>
              <w:jc w:val="center"/>
              <w:rPr>
                <w:sz w:val="22"/>
                <w:szCs w:val="22"/>
              </w:rPr>
            </w:pPr>
            <w:r>
              <w:rPr>
                <w:sz w:val="22"/>
                <w:szCs w:val="22"/>
              </w:rPr>
              <w:t>3-5</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Bucharest to Sibiu via Ramnicu Valcea</w:t>
            </w:r>
          </w:p>
        </w:tc>
        <w:tc>
          <w:tcPr>
            <w:tcW w:w="1276" w:type="dxa"/>
            <w:shd w:val="clear" w:color="auto" w:fill="auto"/>
            <w:vAlign w:val="center"/>
          </w:tcPr>
          <w:p w:rsidR="00660414" w:rsidRPr="000A76BD" w:rsidRDefault="00660414" w:rsidP="007613DE">
            <w:pPr>
              <w:jc w:val="center"/>
              <w:rPr>
                <w:sz w:val="22"/>
                <w:szCs w:val="22"/>
              </w:rPr>
            </w:pPr>
            <w:r>
              <w:rPr>
                <w:sz w:val="22"/>
                <w:szCs w:val="22"/>
              </w:rPr>
              <w:t>DS05</w:t>
            </w:r>
          </w:p>
        </w:tc>
        <w:tc>
          <w:tcPr>
            <w:tcW w:w="992" w:type="dxa"/>
            <w:shd w:val="clear" w:color="auto" w:fill="auto"/>
            <w:vAlign w:val="center"/>
          </w:tcPr>
          <w:p w:rsidR="00660414" w:rsidRPr="000A76BD" w:rsidRDefault="00660414" w:rsidP="007613DE">
            <w:pPr>
              <w:jc w:val="center"/>
              <w:rPr>
                <w:sz w:val="22"/>
                <w:szCs w:val="22"/>
              </w:rPr>
            </w:pPr>
            <w:r>
              <w:rPr>
                <w:sz w:val="22"/>
                <w:szCs w:val="22"/>
              </w:rPr>
              <w:t>7</w:t>
            </w:r>
          </w:p>
        </w:tc>
        <w:tc>
          <w:tcPr>
            <w:tcW w:w="2127" w:type="dxa"/>
            <w:shd w:val="clear" w:color="auto" w:fill="auto"/>
            <w:vAlign w:val="center"/>
          </w:tcPr>
          <w:p w:rsidR="00660414" w:rsidRPr="000A76BD" w:rsidRDefault="00660414" w:rsidP="007613DE">
            <w:pPr>
              <w:rPr>
                <w:sz w:val="22"/>
                <w:szCs w:val="22"/>
              </w:rPr>
            </w:pPr>
            <w:r>
              <w:rPr>
                <w:sz w:val="22"/>
                <w:szCs w:val="22"/>
              </w:rPr>
              <w:t>Electric or diesel</w:t>
            </w:r>
          </w:p>
        </w:tc>
        <w:tc>
          <w:tcPr>
            <w:tcW w:w="1842" w:type="dxa"/>
            <w:vAlign w:val="center"/>
          </w:tcPr>
          <w:p w:rsidR="00660414" w:rsidRPr="000A76BD" w:rsidDel="00C615C6" w:rsidRDefault="00660414" w:rsidP="007613DE">
            <w:pPr>
              <w:jc w:val="center"/>
              <w:rPr>
                <w:sz w:val="22"/>
                <w:szCs w:val="22"/>
              </w:rPr>
            </w:pPr>
            <w:r>
              <w:rPr>
                <w:sz w:val="22"/>
                <w:szCs w:val="22"/>
              </w:rPr>
              <w:t>4</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Cluj Napoca to Iasi</w:t>
            </w:r>
          </w:p>
        </w:tc>
        <w:tc>
          <w:tcPr>
            <w:tcW w:w="1276" w:type="dxa"/>
            <w:shd w:val="clear" w:color="auto" w:fill="auto"/>
            <w:vAlign w:val="center"/>
          </w:tcPr>
          <w:p w:rsidR="00660414" w:rsidRPr="000A76BD" w:rsidRDefault="00660414" w:rsidP="007613DE">
            <w:pPr>
              <w:jc w:val="center"/>
              <w:rPr>
                <w:sz w:val="22"/>
                <w:szCs w:val="22"/>
              </w:rPr>
            </w:pPr>
            <w:r>
              <w:rPr>
                <w:sz w:val="22"/>
                <w:szCs w:val="22"/>
              </w:rPr>
              <w:t>DS06</w:t>
            </w:r>
          </w:p>
        </w:tc>
        <w:tc>
          <w:tcPr>
            <w:tcW w:w="992" w:type="dxa"/>
            <w:shd w:val="clear" w:color="auto" w:fill="auto"/>
            <w:vAlign w:val="center"/>
          </w:tcPr>
          <w:p w:rsidR="00660414" w:rsidRPr="000A76BD" w:rsidRDefault="00660414" w:rsidP="007613DE">
            <w:pPr>
              <w:jc w:val="center"/>
              <w:rPr>
                <w:sz w:val="22"/>
                <w:szCs w:val="22"/>
              </w:rPr>
            </w:pPr>
            <w:r>
              <w:rPr>
                <w:sz w:val="22"/>
                <w:szCs w:val="22"/>
              </w:rPr>
              <w:t>7</w:t>
            </w:r>
          </w:p>
        </w:tc>
        <w:tc>
          <w:tcPr>
            <w:tcW w:w="2127" w:type="dxa"/>
            <w:shd w:val="clear" w:color="auto" w:fill="auto"/>
            <w:vAlign w:val="center"/>
          </w:tcPr>
          <w:p w:rsidR="00660414" w:rsidRPr="000A76BD" w:rsidRDefault="00660414" w:rsidP="007613DE">
            <w:pPr>
              <w:rPr>
                <w:sz w:val="22"/>
                <w:szCs w:val="22"/>
              </w:rPr>
            </w:pPr>
            <w:r>
              <w:rPr>
                <w:sz w:val="22"/>
                <w:szCs w:val="22"/>
              </w:rPr>
              <w:t>Electric</w:t>
            </w:r>
          </w:p>
        </w:tc>
        <w:tc>
          <w:tcPr>
            <w:tcW w:w="1842" w:type="dxa"/>
            <w:vAlign w:val="center"/>
          </w:tcPr>
          <w:p w:rsidR="00660414" w:rsidRPr="000A76BD" w:rsidDel="00C615C6" w:rsidRDefault="00660414" w:rsidP="007613DE">
            <w:pPr>
              <w:jc w:val="center"/>
              <w:rPr>
                <w:sz w:val="22"/>
                <w:szCs w:val="22"/>
              </w:rPr>
            </w:pPr>
            <w:r>
              <w:rPr>
                <w:sz w:val="22"/>
                <w:szCs w:val="22"/>
              </w:rPr>
              <w:t>4</w:t>
            </w:r>
          </w:p>
        </w:tc>
      </w:tr>
      <w:tr w:rsidR="00660414" w:rsidRPr="000A76BD" w:rsidTr="007613DE">
        <w:trPr>
          <w:trHeight w:val="506"/>
        </w:trPr>
        <w:tc>
          <w:tcPr>
            <w:tcW w:w="4077" w:type="dxa"/>
            <w:shd w:val="clear" w:color="auto" w:fill="auto"/>
            <w:vAlign w:val="center"/>
          </w:tcPr>
          <w:p w:rsidR="00660414" w:rsidRPr="000A76BD" w:rsidRDefault="00660414" w:rsidP="007613DE">
            <w:pPr>
              <w:rPr>
                <w:sz w:val="22"/>
                <w:szCs w:val="22"/>
                <w:highlight w:val="yellow"/>
              </w:rPr>
            </w:pPr>
            <w:r>
              <w:rPr>
                <w:rFonts w:cs="Arial"/>
                <w:sz w:val="22"/>
                <w:szCs w:val="22"/>
              </w:rPr>
              <w:t>Cluj to Oradea</w:t>
            </w:r>
          </w:p>
        </w:tc>
        <w:tc>
          <w:tcPr>
            <w:tcW w:w="1276" w:type="dxa"/>
            <w:shd w:val="clear" w:color="auto" w:fill="auto"/>
            <w:vAlign w:val="center"/>
          </w:tcPr>
          <w:p w:rsidR="00660414" w:rsidRPr="000A76BD" w:rsidRDefault="00660414" w:rsidP="007613DE">
            <w:pPr>
              <w:jc w:val="center"/>
              <w:rPr>
                <w:sz w:val="22"/>
                <w:szCs w:val="22"/>
              </w:rPr>
            </w:pPr>
            <w:r>
              <w:rPr>
                <w:sz w:val="22"/>
                <w:szCs w:val="22"/>
              </w:rPr>
              <w:t>DS07</w:t>
            </w:r>
          </w:p>
        </w:tc>
        <w:tc>
          <w:tcPr>
            <w:tcW w:w="992" w:type="dxa"/>
            <w:shd w:val="clear" w:color="auto" w:fill="auto"/>
            <w:vAlign w:val="center"/>
          </w:tcPr>
          <w:p w:rsidR="00660414" w:rsidRPr="000A76BD" w:rsidRDefault="00660414" w:rsidP="007613DE">
            <w:pPr>
              <w:jc w:val="center"/>
              <w:rPr>
                <w:sz w:val="22"/>
                <w:szCs w:val="22"/>
              </w:rPr>
            </w:pPr>
            <w:r>
              <w:rPr>
                <w:sz w:val="22"/>
                <w:szCs w:val="22"/>
              </w:rPr>
              <w:t>4</w:t>
            </w:r>
          </w:p>
        </w:tc>
        <w:tc>
          <w:tcPr>
            <w:tcW w:w="2127" w:type="dxa"/>
            <w:shd w:val="clear" w:color="auto" w:fill="auto"/>
            <w:vAlign w:val="center"/>
          </w:tcPr>
          <w:p w:rsidR="00660414" w:rsidRPr="000A76BD" w:rsidRDefault="00660414" w:rsidP="007613DE">
            <w:pPr>
              <w:rPr>
                <w:sz w:val="22"/>
                <w:szCs w:val="22"/>
              </w:rPr>
            </w:pPr>
            <w:r>
              <w:rPr>
                <w:sz w:val="22"/>
                <w:szCs w:val="22"/>
              </w:rPr>
              <w:t>Electric or diesel</w:t>
            </w:r>
          </w:p>
        </w:tc>
        <w:tc>
          <w:tcPr>
            <w:tcW w:w="1842" w:type="dxa"/>
            <w:vAlign w:val="center"/>
          </w:tcPr>
          <w:p w:rsidR="00660414" w:rsidRPr="000A76BD" w:rsidDel="00C615C6" w:rsidRDefault="00660414" w:rsidP="007613DE">
            <w:pPr>
              <w:jc w:val="center"/>
              <w:rPr>
                <w:sz w:val="22"/>
                <w:szCs w:val="22"/>
              </w:rPr>
            </w:pPr>
            <w:r>
              <w:rPr>
                <w:sz w:val="22"/>
                <w:szCs w:val="22"/>
              </w:rPr>
              <w:t>2/3</w:t>
            </w:r>
          </w:p>
        </w:tc>
      </w:tr>
      <w:tr w:rsidR="00660414" w:rsidRPr="000A76BD" w:rsidTr="007613DE">
        <w:trPr>
          <w:trHeight w:val="506"/>
        </w:trPr>
        <w:tc>
          <w:tcPr>
            <w:tcW w:w="4077" w:type="dxa"/>
            <w:shd w:val="clear" w:color="auto" w:fill="auto"/>
            <w:vAlign w:val="center"/>
          </w:tcPr>
          <w:p w:rsidR="00660414" w:rsidRPr="000A76BD" w:rsidRDefault="00660414" w:rsidP="007613DE">
            <w:pPr>
              <w:rPr>
                <w:rFonts w:cs="Arial"/>
                <w:sz w:val="22"/>
                <w:szCs w:val="22"/>
              </w:rPr>
            </w:pPr>
            <w:r>
              <w:rPr>
                <w:rFonts w:cs="Arial"/>
                <w:sz w:val="22"/>
                <w:szCs w:val="22"/>
              </w:rPr>
              <w:t>Timisoara to Oradea</w:t>
            </w:r>
          </w:p>
        </w:tc>
        <w:tc>
          <w:tcPr>
            <w:tcW w:w="1276" w:type="dxa"/>
            <w:shd w:val="clear" w:color="auto" w:fill="auto"/>
            <w:vAlign w:val="center"/>
          </w:tcPr>
          <w:p w:rsidR="00660414" w:rsidRPr="000A76BD" w:rsidRDefault="00660414" w:rsidP="007613DE">
            <w:pPr>
              <w:jc w:val="center"/>
              <w:rPr>
                <w:sz w:val="22"/>
                <w:szCs w:val="22"/>
              </w:rPr>
            </w:pPr>
            <w:r>
              <w:rPr>
                <w:sz w:val="22"/>
                <w:szCs w:val="22"/>
              </w:rPr>
              <w:t>DS08</w:t>
            </w:r>
          </w:p>
        </w:tc>
        <w:tc>
          <w:tcPr>
            <w:tcW w:w="992" w:type="dxa"/>
            <w:shd w:val="clear" w:color="auto" w:fill="auto"/>
            <w:vAlign w:val="center"/>
          </w:tcPr>
          <w:p w:rsidR="00660414" w:rsidRPr="000A76BD" w:rsidRDefault="00660414" w:rsidP="007613DE">
            <w:pPr>
              <w:jc w:val="center"/>
              <w:rPr>
                <w:sz w:val="22"/>
                <w:szCs w:val="22"/>
              </w:rPr>
            </w:pPr>
            <w:r>
              <w:rPr>
                <w:sz w:val="22"/>
                <w:szCs w:val="22"/>
              </w:rPr>
              <w:t>5</w:t>
            </w:r>
          </w:p>
        </w:tc>
        <w:tc>
          <w:tcPr>
            <w:tcW w:w="2127" w:type="dxa"/>
            <w:shd w:val="clear" w:color="auto" w:fill="auto"/>
            <w:vAlign w:val="center"/>
          </w:tcPr>
          <w:p w:rsidR="00660414" w:rsidRPr="000A76BD" w:rsidRDefault="00660414" w:rsidP="007613DE">
            <w:pPr>
              <w:rPr>
                <w:sz w:val="22"/>
                <w:szCs w:val="22"/>
              </w:rPr>
            </w:pPr>
            <w:r>
              <w:rPr>
                <w:sz w:val="22"/>
                <w:szCs w:val="22"/>
              </w:rPr>
              <w:t>Electric or diesel</w:t>
            </w:r>
          </w:p>
        </w:tc>
        <w:tc>
          <w:tcPr>
            <w:tcW w:w="1842" w:type="dxa"/>
            <w:vAlign w:val="center"/>
          </w:tcPr>
          <w:p w:rsidR="00660414" w:rsidRPr="000A76BD" w:rsidDel="00C615C6" w:rsidRDefault="00660414" w:rsidP="007613DE">
            <w:pPr>
              <w:jc w:val="center"/>
              <w:rPr>
                <w:sz w:val="22"/>
                <w:szCs w:val="22"/>
              </w:rPr>
            </w:pPr>
            <w:r>
              <w:rPr>
                <w:sz w:val="22"/>
                <w:szCs w:val="22"/>
              </w:rPr>
              <w:t>4</w:t>
            </w:r>
          </w:p>
        </w:tc>
      </w:tr>
      <w:tr w:rsidR="00660414" w:rsidRPr="000A76BD" w:rsidTr="007613DE">
        <w:trPr>
          <w:trHeight w:val="506"/>
        </w:trPr>
        <w:tc>
          <w:tcPr>
            <w:tcW w:w="4077" w:type="dxa"/>
            <w:shd w:val="clear" w:color="auto" w:fill="auto"/>
            <w:vAlign w:val="center"/>
          </w:tcPr>
          <w:p w:rsidR="00660414" w:rsidRPr="000A76BD" w:rsidRDefault="00660414" w:rsidP="007613DE">
            <w:pPr>
              <w:rPr>
                <w:rFonts w:cs="Arial"/>
                <w:sz w:val="22"/>
                <w:szCs w:val="22"/>
                <w:lang w:val="es-ES_tradnl"/>
              </w:rPr>
            </w:pPr>
            <w:r>
              <w:rPr>
                <w:rFonts w:cs="Arial"/>
                <w:sz w:val="22"/>
                <w:szCs w:val="22"/>
                <w:lang w:val="es-ES_tradnl"/>
              </w:rPr>
              <w:t>Oradea to Cluj via Baia Mare</w:t>
            </w:r>
          </w:p>
        </w:tc>
        <w:tc>
          <w:tcPr>
            <w:tcW w:w="1276" w:type="dxa"/>
            <w:shd w:val="clear" w:color="auto" w:fill="auto"/>
            <w:vAlign w:val="center"/>
          </w:tcPr>
          <w:p w:rsidR="00660414" w:rsidRPr="000A76BD" w:rsidRDefault="00660414" w:rsidP="007613DE">
            <w:pPr>
              <w:jc w:val="center"/>
              <w:rPr>
                <w:sz w:val="22"/>
                <w:szCs w:val="22"/>
              </w:rPr>
            </w:pPr>
            <w:r>
              <w:rPr>
                <w:sz w:val="22"/>
                <w:szCs w:val="22"/>
              </w:rPr>
              <w:t>DS09</w:t>
            </w:r>
          </w:p>
        </w:tc>
        <w:tc>
          <w:tcPr>
            <w:tcW w:w="992" w:type="dxa"/>
            <w:shd w:val="clear" w:color="auto" w:fill="auto"/>
            <w:vAlign w:val="center"/>
          </w:tcPr>
          <w:p w:rsidR="00660414" w:rsidRPr="000A76BD" w:rsidRDefault="00660414" w:rsidP="007613DE">
            <w:pPr>
              <w:jc w:val="center"/>
              <w:rPr>
                <w:sz w:val="22"/>
                <w:szCs w:val="22"/>
              </w:rPr>
            </w:pPr>
            <w:r>
              <w:rPr>
                <w:sz w:val="22"/>
                <w:szCs w:val="22"/>
              </w:rPr>
              <w:t>6</w:t>
            </w:r>
          </w:p>
        </w:tc>
        <w:tc>
          <w:tcPr>
            <w:tcW w:w="2127" w:type="dxa"/>
            <w:shd w:val="clear" w:color="auto" w:fill="auto"/>
            <w:vAlign w:val="center"/>
          </w:tcPr>
          <w:p w:rsidR="00660414" w:rsidRPr="000A76BD" w:rsidRDefault="00660414" w:rsidP="007613DE">
            <w:pPr>
              <w:rPr>
                <w:sz w:val="22"/>
                <w:szCs w:val="22"/>
              </w:rPr>
            </w:pPr>
            <w:r>
              <w:rPr>
                <w:sz w:val="22"/>
                <w:szCs w:val="22"/>
              </w:rPr>
              <w:t>Diesel</w:t>
            </w:r>
          </w:p>
        </w:tc>
        <w:tc>
          <w:tcPr>
            <w:tcW w:w="1842" w:type="dxa"/>
            <w:vAlign w:val="center"/>
          </w:tcPr>
          <w:p w:rsidR="00660414" w:rsidRPr="000A76BD" w:rsidDel="00C615C6" w:rsidRDefault="00660414" w:rsidP="007613DE">
            <w:pPr>
              <w:jc w:val="center"/>
              <w:rPr>
                <w:sz w:val="22"/>
                <w:szCs w:val="22"/>
              </w:rPr>
            </w:pPr>
            <w:r>
              <w:rPr>
                <w:sz w:val="22"/>
                <w:szCs w:val="22"/>
              </w:rPr>
              <w:t>3</w:t>
            </w:r>
          </w:p>
        </w:tc>
      </w:tr>
      <w:tr w:rsidR="00660414" w:rsidRPr="000A76BD" w:rsidTr="007613DE">
        <w:trPr>
          <w:trHeight w:val="506"/>
        </w:trPr>
        <w:tc>
          <w:tcPr>
            <w:tcW w:w="4077" w:type="dxa"/>
            <w:shd w:val="clear" w:color="auto" w:fill="auto"/>
            <w:vAlign w:val="center"/>
          </w:tcPr>
          <w:p w:rsidR="00660414" w:rsidRPr="000A76BD" w:rsidRDefault="00660414" w:rsidP="007613DE">
            <w:pPr>
              <w:rPr>
                <w:rFonts w:cs="Arial"/>
                <w:sz w:val="22"/>
                <w:szCs w:val="22"/>
              </w:rPr>
            </w:pPr>
            <w:r>
              <w:rPr>
                <w:rFonts w:cs="Arial"/>
                <w:sz w:val="22"/>
                <w:szCs w:val="22"/>
                <w:lang w:val="es-ES_tradnl"/>
              </w:rPr>
              <w:t>Bucharest to Giurgiu</w:t>
            </w:r>
          </w:p>
        </w:tc>
        <w:tc>
          <w:tcPr>
            <w:tcW w:w="1276" w:type="dxa"/>
            <w:shd w:val="clear" w:color="auto" w:fill="auto"/>
            <w:vAlign w:val="center"/>
          </w:tcPr>
          <w:p w:rsidR="00660414" w:rsidRPr="000A76BD" w:rsidRDefault="00660414" w:rsidP="007613DE">
            <w:pPr>
              <w:jc w:val="center"/>
              <w:rPr>
                <w:sz w:val="22"/>
                <w:szCs w:val="22"/>
              </w:rPr>
            </w:pPr>
            <w:r>
              <w:rPr>
                <w:sz w:val="22"/>
                <w:szCs w:val="22"/>
              </w:rPr>
              <w:t>DS10</w:t>
            </w:r>
          </w:p>
        </w:tc>
        <w:tc>
          <w:tcPr>
            <w:tcW w:w="992" w:type="dxa"/>
            <w:shd w:val="clear" w:color="auto" w:fill="auto"/>
            <w:vAlign w:val="center"/>
          </w:tcPr>
          <w:p w:rsidR="00660414" w:rsidRPr="000A76BD" w:rsidRDefault="00660414" w:rsidP="007613DE">
            <w:pPr>
              <w:jc w:val="center"/>
              <w:rPr>
                <w:sz w:val="22"/>
                <w:szCs w:val="22"/>
              </w:rPr>
            </w:pPr>
            <w:r>
              <w:rPr>
                <w:sz w:val="22"/>
                <w:szCs w:val="22"/>
              </w:rPr>
              <w:t>2</w:t>
            </w:r>
          </w:p>
        </w:tc>
        <w:tc>
          <w:tcPr>
            <w:tcW w:w="2127" w:type="dxa"/>
            <w:shd w:val="clear" w:color="auto" w:fill="auto"/>
            <w:vAlign w:val="center"/>
          </w:tcPr>
          <w:p w:rsidR="00660414" w:rsidRPr="000A76BD" w:rsidRDefault="00660414" w:rsidP="007613DE">
            <w:pPr>
              <w:rPr>
                <w:sz w:val="22"/>
                <w:szCs w:val="22"/>
                <w:lang w:val="es-ES_tradnl"/>
              </w:rPr>
            </w:pPr>
            <w:r>
              <w:rPr>
                <w:sz w:val="22"/>
                <w:szCs w:val="22"/>
                <w:lang w:val="es-ES_tradnl"/>
              </w:rPr>
              <w:t xml:space="preserve">Electric </w:t>
            </w:r>
          </w:p>
        </w:tc>
        <w:tc>
          <w:tcPr>
            <w:tcW w:w="1842" w:type="dxa"/>
            <w:vAlign w:val="center"/>
          </w:tcPr>
          <w:p w:rsidR="00660414" w:rsidRPr="000A76BD" w:rsidDel="00C615C6" w:rsidRDefault="00660414" w:rsidP="007613DE">
            <w:pPr>
              <w:jc w:val="center"/>
              <w:rPr>
                <w:sz w:val="22"/>
                <w:szCs w:val="22"/>
              </w:rPr>
            </w:pPr>
            <w:r>
              <w:rPr>
                <w:sz w:val="22"/>
                <w:szCs w:val="22"/>
              </w:rPr>
              <w:t>5</w:t>
            </w:r>
          </w:p>
        </w:tc>
      </w:tr>
      <w:tr w:rsidR="00660414" w:rsidRPr="000A76BD" w:rsidTr="007613DE">
        <w:trPr>
          <w:trHeight w:val="506"/>
        </w:trPr>
        <w:tc>
          <w:tcPr>
            <w:tcW w:w="4077" w:type="dxa"/>
            <w:shd w:val="clear" w:color="auto" w:fill="auto"/>
            <w:vAlign w:val="center"/>
          </w:tcPr>
          <w:p w:rsidR="00660414" w:rsidRPr="000A76BD" w:rsidRDefault="00660414" w:rsidP="007613DE">
            <w:pPr>
              <w:rPr>
                <w:rFonts w:cs="Arial"/>
                <w:sz w:val="22"/>
                <w:szCs w:val="22"/>
              </w:rPr>
            </w:pPr>
            <w:r>
              <w:rPr>
                <w:rFonts w:cs="Arial"/>
                <w:sz w:val="22"/>
                <w:szCs w:val="22"/>
                <w:lang w:val="es-ES_tradnl"/>
              </w:rPr>
              <w:t>Craiova to Calafat</w:t>
            </w:r>
          </w:p>
        </w:tc>
        <w:tc>
          <w:tcPr>
            <w:tcW w:w="1276" w:type="dxa"/>
            <w:shd w:val="clear" w:color="auto" w:fill="auto"/>
            <w:vAlign w:val="center"/>
          </w:tcPr>
          <w:p w:rsidR="00660414" w:rsidRPr="000A76BD" w:rsidRDefault="00660414" w:rsidP="007613DE">
            <w:pPr>
              <w:jc w:val="center"/>
              <w:rPr>
                <w:sz w:val="22"/>
                <w:szCs w:val="22"/>
              </w:rPr>
            </w:pPr>
            <w:r>
              <w:rPr>
                <w:sz w:val="22"/>
                <w:szCs w:val="22"/>
              </w:rPr>
              <w:t>DS11</w:t>
            </w:r>
          </w:p>
        </w:tc>
        <w:tc>
          <w:tcPr>
            <w:tcW w:w="992" w:type="dxa"/>
            <w:shd w:val="clear" w:color="auto" w:fill="auto"/>
            <w:vAlign w:val="center"/>
          </w:tcPr>
          <w:p w:rsidR="00660414" w:rsidRPr="000A76BD" w:rsidRDefault="00660414" w:rsidP="007613DE">
            <w:pPr>
              <w:jc w:val="center"/>
              <w:rPr>
                <w:sz w:val="22"/>
                <w:szCs w:val="22"/>
              </w:rPr>
            </w:pPr>
            <w:r>
              <w:rPr>
                <w:sz w:val="22"/>
                <w:szCs w:val="22"/>
              </w:rPr>
              <w:t>3</w:t>
            </w:r>
          </w:p>
        </w:tc>
        <w:tc>
          <w:tcPr>
            <w:tcW w:w="2127" w:type="dxa"/>
            <w:shd w:val="clear" w:color="auto" w:fill="auto"/>
            <w:vAlign w:val="center"/>
          </w:tcPr>
          <w:p w:rsidR="00660414" w:rsidRPr="000A76BD" w:rsidRDefault="00660414" w:rsidP="007613DE">
            <w:pPr>
              <w:rPr>
                <w:sz w:val="22"/>
                <w:szCs w:val="22"/>
              </w:rPr>
            </w:pPr>
            <w:r>
              <w:rPr>
                <w:sz w:val="22"/>
                <w:szCs w:val="22"/>
              </w:rPr>
              <w:t xml:space="preserve">Electric </w:t>
            </w:r>
          </w:p>
        </w:tc>
        <w:tc>
          <w:tcPr>
            <w:tcW w:w="1842" w:type="dxa"/>
            <w:vAlign w:val="center"/>
          </w:tcPr>
          <w:p w:rsidR="00660414" w:rsidRPr="000A76BD" w:rsidDel="00C615C6" w:rsidRDefault="00660414" w:rsidP="007613DE">
            <w:pPr>
              <w:jc w:val="center"/>
              <w:rPr>
                <w:sz w:val="22"/>
                <w:szCs w:val="22"/>
              </w:rPr>
            </w:pPr>
            <w:r>
              <w:rPr>
                <w:sz w:val="22"/>
                <w:szCs w:val="22"/>
              </w:rPr>
              <w:t>3</w:t>
            </w:r>
          </w:p>
        </w:tc>
      </w:tr>
      <w:tr w:rsidR="00660414" w:rsidRPr="000A76BD" w:rsidTr="007613DE">
        <w:trPr>
          <w:trHeight w:val="506"/>
        </w:trPr>
        <w:tc>
          <w:tcPr>
            <w:tcW w:w="4077" w:type="dxa"/>
            <w:shd w:val="clear" w:color="auto" w:fill="auto"/>
            <w:vAlign w:val="center"/>
          </w:tcPr>
          <w:p w:rsidR="00660414" w:rsidRPr="000A76BD" w:rsidRDefault="00660414" w:rsidP="007613DE">
            <w:pPr>
              <w:rPr>
                <w:rFonts w:cs="Arial"/>
                <w:sz w:val="22"/>
                <w:szCs w:val="22"/>
              </w:rPr>
            </w:pPr>
            <w:r>
              <w:rPr>
                <w:rFonts w:cs="Arial"/>
                <w:sz w:val="22"/>
                <w:szCs w:val="22"/>
                <w:lang w:val="es-ES_tradnl"/>
              </w:rPr>
              <w:t>Combined scenario</w:t>
            </w:r>
          </w:p>
        </w:tc>
        <w:tc>
          <w:tcPr>
            <w:tcW w:w="1276" w:type="dxa"/>
            <w:shd w:val="clear" w:color="auto" w:fill="auto"/>
            <w:vAlign w:val="center"/>
          </w:tcPr>
          <w:p w:rsidR="00660414" w:rsidRPr="000A76BD" w:rsidRDefault="00660414" w:rsidP="007613DE">
            <w:pPr>
              <w:jc w:val="center"/>
              <w:rPr>
                <w:sz w:val="22"/>
                <w:szCs w:val="22"/>
              </w:rPr>
            </w:pPr>
            <w:r>
              <w:rPr>
                <w:sz w:val="22"/>
                <w:szCs w:val="22"/>
              </w:rPr>
              <w:t>DS99</w:t>
            </w:r>
          </w:p>
        </w:tc>
        <w:tc>
          <w:tcPr>
            <w:tcW w:w="992" w:type="dxa"/>
            <w:shd w:val="clear" w:color="auto" w:fill="auto"/>
            <w:vAlign w:val="center"/>
          </w:tcPr>
          <w:p w:rsidR="00660414" w:rsidRPr="000A76BD" w:rsidRDefault="00660414" w:rsidP="007613DE">
            <w:pPr>
              <w:jc w:val="center"/>
              <w:rPr>
                <w:sz w:val="22"/>
                <w:szCs w:val="22"/>
              </w:rPr>
            </w:pPr>
            <w:r>
              <w:rPr>
                <w:sz w:val="22"/>
                <w:szCs w:val="22"/>
              </w:rPr>
              <w:t>104</w:t>
            </w:r>
          </w:p>
        </w:tc>
        <w:tc>
          <w:tcPr>
            <w:tcW w:w="2127" w:type="dxa"/>
            <w:shd w:val="clear" w:color="auto" w:fill="auto"/>
            <w:vAlign w:val="center"/>
          </w:tcPr>
          <w:p w:rsidR="00660414" w:rsidRPr="000A76BD" w:rsidRDefault="00660414" w:rsidP="007613DE">
            <w:pPr>
              <w:rPr>
                <w:sz w:val="22"/>
                <w:szCs w:val="22"/>
              </w:rPr>
            </w:pPr>
            <w:r>
              <w:rPr>
                <w:sz w:val="22"/>
                <w:szCs w:val="22"/>
              </w:rPr>
              <w:t>Electric and diesel</w:t>
            </w:r>
          </w:p>
        </w:tc>
        <w:tc>
          <w:tcPr>
            <w:tcW w:w="1842" w:type="dxa"/>
            <w:vAlign w:val="center"/>
          </w:tcPr>
          <w:p w:rsidR="00660414" w:rsidRPr="000A76BD" w:rsidDel="00C615C6" w:rsidRDefault="00660414" w:rsidP="007613DE">
            <w:pPr>
              <w:jc w:val="center"/>
              <w:rPr>
                <w:sz w:val="22"/>
                <w:szCs w:val="22"/>
              </w:rPr>
            </w:pPr>
            <w:r>
              <w:rPr>
                <w:sz w:val="22"/>
                <w:szCs w:val="22"/>
              </w:rPr>
              <w:t>2 to 9</w:t>
            </w:r>
          </w:p>
        </w:tc>
      </w:tr>
    </w:tbl>
    <w:p w:rsidR="00660414" w:rsidRPr="007B1E1D" w:rsidRDefault="00660414" w:rsidP="007613DE">
      <w:pPr>
        <w:rPr>
          <w:i/>
        </w:rPr>
      </w:pPr>
      <w:r w:rsidRPr="00F842FB">
        <w:rPr>
          <w:i/>
        </w:rPr>
        <w:t xml:space="preserve">Source: AECOM </w:t>
      </w:r>
      <w:r>
        <w:rPr>
          <w:i/>
        </w:rPr>
        <w:t>calculation</w:t>
      </w:r>
    </w:p>
    <w:p w:rsidR="00660414" w:rsidRPr="008C5B1B" w:rsidRDefault="00660414" w:rsidP="00A4081F">
      <w:pPr>
        <w:pStyle w:val="NumberedParas"/>
        <w:rPr>
          <w:lang w:val="ro-RO"/>
        </w:rPr>
      </w:pPr>
      <w:r w:rsidRPr="008C5B1B">
        <w:t xml:space="preserve">The initial </w:t>
      </w:r>
      <w:r>
        <w:t xml:space="preserve">demand </w:t>
      </w:r>
      <w:r w:rsidRPr="008C5B1B">
        <w:t>forecast</w:t>
      </w:r>
      <w:r>
        <w:t xml:space="preserve">s </w:t>
      </w:r>
      <w:r w:rsidRPr="008C5B1B">
        <w:t xml:space="preserve">and the proposed service patterns described above were used to inform the selection of rolling stock, in terms of the the mixture of electric or diesel multiple units. With the main service improvements focussed on InterRegio trains, this </w:t>
      </w:r>
      <w:r>
        <w:t xml:space="preserve">reinforces </w:t>
      </w:r>
      <w:r w:rsidRPr="008C5B1B">
        <w:t xml:space="preserve">that the new rolling stock will need to be tailored to the long distance travel market. </w:t>
      </w:r>
      <w:r>
        <w:t xml:space="preserve">A phased rolling stock programme to progressively replace older rolling stock units by modern EMUs and DMUs will return significant benefits to rail passengers whilst enabling higher flexibility and lower delays and operating costs per train-km. </w:t>
      </w:r>
    </w:p>
    <w:p w:rsidR="00660414" w:rsidRDefault="00660414" w:rsidP="00A4081F">
      <w:pPr>
        <w:pStyle w:val="NumberedParas"/>
        <w:rPr>
          <w:lang w:val="ro-RO"/>
        </w:rPr>
      </w:pPr>
      <w:r w:rsidRPr="008C5B1B">
        <w:t xml:space="preserve">Furthermore, there may be potential to introduce rolling stock with </w:t>
      </w:r>
      <w:r>
        <w:t xml:space="preserve">the </w:t>
      </w:r>
      <w:r w:rsidRPr="008C5B1B">
        <w:t xml:space="preserve">capability to tilt. This type of </w:t>
      </w:r>
      <w:r>
        <w:t>unit</w:t>
      </w:r>
      <w:r w:rsidRPr="008C5B1B">
        <w:t xml:space="preserve"> may enable some journey time savings to be achieved, albeit with higher purchase costs. A separate feasibility study is needed to determine whether there is a business case for higher specification rolling stock once the possible line speed improvements have been evaluated. A generic cost per coach for new rolling stock has been used in the scheme appraisal.  References to ‘electric’ or ‘diesel’ in Table 5.14 </w:t>
      </w:r>
      <w:r>
        <w:t xml:space="preserve">also take account of the </w:t>
      </w:r>
      <w:r w:rsidRPr="008C5B1B">
        <w:t xml:space="preserve">potential opportunities to introduce alternative traction, depending on the outcome of the cost-benefit analysis for electrification. The number of carriages is dependent on the estimated demand, although these assumptions </w:t>
      </w:r>
      <w:r>
        <w:t xml:space="preserve">will require </w:t>
      </w:r>
      <w:r w:rsidRPr="008C5B1B">
        <w:t xml:space="preserve">further review in advance of procuring the new sets. </w:t>
      </w:r>
    </w:p>
    <w:p w:rsidR="00660414" w:rsidRPr="000A76BD" w:rsidRDefault="00660414" w:rsidP="007613DE">
      <w:pPr>
        <w:pStyle w:val="Hdg3"/>
        <w:ind w:left="851"/>
      </w:pPr>
      <w:r w:rsidRPr="008C5B1B">
        <w:t>Yield Management</w:t>
      </w:r>
    </w:p>
    <w:p w:rsidR="00660414" w:rsidRPr="000A76BD" w:rsidRDefault="00660414" w:rsidP="00A4081F">
      <w:pPr>
        <w:pStyle w:val="NumberedParas"/>
        <w:rPr>
          <w:b/>
        </w:rPr>
      </w:pPr>
      <w:r w:rsidRPr="008C5B1B">
        <w:rPr>
          <w:b/>
        </w:rPr>
        <w:t xml:space="preserve">Problem: </w:t>
      </w:r>
      <w:r w:rsidRPr="008C5B1B">
        <w:t xml:space="preserve">The existing fare structure for rail travel in Romania is relatively inflexible with limited financial incentives to encourage passengers to book in advance to secure cheaper tickets. Most fares are distance based, although some tickets can be purchased in advance using the CFR Calatori website. However, there is considerable scope for further improvements. With advance tickets in Romania between 75% and 100% more expensive than other European countries for similar distances </w:t>
      </w:r>
      <w:r>
        <w:t xml:space="preserve">when </w:t>
      </w:r>
      <w:r w:rsidRPr="008C5B1B">
        <w:t>adjusted to take account of wage differences, this merits further review;</w:t>
      </w:r>
      <w:r w:rsidRPr="008C5B1B">
        <w:rPr>
          <w:b/>
        </w:rPr>
        <w:t xml:space="preserve"> </w:t>
      </w:r>
    </w:p>
    <w:p w:rsidR="00660414" w:rsidRPr="000A76BD" w:rsidRDefault="00660414" w:rsidP="00A4081F">
      <w:pPr>
        <w:pStyle w:val="NumberedParas"/>
      </w:pPr>
      <w:r w:rsidRPr="008C5B1B">
        <w:rPr>
          <w:b/>
        </w:rPr>
        <w:t>Proposed solutions:</w:t>
      </w:r>
      <w:r w:rsidRPr="008C5B1B">
        <w:t xml:space="preserve"> This could be addressed by the introduction of measures to maximise yields on the most popular trains. In parallel, greater discounts for passengers able to travel at less popular times could be introduced. Season tickets and discounts for frequent travellers could also be introduced and these measures would attract more passengers to rail. The </w:t>
      </w:r>
      <w:r>
        <w:t xml:space="preserve">opportunities to revise the </w:t>
      </w:r>
      <w:r w:rsidRPr="008C5B1B">
        <w:t xml:space="preserve">timetable </w:t>
      </w:r>
      <w:r>
        <w:t>highlighted earlier f</w:t>
      </w:r>
      <w:r w:rsidRPr="008C5B1B">
        <w:t xml:space="preserve">urther reinforce the importance of introducing more effective yield management. These timetable changes would deliver additional capacity on selected routes, particularly for journeys </w:t>
      </w:r>
      <w:r>
        <w:t xml:space="preserve">lasting </w:t>
      </w:r>
      <w:r w:rsidRPr="008C5B1B">
        <w:t>2-3 hours to / from Bucharest.</w:t>
      </w:r>
    </w:p>
    <w:p w:rsidR="00660414" w:rsidRPr="000A76BD" w:rsidRDefault="00660414" w:rsidP="007613DE">
      <w:pPr>
        <w:pStyle w:val="Hdg3"/>
        <w:ind w:left="851"/>
      </w:pPr>
      <w:r w:rsidRPr="008C5B1B">
        <w:t>Fare Evasion</w:t>
      </w:r>
    </w:p>
    <w:p w:rsidR="00660414" w:rsidRPr="000A76BD" w:rsidRDefault="00660414" w:rsidP="00A4081F">
      <w:pPr>
        <w:pStyle w:val="NumberedParas"/>
        <w:rPr>
          <w:b/>
        </w:rPr>
      </w:pPr>
      <w:r w:rsidRPr="008C5B1B">
        <w:rPr>
          <w:b/>
        </w:rPr>
        <w:t xml:space="preserve">Problem: </w:t>
      </w:r>
      <w:r w:rsidRPr="008C5B1B">
        <w:t xml:space="preserve">Discussions with CFR Calatori indicate that 25-30% of passengers are either travelling with the incorrect ticket or do not have a ticket at all. The estimated revenue loss is about €50m per annum. Lines operated by CFR Calatori generally have the highest levels of fare evasion which reflects the more comprehensive revenue protection measures </w:t>
      </w:r>
      <w:r>
        <w:t xml:space="preserve">that </w:t>
      </w:r>
      <w:r w:rsidRPr="008C5B1B">
        <w:t>private operators have introduced;</w:t>
      </w:r>
    </w:p>
    <w:p w:rsidR="00660414" w:rsidRPr="000A76BD" w:rsidRDefault="00660414" w:rsidP="00A4081F">
      <w:pPr>
        <w:pStyle w:val="NumberedParas"/>
        <w:rPr>
          <w:b/>
        </w:rPr>
      </w:pPr>
      <w:r w:rsidRPr="008C5B1B">
        <w:rPr>
          <w:b/>
        </w:rPr>
        <w:t xml:space="preserve">Proposed solutions: </w:t>
      </w:r>
      <w:r w:rsidRPr="008C5B1B">
        <w:t xml:space="preserve">To address the current levels of ticketless travel, measures which incentivise operators to collect a greater proportion of the total revenue are urgently required and should be linked to the Governance section described above. In addition, campaigns which highlight the social and financial implications of fare evasion are required, with more stringent fines for passengers found without a ticket, or the correct ticket for their journey. Many of the private operators </w:t>
      </w:r>
      <w:r>
        <w:t xml:space="preserve">who have successfully </w:t>
      </w:r>
      <w:r w:rsidRPr="008C5B1B">
        <w:t>introduc</w:t>
      </w:r>
      <w:r>
        <w:t xml:space="preserve">ed </w:t>
      </w:r>
      <w:r w:rsidRPr="008C5B1B">
        <w:t>such measures have boosted revenue by 6-7 times compared with the CFR Calatori services. This indicates the initiatives to reduce fare evasion should be self-funding.</w:t>
      </w:r>
    </w:p>
    <w:p w:rsidR="00660414" w:rsidRDefault="00660414" w:rsidP="007613DE">
      <w:pPr>
        <w:pStyle w:val="Hdg3"/>
        <w:ind w:left="851"/>
      </w:pPr>
      <w:r w:rsidRPr="008C5B1B">
        <w:t>Theme 4: System Regulation and Organisation</w:t>
      </w:r>
    </w:p>
    <w:p w:rsidR="00660414" w:rsidRPr="008C5B1B" w:rsidRDefault="00660414" w:rsidP="00A4081F">
      <w:pPr>
        <w:pStyle w:val="NumberedParas"/>
      </w:pPr>
      <w:r w:rsidRPr="008C5B1B">
        <w:rPr>
          <w:b/>
        </w:rPr>
        <w:t>Problem:</w:t>
      </w:r>
      <w:r w:rsidRPr="008C5B1B">
        <w:t xml:space="preserve"> the existing governance arrangements mean there is relatively incentive for operators to implement commercial initiatives, or act in a commercially focussed way. There are limited financial incentives for the infrastructure provider or the operator to implement initiatives which will help to attract new passengers, or introduce efficiencies;</w:t>
      </w:r>
    </w:p>
    <w:p w:rsidR="007613DE" w:rsidRDefault="00660414" w:rsidP="00A4081F">
      <w:pPr>
        <w:pStyle w:val="NumberedParas"/>
      </w:pPr>
      <w:r w:rsidRPr="007613DE">
        <w:rPr>
          <w:b/>
        </w:rPr>
        <w:t>Proposed solution</w:t>
      </w:r>
      <w:r w:rsidRPr="008C5B1B">
        <w:t xml:space="preserve">: A revised </w:t>
      </w:r>
      <w:r>
        <w:t>scenario</w:t>
      </w:r>
      <w:r w:rsidRPr="008C5B1B">
        <w:t xml:space="preserve"> with the range of commercial and other initiatives </w:t>
      </w:r>
      <w:r>
        <w:t xml:space="preserve">could be </w:t>
      </w:r>
      <w:r w:rsidRPr="008C5B1B">
        <w:t xml:space="preserve">delivered. The implementation of these measures will enable both costs and revenues to be boosted prior to changes affecting the current PSC. Revisions to the existing contract will then need to be examined and should include transferring a much greater commercial risk onto the operator. At present, the commercial risk being taken by the operator is relatively limited and this adversely affects their willingness to introduce alternative initiatives. A contractual model that takes account of the differences between the revenues and costs once the above initiatives have been implemented is recommended. Some of these improvements intended to deliver cost savings and patronage growth is required since it is recognised some improvements may need to be delivered incrementally over a longer time period. The structure of the financial support needs to be tailored to achieve these outcomes. </w:t>
      </w:r>
    </w:p>
    <w:p w:rsidR="00660414" w:rsidRDefault="00660414" w:rsidP="007613DE">
      <w:pPr>
        <w:pStyle w:val="Hdg3"/>
        <w:ind w:left="851"/>
      </w:pPr>
      <w:r w:rsidRPr="008C5B1B">
        <w:t>Theme 5: Management Efficiency</w:t>
      </w:r>
    </w:p>
    <w:p w:rsidR="00660414" w:rsidRDefault="00660414" w:rsidP="007613DE">
      <w:pPr>
        <w:pStyle w:val="Hdg3"/>
        <w:ind w:left="851"/>
      </w:pPr>
      <w:r w:rsidRPr="008C5B1B">
        <w:t>Rationalising Stations</w:t>
      </w:r>
    </w:p>
    <w:p w:rsidR="00660414" w:rsidRPr="000A76BD" w:rsidRDefault="00660414" w:rsidP="00A4081F">
      <w:pPr>
        <w:pStyle w:val="NumberedParas"/>
        <w:rPr>
          <w:b/>
        </w:rPr>
      </w:pPr>
      <w:bookmarkStart w:id="7965" w:name="_Toc398885047"/>
      <w:r w:rsidRPr="008C5B1B">
        <w:rPr>
          <w:rFonts w:cs="Arial"/>
          <w:color w:val="9E0880"/>
        </w:rPr>
        <w:t xml:space="preserve"> </w:t>
      </w:r>
      <w:bookmarkEnd w:id="7965"/>
      <w:r w:rsidRPr="008C5B1B">
        <w:rPr>
          <w:b/>
        </w:rPr>
        <w:t xml:space="preserve">Problem: </w:t>
      </w:r>
      <w:r w:rsidRPr="008C5B1B">
        <w:t xml:space="preserve">Romania has about 1,100 passenger stations, although many of these are local halts which attract low passenger demand. The number of local services calling at them is also very limited with lengthy gaps between trains. </w:t>
      </w:r>
      <w:r>
        <w:t xml:space="preserve">This reduces the attractiveness of rail. </w:t>
      </w:r>
      <w:r w:rsidRPr="008C5B1B">
        <w:t>Station usage statistics from 2011 indicate that over 65% of the stations are used by fewer than 100 passengers per day, with only 8% of stations used by at least 500 passengers per day;</w:t>
      </w:r>
    </w:p>
    <w:p w:rsidR="00660414" w:rsidRPr="008C5B1B" w:rsidRDefault="00660414" w:rsidP="00A4081F">
      <w:pPr>
        <w:pStyle w:val="NumberedParas"/>
        <w:rPr>
          <w:b/>
        </w:rPr>
      </w:pPr>
      <w:r w:rsidRPr="008C5B1B">
        <w:rPr>
          <w:b/>
        </w:rPr>
        <w:t xml:space="preserve">Proposed solution: </w:t>
      </w:r>
      <w:r w:rsidRPr="008C5B1B">
        <w:t xml:space="preserve">The scope to reduce the number of stations through a programme of closures must be examined, particularly if the overall travel market using a branch line is small and therefore offers limited scope for growth. Reducing the number of stations could </w:t>
      </w:r>
      <w:r>
        <w:t xml:space="preserve">also </w:t>
      </w:r>
      <w:r w:rsidRPr="008C5B1B">
        <w:t>create opportunities to cut journey times between the larger stations. It would also reduce the costs associated with maintaining a large number of under-utilised stations.</w:t>
      </w:r>
    </w:p>
    <w:p w:rsidR="00660414" w:rsidRPr="000A76BD" w:rsidRDefault="00660414" w:rsidP="007613DE">
      <w:pPr>
        <w:pStyle w:val="Hdg3"/>
        <w:ind w:left="851"/>
      </w:pPr>
      <w:r w:rsidRPr="008C5B1B">
        <w:t>Introduce new signalling systems</w:t>
      </w:r>
    </w:p>
    <w:p w:rsidR="00660414" w:rsidRPr="000A76BD" w:rsidRDefault="00660414" w:rsidP="00A4081F">
      <w:pPr>
        <w:pStyle w:val="NumberedParas"/>
      </w:pPr>
      <w:r w:rsidRPr="008C5B1B">
        <w:rPr>
          <w:b/>
        </w:rPr>
        <w:t>Problems:</w:t>
      </w:r>
      <w:r w:rsidRPr="008C5B1B">
        <w:t xml:space="preserve"> Some possible solutions to improve signalling and address the current limitations are described below. There are significant inefficiencies affecting CFR Calatori and CFR Infrastructure. Slow speeds and the current pattern of timetables means CFR Calatori requires 15-20% more drivers than necessary to operate services. Meanwhile, CFR SA still operates many signalling systems manually which means staff numbers are higher than </w:t>
      </w:r>
      <w:r>
        <w:t>necessary</w:t>
      </w:r>
      <w:r w:rsidRPr="008C5B1B">
        <w:t>;</w:t>
      </w:r>
    </w:p>
    <w:p w:rsidR="00660414" w:rsidRPr="000A76BD" w:rsidRDefault="00660414" w:rsidP="00A4081F">
      <w:pPr>
        <w:pStyle w:val="NumberedParas"/>
      </w:pPr>
      <w:r w:rsidRPr="008C5B1B">
        <w:rPr>
          <w:b/>
        </w:rPr>
        <w:t>Proposed solutions:</w:t>
      </w:r>
      <w:r w:rsidRPr="008C5B1B">
        <w:t xml:space="preserve"> For example, stations with electric signals require just one third of the total staff compared with manual controls. A progression towards greater automation would enable staff numbers to be reduced. F</w:t>
      </w:r>
      <w:r>
        <w:t>urthermore</w:t>
      </w:r>
      <w:r w:rsidRPr="008C5B1B">
        <w:t>, the introduction of ERTMS pilot would help to achieve these objectives, whilst the feasibility of better communications with centralised control would also contribute.</w:t>
      </w:r>
    </w:p>
    <w:p w:rsidR="00660414" w:rsidRPr="000A76BD" w:rsidRDefault="00660414" w:rsidP="00660414">
      <w:pPr>
        <w:pStyle w:val="Hdg3"/>
        <w:ind w:left="851"/>
      </w:pPr>
      <w:r w:rsidRPr="008C5B1B">
        <w:t>Availability of Redundant Land</w:t>
      </w:r>
    </w:p>
    <w:p w:rsidR="00660414" w:rsidRPr="000A76BD" w:rsidRDefault="00660414" w:rsidP="00A4081F">
      <w:pPr>
        <w:pStyle w:val="NumberedParas"/>
        <w:rPr>
          <w:b/>
        </w:rPr>
      </w:pPr>
      <w:r w:rsidRPr="008C5B1B">
        <w:rPr>
          <w:b/>
        </w:rPr>
        <w:t xml:space="preserve">Problem: </w:t>
      </w:r>
      <w:r w:rsidRPr="008C5B1B">
        <w:t>The reduction in train services and other efficiency savings mean the requirement for land to stable trains and for maintenance have been significantly reduced. Consequently, there is considerable redundant land available in certain locations which could be reused for other purposes. This includes redundant sidings, buildings at stations, or part of depots or marshalling yards;</w:t>
      </w:r>
    </w:p>
    <w:p w:rsidR="007613DE" w:rsidRDefault="00660414" w:rsidP="00A4081F">
      <w:pPr>
        <w:pStyle w:val="NumberedParas"/>
      </w:pPr>
      <w:r w:rsidRPr="007613DE">
        <w:rPr>
          <w:b/>
        </w:rPr>
        <w:t>Proposed solutions</w:t>
      </w:r>
      <w:r w:rsidRPr="008C5B1B">
        <w:t xml:space="preserve">: Some of this land could be redeveloped for office development, retail or as an intermodal facility. These opportunities are particularly relevant in the larger population centres if the plots are adjacent to the city centre or the main road network. Bucuresti Triaj has been suggested as a possible scheme, although other sites in the capital should </w:t>
      </w:r>
      <w:r>
        <w:t xml:space="preserve">also </w:t>
      </w:r>
      <w:r w:rsidRPr="008C5B1B">
        <w:t xml:space="preserve">be identified and then prioritised </w:t>
      </w:r>
      <w:r>
        <w:t xml:space="preserve">if </w:t>
      </w:r>
      <w:r w:rsidRPr="008C5B1B">
        <w:t xml:space="preserve">the potential </w:t>
      </w:r>
      <w:r>
        <w:t>is</w:t>
      </w:r>
      <w:r w:rsidRPr="008C5B1B">
        <w:t xml:space="preserve"> stronger financial case versus other examples. Best practice from elsewhere including Krakow in Poland may also be informative to identify possible schemes. </w:t>
      </w:r>
      <w:bookmarkStart w:id="7966" w:name="_Toc398885056"/>
    </w:p>
    <w:p w:rsidR="00660414" w:rsidRPr="000A76BD" w:rsidRDefault="00660414" w:rsidP="007613DE">
      <w:pPr>
        <w:pStyle w:val="Hdg3"/>
        <w:ind w:left="851"/>
      </w:pPr>
      <w:r w:rsidRPr="008C5B1B">
        <w:t>Theme 6 Poor Infrastructure and Unattractive Passenger Services</w:t>
      </w:r>
      <w:bookmarkEnd w:id="7966"/>
    </w:p>
    <w:p w:rsidR="00660414" w:rsidRPr="000A76BD" w:rsidRDefault="00660414" w:rsidP="00FD34BC">
      <w:pPr>
        <w:pStyle w:val="Hdg3"/>
        <w:ind w:left="851"/>
      </w:pPr>
      <w:r w:rsidRPr="008C5B1B">
        <w:t>Enhanced Frequencies on the Core Rail Corridors</w:t>
      </w:r>
    </w:p>
    <w:p w:rsidR="00660414" w:rsidRPr="000A76BD" w:rsidRDefault="00660414" w:rsidP="00A4081F">
      <w:pPr>
        <w:pStyle w:val="NumberedParas"/>
      </w:pPr>
      <w:r w:rsidRPr="008C5B1B">
        <w:t xml:space="preserve">The introduction of a revised maintenance strategy would enable trains to be scheduled throughout the morning to address the lengthy gaps which currently </w:t>
      </w:r>
      <w:r>
        <w:t xml:space="preserve">affect </w:t>
      </w:r>
      <w:r w:rsidRPr="008C5B1B">
        <w:t xml:space="preserve">many routes. This would allow timetable gaps to be filled, and ensure trains operate at times passengers wish to travel rather than imposing a service-led timetable. Details of the service changes for individual corridors are set out below. These timetable revisions have been examined in ‘packages’ to maximise the benefits. For example, introducing new rolling stock will not achieve competitive speeds unless the rail network is upgraded and these units will not be efficiently deployed unless more intense timetables are operated. </w:t>
      </w:r>
    </w:p>
    <w:p w:rsidR="00660414" w:rsidRPr="000A76BD" w:rsidRDefault="00660414" w:rsidP="00A4081F">
      <w:pPr>
        <w:pStyle w:val="NumberedParas"/>
      </w:pPr>
      <w:r w:rsidRPr="008C5B1B">
        <w:t>The main objective of the proposed timetables is to provide a fast and frequent service between key stations on each corridor, maximising the rail market share with minimal incremental change in operating costs. Existing InterCity (IC) and InterRegio (IR) services on each corridor are replaced by a regular interval service pattern timetable.</w:t>
      </w:r>
    </w:p>
    <w:p w:rsidR="00660414" w:rsidRPr="000A76BD" w:rsidRDefault="00660414" w:rsidP="00FD34BC">
      <w:pPr>
        <w:pStyle w:val="Hdg3"/>
        <w:ind w:left="851"/>
      </w:pPr>
      <w:r w:rsidRPr="008C5B1B">
        <w:t>Track and Timetables</w:t>
      </w:r>
    </w:p>
    <w:p w:rsidR="00660414" w:rsidRPr="000A76BD" w:rsidRDefault="00660414" w:rsidP="00A4081F">
      <w:pPr>
        <w:pStyle w:val="NumberedParas"/>
      </w:pPr>
      <w:r w:rsidRPr="008C5B1B">
        <w:rPr>
          <w:b/>
        </w:rPr>
        <w:t>Problem</w:t>
      </w:r>
      <w:r w:rsidRPr="008C5B1B">
        <w:t xml:space="preserve">: Productivity is low compared to other European countries with Romanian railways only achieving 40% of the average. The timetables are constrained by a number of factors including slow </w:t>
      </w:r>
      <w:r>
        <w:t xml:space="preserve">line </w:t>
      </w:r>
      <w:r w:rsidRPr="008C5B1B">
        <w:t xml:space="preserve">speeds, the requirement to complete brake safety checks while units are in </w:t>
      </w:r>
      <w:r>
        <w:t>service</w:t>
      </w:r>
      <w:r w:rsidRPr="008C5B1B">
        <w:t>. The lengthy dwell times at stations account for up to 10% of total travel time on some services. Turnaround times at some terminus stations are also longer than necessary, with trains sitting for up to five hours. Furthermore, the lack of a regular interval timetable with a consistent timing of departures and trains to the same destinations is confusing for passengers.</w:t>
      </w:r>
    </w:p>
    <w:p w:rsidR="00660414" w:rsidRPr="000A76BD" w:rsidRDefault="00660414" w:rsidP="00A4081F">
      <w:pPr>
        <w:pStyle w:val="NumberedParas"/>
        <w:rPr>
          <w:b/>
        </w:rPr>
      </w:pPr>
      <w:r w:rsidRPr="008C5B1B">
        <w:rPr>
          <w:b/>
        </w:rPr>
        <w:t xml:space="preserve">Proposed solution: </w:t>
      </w:r>
      <w:r w:rsidRPr="008C5B1B">
        <w:t>Introducing measures to improve th</w:t>
      </w:r>
      <w:r>
        <w:t xml:space="preserve">e productivity </w:t>
      </w:r>
      <w:r w:rsidRPr="008C5B1B">
        <w:t xml:space="preserve">ratio must be a priority and would be tackled by introducing a more intensive timetable, as described in the timetable interventions below. This would help to attract a higher number of passengers to the rail network and is especially relevant for demand between Bucharest and cities located 2-3 hours travel time from the capital. In particular, there is significant scope to grow </w:t>
      </w:r>
      <w:r>
        <w:t xml:space="preserve">the rail </w:t>
      </w:r>
      <w:r w:rsidRPr="008C5B1B">
        <w:t xml:space="preserve">market share </w:t>
      </w:r>
      <w:r>
        <w:t>b</w:t>
      </w:r>
      <w:r w:rsidRPr="008C5B1B">
        <w:t xml:space="preserve">etween Bucharest and Constanta, Craiova, Brasov, Ploiesti, and Buzau, </w:t>
      </w:r>
      <w:r>
        <w:t>especially t</w:t>
      </w:r>
      <w:r w:rsidRPr="008C5B1B">
        <w:t>hose corridors which are less well served by road</w:t>
      </w:r>
      <w:r>
        <w:t xml:space="preserve"> since this will strengthen the competitive advantage of rail. </w:t>
      </w:r>
      <w:r w:rsidRPr="008C5B1B">
        <w:t xml:space="preserve">For the designated primary </w:t>
      </w:r>
      <w:r>
        <w:t>network</w:t>
      </w:r>
      <w:r w:rsidRPr="008C5B1B">
        <w:t>, timetable changes are proposed which feature higher frequencies on the busiest corridors with a simplified, regular pattern. Scheduling is also more efficient with shorter turnarounds at the terminus station. The proposals are discu</w:t>
      </w:r>
      <w:r>
        <w:t>ssed below for individual lines;</w:t>
      </w:r>
    </w:p>
    <w:p w:rsidR="00660414" w:rsidRPr="000A76BD" w:rsidRDefault="00660414" w:rsidP="00A4081F">
      <w:pPr>
        <w:pStyle w:val="NumberedParas"/>
      </w:pPr>
      <w:r w:rsidRPr="008C5B1B">
        <w:t xml:space="preserve">Rail interchanges are enhanced to maximise rail connectivity, reduce delays and increase the opportunity to complete long / medium distance journeys. IR feeder services from major branch lines and other parts of the network will be connected to </w:t>
      </w:r>
      <w:r>
        <w:t>o</w:t>
      </w:r>
      <w:r w:rsidRPr="008C5B1B">
        <w:t>the</w:t>
      </w:r>
      <w:r>
        <w:t>r</w:t>
      </w:r>
      <w:r w:rsidRPr="008C5B1B">
        <w:t xml:space="preserve"> </w:t>
      </w:r>
      <w:r>
        <w:t xml:space="preserve">stations </w:t>
      </w:r>
      <w:r w:rsidRPr="008C5B1B">
        <w:t xml:space="preserve">at interchange points along the corridor. IC trains are generally substituted by shorter and more frequent IR trains, with the exception of International services which are assumed to be unaffected. There would be a journey time saving for trains using a rehabilitated line. Figure 5.26 summarises the proposed timetable structure, with each </w:t>
      </w:r>
      <w:r>
        <w:t>l</w:t>
      </w:r>
      <w:r w:rsidRPr="008C5B1B">
        <w:t xml:space="preserve">ine representing a train every 2 hours. </w:t>
      </w:r>
      <w:r>
        <w:t xml:space="preserve">Services would depart at regular intervals with a standardised calling pattern to ensure the timetable becomes more memorable and simplified for passengers. </w:t>
      </w:r>
      <w:r w:rsidRPr="008C5B1B">
        <w:t>Bucharest Gara du Nord would become an even more important interchange for passengers making journeys beyond the capital</w:t>
      </w:r>
      <w:r>
        <w:t xml:space="preserve"> since no trains would operate as cross-capital</w:t>
      </w:r>
      <w:r w:rsidRPr="008C5B1B">
        <w:t>. It is assumed the proposed trains would adopt a calling pattern that stops at a limited number of intermediate halts. The service groups comprise:</w:t>
      </w:r>
    </w:p>
    <w:p w:rsidR="00660414" w:rsidRPr="000A76BD" w:rsidRDefault="00660414" w:rsidP="00273D5E">
      <w:pPr>
        <w:pStyle w:val="BulletLevel1"/>
        <w:rPr>
          <w:b/>
        </w:rPr>
      </w:pPr>
      <w:r w:rsidRPr="008C5B1B">
        <w:rPr>
          <w:b/>
        </w:rPr>
        <w:t xml:space="preserve">DS01 Bucharest to Arad and Cluj Napoca via Brasov: </w:t>
      </w:r>
      <w:r w:rsidRPr="008C5B1B">
        <w:t>2tph between Bucharest and Brasov, with 0.5tph extended to both Arad and Cluj Napoca</w:t>
      </w:r>
    </w:p>
    <w:p w:rsidR="00660414" w:rsidRPr="000A76BD" w:rsidRDefault="00660414" w:rsidP="00273D5E">
      <w:pPr>
        <w:pStyle w:val="BulletLevel1"/>
      </w:pPr>
      <w:r w:rsidRPr="008C5B1B">
        <w:rPr>
          <w:b/>
        </w:rPr>
        <w:t>DS02 Bucharest to Constanta:</w:t>
      </w:r>
      <w:r w:rsidRPr="008C5B1B">
        <w:t xml:space="preserve"> 1tph between these stations; </w:t>
      </w:r>
    </w:p>
    <w:p w:rsidR="00660414" w:rsidRPr="000A76BD" w:rsidRDefault="00660414" w:rsidP="00273D5E">
      <w:pPr>
        <w:pStyle w:val="BulletLevel1"/>
      </w:pPr>
      <w:r w:rsidRPr="008C5B1B">
        <w:rPr>
          <w:b/>
        </w:rPr>
        <w:t>DS03 Bucharest to Deva and Arad via Craiova:</w:t>
      </w:r>
      <w:r w:rsidRPr="008C5B1B">
        <w:t xml:space="preserve"> 2tph between Bucharest and Craiova with 0.5tph extended to both Deva and Arad via Timisoara;</w:t>
      </w:r>
    </w:p>
    <w:p w:rsidR="00660414" w:rsidRPr="000A76BD" w:rsidRDefault="00660414" w:rsidP="00273D5E">
      <w:pPr>
        <w:pStyle w:val="BulletLevel1"/>
      </w:pPr>
      <w:r w:rsidRPr="008C5B1B">
        <w:t>DS04 Bucharest to Galati, Focsani, Iasi and Suceava: 0.5tph to each station;</w:t>
      </w:r>
    </w:p>
    <w:p w:rsidR="00660414" w:rsidRPr="000A76BD" w:rsidRDefault="00660414" w:rsidP="00273D5E">
      <w:pPr>
        <w:pStyle w:val="BulletLevel1"/>
      </w:pPr>
      <w:r w:rsidRPr="008C5B1B">
        <w:rPr>
          <w:b/>
        </w:rPr>
        <w:t>DS05 Bucharest to Pitesti, Sibiu via a new link west of Ramnicu Valcea:</w:t>
      </w:r>
      <w:r w:rsidRPr="008C5B1B">
        <w:t xml:space="preserve"> 1tph between Bucharest and Pitesti, with alternate trains extended to Sibiu, plus a 2 hourly service from Brasov to Deva; </w:t>
      </w:r>
    </w:p>
    <w:p w:rsidR="00660414" w:rsidRPr="000A76BD" w:rsidRDefault="00660414" w:rsidP="00273D5E">
      <w:pPr>
        <w:pStyle w:val="BulletLevel1"/>
      </w:pPr>
      <w:r w:rsidRPr="008C5B1B">
        <w:rPr>
          <w:b/>
        </w:rPr>
        <w:t>DS06 Iasi to Cluj Napoca via Suceava and Dej:</w:t>
      </w:r>
      <w:r w:rsidRPr="008C5B1B">
        <w:t xml:space="preserve"> 2 hourly service, plus rehabilitation of track to design speeds;</w:t>
      </w:r>
    </w:p>
    <w:p w:rsidR="00660414" w:rsidRPr="000A76BD" w:rsidRDefault="00660414" w:rsidP="00273D5E">
      <w:pPr>
        <w:pStyle w:val="BulletLevel1"/>
      </w:pPr>
      <w:r w:rsidRPr="008C5B1B">
        <w:rPr>
          <w:b/>
        </w:rPr>
        <w:t>DS07 Cluj Napoca to Oradea:</w:t>
      </w:r>
      <w:r w:rsidRPr="008C5B1B">
        <w:t xml:space="preserve"> 2 hourly service, plus rehabilitation of track to design speeds, line doubling and electrification;</w:t>
      </w:r>
    </w:p>
    <w:p w:rsidR="00660414" w:rsidRPr="000A76BD" w:rsidRDefault="00660414" w:rsidP="00273D5E">
      <w:pPr>
        <w:pStyle w:val="BulletLevel1"/>
      </w:pPr>
      <w:r w:rsidRPr="008C5B1B">
        <w:rPr>
          <w:b/>
        </w:rPr>
        <w:t>DS08 Stamora Moravita to Oradea via Timisoara:</w:t>
      </w:r>
      <w:r w:rsidRPr="008C5B1B">
        <w:t xml:space="preserve"> 2 hourly service, plus rehabilitation of track to design speeds and electrification;</w:t>
      </w:r>
    </w:p>
    <w:p w:rsidR="00660414" w:rsidRPr="000A76BD" w:rsidRDefault="00660414" w:rsidP="00273D5E">
      <w:pPr>
        <w:pStyle w:val="BulletLevel1"/>
      </w:pPr>
      <w:r w:rsidRPr="008C5B1B">
        <w:rPr>
          <w:b/>
        </w:rPr>
        <w:t>DS09 Oradea to to Cluj Napoca via Satu Mare and Baia Mare:</w:t>
      </w:r>
      <w:r w:rsidRPr="008C5B1B">
        <w:t xml:space="preserve"> 2 hourly service, plus rehabilitation of track to design speeds;</w:t>
      </w:r>
    </w:p>
    <w:p w:rsidR="00660414" w:rsidRPr="000A76BD" w:rsidRDefault="00660414" w:rsidP="00273D5E">
      <w:pPr>
        <w:pStyle w:val="BulletLevel1"/>
      </w:pPr>
      <w:r w:rsidRPr="008C5B1B">
        <w:rPr>
          <w:b/>
        </w:rPr>
        <w:t>DS10 Bucharest to Giurgiu:</w:t>
      </w:r>
      <w:r w:rsidRPr="008C5B1B">
        <w:t xml:space="preserve"> 2 hourly service, plus electrification;</w:t>
      </w:r>
    </w:p>
    <w:p w:rsidR="00660414" w:rsidRPr="000A76BD" w:rsidRDefault="00660414" w:rsidP="00273D5E">
      <w:pPr>
        <w:pStyle w:val="BulletLevel1"/>
      </w:pPr>
      <w:r w:rsidRPr="008C5B1B">
        <w:rPr>
          <w:b/>
        </w:rPr>
        <w:t>DS11 Craiova to Calafat:</w:t>
      </w:r>
      <w:r w:rsidRPr="008C5B1B">
        <w:t xml:space="preserve"> 2 hourly service, plus electrification.</w:t>
      </w:r>
    </w:p>
    <w:p w:rsidR="00660414" w:rsidRPr="000A76BD" w:rsidRDefault="00660414" w:rsidP="00A4081F">
      <w:pPr>
        <w:pStyle w:val="NumberedParas"/>
      </w:pPr>
      <w:r w:rsidRPr="008C5B1B">
        <w:t xml:space="preserve">In addition to the proposed service pattern above, there are a number of key interchanges including Cluj Napoca, Timisoara, Brasov and Oradea where several services converge, albeit with relatively low frequencies. The timing of these connecting trains needs to be carefully scheduled to maximise the opportunities for interchange between these limited stop services, the complementary Regio trains and wider bus network. </w:t>
      </w:r>
    </w:p>
    <w:p w:rsidR="00660414" w:rsidRPr="000A76BD" w:rsidRDefault="00660414" w:rsidP="00A4081F">
      <w:pPr>
        <w:pStyle w:val="NumberedParas"/>
      </w:pPr>
      <w:r w:rsidRPr="008C5B1B">
        <w:t xml:space="preserve">In addition to the proposed network which could be served by a regular interval timetable, several other corridors were identified for improvements. These corridors include Fetesti to Faurei which would support the development of the agricultural economy in the area, plus links to Moldova from Faurei via Tecuci, Barlad, Vaslui and Iasi. The freight market would be the main beneficiary of the proposed improvements. However, making the economic case for these </w:t>
      </w:r>
      <w:r>
        <w:t xml:space="preserve">service </w:t>
      </w:r>
      <w:r w:rsidRPr="008C5B1B">
        <w:t>proposals will be challenging, especially given the proposed improvements for passengers services to / from Iasi via Pascani.</w:t>
      </w:r>
    </w:p>
    <w:p w:rsidR="00660414" w:rsidRPr="008C5B1B" w:rsidRDefault="00660414" w:rsidP="00A4081F">
      <w:pPr>
        <w:pStyle w:val="NumberedParas"/>
      </w:pPr>
      <w:r w:rsidRPr="008C5B1B">
        <w:t xml:space="preserve">Furthermore, stakeholders have identified a number of lines which could fulfil a tourism function, but do not feature on the proposed primary network. For example, </w:t>
      </w:r>
      <w:r w:rsidRPr="008C5B1B">
        <w:rPr>
          <w:rFonts w:cs="Arial"/>
          <w:lang w:val="ro-RO"/>
        </w:rPr>
        <w:t>Oraviţa-Anina, Caransebeş-Haţeg, Sibiu-Agnita, Turda-Abrud, Luduş-Magheruş and Tg. Mureş-Sovata Băi could be retained as secondary routes by the relevant local authorities, subject to more detailed assessments which take account of their tourism potential.</w:t>
      </w:r>
    </w:p>
    <w:p w:rsidR="00660414" w:rsidRPr="000A76BD" w:rsidRDefault="00660414" w:rsidP="00A4081F">
      <w:pPr>
        <w:pStyle w:val="NumberedParas"/>
      </w:pPr>
      <w:r w:rsidRPr="008C5B1B">
        <w:rPr>
          <w:lang w:val="ro-RO"/>
        </w:rPr>
        <w:t xml:space="preserve">The introduction of the new passenger services, along with the rehabilitation of the lines to help restore former line speeds, will also contribute to improving connectivity with the major ports. For example, rail links to the ports at Constanta, Galati, Braila, Cernavoda, Giurgiu, Calafat and Drobeta Turnu Severin would also be improved as a result of delivering these proposals. </w:t>
      </w:r>
      <w:r>
        <w:rPr>
          <w:lang w:val="ro-RO"/>
        </w:rPr>
        <w:t>They would contribute to improving port / rail modal integration.</w:t>
      </w:r>
    </w:p>
    <w:p w:rsidR="00660414" w:rsidRPr="000A76BD" w:rsidRDefault="00660414" w:rsidP="00FD34BC">
      <w:pPr>
        <w:pStyle w:val="Hdg3"/>
        <w:ind w:left="851"/>
      </w:pPr>
      <w:r w:rsidRPr="008C5B1B">
        <w:t>Station Facilities</w:t>
      </w:r>
    </w:p>
    <w:p w:rsidR="00660414" w:rsidRPr="000A76BD" w:rsidRDefault="00660414" w:rsidP="00A4081F">
      <w:pPr>
        <w:pStyle w:val="NumberedParas"/>
      </w:pPr>
      <w:r w:rsidRPr="008C5B1B">
        <w:rPr>
          <w:b/>
        </w:rPr>
        <w:t xml:space="preserve">Problem: </w:t>
      </w:r>
      <w:r w:rsidRPr="008C5B1B">
        <w:t xml:space="preserve">The facilities available at most railway stations in Romania are relatively poor and do not </w:t>
      </w:r>
      <w:r>
        <w:t xml:space="preserve">offer a high quality passenger environment when waiting for a service. </w:t>
      </w:r>
      <w:r w:rsidRPr="008C5B1B">
        <w:t>For example, there are no stations monitored by CCTV, whilst adequate lighting, seating areas, toilets and covered waiting shelters are generally not available;</w:t>
      </w:r>
    </w:p>
    <w:p w:rsidR="00660414" w:rsidRPr="008C5B1B" w:rsidRDefault="00660414" w:rsidP="00A4081F">
      <w:pPr>
        <w:pStyle w:val="NumberedParas"/>
        <w:rPr>
          <w:b/>
        </w:rPr>
      </w:pPr>
      <w:r w:rsidRPr="008C5B1B">
        <w:rPr>
          <w:b/>
        </w:rPr>
        <w:t xml:space="preserve">Proposed Solutions: </w:t>
      </w:r>
      <w:r w:rsidRPr="008C5B1B">
        <w:t xml:space="preserve">Real time information and communication systems also help to generate higher passenger demand by reducing the uncertainty about potential delays. In addition to improving the facilities described above, better links with other transport modes and pedestrian networks are required. The opportunity to improve facilities within each station will be determined by the current and potential usage, as well as the likely construction costs. The scope of improvements need to cover the feasibility of improved inter-modal facilities to ensure connections to onward modes become more convenient. In addition, facilities for the mobility impaired, installation of real time information, lifts, escalators, waiting facilities and refreshments will be required. </w:t>
      </w:r>
    </w:p>
    <w:p w:rsidR="00660414" w:rsidRPr="000A76BD" w:rsidRDefault="00660414" w:rsidP="00A4081F">
      <w:pPr>
        <w:pStyle w:val="NumberedParas"/>
        <w:rPr>
          <w:b/>
        </w:rPr>
      </w:pPr>
      <w:r w:rsidRPr="008C5B1B">
        <w:t>It is essential the stations identified for rehabilitation must be linked to those routes which are also expected to be modernised since there is little benefit of addressing the former without the impact of improving the latter. Possible stations that could benefit from upgrades include Baia Mare, Satu Mare, Timisoara Nord, Miercurea Ciuc and Rosiori de Vede.</w:t>
      </w:r>
    </w:p>
    <w:p w:rsidR="00660414" w:rsidRDefault="00660414" w:rsidP="00A4081F">
      <w:pPr>
        <w:pStyle w:val="NumberedParas"/>
        <w:numPr>
          <w:ilvl w:val="0"/>
          <w:numId w:val="0"/>
        </w:numPr>
        <w:ind w:left="993"/>
        <w:sectPr w:rsidR="00660414" w:rsidSect="007613DE">
          <w:type w:val="continuous"/>
          <w:pgSz w:w="11907" w:h="16840" w:code="9"/>
          <w:pgMar w:top="1418" w:right="709" w:bottom="1418" w:left="907" w:header="357" w:footer="567" w:gutter="0"/>
          <w:cols w:space="187"/>
          <w:docGrid w:linePitch="360"/>
        </w:sect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0ED6004B" wp14:editId="42D5E435">
            <wp:extent cx="8253682" cy="5697707"/>
            <wp:effectExtent l="0" t="0" r="0" b="0"/>
            <wp:docPr id="572" name="Picture 14" descr="C:\Users\alonsorv\Rod\01_Transport\Romania\Regular_interval_timetable_scheme\Regular_interval_timetable_t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onsorv\Rod\01_Transport\Romania\Regular_interval_timetable_scheme\Regular_interval_timetable_tests.jpg"/>
                    <pic:cNvPicPr>
                      <a:picLocks noChangeAspect="1" noChangeArrowheads="1"/>
                    </pic:cNvPicPr>
                  </pic:nvPicPr>
                  <pic:blipFill>
                    <a:blip r:embed="rId194" cstate="print"/>
                    <a:srcRect/>
                    <a:stretch>
                      <a:fillRect/>
                    </a:stretch>
                  </pic:blipFill>
                  <pic:spPr bwMode="auto">
                    <a:xfrm>
                      <a:off x="0" y="0"/>
                      <a:ext cx="8253682" cy="5697707"/>
                    </a:xfrm>
                    <a:prstGeom prst="rect">
                      <a:avLst/>
                    </a:prstGeom>
                    <a:noFill/>
                    <a:ln w="9525">
                      <a:noFill/>
                      <a:miter lim="800000"/>
                      <a:headEnd/>
                      <a:tailEnd/>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27</w:t>
      </w:r>
      <w:r w:rsidRPr="0075501B">
        <w:rPr>
          <w:b/>
          <w:sz w:val="22"/>
          <w:szCs w:val="22"/>
        </w:rPr>
        <w:fldChar w:fldCharType="end"/>
      </w:r>
      <w:r>
        <w:rPr>
          <w:b/>
          <w:sz w:val="22"/>
          <w:szCs w:val="22"/>
        </w:rPr>
        <w:t>:</w:t>
      </w:r>
      <w:r w:rsidRPr="0075501B">
        <w:rPr>
          <w:b/>
          <w:sz w:val="22"/>
          <w:szCs w:val="22"/>
        </w:rPr>
        <w:t xml:space="preserve"> </w:t>
      </w:r>
      <w:r>
        <w:rPr>
          <w:b/>
          <w:sz w:val="22"/>
          <w:szCs w:val="22"/>
        </w:rPr>
        <w:t>Proposed regular interval timetables</w:t>
      </w:r>
    </w:p>
    <w:p w:rsidR="00660414" w:rsidRPr="008C5B1B" w:rsidRDefault="00660414" w:rsidP="007613DE">
      <w:pPr>
        <w:rPr>
          <w:i/>
        </w:rPr>
      </w:pPr>
      <w:r w:rsidRPr="00F842FB">
        <w:rPr>
          <w:i/>
        </w:rPr>
        <w:t xml:space="preserve">Source: AECOM </w:t>
      </w:r>
      <w:r>
        <w:rPr>
          <w:i/>
        </w:rPr>
        <w:t>proposal</w:t>
      </w:r>
    </w:p>
    <w:p w:rsidR="00660414" w:rsidRPr="008C5B1B" w:rsidRDefault="00660414" w:rsidP="007613DE">
      <w:pPr>
        <w:rPr>
          <w:i/>
        </w:rPr>
        <w:sectPr w:rsidR="00660414" w:rsidRPr="008C5B1B" w:rsidSect="007613DE">
          <w:pgSz w:w="16840" w:h="11907" w:orient="landscape" w:code="9"/>
          <w:pgMar w:top="907" w:right="1418" w:bottom="709" w:left="1418" w:header="357" w:footer="567" w:gutter="0"/>
          <w:cols w:space="187"/>
          <w:docGrid w:linePitch="360"/>
        </w:sectPr>
      </w:pPr>
    </w:p>
    <w:p w:rsidR="00660414" w:rsidRPr="000A76BD" w:rsidRDefault="00660414" w:rsidP="00FD34BC">
      <w:pPr>
        <w:pStyle w:val="Hdg3"/>
        <w:ind w:left="851"/>
      </w:pPr>
      <w:bookmarkStart w:id="7967" w:name="_Toc398885058"/>
      <w:bookmarkStart w:id="7968" w:name="_Toc398885059"/>
      <w:bookmarkStart w:id="7969" w:name="_Toc398885060"/>
      <w:bookmarkStart w:id="7970" w:name="_Toc398885061"/>
      <w:bookmarkStart w:id="7971" w:name="_Toc398885062"/>
      <w:bookmarkStart w:id="7972" w:name="_Toc403555337"/>
      <w:bookmarkEnd w:id="7967"/>
      <w:bookmarkEnd w:id="7968"/>
      <w:bookmarkEnd w:id="7969"/>
      <w:bookmarkEnd w:id="7970"/>
      <w:r>
        <w:t xml:space="preserve">Rail Network </w:t>
      </w:r>
      <w:r w:rsidRPr="008C5B1B">
        <w:t>Electrification</w:t>
      </w:r>
    </w:p>
    <w:p w:rsidR="00660414" w:rsidRPr="000A76BD" w:rsidRDefault="00660414" w:rsidP="00A4081F">
      <w:pPr>
        <w:pStyle w:val="NumberedParas"/>
      </w:pPr>
      <w:r w:rsidRPr="008C5B1B">
        <w:t xml:space="preserve">The potential impact of electrification schemes has been evaluated. Data presented in a World Bank report indicated about 6,000km of the current network has not been electrified, so the business case for investment must be </w:t>
      </w:r>
      <w:r>
        <w:t>evaluated</w:t>
      </w:r>
      <w:r w:rsidRPr="008C5B1B">
        <w:t>. The business case for electrification is usually determined by the potential reduction in operating costs that could be realised, although these efficiencies can be supplemented by the quantifying the economic value of reducing emissions if electric trains are introduced to replace diesel examples. The following assumptions have been applied to calculate the benefits and costs associated with electrification:</w:t>
      </w:r>
    </w:p>
    <w:p w:rsidR="00660414" w:rsidRPr="000A76BD" w:rsidRDefault="00660414" w:rsidP="00273D5E">
      <w:pPr>
        <w:pStyle w:val="BulletLevel1"/>
      </w:pPr>
      <w:r w:rsidRPr="008C5B1B">
        <w:t>DMU cost for Inter-Regio trains: 52.6 lei / train kilometre;</w:t>
      </w:r>
    </w:p>
    <w:p w:rsidR="00660414" w:rsidRPr="000A76BD" w:rsidRDefault="00660414" w:rsidP="00273D5E">
      <w:pPr>
        <w:pStyle w:val="BulletLevel1"/>
      </w:pPr>
      <w:r w:rsidRPr="008C5B1B">
        <w:t>EMU cost for Inter-Regio trains: 39.5 lei / train kilometre;</w:t>
      </w:r>
    </w:p>
    <w:p w:rsidR="00660414" w:rsidRPr="000A76BD" w:rsidRDefault="00660414" w:rsidP="00273D5E">
      <w:pPr>
        <w:pStyle w:val="BulletLevel1"/>
      </w:pPr>
      <w:r w:rsidRPr="008C5B1B">
        <w:t>Value of air pollution – diesel train kilometre: 0.6239 EUR (costs were converted to lei to provide consistency with other inputs);</w:t>
      </w:r>
    </w:p>
    <w:p w:rsidR="00660414" w:rsidRPr="000A76BD" w:rsidRDefault="00660414" w:rsidP="00273D5E">
      <w:pPr>
        <w:pStyle w:val="BulletLevel1"/>
      </w:pPr>
      <w:r w:rsidRPr="008C5B1B">
        <w:t>Value of air pollution – electric train kilometre: 0 EUR (costs were converted to lei to provide consistency with other inputs);</w:t>
      </w:r>
    </w:p>
    <w:p w:rsidR="00660414" w:rsidRPr="000A76BD" w:rsidRDefault="00660414" w:rsidP="00273D5E">
      <w:pPr>
        <w:pStyle w:val="BulletLevel1"/>
      </w:pPr>
      <w:r w:rsidRPr="008C5B1B">
        <w:t>Value of greenhouse gas – diesel train kilometre: 0.1792 EUR (costs were converted to lei to provide consistency with other inputs);</w:t>
      </w:r>
    </w:p>
    <w:p w:rsidR="00660414" w:rsidRPr="000A76BD" w:rsidRDefault="00660414" w:rsidP="00273D5E">
      <w:pPr>
        <w:pStyle w:val="BulletLevel1"/>
      </w:pPr>
      <w:r w:rsidRPr="008C5B1B">
        <w:t>Value of greenhouse gas – electric train kilometre: 0.1557 EUR (costs were converted to lei to provide consistency with other inputs);</w:t>
      </w:r>
    </w:p>
    <w:p w:rsidR="00660414" w:rsidRPr="000A76BD" w:rsidRDefault="00660414" w:rsidP="00273D5E">
      <w:pPr>
        <w:pStyle w:val="BulletLevel1"/>
      </w:pPr>
      <w:r w:rsidRPr="008C5B1B">
        <w:t>Capital costs per kilometre are estimated as 3.09m lei per single track kilometre. This estimate reflects the typical electrification costs per track kilometre for other European schemes, adjusted to reflect the lower wage rates in Romania;</w:t>
      </w:r>
    </w:p>
    <w:p w:rsidR="00660414" w:rsidRPr="000A76BD" w:rsidRDefault="00660414" w:rsidP="00273D5E">
      <w:pPr>
        <w:pStyle w:val="BulletLevel1"/>
      </w:pPr>
      <w:r w:rsidRPr="008C5B1B">
        <w:t xml:space="preserve">Other inputs include specifying the minimum number of train kilometres per day and hence the annual total, plus the </w:t>
      </w:r>
      <w:r>
        <w:t xml:space="preserve">estimated </w:t>
      </w:r>
      <w:r w:rsidRPr="008C5B1B">
        <w:t xml:space="preserve">load factor, required to demonstrate the scheme offers a robust economic case (for example, the benefit cost ratio exceeds 1.0). </w:t>
      </w:r>
    </w:p>
    <w:p w:rsidR="00660414" w:rsidRPr="000A76BD" w:rsidRDefault="00660414" w:rsidP="00273D5E">
      <w:pPr>
        <w:pStyle w:val="BulletLevel1"/>
      </w:pPr>
      <w:r w:rsidRPr="008C5B1B">
        <w:t>The values for the environmental parameters are based on the ‘rural’ rather than the ‘metropolitan’ area. The percentage of the railway that operates in the latter area is relatively small, so it is assumed that 100% of the route is located within a former area.</w:t>
      </w:r>
    </w:p>
    <w:p w:rsidR="00660414" w:rsidRPr="000A76BD" w:rsidRDefault="00660414" w:rsidP="00A4081F">
      <w:pPr>
        <w:pStyle w:val="NumberedParas"/>
      </w:pPr>
      <w:r w:rsidRPr="008C5B1B">
        <w:t>For a notional 100km electrification scheme, the high level results indicate an average of 1 train per hour in each direction for a 17 hour period would need to operate using electric traction to produce a positive business case (benefits exceed costs). All trains operating on this 100km section are assumed to be converted from diesel to electric traction to generate the necessary benefits. A conversion factor of 350 has been assumed to convert the daily totals to annuals. This minimum frequency threshold to make a positive business would need to be increased if there are sections of double track on the individual route sections, for example, Cluj Napoca to Oradea. Capital costs would be higher if a double track section of the network was electrified rather than a single track section would require a higher service frequency to produce a robust economic case. Assuming about 50% of the proposed route is double, the minimum frequency would need to increase by a similar proportion to generate sufficient benefits.</w:t>
      </w:r>
    </w:p>
    <w:p w:rsidR="00660414" w:rsidRPr="000A76BD" w:rsidRDefault="00660414" w:rsidP="00A4081F">
      <w:pPr>
        <w:pStyle w:val="NumberedParas"/>
      </w:pPr>
      <w:r w:rsidRPr="008C5B1B">
        <w:t xml:space="preserve">The business case for electrifying individual route sections has been examined to determine whether minimum frequencies are reached. This assessment has been conducted based on the current timetable, as well as the future service pattern </w:t>
      </w:r>
      <w:r>
        <w:t>featuring a</w:t>
      </w:r>
      <w:r w:rsidRPr="008C5B1B">
        <w:t xml:space="preserve"> regular interval pattern</w:t>
      </w:r>
      <w:r>
        <w:t xml:space="preserve">. </w:t>
      </w:r>
      <w:r w:rsidRPr="008C5B1B">
        <w:t xml:space="preserve">This analysis indicated the section between Oradea and Cluj Napoca should be electrified regardless of the potential future timetable changes. There may be a case for electrifying the line from Galati / Tecuci to Barlad and Iasi, although </w:t>
      </w:r>
      <w:r>
        <w:t xml:space="preserve">some </w:t>
      </w:r>
      <w:r w:rsidRPr="008C5B1B">
        <w:t xml:space="preserve">parts of this line do not have sufficient trains to make an economic case.  </w:t>
      </w:r>
    </w:p>
    <w:p w:rsidR="00660414" w:rsidRPr="000A76BD" w:rsidRDefault="00660414" w:rsidP="00A4081F">
      <w:pPr>
        <w:pStyle w:val="NumberedParas"/>
      </w:pPr>
      <w:r w:rsidRPr="008C5B1B">
        <w:t>There are a small number of other schemes that may generate a positive case for electrification assuming an improved timetable is introduced. This includes Bucharest to Pitesti and Brasov to Alba Iulia via Sibiu. In addition, there may be a case for electrifying between Santana to Oradea and Baia Mare to Dej, although this depends on the likely changes to the Regio services once an improved InterRegio timetable is introduced. The current train frequencies operating on non-electrified lines are included in Table 5.13.</w:t>
      </w:r>
    </w:p>
    <w:p w:rsidR="00660414" w:rsidRPr="000A76BD" w:rsidRDefault="00660414" w:rsidP="00A4081F">
      <w:pPr>
        <w:pStyle w:val="NumberedParas"/>
      </w:pPr>
      <w:r w:rsidRPr="008C5B1B">
        <w:t xml:space="preserve">The electrification of the Core TEN-T network will include Craiova to Calafat, Giurgiu to Bucharest and Suceava to Ukraine. However, using the criteria described above, the business case to electrify these parts of the network would be relatively weak given the current number of trains. </w:t>
      </w:r>
    </w:p>
    <w:p w:rsidR="00660414" w:rsidRPr="000A76BD" w:rsidRDefault="00660414" w:rsidP="00660414">
      <w:pPr>
        <w:pStyle w:val="Caption"/>
        <w:rPr>
          <w:b/>
          <w:sz w:val="22"/>
          <w:szCs w:val="22"/>
        </w:rPr>
      </w:pPr>
      <w:r w:rsidRPr="001F5936">
        <w:rPr>
          <w:b/>
          <w:sz w:val="22"/>
          <w:szCs w:val="22"/>
        </w:rPr>
        <w:t>Table 5.</w:t>
      </w:r>
      <w:r w:rsidRPr="008C5B1B">
        <w:rPr>
          <w:b/>
          <w:bCs w:val="0"/>
          <w:sz w:val="22"/>
          <w:szCs w:val="22"/>
        </w:rPr>
        <w:fldChar w:fldCharType="begin"/>
      </w:r>
      <w:r w:rsidRPr="001F5936">
        <w:rPr>
          <w:b/>
          <w:sz w:val="22"/>
          <w:szCs w:val="22"/>
        </w:rPr>
        <w:instrText xml:space="preserve"> SEQ Table \* ARABIC </w:instrText>
      </w:r>
      <w:r w:rsidRPr="008C5B1B">
        <w:rPr>
          <w:b/>
          <w:bCs w:val="0"/>
          <w:sz w:val="22"/>
          <w:szCs w:val="22"/>
        </w:rPr>
        <w:fldChar w:fldCharType="separate"/>
      </w:r>
      <w:r w:rsidR="00C168ED">
        <w:rPr>
          <w:b/>
          <w:noProof/>
          <w:sz w:val="22"/>
          <w:szCs w:val="22"/>
        </w:rPr>
        <w:t>11</w:t>
      </w:r>
      <w:r w:rsidRPr="008C5B1B">
        <w:rPr>
          <w:b/>
          <w:bCs w:val="0"/>
          <w:sz w:val="22"/>
          <w:szCs w:val="22"/>
        </w:rPr>
        <w:fldChar w:fldCharType="end"/>
      </w:r>
      <w:r w:rsidRPr="001F5936">
        <w:rPr>
          <w:b/>
          <w:sz w:val="22"/>
          <w:szCs w:val="22"/>
        </w:rPr>
        <w:t>:</w:t>
      </w:r>
      <w:r>
        <w:rPr>
          <w:b/>
          <w:sz w:val="22"/>
          <w:szCs w:val="22"/>
        </w:rPr>
        <w:t xml:space="preserve"> Summary of Current and Proposed Daily Frequencies (one-way)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1011"/>
        <w:gridCol w:w="901"/>
        <w:gridCol w:w="3344"/>
        <w:gridCol w:w="1116"/>
        <w:gridCol w:w="982"/>
      </w:tblGrid>
      <w:tr w:rsidR="00660414" w:rsidRPr="000A76BD" w:rsidTr="007613DE">
        <w:trPr>
          <w:trHeight w:val="393"/>
          <w:tblHeader/>
        </w:trPr>
        <w:tc>
          <w:tcPr>
            <w:tcW w:w="1525" w:type="pct"/>
            <w:shd w:val="clear" w:color="auto" w:fill="B8CCE4" w:themeFill="accent1" w:themeFillTint="66"/>
            <w:vAlign w:val="center"/>
          </w:tcPr>
          <w:p w:rsidR="00660414" w:rsidRPr="008C5B1B" w:rsidRDefault="00660414" w:rsidP="007613DE">
            <w:pPr>
              <w:rPr>
                <w:b/>
                <w:sz w:val="22"/>
                <w:szCs w:val="22"/>
              </w:rPr>
            </w:pPr>
            <w:r w:rsidRPr="008C5B1B">
              <w:rPr>
                <w:b/>
                <w:sz w:val="22"/>
                <w:szCs w:val="22"/>
              </w:rPr>
              <w:t>Route Section</w:t>
            </w:r>
          </w:p>
        </w:tc>
        <w:tc>
          <w:tcPr>
            <w:tcW w:w="441" w:type="pct"/>
            <w:shd w:val="clear" w:color="auto" w:fill="B8CCE4" w:themeFill="accent1" w:themeFillTint="66"/>
            <w:vAlign w:val="center"/>
          </w:tcPr>
          <w:p w:rsidR="00660414" w:rsidRPr="008C5B1B" w:rsidRDefault="00660414" w:rsidP="007613DE">
            <w:pPr>
              <w:jc w:val="center"/>
              <w:rPr>
                <w:b/>
                <w:sz w:val="22"/>
                <w:szCs w:val="22"/>
              </w:rPr>
            </w:pPr>
            <w:r w:rsidRPr="008C5B1B">
              <w:rPr>
                <w:b/>
                <w:sz w:val="22"/>
                <w:szCs w:val="22"/>
              </w:rPr>
              <w:t>Current</w:t>
            </w:r>
          </w:p>
        </w:tc>
        <w:tc>
          <w:tcPr>
            <w:tcW w:w="370" w:type="pct"/>
            <w:shd w:val="clear" w:color="auto" w:fill="B8CCE4" w:themeFill="accent1" w:themeFillTint="66"/>
            <w:vAlign w:val="center"/>
          </w:tcPr>
          <w:p w:rsidR="00660414" w:rsidRPr="008C5B1B" w:rsidRDefault="00660414" w:rsidP="007613DE">
            <w:pPr>
              <w:jc w:val="center"/>
              <w:rPr>
                <w:b/>
                <w:sz w:val="22"/>
                <w:szCs w:val="22"/>
              </w:rPr>
            </w:pPr>
            <w:r w:rsidRPr="008C5B1B">
              <w:rPr>
                <w:b/>
                <w:sz w:val="22"/>
                <w:szCs w:val="22"/>
              </w:rPr>
              <w:t>Future</w:t>
            </w:r>
          </w:p>
        </w:tc>
        <w:tc>
          <w:tcPr>
            <w:tcW w:w="1616" w:type="pct"/>
            <w:shd w:val="clear" w:color="auto" w:fill="B8CCE4" w:themeFill="accent1" w:themeFillTint="66"/>
            <w:vAlign w:val="center"/>
          </w:tcPr>
          <w:p w:rsidR="00660414" w:rsidRPr="008C5B1B" w:rsidRDefault="00660414" w:rsidP="007613DE">
            <w:pPr>
              <w:rPr>
                <w:b/>
                <w:sz w:val="22"/>
                <w:szCs w:val="22"/>
              </w:rPr>
            </w:pPr>
            <w:r w:rsidRPr="008C5B1B">
              <w:rPr>
                <w:b/>
                <w:sz w:val="22"/>
                <w:szCs w:val="22"/>
              </w:rPr>
              <w:t>Route Section</w:t>
            </w:r>
          </w:p>
        </w:tc>
        <w:tc>
          <w:tcPr>
            <w:tcW w:w="556" w:type="pct"/>
            <w:shd w:val="clear" w:color="auto" w:fill="B8CCE4" w:themeFill="accent1" w:themeFillTint="66"/>
            <w:vAlign w:val="center"/>
          </w:tcPr>
          <w:p w:rsidR="00660414" w:rsidRPr="008C5B1B" w:rsidRDefault="00660414" w:rsidP="007613DE">
            <w:pPr>
              <w:jc w:val="center"/>
              <w:rPr>
                <w:b/>
                <w:sz w:val="22"/>
                <w:szCs w:val="22"/>
              </w:rPr>
            </w:pPr>
            <w:r w:rsidRPr="008C5B1B">
              <w:rPr>
                <w:b/>
                <w:sz w:val="22"/>
                <w:szCs w:val="22"/>
              </w:rPr>
              <w:t>Current</w:t>
            </w:r>
          </w:p>
        </w:tc>
        <w:tc>
          <w:tcPr>
            <w:tcW w:w="493" w:type="pct"/>
            <w:shd w:val="clear" w:color="auto" w:fill="B8CCE4" w:themeFill="accent1" w:themeFillTint="66"/>
            <w:vAlign w:val="center"/>
          </w:tcPr>
          <w:p w:rsidR="00660414" w:rsidRPr="008C5B1B" w:rsidRDefault="00660414" w:rsidP="007613DE">
            <w:pPr>
              <w:jc w:val="center"/>
              <w:rPr>
                <w:b/>
                <w:sz w:val="22"/>
                <w:szCs w:val="22"/>
              </w:rPr>
            </w:pPr>
            <w:r w:rsidRPr="008C5B1B">
              <w:rPr>
                <w:b/>
                <w:sz w:val="22"/>
                <w:szCs w:val="22"/>
              </w:rPr>
              <w:t>Future</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Galati – Barlad – Crasna – Iasi – Husi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Brasov – Sibiu – Alba Iulia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14</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17</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lang w:val="es-ES_tradnl"/>
              </w:rPr>
            </w:pPr>
            <w:r w:rsidRPr="008C5B1B">
              <w:rPr>
                <w:sz w:val="22"/>
                <w:szCs w:val="22"/>
                <w:lang w:val="es-ES_tradnl"/>
              </w:rPr>
              <w:t>Veresti – Botosani – Dangeni – Iasi – Cristesti Jijia</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4-9</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4-9</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Blaj – Tarnaveni</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11</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11</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Darmanesti – Dornesti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Tarnaveni – Praid</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Dornesti – Nisipitu</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Razboleni – Targu Mares – Deda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13</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13</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Bicaz – Bacau</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Razboleni – Sarmasu – Sieu Magherus</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Roman – Buhaiesti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Deva – Arad via Santana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Ploiesti – Urziceni – Giurgeni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Santana – Oradea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12</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19</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Bucharest – Urziceni – Faurei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Oradea – Cluj Napoca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23</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27</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Faurei – Tecuci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Oradea – Satu Mare</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Ploiesti – Slanic</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3</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3</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Satu Mare – Baia Mare</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14</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Ploiesti – Maneciu</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Baia Mare – Dej</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11</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19</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Bucharest – Pitesti</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16</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22</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Jibou – Saculeni</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Pitesti – Curtea de Arges</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Satu Mare – Bixad</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Pitesti – Argesel</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Jibou – Carei</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Pitesti – Rosiori de Vede</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Timisoara – Resita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11</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11</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Pitesti – Craiova</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Timsisoara – Jimbola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3</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3</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Rosiori de Vede – Zimnices</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Timisoara – Sannicolau Mare</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lang w:val="es-ES_tradnl"/>
              </w:rPr>
            </w:pPr>
            <w:r w:rsidRPr="008C5B1B">
              <w:rPr>
                <w:sz w:val="22"/>
                <w:szCs w:val="22"/>
                <w:lang w:val="es-ES_tradnl"/>
              </w:rPr>
              <w:t>Rosiori de Vede – Turnu Magurele</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Salva – Valea Viseului</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Corabia – Caracal</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6</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Medgidic – Tulcea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Caracal – Sibiu</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13</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Medgidic – Negru Voda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Craiova – Calafat</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4</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Eforie – Mangalia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Bucharest – Oltenita</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Videle – Giurgiu</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7</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Buzau – Neholasu</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Caransebes – Subcetate</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5</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Sibiu – Copsa Mica</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13</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13</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Lugoj – Illa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9</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 xml:space="preserve">Tecuci </w:t>
            </w:r>
            <w:r>
              <w:rPr>
                <w:sz w:val="22"/>
                <w:szCs w:val="22"/>
              </w:rPr>
              <w:t>–</w:t>
            </w:r>
            <w:r w:rsidRPr="008C5B1B">
              <w:rPr>
                <w:sz w:val="22"/>
                <w:szCs w:val="22"/>
              </w:rPr>
              <w:t xml:space="preserve"> Barlad</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15</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15</w:t>
            </w:r>
          </w:p>
        </w:tc>
        <w:tc>
          <w:tcPr>
            <w:tcW w:w="1616" w:type="pct"/>
            <w:shd w:val="clear" w:color="auto" w:fill="auto"/>
            <w:vAlign w:val="center"/>
          </w:tcPr>
          <w:p w:rsidR="00660414" w:rsidRPr="008C5B1B" w:rsidRDefault="00660414" w:rsidP="007613DE">
            <w:pPr>
              <w:spacing w:after="120"/>
              <w:rPr>
                <w:sz w:val="22"/>
                <w:szCs w:val="22"/>
              </w:rPr>
            </w:pPr>
            <w:r w:rsidRPr="008C5B1B">
              <w:rPr>
                <w:sz w:val="22"/>
                <w:szCs w:val="22"/>
              </w:rPr>
              <w:t>Bucharest – Giurgiu via Baneasa</w:t>
            </w:r>
          </w:p>
        </w:tc>
        <w:tc>
          <w:tcPr>
            <w:tcW w:w="556"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c>
          <w:tcPr>
            <w:tcW w:w="493" w:type="pct"/>
            <w:shd w:val="clear" w:color="auto" w:fill="auto"/>
            <w:vAlign w:val="center"/>
          </w:tcPr>
          <w:p w:rsidR="00660414" w:rsidRPr="008C5B1B" w:rsidRDefault="00660414" w:rsidP="007613DE">
            <w:pPr>
              <w:spacing w:after="120"/>
              <w:jc w:val="center"/>
              <w:rPr>
                <w:sz w:val="22"/>
                <w:szCs w:val="22"/>
              </w:rPr>
            </w:pPr>
            <w:r w:rsidRPr="008C5B1B">
              <w:rPr>
                <w:sz w:val="22"/>
                <w:szCs w:val="22"/>
              </w:rPr>
              <w:t>2</w:t>
            </w:r>
          </w:p>
        </w:tc>
      </w:tr>
      <w:tr w:rsidR="00660414" w:rsidRPr="000A76BD" w:rsidTr="007613DE">
        <w:tc>
          <w:tcPr>
            <w:tcW w:w="1525" w:type="pct"/>
            <w:shd w:val="clear" w:color="auto" w:fill="auto"/>
            <w:vAlign w:val="center"/>
          </w:tcPr>
          <w:p w:rsidR="00660414" w:rsidRPr="008C5B1B" w:rsidRDefault="00660414" w:rsidP="007613DE">
            <w:pPr>
              <w:spacing w:after="120"/>
              <w:rPr>
                <w:sz w:val="22"/>
                <w:szCs w:val="22"/>
              </w:rPr>
            </w:pPr>
            <w:r w:rsidRPr="008C5B1B">
              <w:rPr>
                <w:sz w:val="22"/>
                <w:szCs w:val="22"/>
              </w:rPr>
              <w:t>Timisoara – Stamora Moravita</w:t>
            </w:r>
          </w:p>
        </w:tc>
        <w:tc>
          <w:tcPr>
            <w:tcW w:w="441"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370" w:type="pct"/>
            <w:shd w:val="clear" w:color="auto" w:fill="auto"/>
            <w:vAlign w:val="center"/>
          </w:tcPr>
          <w:p w:rsidR="00660414" w:rsidRPr="008C5B1B" w:rsidRDefault="00660414" w:rsidP="007613DE">
            <w:pPr>
              <w:spacing w:after="120"/>
              <w:jc w:val="center"/>
              <w:rPr>
                <w:sz w:val="22"/>
                <w:szCs w:val="22"/>
              </w:rPr>
            </w:pPr>
            <w:r w:rsidRPr="008C5B1B">
              <w:rPr>
                <w:sz w:val="22"/>
                <w:szCs w:val="22"/>
              </w:rPr>
              <w:t>10</w:t>
            </w:r>
          </w:p>
        </w:tc>
        <w:tc>
          <w:tcPr>
            <w:tcW w:w="1616" w:type="pct"/>
            <w:shd w:val="clear" w:color="auto" w:fill="auto"/>
            <w:vAlign w:val="center"/>
          </w:tcPr>
          <w:p w:rsidR="00660414" w:rsidRPr="008C5B1B" w:rsidRDefault="00660414" w:rsidP="007613DE">
            <w:pPr>
              <w:spacing w:after="120"/>
              <w:rPr>
                <w:sz w:val="22"/>
                <w:szCs w:val="22"/>
              </w:rPr>
            </w:pPr>
          </w:p>
        </w:tc>
        <w:tc>
          <w:tcPr>
            <w:tcW w:w="556" w:type="pct"/>
            <w:shd w:val="clear" w:color="auto" w:fill="auto"/>
            <w:vAlign w:val="center"/>
          </w:tcPr>
          <w:p w:rsidR="00660414" w:rsidRPr="008C5B1B" w:rsidRDefault="00660414" w:rsidP="007613DE">
            <w:pPr>
              <w:spacing w:after="120"/>
              <w:jc w:val="center"/>
              <w:rPr>
                <w:sz w:val="22"/>
                <w:szCs w:val="22"/>
              </w:rPr>
            </w:pPr>
          </w:p>
        </w:tc>
        <w:tc>
          <w:tcPr>
            <w:tcW w:w="493" w:type="pct"/>
            <w:shd w:val="clear" w:color="auto" w:fill="auto"/>
            <w:vAlign w:val="center"/>
          </w:tcPr>
          <w:p w:rsidR="00660414" w:rsidRPr="008C5B1B" w:rsidRDefault="00660414" w:rsidP="007613DE">
            <w:pPr>
              <w:spacing w:after="120"/>
              <w:jc w:val="center"/>
              <w:rPr>
                <w:sz w:val="22"/>
                <w:szCs w:val="22"/>
              </w:rPr>
            </w:pPr>
          </w:p>
        </w:tc>
      </w:tr>
    </w:tbl>
    <w:p w:rsidR="00660414" w:rsidRPr="007B1E1D" w:rsidRDefault="00660414" w:rsidP="007613DE">
      <w:pPr>
        <w:rPr>
          <w:i/>
        </w:rPr>
      </w:pPr>
      <w:r w:rsidRPr="00F842FB">
        <w:rPr>
          <w:i/>
        </w:rPr>
        <w:t xml:space="preserve">Source: AECOM </w:t>
      </w:r>
      <w:r>
        <w:rPr>
          <w:i/>
        </w:rPr>
        <w:t>proposal</w:t>
      </w:r>
    </w:p>
    <w:p w:rsidR="00660414" w:rsidRPr="000A76BD" w:rsidRDefault="00660414" w:rsidP="00FD34BC">
      <w:pPr>
        <w:pStyle w:val="Hdg3"/>
        <w:ind w:left="851"/>
      </w:pPr>
      <w:r w:rsidRPr="008C5B1B">
        <w:t xml:space="preserve">New Track Infrastructure </w:t>
      </w:r>
    </w:p>
    <w:p w:rsidR="00660414" w:rsidRDefault="00660414" w:rsidP="00A4081F">
      <w:pPr>
        <w:pStyle w:val="NumberedParas"/>
      </w:pPr>
      <w:r w:rsidRPr="008C5B1B">
        <w:t xml:space="preserve">The electrification of the Core TEN-T network will include Craiova to Calafat, Giurgiu to Bucharest and Suceava to Ukraine. However, using the criteria described above, the business case to electrify these parts of the network would be relatively weak given the current number of trains. </w:t>
      </w:r>
    </w:p>
    <w:p w:rsidR="00660414" w:rsidRPr="000A76BD" w:rsidRDefault="00660414" w:rsidP="00FD34BC">
      <w:pPr>
        <w:pStyle w:val="Hdg3"/>
        <w:ind w:left="851"/>
      </w:pPr>
      <w:r w:rsidRPr="008C5B1B">
        <w:t>Theme 7 Poor Infrastructure and Unattractive Freight Services</w:t>
      </w:r>
    </w:p>
    <w:p w:rsidR="00660414" w:rsidRDefault="00660414" w:rsidP="00A4081F">
      <w:pPr>
        <w:pStyle w:val="NumberedParas"/>
      </w:pPr>
      <w:r w:rsidRPr="008C5B1B">
        <w:rPr>
          <w:b/>
        </w:rPr>
        <w:t xml:space="preserve">Problem: </w:t>
      </w:r>
      <w:r w:rsidRPr="008C5B1B">
        <w:t xml:space="preserve">The existing permitted top speed for rail freight on several corridors is too slow to compete effectively with </w:t>
      </w:r>
      <w:r>
        <w:t>road based alternatives</w:t>
      </w:r>
      <w:r w:rsidRPr="008C5B1B">
        <w:t xml:space="preserve">. </w:t>
      </w:r>
      <w:r w:rsidRPr="008C5B1B">
        <w:rPr>
          <w:lang w:eastAsia="en-GB"/>
        </w:rPr>
        <w:t>This intervention will address the current low average speed of rail freight in Romania (21km/h), which makes rail freight expensive, slow and uncompetitive compared to road transport;</w:t>
      </w:r>
    </w:p>
    <w:p w:rsidR="00660414" w:rsidRDefault="00660414" w:rsidP="00A4081F">
      <w:pPr>
        <w:pStyle w:val="NumberedParas"/>
        <w:rPr>
          <w:lang w:eastAsia="en-GB"/>
        </w:rPr>
      </w:pPr>
      <w:r w:rsidRPr="008C5B1B">
        <w:rPr>
          <w:b/>
        </w:rPr>
        <w:t>Proposed Solution:</w:t>
      </w:r>
      <w:r w:rsidRPr="008C5B1B">
        <w:t xml:space="preserve"> AECOM proposes that CFR Infrastructure allow</w:t>
      </w:r>
      <w:r>
        <w:t>s</w:t>
      </w:r>
      <w:r w:rsidRPr="008C5B1B">
        <w:t xml:space="preserve"> a higher top speed for certain freight trains on rehabilitated lines - 120kph for intermodal block trains whilst the 80kph design speed should be achievable for other bulk and mixed traffic. This would increase rail speeds to </w:t>
      </w:r>
      <w:r>
        <w:t xml:space="preserve">the </w:t>
      </w:r>
      <w:r w:rsidRPr="008C5B1B">
        <w:t xml:space="preserve">target design speeds. Furthermore, the creation of a two tier system to allow properly equipped and dedicated intermodal trains to be prioritised over other types of bulk freight should be examined. This would potentially give </w:t>
      </w:r>
      <w:r>
        <w:t>f</w:t>
      </w:r>
      <w:r w:rsidRPr="008C5B1B">
        <w:t xml:space="preserve">reight services </w:t>
      </w:r>
      <w:r>
        <w:t xml:space="preserve">priority versus </w:t>
      </w:r>
      <w:r w:rsidRPr="008C5B1B">
        <w:t>local stopping passenger services</w:t>
      </w:r>
      <w:r>
        <w:t xml:space="preserve">. </w:t>
      </w:r>
      <w:r w:rsidRPr="008C5B1B">
        <w:t xml:space="preserve">This intervention will encourage the uptake of rail freight for intermodal transport, significantly reducing carbon emissions </w:t>
      </w:r>
      <w:r>
        <w:t xml:space="preserve">resulting from in </w:t>
      </w:r>
      <w:r w:rsidRPr="008C5B1B">
        <w:t xml:space="preserve">switch from road. </w:t>
      </w:r>
    </w:p>
    <w:p w:rsidR="00660414" w:rsidRPr="000A76BD" w:rsidRDefault="00660414" w:rsidP="00FD34BC">
      <w:pPr>
        <w:pStyle w:val="Hdg3"/>
        <w:ind w:left="851"/>
      </w:pPr>
      <w:r w:rsidRPr="008C5B1B">
        <w:t>Theme 8 Inadequate freight management and operations</w:t>
      </w:r>
    </w:p>
    <w:p w:rsidR="00660414" w:rsidRPr="008C5B1B" w:rsidRDefault="00660414" w:rsidP="00A4081F">
      <w:pPr>
        <w:pStyle w:val="NumberedParas"/>
      </w:pPr>
      <w:r w:rsidRPr="008C5B1B">
        <w:rPr>
          <w:b/>
        </w:rPr>
        <w:t>Problem:</w:t>
      </w:r>
      <w:r w:rsidRPr="008C5B1B">
        <w:t xml:space="preserve"> Current working practices are not consistent with modern best practice and need to be revamped to promote greater efficiency. The current uptake of more efficient new technologies is low, with old systems and paperwork coupled with lack of training hindering the development of</w:t>
      </w:r>
      <w:r>
        <w:t xml:space="preserve"> a </w:t>
      </w:r>
      <w:r w:rsidRPr="008C5B1B">
        <w:t xml:space="preserve">modern railway. For example, train sheets are filled in manually with every wagon number recorded in handwriting and then where each wagon needed to be moved to. </w:t>
      </w:r>
    </w:p>
    <w:p w:rsidR="00660414" w:rsidRPr="008C5B1B" w:rsidRDefault="00660414" w:rsidP="00A4081F">
      <w:pPr>
        <w:pStyle w:val="NumberedParas"/>
        <w:rPr>
          <w:b/>
        </w:rPr>
      </w:pPr>
      <w:r w:rsidRPr="008C5B1B">
        <w:rPr>
          <w:b/>
        </w:rPr>
        <w:t xml:space="preserve">Proposed Solution: </w:t>
      </w:r>
      <w:r w:rsidRPr="008C5B1B">
        <w:t xml:space="preserve">Companies should adopt modern practice and technologies such as the use of GPS for rolling stock tracking. This needs to be accompanied by the creation of modern training courses in rail operation systems and technology for existing and new staff. This approach would enhance the asset performance of the railway by encouraging operational efficiencies. This scheme would be implemented by CFR SA, CFR Marfa, private operators and training bodies between 2015 and 2020. </w:t>
      </w:r>
    </w:p>
    <w:p w:rsidR="00660414" w:rsidRPr="000A76BD" w:rsidRDefault="00660414" w:rsidP="00FD34BC">
      <w:pPr>
        <w:pStyle w:val="Hdg3"/>
        <w:ind w:left="851"/>
      </w:pPr>
      <w:r w:rsidRPr="008C5B1B">
        <w:t>Theme 9 Infrastructure deficit affecting freight services</w:t>
      </w:r>
    </w:p>
    <w:p w:rsidR="00660414" w:rsidRDefault="00660414" w:rsidP="00A4081F">
      <w:pPr>
        <w:pStyle w:val="NumberedParas"/>
      </w:pPr>
      <w:r w:rsidRPr="008C5B1B">
        <w:rPr>
          <w:b/>
        </w:rPr>
        <w:t>Problem:</w:t>
      </w:r>
      <w:r w:rsidRPr="008C5B1B">
        <w:t xml:space="preserve"> A 20.5 tonne axle limit is currently in force, but this is less than the EU rail network standard of 22.5t. Many trains and rolling stock are thus used in a sub-optimal way. Furthermore, there is currently no section of track, for example, where power recovery </w:t>
      </w:r>
      <w:r>
        <w:t xml:space="preserve">from overhead electrification </w:t>
      </w:r>
      <w:r w:rsidRPr="008C5B1B">
        <w:t>is possible which could significantly reduce costs and improve the sustainability of the network.</w:t>
      </w:r>
    </w:p>
    <w:p w:rsidR="00660414" w:rsidRPr="008C5B1B" w:rsidRDefault="00660414" w:rsidP="00A4081F">
      <w:pPr>
        <w:pStyle w:val="NumberedParas"/>
        <w:rPr>
          <w:b/>
        </w:rPr>
      </w:pPr>
      <w:r w:rsidRPr="008C5B1B">
        <w:rPr>
          <w:b/>
        </w:rPr>
        <w:t xml:space="preserve">Proposed Solution: </w:t>
      </w:r>
      <w:r w:rsidRPr="008C5B1B">
        <w:t xml:space="preserve">To encourage international and transit traffic </w:t>
      </w:r>
      <w:r>
        <w:t xml:space="preserve">interventions that </w:t>
      </w:r>
      <w:r w:rsidRPr="008C5B1B">
        <w:t>allow 22.5 tonne axle weights on rehabilitated routes</w:t>
      </w:r>
      <w:r>
        <w:t xml:space="preserve"> should be supported</w:t>
      </w:r>
      <w:r w:rsidRPr="008C5B1B">
        <w:t xml:space="preserve">. Clearly the whole route needs to be cleared for operators to use this </w:t>
      </w:r>
      <w:r>
        <w:t>effectively</w:t>
      </w:r>
      <w:r w:rsidRPr="008C5B1B">
        <w:t xml:space="preserve">. </w:t>
      </w:r>
      <w:r>
        <w:t>This feature sh</w:t>
      </w:r>
      <w:r w:rsidRPr="008C5B1B">
        <w:t xml:space="preserve">ould be integrated into all future route rehabilitation. </w:t>
      </w:r>
      <w:r>
        <w:t xml:space="preserve">It </w:t>
      </w:r>
      <w:r w:rsidRPr="008C5B1B">
        <w:t xml:space="preserve">would enhance the asset performance of the railway especially </w:t>
      </w:r>
      <w:r>
        <w:t xml:space="preserve">the </w:t>
      </w:r>
      <w:r w:rsidRPr="008C5B1B">
        <w:t xml:space="preserve">opportunities to achieve operational efficiencies. Upgrading to the </w:t>
      </w:r>
      <w:r>
        <w:t xml:space="preserve">higher </w:t>
      </w:r>
      <w:r w:rsidRPr="008C5B1B">
        <w:t xml:space="preserve">axle weight will enable more efficient loading of </w:t>
      </w:r>
      <w:r>
        <w:t>wagons</w:t>
      </w:r>
      <w:r w:rsidRPr="008C5B1B">
        <w:t>. For a 30 wagon train</w:t>
      </w:r>
      <w:r>
        <w:t>,</w:t>
      </w:r>
      <w:r w:rsidRPr="008C5B1B">
        <w:t xml:space="preserve"> this equates to an additional 240 tonnes of product (a 15% </w:t>
      </w:r>
      <w:r>
        <w:t>increase</w:t>
      </w:r>
      <w:r w:rsidRPr="008C5B1B">
        <w:t>). It will also improve through-running of international trains.</w:t>
      </w:r>
      <w:r w:rsidRPr="008C5B1B">
        <w:rPr>
          <w:b/>
          <w:i/>
          <w:lang w:eastAsia="en-GB"/>
        </w:rPr>
        <w:t xml:space="preserve"> </w:t>
      </w:r>
    </w:p>
    <w:p w:rsidR="00660414" w:rsidRDefault="00660414" w:rsidP="00A4081F">
      <w:pPr>
        <w:pStyle w:val="NumberedParas"/>
      </w:pPr>
      <w:r w:rsidRPr="008C5B1B">
        <w:t xml:space="preserve">Undertake a feasibility study </w:t>
      </w:r>
      <w:r>
        <w:t xml:space="preserve">to assess the scope for </w:t>
      </w:r>
      <w:r w:rsidRPr="008C5B1B">
        <w:t xml:space="preserve">introducing power systems with the capability to return energy generated from regenerative braking to the power network during all future rehabilitation work. </w:t>
      </w:r>
      <w:r w:rsidRPr="008C5B1B">
        <w:rPr>
          <w:lang w:eastAsia="en-GB"/>
        </w:rPr>
        <w:t xml:space="preserve">Regenerative braking can save 5% on power use on freight </w:t>
      </w:r>
      <w:r>
        <w:rPr>
          <w:lang w:eastAsia="en-GB"/>
        </w:rPr>
        <w:t>and</w:t>
      </w:r>
      <w:r w:rsidRPr="008C5B1B">
        <w:rPr>
          <w:lang w:eastAsia="en-GB"/>
        </w:rPr>
        <w:t xml:space="preserve"> up to 17% on commuter passenger trains. </w:t>
      </w:r>
      <w:r w:rsidRPr="008C5B1B">
        <w:t>This scheme would be implemented by CFR SA and would be undertaken immediately to enable any regenerative technology to installed on key corridors as part of the rehabilitation process.</w:t>
      </w:r>
    </w:p>
    <w:p w:rsidR="00660414" w:rsidRDefault="00660414" w:rsidP="00FD34BC">
      <w:pPr>
        <w:pStyle w:val="Hdg3"/>
        <w:ind w:left="851"/>
      </w:pPr>
      <w:r w:rsidRPr="008C5B1B">
        <w:t>Other Themes</w:t>
      </w:r>
    </w:p>
    <w:p w:rsidR="00660414" w:rsidRDefault="00660414" w:rsidP="00A4081F">
      <w:pPr>
        <w:pStyle w:val="NumberedParas"/>
      </w:pPr>
      <w:r w:rsidRPr="008C5B1B">
        <w:t>There are aspirations for several tourist lines to be retained as part of the Masterplan. However, these routes do not form part of the primary network and serve a fundamentally different travel market. The retention of these lines will be dependent on a</w:t>
      </w:r>
      <w:r>
        <w:t xml:space="preserve">pplying </w:t>
      </w:r>
      <w:r w:rsidRPr="008C5B1B">
        <w:t xml:space="preserve">a fundamental different travel market compared with the approach used to assess the other primary and secondary routes. On this basis, an alternative approach which takes account of tourist visits to the area should be used. </w:t>
      </w:r>
    </w:p>
    <w:p w:rsidR="00660414" w:rsidRPr="000A76BD" w:rsidRDefault="00660414" w:rsidP="00045287">
      <w:pPr>
        <w:pStyle w:val="Hdg2"/>
      </w:pPr>
      <w:bookmarkStart w:id="7973" w:name="_Toc413056056"/>
      <w:r w:rsidRPr="008C5B1B">
        <w:t>Testing Rail Service Options</w:t>
      </w:r>
      <w:bookmarkEnd w:id="7971"/>
      <w:bookmarkEnd w:id="7972"/>
      <w:bookmarkEnd w:id="7973"/>
    </w:p>
    <w:p w:rsidR="00660414" w:rsidRPr="000A76BD" w:rsidRDefault="00660414" w:rsidP="00A4081F">
      <w:pPr>
        <w:pStyle w:val="NumberedParas"/>
      </w:pPr>
      <w:r w:rsidRPr="008C5B1B">
        <w:t xml:space="preserve">It has been assumed that the base line for the rail service option assessment is steady state maintenance and repairs of the core network, ‘as now’ maintenance of the rest of the network and that the 2011 timetable will be </w:t>
      </w:r>
      <w:r>
        <w:t>retained</w:t>
      </w:r>
      <w:r w:rsidRPr="008C5B1B">
        <w:t xml:space="preserve"> in 2020, 2030 and 2040 (except for passenger services on line 902</w:t>
      </w:r>
      <w:r>
        <w:t xml:space="preserve"> which assumes the Arges river bridge is reinstated</w:t>
      </w:r>
      <w:r w:rsidRPr="008C5B1B">
        <w:t>). Table 5.10 includes a brief description of the improvements modelled for each alternative.</w:t>
      </w:r>
    </w:p>
    <w:p w:rsidR="00660414" w:rsidRDefault="00660414" w:rsidP="00660414">
      <w:pPr>
        <w:rPr>
          <w:b/>
          <w:sz w:val="22"/>
          <w:szCs w:val="22"/>
        </w:rPr>
      </w:pPr>
      <w:r>
        <w:rPr>
          <w:b/>
          <w:sz w:val="22"/>
          <w:szCs w:val="22"/>
        </w:rPr>
        <w:br w:type="page"/>
      </w:r>
    </w:p>
    <w:p w:rsidR="00660414" w:rsidRPr="000A76BD" w:rsidRDefault="00660414" w:rsidP="00660414">
      <w:pPr>
        <w:pStyle w:val="Caption"/>
        <w:rPr>
          <w:b/>
          <w:sz w:val="22"/>
          <w:szCs w:val="22"/>
        </w:rPr>
      </w:pPr>
      <w:r w:rsidRPr="001F5936">
        <w:rPr>
          <w:b/>
          <w:sz w:val="22"/>
          <w:szCs w:val="22"/>
        </w:rPr>
        <w:t>Table 5.</w:t>
      </w:r>
      <w:r w:rsidRPr="008C5B1B">
        <w:rPr>
          <w:b/>
          <w:bCs w:val="0"/>
          <w:sz w:val="22"/>
          <w:szCs w:val="22"/>
        </w:rPr>
        <w:fldChar w:fldCharType="begin"/>
      </w:r>
      <w:r w:rsidRPr="001F5936">
        <w:rPr>
          <w:b/>
          <w:sz w:val="22"/>
          <w:szCs w:val="22"/>
        </w:rPr>
        <w:instrText xml:space="preserve"> SEQ Table \* ARABIC </w:instrText>
      </w:r>
      <w:r w:rsidRPr="008C5B1B">
        <w:rPr>
          <w:b/>
          <w:bCs w:val="0"/>
          <w:sz w:val="22"/>
          <w:szCs w:val="22"/>
        </w:rPr>
        <w:fldChar w:fldCharType="separate"/>
      </w:r>
      <w:r w:rsidR="00C168ED">
        <w:rPr>
          <w:b/>
          <w:noProof/>
          <w:sz w:val="22"/>
          <w:szCs w:val="22"/>
        </w:rPr>
        <w:t>12</w:t>
      </w:r>
      <w:r w:rsidRPr="008C5B1B">
        <w:rPr>
          <w:b/>
          <w:bCs w:val="0"/>
          <w:sz w:val="22"/>
          <w:szCs w:val="22"/>
        </w:rPr>
        <w:fldChar w:fldCharType="end"/>
      </w:r>
      <w:r w:rsidRPr="001F5936">
        <w:rPr>
          <w:b/>
          <w:sz w:val="22"/>
          <w:szCs w:val="22"/>
        </w:rPr>
        <w:t>:</w:t>
      </w:r>
      <w:r>
        <w:rPr>
          <w:b/>
          <w:sz w:val="22"/>
          <w:szCs w:val="22"/>
        </w:rPr>
        <w:t xml:space="preserve"> Description of Service Proposals </w:t>
      </w:r>
    </w:p>
    <w:tbl>
      <w:tblPr>
        <w:tblW w:w="49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0"/>
        <w:gridCol w:w="236"/>
        <w:gridCol w:w="994"/>
        <w:gridCol w:w="7659"/>
        <w:gridCol w:w="144"/>
      </w:tblGrid>
      <w:tr w:rsidR="00660414" w:rsidRPr="000A76BD" w:rsidTr="007613DE">
        <w:trPr>
          <w:cantSplit/>
          <w:tblHeader/>
        </w:trPr>
        <w:tc>
          <w:tcPr>
            <w:tcW w:w="683" w:type="pct"/>
            <w:shd w:val="clear" w:color="auto" w:fill="C6D9F1"/>
          </w:tcPr>
          <w:p w:rsidR="00660414" w:rsidRPr="008C5B1B" w:rsidRDefault="00660414" w:rsidP="007613DE">
            <w:pPr>
              <w:spacing w:before="120"/>
              <w:ind w:left="720" w:hanging="720"/>
              <w:jc w:val="center"/>
              <w:rPr>
                <w:rFonts w:cs="Arial"/>
                <w:b/>
                <w:sz w:val="22"/>
                <w:szCs w:val="22"/>
              </w:rPr>
            </w:pPr>
            <w:r w:rsidRPr="008C5B1B">
              <w:rPr>
                <w:rFonts w:cs="Arial"/>
                <w:b/>
                <w:sz w:val="22"/>
                <w:szCs w:val="22"/>
              </w:rPr>
              <w:t>Description</w:t>
            </w:r>
          </w:p>
        </w:tc>
        <w:tc>
          <w:tcPr>
            <w:tcW w:w="113" w:type="pct"/>
            <w:shd w:val="clear" w:color="auto" w:fill="C6D9F1"/>
            <w:vAlign w:val="center"/>
          </w:tcPr>
          <w:p w:rsidR="00660414" w:rsidRPr="008C5B1B" w:rsidRDefault="00660414" w:rsidP="007613DE">
            <w:pPr>
              <w:spacing w:before="120"/>
              <w:jc w:val="center"/>
              <w:rPr>
                <w:rFonts w:cs="Arial"/>
                <w:b/>
                <w:sz w:val="22"/>
                <w:szCs w:val="22"/>
              </w:rPr>
            </w:pPr>
          </w:p>
        </w:tc>
        <w:tc>
          <w:tcPr>
            <w:tcW w:w="475" w:type="pct"/>
            <w:shd w:val="clear" w:color="auto" w:fill="C6D9F1"/>
            <w:vAlign w:val="center"/>
          </w:tcPr>
          <w:p w:rsidR="00660414" w:rsidRPr="000A76BD" w:rsidRDefault="00660414" w:rsidP="007613DE">
            <w:pPr>
              <w:spacing w:before="120"/>
              <w:jc w:val="center"/>
              <w:rPr>
                <w:rFonts w:cs="Arial"/>
                <w:b/>
                <w:sz w:val="22"/>
                <w:szCs w:val="22"/>
              </w:rPr>
            </w:pPr>
            <w:r>
              <w:rPr>
                <w:rFonts w:cs="Arial"/>
                <w:b/>
                <w:sz w:val="22"/>
                <w:szCs w:val="22"/>
              </w:rPr>
              <w:t>C</w:t>
            </w:r>
            <w:r w:rsidRPr="008C5B1B">
              <w:rPr>
                <w:rFonts w:cs="Arial"/>
                <w:b/>
                <w:sz w:val="22"/>
                <w:szCs w:val="22"/>
              </w:rPr>
              <w:t>ode</w:t>
            </w:r>
          </w:p>
        </w:tc>
        <w:tc>
          <w:tcPr>
            <w:tcW w:w="3729" w:type="pct"/>
            <w:gridSpan w:val="2"/>
            <w:shd w:val="clear" w:color="auto" w:fill="C6D9F1"/>
            <w:vAlign w:val="center"/>
          </w:tcPr>
          <w:p w:rsidR="00660414" w:rsidRPr="008C5B1B" w:rsidRDefault="00660414" w:rsidP="007613DE">
            <w:pPr>
              <w:spacing w:before="120"/>
              <w:ind w:left="720" w:hanging="720"/>
              <w:jc w:val="center"/>
              <w:rPr>
                <w:rFonts w:cs="Arial"/>
                <w:b/>
                <w:sz w:val="22"/>
                <w:szCs w:val="22"/>
              </w:rPr>
            </w:pPr>
            <w:r w:rsidRPr="008C5B1B">
              <w:rPr>
                <w:rFonts w:cs="Arial"/>
                <w:b/>
                <w:sz w:val="22"/>
                <w:szCs w:val="22"/>
              </w:rPr>
              <w:t>Test description</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ind w:right="-2"/>
              <w:jc w:val="both"/>
              <w:rPr>
                <w:rFonts w:cs="Arial"/>
                <w:sz w:val="22"/>
                <w:szCs w:val="22"/>
              </w:rPr>
            </w:pPr>
            <w:r w:rsidRPr="008C5B1B">
              <w:rPr>
                <w:rFonts w:cs="Arial"/>
                <w:sz w:val="22"/>
                <w:szCs w:val="22"/>
              </w:rPr>
              <w:t>Bucharest to Arad / Cluj via Brasov</w:t>
            </w:r>
          </w:p>
        </w:tc>
        <w:tc>
          <w:tcPr>
            <w:tcW w:w="113" w:type="pct"/>
            <w:vMerge w:val="restar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DS01A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c</w:t>
            </w:r>
            <w:r w:rsidRPr="008C5B1B">
              <w:rPr>
                <w:rFonts w:cs="Arial"/>
                <w:sz w:val="22"/>
                <w:szCs w:val="22"/>
              </w:rPr>
              <w:t>ore TEN-T corridor IV-N and link to Cluj-Napoca to design speed. Package of measures includes track rehabilitation to design speed, improvements to the power supply and signalling equipment</w:t>
            </w:r>
            <w:r>
              <w:rPr>
                <w:rFonts w:cs="Arial"/>
                <w:sz w:val="22"/>
                <w:szCs w:val="22"/>
              </w:rPr>
              <w:t xml:space="preserve"> (ERTMS-2)</w:t>
            </w:r>
            <w:r w:rsidRPr="008C5B1B">
              <w:rPr>
                <w:rFonts w:cs="Arial"/>
                <w:sz w:val="22"/>
                <w:szCs w:val="22"/>
              </w:rPr>
              <w:t>, new rolling stock and improved station facilities at major nodes (for example, Bucharest Nord, Ploiesti, Brasov, Sighisoara, Medias, Blaj, Teius, Alba Iulia, Deva, Arad, Razboieni, Campia Turzil and Cluj Napoca).</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795km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2 tph to Brasov, then 0.5tph extended to Arad and 0.5tph to Cluj Napoca</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22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left="720" w:hanging="720"/>
              <w:jc w:val="both"/>
              <w:rPr>
                <w:rFonts w:cs="Arial"/>
                <w:sz w:val="22"/>
                <w:szCs w:val="22"/>
              </w:rPr>
            </w:pPr>
          </w:p>
        </w:tc>
        <w:tc>
          <w:tcPr>
            <w:tcW w:w="113" w:type="pct"/>
            <w:vMerge/>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DS01B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sidRPr="008C5B1B">
              <w:rPr>
                <w:rFonts w:cs="Arial"/>
                <w:sz w:val="22"/>
                <w:szCs w:val="22"/>
              </w:rPr>
              <w:t>Core TEN-T corridor IV-N and link to Cluj-Napoca to enhanced speed. Other interventions as per the proposals above</w:t>
            </w:r>
          </w:p>
        </w:tc>
      </w:tr>
      <w:tr w:rsidR="00660414" w:rsidRPr="000A76BD" w:rsidTr="007613DE">
        <w:trPr>
          <w:cantSplit/>
        </w:trPr>
        <w:tc>
          <w:tcPr>
            <w:tcW w:w="683" w:type="pc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Bucharest to Constanta</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DS02A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sidRPr="008C5B1B">
              <w:rPr>
                <w:rFonts w:cs="Arial"/>
                <w:sz w:val="22"/>
                <w:szCs w:val="22"/>
              </w:rPr>
              <w:t xml:space="preserve">Line </w:t>
            </w:r>
            <w:r>
              <w:rPr>
                <w:rFonts w:cs="Arial"/>
                <w:sz w:val="22"/>
                <w:szCs w:val="22"/>
              </w:rPr>
              <w:t xml:space="preserve">from </w:t>
            </w:r>
            <w:r w:rsidRPr="008C5B1B">
              <w:rPr>
                <w:rFonts w:cs="Arial"/>
                <w:sz w:val="22"/>
                <w:szCs w:val="22"/>
              </w:rPr>
              <w:t>Bucharest to Constanta comprises new rolling stock and improved station facilities at major nodes (Fundulea, Lehliu-Gara, Ciuinita, Fetesti, Cernavoda Pod, Medgidia, Constanta). Interventions will make better use of the previously rehabilitated network. There may be some scope for further improvements when bridges and stations which are currently being rehabilitated are completed</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0km (except bridges and stations)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1 tph to Constanta</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4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Bucharest to Arad via Craiova</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DS03A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 xml:space="preserve">Restore line from </w:t>
            </w:r>
            <w:r w:rsidRPr="008C5B1B">
              <w:rPr>
                <w:rFonts w:cs="Arial"/>
                <w:sz w:val="22"/>
                <w:szCs w:val="22"/>
              </w:rPr>
              <w:t>Bucharest to Arad via Craiova to design speed. Improve power supply and introduce regenerative braking, enhanced signalling equipment</w:t>
            </w:r>
            <w:r>
              <w:rPr>
                <w:rFonts w:cs="Arial"/>
                <w:sz w:val="22"/>
                <w:szCs w:val="22"/>
              </w:rPr>
              <w:t xml:space="preserve"> (ERTMS-2)</w:t>
            </w:r>
            <w:r w:rsidRPr="008C5B1B">
              <w:rPr>
                <w:rFonts w:cs="Arial"/>
                <w:sz w:val="22"/>
                <w:szCs w:val="22"/>
              </w:rPr>
              <w:t>, new rolling stock and improved station facilities at major nodes (for example, Bucharest Nord, Videle, Rosiori de Vede, Caracal, Craiova, Filiasi, Strehaia, Drobeta, Baile Herculane, Caransebes, Lugoj, Timisoara and Arad)</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875km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2 tph to Craiova, then 0.5tph extended to Arad via Timisoara and 0.5tph to Deva</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19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highlight w:val="yellow"/>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right="-2"/>
              <w:rPr>
                <w:rFonts w:cs="Arial"/>
                <w:sz w:val="22"/>
                <w:szCs w:val="22"/>
              </w:rPr>
            </w:pP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DS03B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 xml:space="preserve">Increase line speed from </w:t>
            </w:r>
            <w:r w:rsidRPr="008C5B1B">
              <w:rPr>
                <w:rFonts w:cs="Arial"/>
                <w:sz w:val="22"/>
                <w:szCs w:val="22"/>
              </w:rPr>
              <w:t>Bucharest to Arad via Craiova. Other interventions as per the proposals above</w:t>
            </w:r>
          </w:p>
        </w:tc>
      </w:tr>
      <w:tr w:rsidR="00660414" w:rsidRPr="000A76BD" w:rsidTr="007613DE">
        <w:trPr>
          <w:cantSplit/>
        </w:trPr>
        <w:tc>
          <w:tcPr>
            <w:tcW w:w="683" w:type="pct"/>
            <w:vMerge/>
            <w:shd w:val="clear" w:color="auto" w:fill="auto"/>
            <w:vAlign w:val="center"/>
          </w:tcPr>
          <w:p w:rsidR="00660414" w:rsidRPr="000A76BD" w:rsidRDefault="00660414" w:rsidP="007613DE">
            <w:pPr>
              <w:spacing w:before="60" w:after="60"/>
              <w:ind w:right="-2"/>
              <w:rPr>
                <w:rFonts w:cs="Arial"/>
                <w:sz w:val="22"/>
                <w:szCs w:val="22"/>
              </w:rPr>
            </w:pPr>
          </w:p>
        </w:tc>
        <w:tc>
          <w:tcPr>
            <w:tcW w:w="113" w:type="pct"/>
            <w:shd w:val="clear" w:color="auto" w:fill="auto"/>
            <w:vAlign w:val="center"/>
          </w:tcPr>
          <w:p w:rsidR="00660414" w:rsidRPr="00576C85" w:rsidRDefault="00660414" w:rsidP="007613DE">
            <w:pPr>
              <w:spacing w:before="60" w:after="60"/>
              <w:jc w:val="center"/>
              <w:rPr>
                <w:rFonts w:cs="Arial"/>
                <w:sz w:val="22"/>
                <w:szCs w:val="22"/>
              </w:rPr>
            </w:pPr>
          </w:p>
        </w:tc>
        <w:tc>
          <w:tcPr>
            <w:tcW w:w="475" w:type="pct"/>
            <w:shd w:val="clear" w:color="auto" w:fill="auto"/>
            <w:vAlign w:val="center"/>
          </w:tcPr>
          <w:p w:rsidR="00660414" w:rsidRPr="00576C85" w:rsidRDefault="00660414" w:rsidP="007613DE">
            <w:pPr>
              <w:spacing w:before="60" w:after="60"/>
              <w:jc w:val="center"/>
              <w:rPr>
                <w:rFonts w:cs="Arial"/>
                <w:sz w:val="22"/>
                <w:szCs w:val="22"/>
              </w:rPr>
            </w:pPr>
            <w:r w:rsidRPr="00576C85">
              <w:rPr>
                <w:rFonts w:cs="Arial"/>
                <w:sz w:val="22"/>
                <w:szCs w:val="22"/>
              </w:rPr>
              <w:t>DS03</w:t>
            </w:r>
            <w:r>
              <w:rPr>
                <w:rFonts w:cs="Arial"/>
                <w:sz w:val="22"/>
                <w:szCs w:val="22"/>
              </w:rPr>
              <w:t>C</w:t>
            </w:r>
          </w:p>
        </w:tc>
        <w:tc>
          <w:tcPr>
            <w:tcW w:w="3729" w:type="pct"/>
            <w:gridSpan w:val="2"/>
            <w:shd w:val="clear" w:color="auto" w:fill="auto"/>
            <w:vAlign w:val="bottom"/>
          </w:tcPr>
          <w:p w:rsidR="00660414" w:rsidRPr="00576C85" w:rsidRDefault="00660414" w:rsidP="007613DE">
            <w:pPr>
              <w:spacing w:before="60" w:after="60"/>
              <w:ind w:left="12" w:hanging="12"/>
              <w:jc w:val="both"/>
              <w:rPr>
                <w:rFonts w:cs="Arial"/>
                <w:sz w:val="22"/>
                <w:szCs w:val="22"/>
              </w:rPr>
            </w:pPr>
            <w:r>
              <w:rPr>
                <w:rFonts w:cs="Arial"/>
                <w:sz w:val="22"/>
                <w:szCs w:val="22"/>
              </w:rPr>
              <w:t xml:space="preserve">Restore line from </w:t>
            </w:r>
            <w:r w:rsidRPr="00576C85">
              <w:rPr>
                <w:rFonts w:cs="Arial"/>
                <w:sz w:val="22"/>
                <w:szCs w:val="22"/>
              </w:rPr>
              <w:t>Bucharest to Ar</w:t>
            </w:r>
            <w:r>
              <w:rPr>
                <w:rFonts w:cs="Arial"/>
                <w:sz w:val="22"/>
                <w:szCs w:val="22"/>
              </w:rPr>
              <w:t>ad via Craiova and Filiasi to Deva to design speed</w:t>
            </w:r>
            <w:r w:rsidRPr="00576C85">
              <w:rPr>
                <w:rFonts w:cs="Arial"/>
                <w:sz w:val="22"/>
                <w:szCs w:val="22"/>
              </w:rPr>
              <w:t>. Other interventions as per the proposals above</w:t>
            </w:r>
          </w:p>
        </w:tc>
      </w:tr>
      <w:tr w:rsidR="00660414" w:rsidRPr="000A76BD" w:rsidTr="007613DE">
        <w:trPr>
          <w:cantSplit/>
        </w:trPr>
        <w:tc>
          <w:tcPr>
            <w:tcW w:w="683" w:type="pc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Bucharest to Galati / Iasi / Suceava</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DS04A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c</w:t>
            </w:r>
            <w:r w:rsidRPr="008C5B1B">
              <w:rPr>
                <w:rFonts w:cs="Arial"/>
                <w:sz w:val="22"/>
                <w:szCs w:val="22"/>
              </w:rPr>
              <w:t>ore TEN-T corridor IX and links Buzau to Galati and Pascani to Suceava to design speed. Improve power supply and introduce regenerative braking, enhanced signalling equipment</w:t>
            </w:r>
            <w:r>
              <w:rPr>
                <w:rFonts w:cs="Arial"/>
                <w:sz w:val="22"/>
                <w:szCs w:val="22"/>
              </w:rPr>
              <w:t xml:space="preserve"> (ERTMS-2)</w:t>
            </w:r>
            <w:r w:rsidRPr="008C5B1B">
              <w:rPr>
                <w:rFonts w:cs="Arial"/>
                <w:sz w:val="22"/>
                <w:szCs w:val="22"/>
              </w:rPr>
              <w:t>, new rolling stock and improved station facilities at major nodes (for example, Bucharest Nord, Ploiesti, Buzau, Ramnicu, Focsani, Marasesti, Adjud, Bucau, Roman, Pascani, Dollnasca, Veresti, Suceava, Faurei, Braila, Galati, Pascani, Tagu Frumos and Iasi).</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1,260km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to Suceava, 0.5tph to Iasi, 0.5tph to Galati, 0.5tph to Focsani</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25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Bucharest to Sibiu via Ramnicu Valcea</w:t>
            </w:r>
          </w:p>
        </w:tc>
        <w:tc>
          <w:tcPr>
            <w:tcW w:w="113" w:type="pct"/>
            <w:vMerge w:val="restar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DS05A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 xml:space="preserve">Bucharest to Pitesti to design speed and new link Videle - Ramnicu Valcea. Package of other improvements to include enhanced signalling equipment, new rolling stock and improved station facilities at major nodes (for example, Bucharest Nord, Titu, Gaesti, Pitesti). </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320km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1tph to Pitesti, then 0.5tph extended to Craiova and 0.5tph to Sibiu</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7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right="-2"/>
              <w:rPr>
                <w:rFonts w:cs="Arial"/>
                <w:sz w:val="22"/>
                <w:szCs w:val="22"/>
              </w:rPr>
            </w:pPr>
          </w:p>
        </w:tc>
        <w:tc>
          <w:tcPr>
            <w:tcW w:w="113" w:type="pct"/>
            <w:vMerge/>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DS05B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Bucharest – Pitesti to design speed, new link Videle - Ramnicu Valcea and line electrification. Other interventions as per the proposals above, plus improved signalling and regenerative braking</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Network to be rehabilitated:</w:t>
            </w:r>
            <w:r w:rsidRPr="00576C85">
              <w:rPr>
                <w:rFonts w:cs="Arial"/>
                <w:sz w:val="22"/>
                <w:szCs w:val="22"/>
              </w:rPr>
              <w:t xml:space="preserve"> 320km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Number of new units:</w:t>
            </w:r>
            <w:r w:rsidRPr="008C5B1B">
              <w:rPr>
                <w:rFonts w:cs="Arial"/>
                <w:sz w:val="22"/>
                <w:szCs w:val="22"/>
              </w:rPr>
              <w:t xml:space="preserve"> 7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Yes</w:t>
            </w:r>
          </w:p>
        </w:tc>
      </w:tr>
      <w:tr w:rsidR="00660414" w:rsidRPr="000A76BD" w:rsidTr="007613DE">
        <w:trPr>
          <w:cantSplit/>
        </w:trPr>
        <w:tc>
          <w:tcPr>
            <w:tcW w:w="683" w:type="pct"/>
            <w:vMerge/>
            <w:shd w:val="clear" w:color="auto" w:fill="auto"/>
            <w:vAlign w:val="center"/>
          </w:tcPr>
          <w:p w:rsidR="00660414" w:rsidRPr="000A76BD" w:rsidRDefault="00660414" w:rsidP="007613DE">
            <w:pPr>
              <w:spacing w:before="60" w:after="60"/>
              <w:ind w:right="-2"/>
              <w:rPr>
                <w:rFonts w:cs="Arial"/>
                <w:sz w:val="22"/>
                <w:szCs w:val="22"/>
              </w:rPr>
            </w:pPr>
          </w:p>
        </w:tc>
        <w:tc>
          <w:tcPr>
            <w:tcW w:w="113" w:type="pct"/>
            <w:shd w:val="clear" w:color="auto" w:fill="auto"/>
            <w:vAlign w:val="center"/>
          </w:tcPr>
          <w:p w:rsidR="00660414" w:rsidRPr="00576C85" w:rsidRDefault="00660414" w:rsidP="007613DE">
            <w:pPr>
              <w:spacing w:before="60" w:after="60"/>
              <w:jc w:val="center"/>
              <w:rPr>
                <w:rFonts w:cs="Arial"/>
                <w:sz w:val="22"/>
                <w:szCs w:val="22"/>
              </w:rPr>
            </w:pPr>
          </w:p>
        </w:tc>
        <w:tc>
          <w:tcPr>
            <w:tcW w:w="475" w:type="pct"/>
            <w:shd w:val="clear" w:color="auto" w:fill="auto"/>
            <w:vAlign w:val="center"/>
          </w:tcPr>
          <w:p w:rsidR="00660414" w:rsidRPr="00576C85" w:rsidRDefault="00660414" w:rsidP="007613DE">
            <w:pPr>
              <w:spacing w:before="60" w:after="60"/>
              <w:jc w:val="center"/>
              <w:rPr>
                <w:rFonts w:cs="Arial"/>
                <w:sz w:val="22"/>
                <w:szCs w:val="22"/>
              </w:rPr>
            </w:pPr>
            <w:r w:rsidRPr="00576C85">
              <w:rPr>
                <w:rFonts w:cs="Arial"/>
                <w:sz w:val="22"/>
                <w:szCs w:val="22"/>
              </w:rPr>
              <w:t>DS05</w:t>
            </w:r>
            <w:r>
              <w:rPr>
                <w:rFonts w:cs="Arial"/>
                <w:sz w:val="22"/>
                <w:szCs w:val="22"/>
              </w:rPr>
              <w:t>C</w:t>
            </w:r>
          </w:p>
        </w:tc>
        <w:tc>
          <w:tcPr>
            <w:tcW w:w="3729" w:type="pct"/>
            <w:gridSpan w:val="2"/>
            <w:shd w:val="clear" w:color="auto" w:fill="auto"/>
            <w:vAlign w:val="bottom"/>
          </w:tcPr>
          <w:p w:rsidR="00660414" w:rsidRPr="000A76BD" w:rsidRDefault="00660414" w:rsidP="007613DE">
            <w:pPr>
              <w:spacing w:before="60" w:after="60"/>
              <w:ind w:left="12" w:hanging="12"/>
              <w:jc w:val="both"/>
              <w:rPr>
                <w:rFonts w:cs="Arial"/>
                <w:sz w:val="22"/>
                <w:szCs w:val="22"/>
              </w:rPr>
            </w:pPr>
            <w:r>
              <w:rPr>
                <w:rFonts w:cs="Arial"/>
                <w:sz w:val="22"/>
                <w:szCs w:val="22"/>
              </w:rPr>
              <w:t>Restore l</w:t>
            </w:r>
            <w:r w:rsidRPr="00576C85">
              <w:rPr>
                <w:rFonts w:cs="Arial"/>
                <w:sz w:val="22"/>
                <w:szCs w:val="22"/>
              </w:rPr>
              <w:t>ine</w:t>
            </w:r>
            <w:r>
              <w:rPr>
                <w:rFonts w:cs="Arial"/>
                <w:sz w:val="22"/>
                <w:szCs w:val="22"/>
              </w:rPr>
              <w:t xml:space="preserve"> from </w:t>
            </w:r>
            <w:r w:rsidRPr="00576C85">
              <w:rPr>
                <w:rFonts w:cs="Arial"/>
                <w:sz w:val="22"/>
                <w:szCs w:val="22"/>
              </w:rPr>
              <w:t xml:space="preserve">Bucharest – Pitesti </w:t>
            </w:r>
            <w:r>
              <w:rPr>
                <w:rFonts w:cs="Arial"/>
                <w:sz w:val="22"/>
                <w:szCs w:val="22"/>
              </w:rPr>
              <w:t xml:space="preserve">and Pitesti – Craiova </w:t>
            </w:r>
            <w:r w:rsidRPr="00576C85">
              <w:rPr>
                <w:rFonts w:cs="Arial"/>
                <w:sz w:val="22"/>
                <w:szCs w:val="22"/>
              </w:rPr>
              <w:t>to design speed</w:t>
            </w:r>
            <w:r>
              <w:rPr>
                <w:rFonts w:cs="Arial"/>
                <w:sz w:val="22"/>
                <w:szCs w:val="22"/>
              </w:rPr>
              <w:t xml:space="preserve"> with the construction of a </w:t>
            </w:r>
            <w:r w:rsidRPr="00576C85">
              <w:rPr>
                <w:rFonts w:cs="Arial"/>
                <w:sz w:val="22"/>
                <w:szCs w:val="22"/>
              </w:rPr>
              <w:t xml:space="preserve">new link </w:t>
            </w:r>
            <w:r>
              <w:rPr>
                <w:rFonts w:cs="Arial"/>
                <w:sz w:val="22"/>
                <w:szCs w:val="22"/>
              </w:rPr>
              <w:t xml:space="preserve">between </w:t>
            </w:r>
            <w:r w:rsidRPr="00576C85">
              <w:rPr>
                <w:rFonts w:cs="Arial"/>
                <w:sz w:val="22"/>
                <w:szCs w:val="22"/>
              </w:rPr>
              <w:t>Vi</w:t>
            </w:r>
            <w:r>
              <w:rPr>
                <w:rFonts w:cs="Arial"/>
                <w:sz w:val="22"/>
                <w:szCs w:val="22"/>
              </w:rPr>
              <w:t>alcele</w:t>
            </w:r>
            <w:r w:rsidRPr="00576C85">
              <w:rPr>
                <w:rFonts w:cs="Arial"/>
                <w:sz w:val="22"/>
                <w:szCs w:val="22"/>
              </w:rPr>
              <w:t xml:space="preserve"> </w:t>
            </w:r>
            <w:r>
              <w:rPr>
                <w:rFonts w:cs="Arial"/>
                <w:sz w:val="22"/>
                <w:szCs w:val="22"/>
              </w:rPr>
              <w:t xml:space="preserve">and </w:t>
            </w:r>
            <w:r w:rsidRPr="00576C85">
              <w:rPr>
                <w:rFonts w:cs="Arial"/>
                <w:sz w:val="22"/>
                <w:szCs w:val="22"/>
              </w:rPr>
              <w:t>Ramnicu Valcea</w:t>
            </w:r>
            <w:r>
              <w:rPr>
                <w:rFonts w:cs="Arial"/>
                <w:sz w:val="22"/>
                <w:szCs w:val="22"/>
              </w:rPr>
              <w:t xml:space="preserve">, plus </w:t>
            </w:r>
            <w:r w:rsidRPr="00576C85">
              <w:rPr>
                <w:rFonts w:cs="Arial"/>
                <w:sz w:val="22"/>
                <w:szCs w:val="22"/>
              </w:rPr>
              <w:t>electrification</w:t>
            </w:r>
            <w:r>
              <w:rPr>
                <w:rFonts w:cs="Arial"/>
                <w:sz w:val="22"/>
                <w:szCs w:val="22"/>
              </w:rPr>
              <w:t xml:space="preserve"> of the line</w:t>
            </w:r>
            <w:r w:rsidRPr="00576C85">
              <w:rPr>
                <w:rFonts w:cs="Arial"/>
                <w:sz w:val="22"/>
                <w:szCs w:val="22"/>
              </w:rPr>
              <w:t xml:space="preserve">. Other interventions as per the proposals above, plus improved signalling and </w:t>
            </w:r>
            <w:r>
              <w:rPr>
                <w:rFonts w:cs="Arial"/>
                <w:sz w:val="22"/>
                <w:szCs w:val="22"/>
              </w:rPr>
              <w:t xml:space="preserve">introduction of </w:t>
            </w:r>
            <w:r w:rsidRPr="00576C85">
              <w:rPr>
                <w:rFonts w:cs="Arial"/>
                <w:sz w:val="22"/>
                <w:szCs w:val="22"/>
              </w:rPr>
              <w:t>regenerative braking</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Network to be rehabilitated:</w:t>
            </w:r>
            <w:r w:rsidRPr="00576C85">
              <w:rPr>
                <w:rFonts w:cs="Arial"/>
                <w:sz w:val="22"/>
                <w:szCs w:val="22"/>
              </w:rPr>
              <w:t xml:space="preserve"> </w:t>
            </w:r>
            <w:r>
              <w:rPr>
                <w:rFonts w:cs="Arial"/>
                <w:sz w:val="22"/>
                <w:szCs w:val="22"/>
              </w:rPr>
              <w:t>47</w:t>
            </w:r>
            <w:r w:rsidRPr="00576C85">
              <w:rPr>
                <w:rFonts w:cs="Arial"/>
                <w:sz w:val="22"/>
                <w:szCs w:val="22"/>
              </w:rPr>
              <w:t>0km</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Number of new units:</w:t>
            </w:r>
            <w:r w:rsidRPr="00576C85">
              <w:rPr>
                <w:rFonts w:cs="Arial"/>
                <w:sz w:val="22"/>
                <w:szCs w:val="22"/>
              </w:rPr>
              <w:t xml:space="preserve"> </w:t>
            </w:r>
            <w:r>
              <w:rPr>
                <w:rFonts w:cs="Arial"/>
                <w:sz w:val="22"/>
                <w:szCs w:val="22"/>
              </w:rPr>
              <w:t>11</w:t>
            </w:r>
            <w:r w:rsidRPr="00576C85">
              <w:rPr>
                <w:rFonts w:cs="Arial"/>
                <w:sz w:val="22"/>
                <w:szCs w:val="22"/>
              </w:rPr>
              <w:t xml:space="preserve"> EMUs</w:t>
            </w:r>
          </w:p>
          <w:p w:rsidR="00660414" w:rsidRPr="00576C85" w:rsidRDefault="00660414" w:rsidP="007613DE">
            <w:pPr>
              <w:spacing w:before="60" w:after="60"/>
              <w:ind w:left="12" w:hanging="12"/>
              <w:jc w:val="both"/>
              <w:rPr>
                <w:rFonts w:cs="Arial"/>
                <w:sz w:val="22"/>
                <w:szCs w:val="22"/>
              </w:rPr>
            </w:pPr>
            <w:r w:rsidRPr="00576C85">
              <w:rPr>
                <w:rFonts w:cs="Arial"/>
                <w:b/>
                <w:sz w:val="22"/>
                <w:szCs w:val="22"/>
              </w:rPr>
              <w:t>Further electrification:</w:t>
            </w:r>
            <w:r w:rsidRPr="00576C85">
              <w:rPr>
                <w:rFonts w:cs="Arial"/>
                <w:sz w:val="22"/>
                <w:szCs w:val="22"/>
              </w:rPr>
              <w:t xml:space="preserve"> Yes</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Cluj Napoca to Iasi</w:t>
            </w:r>
          </w:p>
        </w:tc>
        <w:tc>
          <w:tcPr>
            <w:tcW w:w="113" w:type="pct"/>
            <w:shd w:val="clear" w:color="auto" w:fill="auto"/>
            <w:vAlign w:val="center"/>
          </w:tcPr>
          <w:p w:rsidR="00660414" w:rsidRPr="008C5B1B" w:rsidRDefault="00660414" w:rsidP="007613DE">
            <w:pPr>
              <w:spacing w:before="60" w:after="60"/>
              <w:jc w:val="center"/>
              <w:rPr>
                <w:rFonts w:cs="Arial"/>
                <w:sz w:val="22"/>
                <w:szCs w:val="22"/>
                <w:highlight w:val="yellow"/>
              </w:rPr>
            </w:pPr>
          </w:p>
        </w:tc>
        <w:tc>
          <w:tcPr>
            <w:tcW w:w="475" w:type="pct"/>
            <w:shd w:val="clear" w:color="auto" w:fill="auto"/>
            <w:vAlign w:val="center"/>
          </w:tcPr>
          <w:p w:rsidR="00660414" w:rsidRPr="000A76BD" w:rsidRDefault="00660414" w:rsidP="007613DE">
            <w:pPr>
              <w:spacing w:before="60" w:after="60"/>
              <w:jc w:val="center"/>
              <w:rPr>
                <w:rFonts w:cs="Arial"/>
                <w:sz w:val="22"/>
                <w:szCs w:val="22"/>
                <w:highlight w:val="yellow"/>
              </w:rPr>
            </w:pPr>
            <w:r w:rsidRPr="008C5B1B">
              <w:rPr>
                <w:rFonts w:cs="Arial"/>
                <w:sz w:val="22"/>
                <w:szCs w:val="22"/>
              </w:rPr>
              <w:t>DS06A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Cluj-Napoca to Iasi to design speed. Other interventions include improve power supply and introduce regenerative braking, enhanced signalling equipment, new rolling stock and improved station facilities at major nodes (for example, Cluj Napoca, Gherla, Dej Calatori, Beclean pe Sommes, Salva, Ilva Mica, Vatra Dornei, Compulang Mold, Suceava, Veresti, Dollnasca, Pascani, Targu Frumos, Iasi)</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740km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from Cluj Napoca to Iasi</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7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right="-2"/>
              <w:rPr>
                <w:rFonts w:cs="Arial"/>
                <w:sz w:val="22"/>
                <w:szCs w:val="22"/>
              </w:rPr>
            </w:pP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DS06B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sidRPr="008C5B1B">
              <w:rPr>
                <w:rFonts w:cs="Arial"/>
                <w:sz w:val="22"/>
                <w:szCs w:val="22"/>
              </w:rPr>
              <w:t>Line Cluj-Napoca to Iasi to enhanced speed. Other interventions as per the proposals above.</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ind w:right="-2"/>
              <w:rPr>
                <w:rFonts w:cs="Arial"/>
                <w:sz w:val="22"/>
                <w:szCs w:val="22"/>
              </w:rPr>
            </w:pPr>
            <w:r w:rsidRPr="008C5B1B">
              <w:rPr>
                <w:rFonts w:cs="Arial"/>
                <w:sz w:val="22"/>
                <w:szCs w:val="22"/>
              </w:rPr>
              <w:t>Cluj to Oradea</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DS07A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 xml:space="preserve">Cluj-Napoca to Oradea to design speed. Other interventions include improve power supply and introduce regenerative braking, enhanced signalling equipment, new rolling stock and improved station facilities at major nodes (for example, Cluj Napoca, Huedin and Oradea). </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270km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1tph to Cluj Napoca to Oradea</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4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left="720" w:hanging="720"/>
              <w:jc w:val="both"/>
              <w:rPr>
                <w:rFonts w:cs="Arial"/>
                <w:sz w:val="22"/>
                <w:szCs w:val="22"/>
                <w:highlight w:val="yellow"/>
              </w:rPr>
            </w:pP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DS07B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ine Cluj-Napoca to Oradea to design speed plus electrification and line doubling Other interventions as per the proposals above.</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4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Yes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Yes</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left="720" w:hanging="720"/>
              <w:jc w:val="both"/>
              <w:rPr>
                <w:rFonts w:cs="Arial"/>
                <w:sz w:val="22"/>
                <w:szCs w:val="22"/>
                <w:highlight w:val="yellow"/>
              </w:rPr>
            </w:pP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DS07C</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 xml:space="preserve">Electrify </w:t>
            </w:r>
            <w:r w:rsidRPr="008C5B1B">
              <w:rPr>
                <w:rFonts w:cs="Arial"/>
                <w:sz w:val="22"/>
                <w:szCs w:val="22"/>
              </w:rPr>
              <w:t xml:space="preserve">Cluj-Napoca to Oradea </w:t>
            </w:r>
            <w:r>
              <w:rPr>
                <w:rFonts w:cs="Arial"/>
                <w:sz w:val="22"/>
                <w:szCs w:val="22"/>
              </w:rPr>
              <w:t>line</w:t>
            </w:r>
            <w:r w:rsidRPr="008C5B1B">
              <w:rPr>
                <w:rFonts w:cs="Arial"/>
                <w:sz w:val="22"/>
                <w:szCs w:val="22"/>
              </w:rPr>
              <w:t xml:space="preserve"> </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Yes</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rPr>
                <w:rFonts w:cs="Arial"/>
                <w:sz w:val="22"/>
                <w:szCs w:val="22"/>
                <w:lang w:val="es-ES_tradnl"/>
              </w:rPr>
            </w:pPr>
            <w:r w:rsidRPr="008C5B1B">
              <w:rPr>
                <w:rFonts w:cs="Arial"/>
                <w:sz w:val="22"/>
                <w:szCs w:val="22"/>
                <w:lang w:val="es-ES_tradnl"/>
              </w:rPr>
              <w:t>Stamora Moravita to Oradea via Timisoara</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DS08A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Timisoara – Oradea to design speed. Other interventions include improve power supply and introduce regenerative braking, enhanced signalling equipment, new rolling stock and improved station facilities at major nodes (for example, Timisoara Nord, Arad and Oradea).</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200km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to Stamora Moravita to Oradea via Timisoara</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5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Partial</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r w:rsidRPr="008C5B1B">
              <w:rPr>
                <w:rFonts w:cs="Arial"/>
                <w:b/>
                <w:sz w:val="22"/>
                <w:szCs w:val="22"/>
              </w:rPr>
              <w:t xml:space="preserve"> </w:t>
            </w:r>
          </w:p>
        </w:tc>
      </w:tr>
      <w:tr w:rsidR="00660414" w:rsidRPr="000A76BD" w:rsidTr="007613DE">
        <w:trPr>
          <w:cantSplit/>
          <w:trHeight w:val="597"/>
        </w:trPr>
        <w:tc>
          <w:tcPr>
            <w:tcW w:w="683" w:type="pct"/>
            <w:vMerge/>
            <w:shd w:val="clear" w:color="auto" w:fill="auto"/>
            <w:vAlign w:val="center"/>
          </w:tcPr>
          <w:p w:rsidR="00660414" w:rsidRPr="00724F93" w:rsidRDefault="00660414" w:rsidP="007613DE">
            <w:pPr>
              <w:spacing w:before="60" w:after="60"/>
              <w:rPr>
                <w:rFonts w:cs="Arial"/>
                <w:sz w:val="22"/>
                <w:szCs w:val="22"/>
                <w:lang w:val="es-ES_tradnl"/>
              </w:rPr>
            </w:pPr>
          </w:p>
        </w:tc>
        <w:tc>
          <w:tcPr>
            <w:tcW w:w="113" w:type="pct"/>
            <w:shd w:val="clear" w:color="auto" w:fill="auto"/>
            <w:vAlign w:val="center"/>
          </w:tcPr>
          <w:p w:rsidR="00660414" w:rsidRPr="00576C85" w:rsidRDefault="00660414" w:rsidP="007613DE">
            <w:pPr>
              <w:spacing w:before="60" w:after="60"/>
              <w:jc w:val="center"/>
              <w:rPr>
                <w:rFonts w:cs="Arial"/>
                <w:sz w:val="22"/>
                <w:szCs w:val="22"/>
              </w:rPr>
            </w:pPr>
          </w:p>
        </w:tc>
        <w:tc>
          <w:tcPr>
            <w:tcW w:w="475" w:type="pct"/>
            <w:shd w:val="clear" w:color="auto" w:fill="auto"/>
            <w:vAlign w:val="center"/>
          </w:tcPr>
          <w:p w:rsidR="00660414" w:rsidRPr="00576C85" w:rsidRDefault="00660414" w:rsidP="007613DE">
            <w:pPr>
              <w:spacing w:before="60" w:after="60"/>
              <w:jc w:val="center"/>
              <w:rPr>
                <w:rFonts w:cs="Arial"/>
                <w:sz w:val="22"/>
                <w:szCs w:val="22"/>
              </w:rPr>
            </w:pPr>
            <w:r w:rsidRPr="00576C85">
              <w:rPr>
                <w:rFonts w:cs="Arial"/>
                <w:sz w:val="22"/>
                <w:szCs w:val="22"/>
              </w:rPr>
              <w:t>DS08</w:t>
            </w:r>
            <w:r>
              <w:rPr>
                <w:rFonts w:cs="Arial"/>
                <w:sz w:val="22"/>
                <w:szCs w:val="22"/>
              </w:rPr>
              <w:t>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lang w:val="en-US"/>
              </w:rPr>
            </w:pPr>
            <w:r>
              <w:rPr>
                <w:rFonts w:cs="Arial"/>
                <w:sz w:val="22"/>
                <w:szCs w:val="22"/>
              </w:rPr>
              <w:t xml:space="preserve">As per the proposal above including the section Timisoara - </w:t>
            </w:r>
            <w:r w:rsidRPr="008C5B1B">
              <w:rPr>
                <w:rFonts w:cs="Arial"/>
                <w:sz w:val="22"/>
                <w:szCs w:val="22"/>
                <w:lang w:val="en-US"/>
              </w:rPr>
              <w:t>Stamora Moravita</w:t>
            </w:r>
          </w:p>
        </w:tc>
      </w:tr>
      <w:tr w:rsidR="00660414" w:rsidRPr="000A76BD" w:rsidTr="007613DE">
        <w:trPr>
          <w:cantSplit/>
        </w:trPr>
        <w:tc>
          <w:tcPr>
            <w:tcW w:w="683" w:type="pct"/>
            <w:shd w:val="clear" w:color="auto" w:fill="auto"/>
            <w:vAlign w:val="center"/>
          </w:tcPr>
          <w:p w:rsidR="00660414" w:rsidRPr="008C5B1B" w:rsidRDefault="00660414" w:rsidP="007613DE">
            <w:pPr>
              <w:spacing w:before="60" w:after="60"/>
              <w:rPr>
                <w:rFonts w:cs="Arial"/>
                <w:sz w:val="22"/>
                <w:szCs w:val="22"/>
                <w:lang w:val="en-US"/>
              </w:rPr>
            </w:pPr>
            <w:r w:rsidRPr="008C5B1B">
              <w:rPr>
                <w:rFonts w:cs="Arial"/>
                <w:sz w:val="22"/>
                <w:szCs w:val="22"/>
                <w:lang w:val="en-US"/>
              </w:rPr>
              <w:t>Oradea to Cluj via Baia Mare and Satu Mare</w:t>
            </w:r>
          </w:p>
        </w:tc>
        <w:tc>
          <w:tcPr>
            <w:tcW w:w="113" w:type="pct"/>
            <w:shd w:val="clear" w:color="auto" w:fill="auto"/>
            <w:vAlign w:val="center"/>
          </w:tcPr>
          <w:p w:rsidR="00660414" w:rsidRPr="008C5B1B" w:rsidRDefault="00660414" w:rsidP="007613DE">
            <w:pPr>
              <w:spacing w:before="60" w:after="60"/>
              <w:jc w:val="center"/>
              <w:rPr>
                <w:rFonts w:cs="Arial"/>
                <w:sz w:val="22"/>
                <w:szCs w:val="22"/>
              </w:rPr>
            </w:pPr>
          </w:p>
        </w:tc>
        <w:tc>
          <w:tcPr>
            <w:tcW w:w="475" w:type="pct"/>
            <w:shd w:val="clear" w:color="auto" w:fill="auto"/>
            <w:vAlign w:val="center"/>
          </w:tcPr>
          <w:p w:rsidR="00660414" w:rsidRPr="000A76BD" w:rsidRDefault="00660414" w:rsidP="007613DE">
            <w:pPr>
              <w:spacing w:before="60" w:after="60"/>
              <w:jc w:val="center"/>
              <w:rPr>
                <w:rFonts w:cs="Arial"/>
                <w:sz w:val="22"/>
                <w:szCs w:val="22"/>
              </w:rPr>
            </w:pPr>
            <w:r w:rsidRPr="008C5B1B">
              <w:rPr>
                <w:rFonts w:cs="Arial"/>
                <w:sz w:val="22"/>
                <w:szCs w:val="22"/>
              </w:rPr>
              <w:t>DS09A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Oradea to Satu Mare and Satu Mare to Cluj-Napoca to design speed. Package of other improvements to include enhanced signalling equipment, new rolling stock and improved station facilities at major nodes (for example, Oradea, Satu Mare, Baia Mare, Dej and Cluj Napoca)</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475km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between Baia Mare and Oradea via Satu Mare, 0.5tph to Satu Mare via Cluj Napoca via Baia Mare</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6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highlight w:val="yellow"/>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val="restart"/>
            <w:shd w:val="clear" w:color="auto" w:fill="auto"/>
            <w:vAlign w:val="center"/>
          </w:tcPr>
          <w:p w:rsidR="00660414" w:rsidRPr="008C5B1B" w:rsidRDefault="00660414" w:rsidP="007613DE">
            <w:pPr>
              <w:spacing w:before="60" w:after="60"/>
              <w:jc w:val="both"/>
              <w:rPr>
                <w:rFonts w:cs="Arial"/>
                <w:sz w:val="22"/>
                <w:szCs w:val="22"/>
                <w:lang w:val="es-ES_tradnl"/>
              </w:rPr>
            </w:pPr>
            <w:r w:rsidRPr="008C5B1B">
              <w:rPr>
                <w:rFonts w:cs="Arial"/>
                <w:sz w:val="22"/>
                <w:szCs w:val="22"/>
                <w:lang w:val="es-ES_tradnl"/>
              </w:rPr>
              <w:t>Bucharest to Giurgiu</w:t>
            </w:r>
          </w:p>
        </w:tc>
        <w:tc>
          <w:tcPr>
            <w:tcW w:w="113" w:type="pct"/>
            <w:shd w:val="clear" w:color="auto" w:fill="auto"/>
            <w:vAlign w:val="center"/>
          </w:tcPr>
          <w:p w:rsidR="00660414" w:rsidRPr="008C5B1B" w:rsidRDefault="00660414" w:rsidP="007613DE">
            <w:pPr>
              <w:spacing w:before="60" w:after="60"/>
              <w:jc w:val="center"/>
              <w:rPr>
                <w:rFonts w:cs="Arial"/>
                <w:sz w:val="22"/>
                <w:szCs w:val="22"/>
                <w:lang w:val="es-ES_tradnl"/>
              </w:rPr>
            </w:pPr>
          </w:p>
        </w:tc>
        <w:tc>
          <w:tcPr>
            <w:tcW w:w="475" w:type="pct"/>
            <w:shd w:val="clear" w:color="auto" w:fill="auto"/>
            <w:vAlign w:val="center"/>
          </w:tcPr>
          <w:p w:rsidR="00660414" w:rsidRPr="000A76BD" w:rsidRDefault="00660414" w:rsidP="007613DE">
            <w:pPr>
              <w:spacing w:before="60" w:after="60"/>
              <w:jc w:val="center"/>
              <w:rPr>
                <w:rFonts w:cs="Arial"/>
                <w:sz w:val="22"/>
                <w:szCs w:val="22"/>
                <w:lang w:val="es-ES_tradnl"/>
              </w:rPr>
            </w:pPr>
            <w:r w:rsidRPr="008C5B1B">
              <w:rPr>
                <w:rFonts w:cs="Arial"/>
                <w:sz w:val="22"/>
                <w:szCs w:val="22"/>
                <w:lang w:val="es-ES_tradnl"/>
              </w:rPr>
              <w:t>DS10A</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 xml:space="preserve">Bucharest to Giurgiu via Gradistea to design speed. Package of other improvements to include enhanced signalling equipment, new rolling stock and improved station facilities at major nodes (for example, Bucharest Nord, Videle and Giurgiu). </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95km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to Giurgiu from Bucharest</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2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No</w:t>
            </w:r>
          </w:p>
          <w:p w:rsidR="00660414" w:rsidRPr="008C5B1B" w:rsidRDefault="00660414" w:rsidP="007613DE">
            <w:pPr>
              <w:spacing w:before="60" w:after="60"/>
              <w:ind w:left="12" w:hanging="12"/>
              <w:jc w:val="both"/>
              <w:rPr>
                <w:rFonts w:cs="Arial"/>
                <w:sz w:val="22"/>
                <w:szCs w:val="22"/>
                <w:highlight w:val="yellow"/>
              </w:rPr>
            </w:pPr>
            <w:r w:rsidRPr="008C5B1B">
              <w:rPr>
                <w:rFonts w:cs="Arial"/>
                <w:b/>
                <w:sz w:val="22"/>
                <w:szCs w:val="22"/>
              </w:rPr>
              <w:t>Double tracking:</w:t>
            </w:r>
            <w:r w:rsidRPr="008C5B1B">
              <w:rPr>
                <w:rFonts w:cs="Arial"/>
                <w:sz w:val="22"/>
                <w:szCs w:val="22"/>
              </w:rPr>
              <w:t xml:space="preserve"> No</w:t>
            </w:r>
          </w:p>
        </w:tc>
      </w:tr>
      <w:tr w:rsidR="00660414" w:rsidRPr="000A76BD" w:rsidTr="007613DE">
        <w:trPr>
          <w:cantSplit/>
        </w:trPr>
        <w:tc>
          <w:tcPr>
            <w:tcW w:w="683" w:type="pct"/>
            <w:vMerge/>
            <w:shd w:val="clear" w:color="auto" w:fill="auto"/>
            <w:vAlign w:val="center"/>
          </w:tcPr>
          <w:p w:rsidR="00660414" w:rsidRPr="008C5B1B" w:rsidRDefault="00660414" w:rsidP="007613DE">
            <w:pPr>
              <w:spacing w:before="60" w:after="60"/>
              <w:ind w:left="720" w:hanging="720"/>
              <w:jc w:val="both"/>
              <w:rPr>
                <w:rFonts w:cs="Arial"/>
                <w:sz w:val="22"/>
                <w:szCs w:val="22"/>
                <w:lang w:val="en-US"/>
              </w:rPr>
            </w:pPr>
          </w:p>
        </w:tc>
        <w:tc>
          <w:tcPr>
            <w:tcW w:w="113" w:type="pct"/>
            <w:shd w:val="clear" w:color="auto" w:fill="auto"/>
            <w:vAlign w:val="center"/>
          </w:tcPr>
          <w:p w:rsidR="00660414" w:rsidRPr="008C5B1B" w:rsidRDefault="00660414" w:rsidP="007613DE">
            <w:pPr>
              <w:spacing w:before="60" w:after="60"/>
              <w:jc w:val="center"/>
              <w:rPr>
                <w:rFonts w:cs="Arial"/>
                <w:sz w:val="22"/>
                <w:szCs w:val="22"/>
                <w:lang w:val="es-ES_tradnl"/>
              </w:rPr>
            </w:pPr>
          </w:p>
        </w:tc>
        <w:tc>
          <w:tcPr>
            <w:tcW w:w="475" w:type="pct"/>
            <w:shd w:val="clear" w:color="auto" w:fill="auto"/>
            <w:vAlign w:val="center"/>
          </w:tcPr>
          <w:p w:rsidR="00660414" w:rsidRPr="000A76BD" w:rsidRDefault="00660414" w:rsidP="007613DE">
            <w:pPr>
              <w:spacing w:before="60" w:after="60"/>
              <w:jc w:val="center"/>
              <w:rPr>
                <w:rFonts w:cs="Arial"/>
                <w:sz w:val="22"/>
                <w:szCs w:val="22"/>
                <w:lang w:val="es-ES_tradnl"/>
              </w:rPr>
            </w:pPr>
            <w:r w:rsidRPr="008C5B1B">
              <w:rPr>
                <w:rFonts w:cs="Arial"/>
                <w:sz w:val="22"/>
                <w:szCs w:val="22"/>
                <w:lang w:val="es-ES_tradnl"/>
              </w:rPr>
              <w:t>DS10B</w:t>
            </w:r>
          </w:p>
        </w:tc>
        <w:tc>
          <w:tcPr>
            <w:tcW w:w="3729" w:type="pct"/>
            <w:gridSpan w:val="2"/>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l</w:t>
            </w:r>
            <w:r w:rsidRPr="008C5B1B">
              <w:rPr>
                <w:rFonts w:cs="Arial"/>
                <w:sz w:val="22"/>
                <w:szCs w:val="22"/>
              </w:rPr>
              <w:t xml:space="preserve">ine </w:t>
            </w:r>
            <w:r>
              <w:rPr>
                <w:rFonts w:cs="Arial"/>
                <w:sz w:val="22"/>
                <w:szCs w:val="22"/>
              </w:rPr>
              <w:t xml:space="preserve">from </w:t>
            </w:r>
            <w:r w:rsidRPr="008C5B1B">
              <w:rPr>
                <w:rFonts w:cs="Arial"/>
                <w:sz w:val="22"/>
                <w:szCs w:val="22"/>
              </w:rPr>
              <w:t>Bucharest to Giurgiu via Gradistea to design speed plus line electrification. Package of other improvements to include enhanced signalling equipment, new rolling stock and improved station facilities at major nodes (for example, Bucharest Nord, Videle and Giurgiu).</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2 EMUs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Yes</w:t>
            </w:r>
          </w:p>
        </w:tc>
      </w:tr>
      <w:tr w:rsidR="00660414" w:rsidRPr="000A76BD" w:rsidTr="007613DE">
        <w:trPr>
          <w:gridAfter w:val="1"/>
          <w:wAfter w:w="69" w:type="pct"/>
          <w:cantSplit/>
        </w:trPr>
        <w:tc>
          <w:tcPr>
            <w:tcW w:w="683" w:type="pct"/>
            <w:vMerge w:val="restart"/>
            <w:shd w:val="clear" w:color="auto" w:fill="auto"/>
            <w:vAlign w:val="center"/>
          </w:tcPr>
          <w:p w:rsidR="00660414" w:rsidRPr="008C5B1B" w:rsidRDefault="00660414" w:rsidP="007613DE">
            <w:pPr>
              <w:spacing w:before="60" w:after="60"/>
              <w:jc w:val="both"/>
              <w:rPr>
                <w:rFonts w:cs="Arial"/>
                <w:sz w:val="22"/>
                <w:szCs w:val="22"/>
                <w:lang w:val="es-ES_tradnl"/>
              </w:rPr>
            </w:pPr>
            <w:r w:rsidRPr="008C5B1B">
              <w:rPr>
                <w:rFonts w:cs="Arial"/>
                <w:sz w:val="22"/>
                <w:szCs w:val="22"/>
                <w:lang w:val="es-ES_tradnl"/>
              </w:rPr>
              <w:t>Craiova to Calafat</w:t>
            </w:r>
          </w:p>
        </w:tc>
        <w:tc>
          <w:tcPr>
            <w:tcW w:w="113" w:type="pct"/>
            <w:vMerge w:val="restart"/>
            <w:shd w:val="clear" w:color="auto" w:fill="auto"/>
            <w:vAlign w:val="center"/>
          </w:tcPr>
          <w:p w:rsidR="00660414" w:rsidRPr="008C5B1B" w:rsidRDefault="00660414" w:rsidP="007613DE">
            <w:pPr>
              <w:rPr>
                <w:rFonts w:cs="Arial"/>
                <w:sz w:val="22"/>
                <w:szCs w:val="22"/>
                <w:lang w:val="es-ES_tradnl"/>
              </w:rPr>
            </w:pPr>
          </w:p>
        </w:tc>
        <w:tc>
          <w:tcPr>
            <w:tcW w:w="475" w:type="pct"/>
            <w:shd w:val="clear" w:color="auto" w:fill="auto"/>
            <w:vAlign w:val="center"/>
          </w:tcPr>
          <w:p w:rsidR="00660414" w:rsidRDefault="00660414" w:rsidP="007613DE">
            <w:pPr>
              <w:spacing w:before="60" w:after="60"/>
              <w:jc w:val="center"/>
              <w:rPr>
                <w:rFonts w:cs="Arial"/>
                <w:sz w:val="22"/>
                <w:szCs w:val="22"/>
                <w:lang w:val="es-ES_tradnl"/>
              </w:rPr>
            </w:pPr>
            <w:r w:rsidRPr="008C5B1B">
              <w:rPr>
                <w:rFonts w:cs="Arial"/>
                <w:sz w:val="22"/>
                <w:szCs w:val="22"/>
                <w:lang w:val="es-ES_tradnl"/>
              </w:rPr>
              <w:t>DS11A</w:t>
            </w:r>
          </w:p>
        </w:tc>
        <w:tc>
          <w:tcPr>
            <w:tcW w:w="3660" w:type="pct"/>
            <w:shd w:val="clear" w:color="auto" w:fill="auto"/>
            <w:vAlign w:val="bottom"/>
          </w:tcPr>
          <w:p w:rsidR="00660414" w:rsidRPr="008C5B1B" w:rsidRDefault="00660414" w:rsidP="007613DE">
            <w:pPr>
              <w:spacing w:before="60" w:after="60"/>
              <w:ind w:left="12" w:hanging="12"/>
              <w:jc w:val="both"/>
              <w:rPr>
                <w:rFonts w:cs="Arial"/>
                <w:sz w:val="22"/>
                <w:szCs w:val="22"/>
              </w:rPr>
            </w:pPr>
            <w:r>
              <w:rPr>
                <w:rFonts w:cs="Arial"/>
                <w:sz w:val="22"/>
                <w:szCs w:val="22"/>
              </w:rPr>
              <w:t>Restore c</w:t>
            </w:r>
            <w:r w:rsidRPr="008C5B1B">
              <w:rPr>
                <w:rFonts w:cs="Arial"/>
                <w:sz w:val="22"/>
                <w:szCs w:val="22"/>
              </w:rPr>
              <w:t xml:space="preserve">ore TEN-T corridor IV-N section </w:t>
            </w:r>
            <w:r>
              <w:rPr>
                <w:rFonts w:cs="Arial"/>
                <w:sz w:val="22"/>
                <w:szCs w:val="22"/>
              </w:rPr>
              <w:t xml:space="preserve">from </w:t>
            </w:r>
            <w:r w:rsidRPr="008C5B1B">
              <w:rPr>
                <w:rFonts w:cs="Arial"/>
                <w:sz w:val="22"/>
                <w:szCs w:val="22"/>
              </w:rPr>
              <w:t>Craiova to Calafat to design speed. Package of other improvements to include enhanced signalling equipment, new rolling stock and improved station facilities at major nodes (for example, Craiova and Calafat).</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Network to be rehabilitated:</w:t>
            </w:r>
            <w:r w:rsidRPr="008C5B1B">
              <w:rPr>
                <w:rFonts w:cs="Arial"/>
                <w:sz w:val="22"/>
                <w:szCs w:val="22"/>
              </w:rPr>
              <w:t xml:space="preserve"> 115km</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Service frequency:</w:t>
            </w:r>
            <w:r w:rsidRPr="008C5B1B">
              <w:rPr>
                <w:rFonts w:cs="Arial"/>
                <w:sz w:val="22"/>
                <w:szCs w:val="22"/>
              </w:rPr>
              <w:t xml:space="preserve"> 0.5tph to Craivoa from Calafat</w:t>
            </w:r>
          </w:p>
          <w:p w:rsidR="00660414" w:rsidRPr="008C5B1B"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8C5B1B">
              <w:rPr>
                <w:rFonts w:cs="Arial"/>
                <w:b/>
                <w:sz w:val="22"/>
                <w:szCs w:val="22"/>
              </w:rPr>
              <w:t>:</w:t>
            </w:r>
            <w:r w:rsidRPr="008C5B1B">
              <w:rPr>
                <w:rFonts w:cs="Arial"/>
                <w:sz w:val="22"/>
                <w:szCs w:val="22"/>
              </w:rPr>
              <w:t xml:space="preserve"> 3 DMUs</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Further electrification:</w:t>
            </w:r>
            <w:r w:rsidRPr="008C5B1B">
              <w:rPr>
                <w:rFonts w:cs="Arial"/>
                <w:sz w:val="22"/>
                <w:szCs w:val="22"/>
              </w:rPr>
              <w:t xml:space="preserve"> </w:t>
            </w:r>
            <w:r>
              <w:rPr>
                <w:rFonts w:cs="Arial"/>
                <w:sz w:val="22"/>
                <w:szCs w:val="22"/>
              </w:rPr>
              <w:t>No</w:t>
            </w:r>
          </w:p>
          <w:p w:rsidR="00660414" w:rsidRPr="008C5B1B" w:rsidRDefault="00660414" w:rsidP="007613DE">
            <w:pPr>
              <w:spacing w:before="60" w:after="60"/>
              <w:ind w:left="12" w:hanging="12"/>
              <w:jc w:val="both"/>
              <w:rPr>
                <w:rFonts w:cs="Arial"/>
                <w:sz w:val="22"/>
                <w:szCs w:val="22"/>
              </w:rPr>
            </w:pPr>
            <w:r w:rsidRPr="008C5B1B">
              <w:rPr>
                <w:rFonts w:cs="Arial"/>
                <w:b/>
                <w:sz w:val="22"/>
                <w:szCs w:val="22"/>
              </w:rPr>
              <w:t>Double tracking:</w:t>
            </w:r>
            <w:r w:rsidRPr="008C5B1B">
              <w:rPr>
                <w:rFonts w:cs="Arial"/>
                <w:sz w:val="22"/>
                <w:szCs w:val="22"/>
              </w:rPr>
              <w:t xml:space="preserve"> No</w:t>
            </w:r>
          </w:p>
        </w:tc>
      </w:tr>
      <w:tr w:rsidR="00660414" w:rsidRPr="000A76BD" w:rsidTr="007613DE">
        <w:trPr>
          <w:gridAfter w:val="1"/>
          <w:wAfter w:w="69" w:type="pct"/>
          <w:cantSplit/>
        </w:trPr>
        <w:tc>
          <w:tcPr>
            <w:tcW w:w="683" w:type="pct"/>
            <w:vMerge/>
            <w:shd w:val="clear" w:color="auto" w:fill="auto"/>
            <w:vAlign w:val="center"/>
          </w:tcPr>
          <w:p w:rsidR="00660414" w:rsidRPr="00576C85" w:rsidRDefault="00660414" w:rsidP="007613DE">
            <w:pPr>
              <w:spacing w:before="60" w:after="60"/>
              <w:ind w:left="720" w:hanging="720"/>
              <w:jc w:val="both"/>
              <w:rPr>
                <w:rFonts w:cs="Arial"/>
                <w:sz w:val="22"/>
                <w:szCs w:val="22"/>
                <w:lang w:val="es-ES_tradnl"/>
              </w:rPr>
            </w:pPr>
          </w:p>
        </w:tc>
        <w:tc>
          <w:tcPr>
            <w:tcW w:w="113" w:type="pct"/>
            <w:vMerge/>
            <w:shd w:val="clear" w:color="auto" w:fill="auto"/>
            <w:vAlign w:val="center"/>
          </w:tcPr>
          <w:p w:rsidR="00660414" w:rsidRPr="00576C85" w:rsidRDefault="00660414" w:rsidP="007613DE">
            <w:pPr>
              <w:spacing w:before="60" w:after="60"/>
              <w:jc w:val="center"/>
              <w:rPr>
                <w:rFonts w:cs="Arial"/>
                <w:sz w:val="22"/>
                <w:szCs w:val="22"/>
                <w:lang w:val="es-ES_tradnl"/>
              </w:rPr>
            </w:pPr>
          </w:p>
        </w:tc>
        <w:tc>
          <w:tcPr>
            <w:tcW w:w="475" w:type="pct"/>
            <w:shd w:val="clear" w:color="auto" w:fill="auto"/>
            <w:vAlign w:val="center"/>
          </w:tcPr>
          <w:p w:rsidR="00660414" w:rsidRPr="00576C85" w:rsidRDefault="00660414" w:rsidP="007613DE">
            <w:pPr>
              <w:spacing w:before="60" w:after="60"/>
              <w:jc w:val="center"/>
              <w:rPr>
                <w:rFonts w:cs="Arial"/>
                <w:sz w:val="22"/>
                <w:szCs w:val="22"/>
                <w:lang w:val="es-ES_tradnl"/>
              </w:rPr>
            </w:pPr>
            <w:r>
              <w:rPr>
                <w:rFonts w:cs="Arial"/>
                <w:sz w:val="22"/>
                <w:szCs w:val="22"/>
                <w:lang w:val="es-ES_tradnl"/>
              </w:rPr>
              <w:t>DS11B</w:t>
            </w:r>
          </w:p>
        </w:tc>
        <w:tc>
          <w:tcPr>
            <w:tcW w:w="3660" w:type="pct"/>
            <w:shd w:val="clear" w:color="auto" w:fill="auto"/>
            <w:vAlign w:val="bottom"/>
          </w:tcPr>
          <w:p w:rsidR="00660414" w:rsidRPr="000A76BD" w:rsidRDefault="00660414" w:rsidP="007613DE">
            <w:pPr>
              <w:spacing w:before="60" w:after="60"/>
              <w:ind w:left="12" w:hanging="12"/>
              <w:jc w:val="both"/>
              <w:rPr>
                <w:rFonts w:cs="Arial"/>
                <w:sz w:val="22"/>
                <w:szCs w:val="22"/>
              </w:rPr>
            </w:pPr>
            <w:r>
              <w:rPr>
                <w:rFonts w:cs="Arial"/>
                <w:sz w:val="22"/>
                <w:szCs w:val="22"/>
              </w:rPr>
              <w:t>Restore c</w:t>
            </w:r>
            <w:r w:rsidRPr="00576C85">
              <w:rPr>
                <w:rFonts w:cs="Arial"/>
                <w:sz w:val="22"/>
                <w:szCs w:val="22"/>
              </w:rPr>
              <w:t xml:space="preserve">ore TEN-T corridor IV-N section </w:t>
            </w:r>
            <w:r>
              <w:rPr>
                <w:rFonts w:cs="Arial"/>
                <w:sz w:val="22"/>
                <w:szCs w:val="22"/>
              </w:rPr>
              <w:t xml:space="preserve">from </w:t>
            </w:r>
            <w:r w:rsidRPr="00576C85">
              <w:rPr>
                <w:rFonts w:cs="Arial"/>
                <w:sz w:val="22"/>
                <w:szCs w:val="22"/>
              </w:rPr>
              <w:t>Craiova to Calafat to design speed</w:t>
            </w:r>
            <w:r>
              <w:rPr>
                <w:rFonts w:cs="Arial"/>
                <w:sz w:val="22"/>
                <w:szCs w:val="22"/>
              </w:rPr>
              <w:t xml:space="preserve"> and electrification</w:t>
            </w:r>
            <w:r w:rsidRPr="00576C85">
              <w:rPr>
                <w:rFonts w:cs="Arial"/>
                <w:sz w:val="22"/>
                <w:szCs w:val="22"/>
              </w:rPr>
              <w:t>. Package of other improvements to include enhanced signalling equipment, new rolling stock and improved station facilities at major nodes (for example, Craiova and Calafat).</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Network to be rehabilitated:</w:t>
            </w:r>
            <w:r w:rsidRPr="00576C85">
              <w:rPr>
                <w:rFonts w:cs="Arial"/>
                <w:sz w:val="22"/>
                <w:szCs w:val="22"/>
              </w:rPr>
              <w:t xml:space="preserve"> 115km</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Service frequency:</w:t>
            </w:r>
            <w:r w:rsidRPr="00576C85">
              <w:rPr>
                <w:rFonts w:cs="Arial"/>
                <w:sz w:val="22"/>
                <w:szCs w:val="22"/>
              </w:rPr>
              <w:t xml:space="preserve"> 0.5tph to Craivoa from Calafat</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Number of units</w:t>
            </w:r>
            <w:r>
              <w:rPr>
                <w:rFonts w:cs="Arial"/>
                <w:b/>
                <w:sz w:val="22"/>
                <w:szCs w:val="22"/>
              </w:rPr>
              <w:t xml:space="preserve"> required</w:t>
            </w:r>
            <w:r w:rsidRPr="00576C85">
              <w:rPr>
                <w:rFonts w:cs="Arial"/>
                <w:b/>
                <w:sz w:val="22"/>
                <w:szCs w:val="22"/>
              </w:rPr>
              <w:t>:</w:t>
            </w:r>
            <w:r w:rsidRPr="00576C85">
              <w:rPr>
                <w:rFonts w:cs="Arial"/>
                <w:sz w:val="22"/>
                <w:szCs w:val="22"/>
              </w:rPr>
              <w:t xml:space="preserve"> 3 </w:t>
            </w:r>
            <w:r>
              <w:rPr>
                <w:rFonts w:cs="Arial"/>
                <w:sz w:val="22"/>
                <w:szCs w:val="22"/>
              </w:rPr>
              <w:t>E</w:t>
            </w:r>
            <w:r w:rsidRPr="00576C85">
              <w:rPr>
                <w:rFonts w:cs="Arial"/>
                <w:sz w:val="22"/>
                <w:szCs w:val="22"/>
              </w:rPr>
              <w:t>MUs</w:t>
            </w:r>
          </w:p>
          <w:p w:rsidR="00660414" w:rsidRPr="000A76BD" w:rsidRDefault="00660414" w:rsidP="007613DE">
            <w:pPr>
              <w:spacing w:before="60" w:after="60"/>
              <w:ind w:left="12" w:hanging="12"/>
              <w:jc w:val="both"/>
              <w:rPr>
                <w:rFonts w:cs="Arial"/>
                <w:sz w:val="22"/>
                <w:szCs w:val="22"/>
              </w:rPr>
            </w:pPr>
            <w:r w:rsidRPr="00576C85">
              <w:rPr>
                <w:rFonts w:cs="Arial"/>
                <w:b/>
                <w:sz w:val="22"/>
                <w:szCs w:val="22"/>
              </w:rPr>
              <w:t>Further electrification:</w:t>
            </w:r>
            <w:r w:rsidRPr="00576C85">
              <w:rPr>
                <w:rFonts w:cs="Arial"/>
                <w:sz w:val="22"/>
                <w:szCs w:val="22"/>
              </w:rPr>
              <w:t xml:space="preserve"> </w:t>
            </w:r>
            <w:r>
              <w:rPr>
                <w:rFonts w:cs="Arial"/>
                <w:sz w:val="22"/>
                <w:szCs w:val="22"/>
              </w:rPr>
              <w:t>Yes</w:t>
            </w:r>
          </w:p>
          <w:p w:rsidR="00660414" w:rsidRPr="00576C85" w:rsidRDefault="00660414" w:rsidP="007613DE">
            <w:pPr>
              <w:spacing w:before="60" w:after="60"/>
              <w:ind w:left="12" w:hanging="12"/>
              <w:jc w:val="both"/>
              <w:rPr>
                <w:rFonts w:cs="Arial"/>
                <w:sz w:val="22"/>
                <w:szCs w:val="22"/>
              </w:rPr>
            </w:pPr>
            <w:r w:rsidRPr="00576C85">
              <w:rPr>
                <w:rFonts w:cs="Arial"/>
                <w:b/>
                <w:sz w:val="22"/>
                <w:szCs w:val="22"/>
              </w:rPr>
              <w:t>Double tracking:</w:t>
            </w:r>
            <w:r w:rsidRPr="00576C85">
              <w:rPr>
                <w:rFonts w:cs="Arial"/>
                <w:sz w:val="22"/>
                <w:szCs w:val="22"/>
              </w:rPr>
              <w:t xml:space="preserve"> No</w:t>
            </w:r>
          </w:p>
        </w:tc>
      </w:tr>
      <w:tr w:rsidR="00660414" w:rsidRPr="000A76BD" w:rsidTr="007613DE">
        <w:trPr>
          <w:gridAfter w:val="1"/>
          <w:wAfter w:w="69" w:type="pct"/>
          <w:cantSplit/>
          <w:trHeight w:val="1046"/>
        </w:trPr>
        <w:tc>
          <w:tcPr>
            <w:tcW w:w="796" w:type="pct"/>
            <w:gridSpan w:val="2"/>
            <w:shd w:val="clear" w:color="auto" w:fill="auto"/>
            <w:vAlign w:val="center"/>
          </w:tcPr>
          <w:p w:rsidR="00660414" w:rsidRPr="008C5B1B" w:rsidRDefault="00660414" w:rsidP="007613DE">
            <w:pPr>
              <w:spacing w:before="60" w:after="60"/>
              <w:jc w:val="center"/>
              <w:rPr>
                <w:rFonts w:cs="Arial"/>
                <w:sz w:val="22"/>
                <w:szCs w:val="22"/>
                <w:lang w:val="es-ES_tradnl"/>
              </w:rPr>
            </w:pPr>
            <w:r w:rsidRPr="008C5B1B">
              <w:rPr>
                <w:rFonts w:cs="Arial"/>
                <w:sz w:val="22"/>
                <w:szCs w:val="22"/>
                <w:lang w:val="es-ES_tradnl"/>
              </w:rPr>
              <w:t>Combined scenario</w:t>
            </w:r>
          </w:p>
        </w:tc>
        <w:tc>
          <w:tcPr>
            <w:tcW w:w="475" w:type="pct"/>
            <w:shd w:val="clear" w:color="auto" w:fill="auto"/>
            <w:vAlign w:val="center"/>
          </w:tcPr>
          <w:p w:rsidR="00660414" w:rsidRPr="000A76BD" w:rsidRDefault="00660414" w:rsidP="007613DE">
            <w:pPr>
              <w:spacing w:before="60" w:after="60"/>
              <w:jc w:val="center"/>
              <w:rPr>
                <w:rFonts w:cs="Arial"/>
                <w:sz w:val="22"/>
                <w:szCs w:val="22"/>
                <w:lang w:val="es-ES_tradnl"/>
              </w:rPr>
            </w:pPr>
            <w:r w:rsidRPr="008C5B1B">
              <w:rPr>
                <w:rFonts w:cs="Arial"/>
                <w:sz w:val="22"/>
                <w:szCs w:val="22"/>
                <w:lang w:val="es-ES_tradnl"/>
              </w:rPr>
              <w:t>DS99A</w:t>
            </w:r>
          </w:p>
        </w:tc>
        <w:tc>
          <w:tcPr>
            <w:tcW w:w="3660" w:type="pct"/>
            <w:shd w:val="clear" w:color="auto" w:fill="auto"/>
            <w:vAlign w:val="bottom"/>
          </w:tcPr>
          <w:p w:rsidR="00660414" w:rsidRPr="008C5B1B" w:rsidRDefault="00660414" w:rsidP="007613DE">
            <w:pPr>
              <w:spacing w:before="60" w:after="60"/>
              <w:ind w:left="12" w:hanging="12"/>
              <w:jc w:val="both"/>
              <w:rPr>
                <w:rFonts w:cs="Arial"/>
                <w:sz w:val="22"/>
                <w:szCs w:val="22"/>
                <w:highlight w:val="yellow"/>
              </w:rPr>
            </w:pPr>
            <w:r w:rsidRPr="008C5B1B">
              <w:rPr>
                <w:rFonts w:cs="Arial"/>
                <w:sz w:val="22"/>
                <w:szCs w:val="22"/>
              </w:rPr>
              <w:t>Combined scenario with the upgrades considered for the best performing alternative for each corridor. Package of other improvements to include enhanced signalling equipment, new rolling stock and improved station facilities at major nodes</w:t>
            </w:r>
          </w:p>
        </w:tc>
      </w:tr>
    </w:tbl>
    <w:p w:rsidR="00660414" w:rsidRPr="008C5B1B" w:rsidRDefault="00660414" w:rsidP="007613DE">
      <w:pPr>
        <w:rPr>
          <w:i/>
        </w:rPr>
      </w:pPr>
      <w:r w:rsidRPr="008C5B1B">
        <w:rPr>
          <w:i/>
        </w:rPr>
        <w:t>Source: AECOM proposals</w:t>
      </w:r>
    </w:p>
    <w:p w:rsidR="00660414" w:rsidRPr="000A76BD" w:rsidRDefault="00660414" w:rsidP="00A4081F">
      <w:pPr>
        <w:pStyle w:val="NumberedParas"/>
      </w:pPr>
      <w:r w:rsidRPr="008C5B1B">
        <w:t>There are a limited number of further stations which benefit from station improvements but are not served by the proposed regular interval timetable, for example, Targoviste and Miercurea Ciuc. The case for improving these stations would need to be evaluated separately</w:t>
      </w:r>
      <w:r>
        <w:t>, with the scope of improvements informed by the likely demand</w:t>
      </w:r>
      <w:r w:rsidRPr="008C5B1B">
        <w:t xml:space="preserve">. </w:t>
      </w:r>
    </w:p>
    <w:p w:rsidR="00660414" w:rsidRDefault="00660414" w:rsidP="00A4081F">
      <w:pPr>
        <w:pStyle w:val="NumberedParas"/>
      </w:pPr>
      <w:r w:rsidRPr="008C5B1B">
        <w:t xml:space="preserve">The above package of proposals has been compared against the Reference case assumption which is based on a similar level of service to the 2011 timetable to assess their impact. Whilst there may have been modest service improvements delivered since 2011, the package of measures described above will offer substantial improvements for those corridors which offer the strongest opportunities to increase the existing rail travel market.  </w:t>
      </w:r>
    </w:p>
    <w:p w:rsidR="00660414" w:rsidRDefault="00660414" w:rsidP="00A4081F">
      <w:pPr>
        <w:pStyle w:val="NumberedParas"/>
      </w:pPr>
      <w:r w:rsidRPr="003A020C">
        <w:t>In addition to the described model runs, an alternative se</w:t>
      </w:r>
      <w:r>
        <w:t>t of</w:t>
      </w:r>
      <w:r w:rsidRPr="003A020C">
        <w:t xml:space="preserve"> tests </w:t>
      </w:r>
      <w:r>
        <w:t>using the naming convetion (</w:t>
      </w:r>
      <w:r w:rsidRPr="008C5B1B">
        <w:rPr>
          <w:i/>
        </w:rPr>
        <w:t>DSXXR</w:t>
      </w:r>
      <w:r>
        <w:t xml:space="preserve">) have been </w:t>
      </w:r>
      <w:r w:rsidRPr="003A020C">
        <w:t>defined to asses</w:t>
      </w:r>
      <w:r>
        <w:t>s</w:t>
      </w:r>
      <w:r w:rsidRPr="003A020C">
        <w:t xml:space="preserve"> the case for removing low costs speed restrictions and implementing a regular interval timetable on each major corridor. The speed restrictions impose significant delays </w:t>
      </w:r>
      <w:r>
        <w:t>to</w:t>
      </w:r>
      <w:r w:rsidRPr="003A020C">
        <w:t xml:space="preserve"> passenger and freight trains and affect service reliablility</w:t>
      </w:r>
      <w:r>
        <w:t>. The implementation of this package would</w:t>
      </w:r>
      <w:r w:rsidRPr="003A020C">
        <w:t xml:space="preserve"> </w:t>
      </w:r>
      <w:r>
        <w:t xml:space="preserve">represent </w:t>
      </w:r>
      <w:r w:rsidRPr="003A020C">
        <w:t xml:space="preserve">an opportunity </w:t>
      </w:r>
      <w:r>
        <w:t>to deliver some “</w:t>
      </w:r>
      <w:r w:rsidRPr="003A020C">
        <w:t>quick wins</w:t>
      </w:r>
      <w:r>
        <w:t xml:space="preserve">”. </w:t>
      </w:r>
      <w:r w:rsidRPr="003A020C">
        <w:t>The propo</w:t>
      </w:r>
      <w:r>
        <w:t xml:space="preserve">sed regular interval timetables are comparable to those specified to for the rehabilitation tests in terms of daily frequencies, but have been adjusted to the forecasted travel times after the discussed restrictions are addressed. This outcome has some implications for rolling stock requirements and hence the total scheme costs. </w:t>
      </w:r>
    </w:p>
    <w:p w:rsidR="00660414" w:rsidRPr="00F70107" w:rsidRDefault="00660414" w:rsidP="00FD34BC">
      <w:pPr>
        <w:pStyle w:val="Hdg3"/>
        <w:ind w:left="851"/>
      </w:pPr>
      <w:bookmarkStart w:id="7974" w:name="_Toc398885063"/>
      <w:r w:rsidRPr="008C5B1B">
        <w:t>High Level Results for the Service Options</w:t>
      </w:r>
      <w:bookmarkEnd w:id="7974"/>
    </w:p>
    <w:p w:rsidR="00660414" w:rsidRPr="00F70107" w:rsidRDefault="00660414" w:rsidP="00A4081F">
      <w:pPr>
        <w:pStyle w:val="NumberedParas"/>
      </w:pPr>
      <w:r w:rsidRPr="008C5B1B">
        <w:t xml:space="preserve">Figure 5.27 summarises the overall benefit cost ratio for each test. Although the combined scenario produces a benefit cost ratio of 1.0, individual schemes that comprise service proposals radiating from Bucharest </w:t>
      </w:r>
      <w:r>
        <w:t xml:space="preserve">offer strong </w:t>
      </w:r>
      <w:r w:rsidRPr="008C5B1B">
        <w:t>value for money (</w:t>
      </w:r>
      <w:r>
        <w:t xml:space="preserve">a </w:t>
      </w:r>
      <w:r w:rsidRPr="008C5B1B">
        <w:t xml:space="preserve">BCR over 1), whilst the results for routes linking other cities generally produce </w:t>
      </w:r>
      <w:r>
        <w:t xml:space="preserve">a business case which offers </w:t>
      </w:r>
      <w:r w:rsidRPr="008C5B1B">
        <w:t xml:space="preserve">poor value for money (BCR under 1). Scenario DS10 is the best performing scheme with a BCR of about 4.2. This high figure is due to the characteristics of the corridor with no rail services operating in 2011 on line 902 from Giurgiu beyond Gradistea due to the collapse in 2005 of the Arges river bridge. Reconstructing this bridge, bringing </w:t>
      </w:r>
      <w:r>
        <w:t xml:space="preserve">line </w:t>
      </w:r>
      <w:r w:rsidRPr="008C5B1B">
        <w:t xml:space="preserve">speeds back to </w:t>
      </w:r>
      <w:r>
        <w:t xml:space="preserve">the </w:t>
      </w:r>
      <w:r w:rsidRPr="008C5B1B">
        <w:t xml:space="preserve">design parameters, and implementing a regular interval timetable on the line generates significant benefits at a modest cost.  </w:t>
      </w:r>
    </w:p>
    <w:p w:rsidR="00660414" w:rsidRPr="00F70107" w:rsidRDefault="00660414" w:rsidP="00A4081F">
      <w:pPr>
        <w:pStyle w:val="NumberedParas"/>
      </w:pPr>
      <w:r w:rsidRPr="008C5B1B">
        <w:t xml:space="preserve">Similarly, test DS02A could deliver substantial benefits from the deployment of a more intensive timetable operated by modern rolling stock on the Constanta line. Although this line has been rehabilitated in the last decade to a high standard with design speeds of up to 200 km/h, services have not achieved the anticipated travel times after rehabilitation. </w:t>
      </w:r>
      <w:r>
        <w:t xml:space="preserve">Evidence indicates </w:t>
      </w:r>
      <w:r w:rsidRPr="008C5B1B">
        <w:t xml:space="preserve">that the potential rail market share on this section has not been </w:t>
      </w:r>
      <w:r>
        <w:t>achieved</w:t>
      </w:r>
      <w:r w:rsidRPr="008C5B1B">
        <w:t>, with the upgraded infrastructure currently underutilised.</w:t>
      </w:r>
    </w:p>
    <w:p w:rsidR="00660414" w:rsidRDefault="00660414" w:rsidP="00A4081F">
      <w:pPr>
        <w:pStyle w:val="NumberedParas"/>
      </w:pPr>
      <w:r w:rsidRPr="008C5B1B">
        <w:t xml:space="preserve">Scenarios involving rehabilitation of long corridors radiating from Bucharest such as DS01, DS03 and DS04, yield BCR’s marginally above 1. </w:t>
      </w:r>
      <w:r>
        <w:t>T</w:t>
      </w:r>
      <w:r w:rsidRPr="008C5B1B">
        <w:t>his indicates that the rehabilitation programme is worthwhile</w:t>
      </w:r>
      <w:r>
        <w:t xml:space="preserve">. With the </w:t>
      </w:r>
      <w:r w:rsidRPr="008C5B1B">
        <w:t>forecast</w:t>
      </w:r>
      <w:r>
        <w:t xml:space="preserve">s showing </w:t>
      </w:r>
      <w:r w:rsidRPr="008C5B1B">
        <w:t xml:space="preserve">demand </w:t>
      </w:r>
      <w:r>
        <w:t xml:space="preserve">using sections of the rail network </w:t>
      </w:r>
      <w:r w:rsidRPr="008C5B1B">
        <w:t xml:space="preserve">closer to Bucharest </w:t>
      </w:r>
      <w:r>
        <w:t>increases</w:t>
      </w:r>
      <w:r w:rsidRPr="008C5B1B">
        <w:t xml:space="preserve">, the </w:t>
      </w:r>
      <w:r>
        <w:t>analysis is also presented for individual sections to illustrate these impacts.</w:t>
      </w:r>
      <w:r w:rsidRPr="008C5B1B">
        <w:t xml:space="preserve">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C3C36B9" wp14:editId="3D0C3432">
            <wp:extent cx="6480293" cy="3338623"/>
            <wp:effectExtent l="19050" t="0" r="15757" b="0"/>
            <wp:docPr id="4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r w:rsidRPr="008C5B1B">
        <w:rPr>
          <w:b/>
          <w:noProof/>
          <w:sz w:val="22"/>
          <w:szCs w:val="22"/>
          <w:lang w:eastAsia="en-GB"/>
        </w:rPr>
        <w:t xml:space="preserve"> </w:t>
      </w:r>
    </w:p>
    <w:p w:rsidR="00660414" w:rsidRPr="008C7A83"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28</w:t>
      </w:r>
      <w:r w:rsidRPr="008C7A83">
        <w:rPr>
          <w:b/>
          <w:sz w:val="22"/>
          <w:szCs w:val="22"/>
        </w:rPr>
        <w:fldChar w:fldCharType="end"/>
      </w:r>
      <w:r w:rsidRPr="008C7A83">
        <w:rPr>
          <w:b/>
          <w:sz w:val="22"/>
          <w:szCs w:val="22"/>
        </w:rPr>
        <w:t>: BCR of the best performing test for each scenario involving infrastructure upgrades</w:t>
      </w:r>
    </w:p>
    <w:p w:rsidR="00660414" w:rsidRPr="007B1E1D" w:rsidRDefault="00660414" w:rsidP="007613DE">
      <w:pPr>
        <w:rPr>
          <w:i/>
        </w:rPr>
      </w:pPr>
      <w:r w:rsidRPr="00F842FB">
        <w:rPr>
          <w:i/>
        </w:rPr>
        <w:t xml:space="preserve">Source: AECOM </w:t>
      </w:r>
      <w:r>
        <w:rPr>
          <w:i/>
        </w:rPr>
        <w:t>calculations using the National Transport Model</w:t>
      </w:r>
    </w:p>
    <w:p w:rsidR="00660414" w:rsidRPr="00760C6E" w:rsidRDefault="00660414" w:rsidP="00FD34BC">
      <w:pPr>
        <w:pStyle w:val="Hdg3"/>
        <w:ind w:left="851"/>
      </w:pPr>
      <w:bookmarkStart w:id="7975" w:name="_Toc398885064"/>
      <w:r w:rsidRPr="008C5B1B">
        <w:t>Results Analysis – Key Performance Indicators</w:t>
      </w:r>
      <w:bookmarkEnd w:id="7975"/>
    </w:p>
    <w:p w:rsidR="00660414" w:rsidRPr="00760C6E" w:rsidRDefault="00660414" w:rsidP="00A4081F">
      <w:pPr>
        <w:pStyle w:val="NumberedParas"/>
      </w:pPr>
      <w:r w:rsidRPr="008C5B1B">
        <w:t>Table 5.11 summarises outputs for the rail model runs described above using the National Transport Model. The results illustrate the performance of each modelled test versus the reference scenario</w:t>
      </w:r>
      <w:r>
        <w:t>. This</w:t>
      </w:r>
      <w:r w:rsidRPr="008C5B1B">
        <w:t xml:space="preserve"> demonstrates the potential to achieve rail growth if an appropriate package of investment is del</w:t>
      </w:r>
      <w:r>
        <w:t>i</w:t>
      </w:r>
      <w:r w:rsidRPr="008C5B1B">
        <w:t xml:space="preserve">vered. It should be highlighted that steady state maintenance and repairs of the core network will translate into increased maintenance and renewals costs. The outputs include change in passenger kilometres, change in tonne kilometres, the Net Present Value of the scheme and the benefit cost ratio. Upgrading a corridor </w:t>
      </w:r>
      <w:r>
        <w:t xml:space="preserve">has several </w:t>
      </w:r>
      <w:r w:rsidRPr="008C5B1B">
        <w:t>impacts</w:t>
      </w:r>
      <w:r>
        <w:t>:</w:t>
      </w:r>
      <w:r w:rsidRPr="008C5B1B">
        <w:t xml:space="preserve"> </w:t>
      </w:r>
    </w:p>
    <w:p w:rsidR="00660414" w:rsidRPr="00760C6E" w:rsidRDefault="00660414" w:rsidP="00273D5E">
      <w:pPr>
        <w:pStyle w:val="BulletLevel1"/>
      </w:pPr>
      <w:r w:rsidRPr="008C5B1B">
        <w:t>Overall increase in rail demand (generation of trips);</w:t>
      </w:r>
    </w:p>
    <w:p w:rsidR="00660414" w:rsidRPr="00760C6E" w:rsidRDefault="00660414" w:rsidP="00273D5E">
      <w:pPr>
        <w:pStyle w:val="BulletLevel1"/>
      </w:pPr>
      <w:r w:rsidRPr="008C5B1B">
        <w:t xml:space="preserve">Rerouting of traffic towards the upgraded line (abstraction from other corridors). </w:t>
      </w:r>
    </w:p>
    <w:p w:rsidR="00660414" w:rsidRPr="00760C6E" w:rsidRDefault="00660414" w:rsidP="00A4081F">
      <w:pPr>
        <w:pStyle w:val="NumberedParas"/>
      </w:pPr>
      <w:r w:rsidRPr="008C5B1B">
        <w:t>The main lines to / from Bucharest attract</w:t>
      </w:r>
      <w:r>
        <w:t xml:space="preserve"> </w:t>
      </w:r>
      <w:r w:rsidRPr="008C5B1B">
        <w:t>more demand and produc</w:t>
      </w:r>
      <w:r>
        <w:t xml:space="preserve">e </w:t>
      </w:r>
      <w:r w:rsidRPr="008C5B1B">
        <w:t xml:space="preserve">a higher benefit cost ratio compared with other remote corridors that attract lower passenger numbers and / or freight traffic. This implies the main lines around Bucharest should be prioritised if limited funds for investment are available. In general terms, the forecasts demonstrate the impacts on the passenger sector are generally greater than the freight sector. This is partially due to the assumption that freight trains only receive a smaller time saving after corridor rehabilitation. This assumption can also be validated by observing freight travel times on the Constanta line before and after the line rehabilitation. The very low rail mode share and significant proportion of the population without a car available contribute to the relatively high increase in passenger demand. </w:t>
      </w:r>
    </w:p>
    <w:p w:rsidR="00660414" w:rsidRPr="00760C6E" w:rsidRDefault="00660414" w:rsidP="00A4081F">
      <w:pPr>
        <w:pStyle w:val="NumberedParas"/>
      </w:pPr>
      <w:r w:rsidRPr="008C5B1B">
        <w:t>Similarly, Table 5.11 highlights that scenario “A” variants tend to perform better than the alternative scenario “B”</w:t>
      </w:r>
      <w:r>
        <w:t xml:space="preserve">. This conclusion is particularly evident </w:t>
      </w:r>
      <w:r w:rsidRPr="008C5B1B">
        <w:t>if the only difference</w:t>
      </w:r>
      <w:r>
        <w:t xml:space="preserve"> i</w:t>
      </w:r>
      <w:r w:rsidRPr="008C5B1B">
        <w:t xml:space="preserve">s the assumed maximum design speed. This implies that the extra benefits generated from the higher maximum speeds does not justify the additional costs. </w:t>
      </w:r>
      <w:r>
        <w:t>T</w:t>
      </w:r>
      <w:r w:rsidRPr="008C5B1B">
        <w:t xml:space="preserve">here are sections where upgrades beyond the current design speed would help to smooth speed profiles, </w:t>
      </w:r>
      <w:r>
        <w:t xml:space="preserve">and </w:t>
      </w:r>
      <w:r w:rsidRPr="008C5B1B">
        <w:t>these proposals should be examined in more detail. For example, Test DS05B comprises the electrification of the line between Bucharest and Sibiu via Pitesti and Ramnicu Valcea (Corridor 200)</w:t>
      </w:r>
      <w:r>
        <w:t>. The electrification</w:t>
      </w:r>
      <w:r w:rsidRPr="008C5B1B">
        <w:t xml:space="preserve"> removes air pollution dis-benefits that would </w:t>
      </w:r>
      <w:r>
        <w:t xml:space="preserve">otherwise </w:t>
      </w:r>
      <w:r w:rsidRPr="008C5B1B">
        <w:t xml:space="preserve">occur in DS05A from the diesel freight trains. The only enhancement in test DS05B versus DS05A is electrification, whilst DS07B includes line doubling and electrification. </w:t>
      </w:r>
    </w:p>
    <w:p w:rsidR="00660414" w:rsidRDefault="00660414" w:rsidP="00A4081F">
      <w:pPr>
        <w:pStyle w:val="NumberedParas"/>
      </w:pPr>
      <w:r w:rsidRPr="008C5B1B">
        <w:t>The results for scenario DS07 suggest that either variant ‘A’ or ‘B’ could be included in the combined scenario alternative (DS99A). However, DS07A has been selected since it generates the highest NPV. Test DS02A results in a minor reduction in freight traffic following the removal of speed restrictions between Bucharest and Constanta. This corridor did not achieve a reduction in freight journey time savings in the early 2000s suggesting that the current condition of the line does not constrain travel times. In this context, the passenger trips transferring from road to rail slightly improves the traffic flow using the parallel motorway which in turn improves the attractiveness of road freight.</w:t>
      </w:r>
    </w:p>
    <w:p w:rsidR="00660414" w:rsidRDefault="00660414" w:rsidP="00A4081F">
      <w:pPr>
        <w:pStyle w:val="NumberedParas"/>
      </w:pPr>
      <w:r>
        <w:t>Table 5.11 also presents the results for the package of low cost improvements which involve the removal of low cost speed restrictions and regular interval timetables. This package of measures offers good value for money versus the reference case, with increased number of passengers and rail freight tonnes transported. In the ‘R’ variant scenario for DS07, there is a decrease in the number of passengers compared with the reference case. This is a result of the additional time imposed on passengers travelling from Oradea to the centre and southern parts of Romania given the requirement to change trains. In this case therefore timetables on the line Oradea to Cluj-Napoca could be adjusted to match the arrival and departure times of trains running on corridor IV-N Bucharest and minimise this impact.</w:t>
      </w:r>
    </w:p>
    <w:p w:rsidR="00660414" w:rsidRDefault="00660414" w:rsidP="00A4081F">
      <w:pPr>
        <w:pStyle w:val="NumberedParas"/>
      </w:pPr>
      <w:r>
        <w:t xml:space="preserve">The introduction of these low cost options should play a core role in shaping the future strategy. The opportunity to secure some quick-wins which are predicated on the implementation of some lower cost infrastructure measures will be benefical in helping to reverse the decline in passenger numbers using rail which has occurred during the last 10-20 years. The introduction of the timetable changes, new rolling stock and infrastructure measures which remove the speed restrictions will help to reverse the downward spiral in rail usage. However, this package of measures should only form a starting point for further investment to upgrade the infrastructure and deliver extra journey time reductions. The latter schemes are expected to offer a lower benefit cost ratio, but this should not prevent this investment from proceeding. </w:t>
      </w:r>
    </w:p>
    <w:p w:rsidR="00660414" w:rsidRPr="0052049F" w:rsidRDefault="00660414" w:rsidP="00A4081F">
      <w:pPr>
        <w:pStyle w:val="NumberedParas"/>
      </w:pPr>
      <w:r>
        <w:t xml:space="preserve">As in the line rehabilitation tests, freight traffic experiences only a modest growth as a result of the forecasted journey time savings. Test DS12R is mostly a freight test, does not include regular interval timetable, which considers the impact of removing speed restrictions from line 702 between Fetesti and Faurei. </w:t>
      </w:r>
      <w:r w:rsidRPr="0052049F">
        <w:br w:type="page"/>
      </w:r>
    </w:p>
    <w:p w:rsidR="00660414" w:rsidRPr="008C5B1B" w:rsidRDefault="00660414" w:rsidP="00660414">
      <w:pPr>
        <w:pStyle w:val="Caption"/>
        <w:rPr>
          <w:b/>
          <w:sz w:val="22"/>
          <w:szCs w:val="22"/>
        </w:rPr>
      </w:pPr>
      <w:r w:rsidRPr="001F5936">
        <w:rPr>
          <w:b/>
          <w:sz w:val="22"/>
          <w:szCs w:val="22"/>
        </w:rPr>
        <w:t>Table 5.</w:t>
      </w:r>
      <w:r w:rsidRPr="008C5B1B">
        <w:rPr>
          <w:b/>
          <w:bCs w:val="0"/>
          <w:sz w:val="22"/>
          <w:szCs w:val="22"/>
        </w:rPr>
        <w:fldChar w:fldCharType="begin"/>
      </w:r>
      <w:r w:rsidRPr="001F5936">
        <w:rPr>
          <w:b/>
          <w:sz w:val="22"/>
          <w:szCs w:val="22"/>
        </w:rPr>
        <w:instrText xml:space="preserve"> SEQ Table \* ARABIC </w:instrText>
      </w:r>
      <w:r w:rsidRPr="008C5B1B">
        <w:rPr>
          <w:b/>
          <w:bCs w:val="0"/>
          <w:sz w:val="22"/>
          <w:szCs w:val="22"/>
        </w:rPr>
        <w:fldChar w:fldCharType="separate"/>
      </w:r>
      <w:r w:rsidR="00C168ED">
        <w:rPr>
          <w:b/>
          <w:noProof/>
          <w:sz w:val="22"/>
          <w:szCs w:val="22"/>
        </w:rPr>
        <w:t>13</w:t>
      </w:r>
      <w:r w:rsidRPr="008C5B1B">
        <w:rPr>
          <w:b/>
          <w:bCs w:val="0"/>
          <w:sz w:val="22"/>
          <w:szCs w:val="22"/>
        </w:rPr>
        <w:fldChar w:fldCharType="end"/>
      </w:r>
      <w:r w:rsidRPr="001F5936">
        <w:rPr>
          <w:b/>
          <w:sz w:val="22"/>
          <w:szCs w:val="22"/>
        </w:rPr>
        <w:t xml:space="preserve">: </w:t>
      </w:r>
      <w:bookmarkStart w:id="7976" w:name="_Toc398885065"/>
      <w:r w:rsidRPr="008C5B1B">
        <w:rPr>
          <w:b/>
          <w:sz w:val="22"/>
          <w:szCs w:val="22"/>
        </w:rPr>
        <w:t>Headline Results from Selected Model Runs</w:t>
      </w:r>
      <w:bookmarkEnd w:id="7976"/>
      <w:r w:rsidRPr="008C5B1B">
        <w:rPr>
          <w:b/>
          <w:sz w:val="22"/>
          <w:szCs w:val="22"/>
        </w:rPr>
        <w:t xml:space="preserve"> </w:t>
      </w:r>
      <w:r>
        <w:rPr>
          <w:b/>
          <w:sz w:val="22"/>
          <w:szCs w:val="22"/>
        </w:rPr>
        <w:t>(2030)</w:t>
      </w:r>
    </w:p>
    <w:tbl>
      <w:tblPr>
        <w:tblW w:w="5000" w:type="pct"/>
        <w:tblLook w:val="04A0" w:firstRow="1" w:lastRow="0" w:firstColumn="1" w:lastColumn="0" w:noHBand="0" w:noVBand="1"/>
      </w:tblPr>
      <w:tblGrid>
        <w:gridCol w:w="1059"/>
        <w:gridCol w:w="2072"/>
        <w:gridCol w:w="1513"/>
        <w:gridCol w:w="1227"/>
        <w:gridCol w:w="1385"/>
        <w:gridCol w:w="1238"/>
        <w:gridCol w:w="1238"/>
        <w:gridCol w:w="775"/>
      </w:tblGrid>
      <w:tr w:rsidR="00660414" w:rsidRPr="00FD34BC" w:rsidTr="00FD34BC">
        <w:trPr>
          <w:cantSplit/>
          <w:trHeight w:hRule="exact" w:val="886"/>
          <w:tblHeader/>
        </w:trPr>
        <w:tc>
          <w:tcPr>
            <w:tcW w:w="504"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rPr>
                <w:b/>
              </w:rPr>
            </w:pPr>
            <w:r w:rsidRPr="00FD34BC">
              <w:rPr>
                <w:b/>
              </w:rPr>
              <w:t>Model run</w:t>
            </w:r>
          </w:p>
        </w:tc>
        <w:tc>
          <w:tcPr>
            <w:tcW w:w="986"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rPr>
                <w:b/>
              </w:rPr>
            </w:pPr>
            <w:r w:rsidRPr="00FD34BC">
              <w:rPr>
                <w:b/>
              </w:rPr>
              <w:t>Description</w:t>
            </w:r>
          </w:p>
        </w:tc>
        <w:tc>
          <w:tcPr>
            <w:tcW w:w="720"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Change  - Pass-km (000’s)</w:t>
            </w:r>
          </w:p>
        </w:tc>
        <w:tc>
          <w:tcPr>
            <w:tcW w:w="584"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Change in Pass-km share</w:t>
            </w:r>
          </w:p>
        </w:tc>
        <w:tc>
          <w:tcPr>
            <w:tcW w:w="659"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Change in Tonne-km (000’s)</w:t>
            </w:r>
          </w:p>
        </w:tc>
        <w:tc>
          <w:tcPr>
            <w:tcW w:w="589"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Change in Tonne-km share</w:t>
            </w:r>
          </w:p>
        </w:tc>
        <w:tc>
          <w:tcPr>
            <w:tcW w:w="589"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NPV € Mill (2014 Prices)</w:t>
            </w:r>
          </w:p>
        </w:tc>
        <w:tc>
          <w:tcPr>
            <w:tcW w:w="369"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FD34BC" w:rsidRDefault="00660414" w:rsidP="00FD34BC">
            <w:pPr>
              <w:jc w:val="center"/>
              <w:rPr>
                <w:b/>
              </w:rPr>
            </w:pPr>
            <w:r w:rsidRPr="00FD34BC">
              <w:rPr>
                <w:b/>
              </w:rPr>
              <w:t>BCR</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DS01R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Bucharest to Arad / Cluj via Brasov</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+1,781 (+8%)</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+19(0%)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2</w:t>
            </w:r>
            <w:r>
              <w:rPr>
                <w:color w:val="000000"/>
              </w:rPr>
              <w:t>77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8.32</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DS01A</w:t>
            </w:r>
          </w:p>
        </w:tc>
        <w:tc>
          <w:tcPr>
            <w:tcW w:w="986" w:type="pct"/>
            <w:vMerge/>
            <w:tcBorders>
              <w:left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+5,814 (+27%)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+4,175 (+9%)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w:t>
            </w:r>
            <w:r>
              <w:rPr>
                <w:color w:val="000000"/>
              </w:rPr>
              <w:t>1</w:t>
            </w:r>
            <w:r w:rsidRPr="008C5B1B">
              <w:rPr>
                <w:color w:val="000000"/>
              </w:rPr>
              <w:t>%</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w:t>
            </w:r>
            <w:r>
              <w:rPr>
                <w:color w:val="000000"/>
              </w:rPr>
              <w:t>83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1.09</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DS01B</w:t>
            </w:r>
          </w:p>
        </w:tc>
        <w:tc>
          <w:tcPr>
            <w:tcW w:w="986" w:type="pct"/>
            <w:vMerge/>
            <w:tcBorders>
              <w:left w:val="single" w:sz="4" w:space="0" w:color="auto"/>
              <w:bottom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+6,374 (+30%)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+1.9%</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+4,189 (+9%)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w:t>
            </w:r>
            <w:r>
              <w:rPr>
                <w:color w:val="000000"/>
              </w:rPr>
              <w:t>1</w:t>
            </w:r>
            <w:r w:rsidRPr="008C5B1B">
              <w:rPr>
                <w:color w:val="000000"/>
              </w:rPr>
              <w:t>%</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-3</w:t>
            </w:r>
            <w:r>
              <w:rPr>
                <w:color w:val="000000"/>
              </w:rPr>
              <w:t>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0.99</w:t>
            </w:r>
          </w:p>
        </w:tc>
      </w:tr>
      <w:tr w:rsidR="00660414" w:rsidRPr="00703F94" w:rsidTr="00FD34BC">
        <w:trPr>
          <w:cantSplit/>
          <w:trHeight w:hRule="exact" w:val="595"/>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DS02A</w:t>
            </w:r>
          </w:p>
        </w:tc>
        <w:tc>
          <w:tcPr>
            <w:tcW w:w="986" w:type="pct"/>
            <w:tcBorders>
              <w:top w:val="single" w:sz="4" w:space="0" w:color="auto"/>
              <w:left w:val="single" w:sz="4" w:space="0" w:color="auto"/>
              <w:bottom w:val="single" w:sz="4" w:space="0" w:color="auto"/>
              <w:right w:val="single" w:sz="4" w:space="0" w:color="auto"/>
            </w:tcBorders>
            <w:vAlign w:val="center"/>
          </w:tcPr>
          <w:p w:rsidR="00660414" w:rsidRPr="00515CCA" w:rsidRDefault="00660414" w:rsidP="00FD34BC">
            <w:r w:rsidRPr="00C40C36">
              <w:t>Bucharest to</w:t>
            </w:r>
            <w:r>
              <w:t xml:space="preserve"> Constanta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+1,422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2</w:t>
            </w:r>
            <w:r>
              <w:rPr>
                <w:color w:val="000000"/>
              </w:rPr>
              <w:t>55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13.62</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DS03R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Bucharest to Arad via Craoiva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+2,403 (+11%)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+566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Pr>
                <w:color w:val="000000"/>
              </w:rPr>
              <w:t>422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2.55</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DS03A</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+4,946 (+23%)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+4,101 (+</w:t>
            </w:r>
            <w:r>
              <w:t>6</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106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1.06</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DS03B</w:t>
            </w:r>
          </w:p>
        </w:tc>
        <w:tc>
          <w:tcPr>
            <w:tcW w:w="986" w:type="pct"/>
            <w:vMerge/>
            <w:tcBorders>
              <w:left w:val="single" w:sz="4" w:space="0" w:color="auto"/>
              <w:bottom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+5,721 (+27%)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+4,083 (+</w:t>
            </w:r>
            <w:r>
              <w:t>6</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+1.2%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1.00</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DS04R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Bucharest to Galati / Iasi / Suceava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+1,370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30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2</w:t>
            </w:r>
            <w:r>
              <w:rPr>
                <w:color w:val="000000"/>
              </w:rPr>
              <w:t>98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3.64</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DS04A</w:t>
            </w:r>
          </w:p>
        </w:tc>
        <w:tc>
          <w:tcPr>
            <w:tcW w:w="986" w:type="pct"/>
            <w:vMerge/>
            <w:tcBorders>
              <w:left w:val="single" w:sz="4" w:space="0" w:color="auto"/>
              <w:bottom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+6,783 (+32%)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+2.0%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+2,159 (+</w:t>
            </w:r>
            <w:r>
              <w:t>3</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+0.6%</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529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1.23</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DS05R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Bucharest to Sibiu via Ramnicu Valcea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+73(+0%)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+26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-8</w:t>
            </w:r>
            <w:r>
              <w:rPr>
                <w:color w:val="000000"/>
              </w:rPr>
              <w:t>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Pr>
                <w:color w:val="000000"/>
              </w:rPr>
              <w:t>-</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DS05A</w:t>
            </w:r>
          </w:p>
        </w:tc>
        <w:tc>
          <w:tcPr>
            <w:tcW w:w="986" w:type="pct"/>
            <w:vMerge/>
            <w:tcBorders>
              <w:left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+1,253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+1,435 (+</w:t>
            </w:r>
            <w:r>
              <w:t>2</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+0.5%</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w:t>
            </w:r>
            <w:r>
              <w:rPr>
                <w:color w:val="000000"/>
              </w:rPr>
              <w:t>605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0.01</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DS05B</w:t>
            </w:r>
          </w:p>
        </w:tc>
        <w:tc>
          <w:tcPr>
            <w:tcW w:w="986" w:type="pct"/>
            <w:vMerge/>
            <w:tcBorders>
              <w:left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+1,238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+1,358 (+2%)</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6</w:t>
            </w:r>
            <w:r>
              <w:rPr>
                <w:color w:val="000000"/>
              </w:rPr>
              <w:t>59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1.61</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rPr>
                <w:color w:val="000000"/>
              </w:rPr>
            </w:pPr>
            <w:r>
              <w:rPr>
                <w:color w:val="000000"/>
              </w:rPr>
              <w:t>DS05C</w:t>
            </w:r>
          </w:p>
        </w:tc>
        <w:tc>
          <w:tcPr>
            <w:tcW w:w="986" w:type="pct"/>
            <w:vMerge/>
            <w:tcBorders>
              <w:left w:val="single" w:sz="4" w:space="0" w:color="auto"/>
              <w:bottom w:val="single" w:sz="4" w:space="0" w:color="auto"/>
              <w:right w:val="single" w:sz="4" w:space="0" w:color="auto"/>
            </w:tcBorders>
          </w:tcPr>
          <w:p w:rsidR="00660414"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+1,580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+2,855 (+4%)</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+0.8%</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03F94" w:rsidRDefault="00660414" w:rsidP="00FD34BC">
            <w:pPr>
              <w:jc w:val="center"/>
              <w:rPr>
                <w:color w:val="000000"/>
              </w:rPr>
            </w:pPr>
            <w:r w:rsidRPr="008C5B1B">
              <w:rPr>
                <w:color w:val="000000"/>
              </w:rPr>
              <w:t>2</w:t>
            </w:r>
            <w:r>
              <w:rPr>
                <w:color w:val="000000"/>
              </w:rPr>
              <w:t>91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03F94" w:rsidRDefault="00660414" w:rsidP="00FD34BC">
            <w:pPr>
              <w:jc w:val="center"/>
              <w:rPr>
                <w:color w:val="000000"/>
              </w:rPr>
            </w:pPr>
            <w:r w:rsidRPr="008C5B1B">
              <w:rPr>
                <w:color w:val="000000"/>
              </w:rPr>
              <w:t>1.23</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DS06R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Cluj Napoca to Iasi</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+272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Pr>
                <w:color w:val="000000"/>
              </w:rPr>
              <w:t>75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Pr>
                <w:color w:val="000000"/>
              </w:rPr>
              <w:t>-</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DS06A</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+1,390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+1,220 (+</w:t>
            </w:r>
            <w:r>
              <w:t>2</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+0.3%</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w:t>
            </w:r>
            <w:r>
              <w:rPr>
                <w:color w:val="000000"/>
              </w:rPr>
              <w:t>,183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0.39</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DS06B</w:t>
            </w:r>
          </w:p>
        </w:tc>
        <w:tc>
          <w:tcPr>
            <w:tcW w:w="986" w:type="pct"/>
            <w:vMerge/>
            <w:tcBorders>
              <w:left w:val="single" w:sz="4" w:space="0" w:color="auto"/>
              <w:bottom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+2,156 (+10%)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+0.6%</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+1,221 (+</w:t>
            </w:r>
            <w:r>
              <w:t>2</w:t>
            </w:r>
            <w:r w:rsidRPr="008C5B1B">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+0.3%</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-1</w:t>
            </w:r>
            <w:r>
              <w:rPr>
                <w:color w:val="000000"/>
              </w:rPr>
              <w:t>,740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0.35</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DS07R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Cluj Napoca to Oradea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-234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w:t>
            </w:r>
            <w:r>
              <w:rPr>
                <w:color w:val="000000"/>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0.73</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DS07A</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w:t>
            </w:r>
            <w:r>
              <w:t>79</w:t>
            </w:r>
            <w:r w:rsidRPr="008C5B1B">
              <w:t xml:space="preserve">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+456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w:t>
            </w:r>
            <w:r>
              <w:rPr>
                <w:color w:val="000000"/>
              </w:rPr>
              <w:t>316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0.30</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DS07B</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+389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+456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w:t>
            </w:r>
            <w:r>
              <w:rPr>
                <w:color w:val="000000"/>
              </w:rPr>
              <w:t>740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0.39</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DS07C</w:t>
            </w:r>
          </w:p>
        </w:tc>
        <w:tc>
          <w:tcPr>
            <w:tcW w:w="986" w:type="pct"/>
            <w:vMerge/>
            <w:tcBorders>
              <w:left w:val="single" w:sz="4" w:space="0" w:color="auto"/>
              <w:bottom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+58 (0%)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-19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w:t>
            </w:r>
            <w:r>
              <w:rPr>
                <w:color w:val="000000"/>
              </w:rPr>
              <w:t>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w:t>
            </w:r>
            <w:r>
              <w:rPr>
                <w:color w:val="000000"/>
              </w:rPr>
              <w:t>98</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DS08R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Stamora Moravita to Oradea via Timisoara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+421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-12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-10</w:t>
            </w:r>
            <w:r>
              <w:rPr>
                <w:color w:val="000000"/>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0.</w:t>
            </w:r>
            <w:r>
              <w:rPr>
                <w:color w:val="000000"/>
              </w:rPr>
              <w:t>35</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DS08A</w:t>
            </w:r>
          </w:p>
        </w:tc>
        <w:tc>
          <w:tcPr>
            <w:tcW w:w="986" w:type="pct"/>
            <w:vMerge/>
            <w:tcBorders>
              <w:left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+1,212 (</w:t>
            </w:r>
            <w:r>
              <w:t>+</w:t>
            </w:r>
            <w:r w:rsidRPr="008C5B1B">
              <w:t>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+281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-9</w:t>
            </w:r>
            <w:r>
              <w:rPr>
                <w:color w:val="000000"/>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w:t>
            </w:r>
            <w:r>
              <w:rPr>
                <w:color w:val="000000"/>
              </w:rPr>
              <w:t>63</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rPr>
                <w:color w:val="000000"/>
              </w:rPr>
            </w:pPr>
            <w:r>
              <w:rPr>
                <w:color w:val="000000"/>
              </w:rPr>
              <w:t>DS08B</w:t>
            </w:r>
          </w:p>
        </w:tc>
        <w:tc>
          <w:tcPr>
            <w:tcW w:w="986" w:type="pct"/>
            <w:vMerge/>
            <w:tcBorders>
              <w:left w:val="single" w:sz="4" w:space="0" w:color="auto"/>
              <w:bottom w:val="single" w:sz="4" w:space="0" w:color="auto"/>
              <w:right w:val="single" w:sz="4" w:space="0" w:color="auto"/>
            </w:tcBorders>
          </w:tcPr>
          <w:p w:rsidR="00660414"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1,251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rPr>
                <w:color w:val="000000"/>
              </w:rPr>
            </w:pPr>
            <w:r>
              <w:rPr>
                <w:color w:val="000000"/>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pPr>
            <w:r>
              <w:t>+281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Default="00660414" w:rsidP="00FD34BC">
            <w:pPr>
              <w:jc w:val="center"/>
              <w:rPr>
                <w:color w:val="000000"/>
              </w:rPr>
            </w:pPr>
            <w:r>
              <w:rPr>
                <w:color w:val="000000"/>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515CCA" w:rsidRDefault="00660414" w:rsidP="00FD34BC">
            <w:pPr>
              <w:jc w:val="center"/>
              <w:rPr>
                <w:color w:val="000000"/>
              </w:rPr>
            </w:pPr>
            <w:r>
              <w:rPr>
                <w:color w:val="000000"/>
              </w:rPr>
              <w:t>-98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515CCA" w:rsidRDefault="00660414" w:rsidP="00FD34BC">
            <w:pPr>
              <w:jc w:val="center"/>
              <w:rPr>
                <w:color w:val="000000"/>
              </w:rPr>
            </w:pPr>
            <w:r>
              <w:rPr>
                <w:color w:val="000000"/>
              </w:rPr>
              <w:t>0.63</w:t>
            </w:r>
          </w:p>
        </w:tc>
      </w:tr>
      <w:tr w:rsidR="00660414" w:rsidRPr="00703F94" w:rsidTr="00FD34BC">
        <w:trPr>
          <w:cantSplit/>
          <w:trHeight w:hRule="exact" w:val="505"/>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DS09R</w:t>
            </w:r>
          </w:p>
        </w:tc>
        <w:tc>
          <w:tcPr>
            <w:tcW w:w="986" w:type="pct"/>
            <w:vMerge w:val="restart"/>
            <w:tcBorders>
              <w:top w:val="single" w:sz="4" w:space="0" w:color="auto"/>
              <w:left w:val="single" w:sz="4" w:space="0" w:color="auto"/>
              <w:right w:val="single" w:sz="4" w:space="0" w:color="auto"/>
            </w:tcBorders>
          </w:tcPr>
          <w:p w:rsidR="00660414" w:rsidRDefault="00660414" w:rsidP="00FD34BC">
            <w:r>
              <w:t>Oradea to Cluj via Baia Mare and Satu Mare</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+444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-10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-1</w:t>
            </w:r>
            <w:r>
              <w:rPr>
                <w:color w:val="000000"/>
              </w:rPr>
              <w:t>03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0.</w:t>
            </w:r>
            <w:r>
              <w:rPr>
                <w:color w:val="000000"/>
              </w:rPr>
              <w:t>12</w:t>
            </w:r>
          </w:p>
        </w:tc>
      </w:tr>
      <w:tr w:rsidR="00660414" w:rsidRPr="00703F94" w:rsidTr="00FD34BC">
        <w:trPr>
          <w:cantSplit/>
          <w:trHeight w:hRule="exact" w:val="427"/>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DS09A</w:t>
            </w:r>
          </w:p>
        </w:tc>
        <w:tc>
          <w:tcPr>
            <w:tcW w:w="986" w:type="pct"/>
            <w:vMerge/>
            <w:tcBorders>
              <w:left w:val="single" w:sz="4" w:space="0" w:color="auto"/>
              <w:bottom w:val="single" w:sz="4" w:space="0" w:color="auto"/>
              <w:right w:val="single" w:sz="4" w:space="0" w:color="auto"/>
            </w:tcBorders>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+1,085 (+5%)</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+0.3%</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+414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w:t>
            </w:r>
            <w:r>
              <w:rPr>
                <w:color w:val="000000"/>
              </w:rPr>
              <w:t>633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0.</w:t>
            </w:r>
            <w:r>
              <w:rPr>
                <w:color w:val="000000"/>
              </w:rPr>
              <w:t>25</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DS10R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Bucharest to Giurgiu</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+456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+54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sidRPr="008C5B1B">
              <w:rPr>
                <w:color w:val="000000"/>
              </w:rPr>
              <w:t>-</w:t>
            </w:r>
            <w:r>
              <w:rPr>
                <w:color w:val="000000"/>
              </w:rPr>
              <w:t>395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jc w:val="center"/>
              <w:rPr>
                <w:color w:val="000000"/>
              </w:rPr>
            </w:pPr>
            <w:r>
              <w:rPr>
                <w:color w:val="000000"/>
              </w:rPr>
              <w:t>11.18</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DS10A</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+545 (+3%)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r>
              <w:rPr>
                <w:color w:val="000000"/>
              </w:rPr>
              <w:t>2</w:t>
            </w:r>
            <w:r w:rsidRPr="008C5B1B">
              <w:rPr>
                <w:color w:val="000000"/>
              </w:rPr>
              <w:t>%</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+123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335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4.20</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DS10B</w:t>
            </w:r>
          </w:p>
        </w:tc>
        <w:tc>
          <w:tcPr>
            <w:tcW w:w="986" w:type="pct"/>
            <w:vMerge/>
            <w:tcBorders>
              <w:left w:val="single" w:sz="4" w:space="0" w:color="auto"/>
              <w:bottom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+545 (+3%)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r>
              <w:rPr>
                <w:color w:val="000000"/>
              </w:rPr>
              <w:t>2</w:t>
            </w:r>
            <w:r w:rsidRPr="008C5B1B">
              <w:rPr>
                <w:color w:val="000000"/>
              </w:rPr>
              <w:t>%</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+123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sidRPr="008C5B1B">
              <w:rPr>
                <w:color w:val="000000"/>
              </w:rPr>
              <w:t>3</w:t>
            </w:r>
            <w:r>
              <w:rPr>
                <w:color w:val="000000"/>
              </w:rPr>
              <w:t>47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2.68</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DS11R</w:t>
            </w:r>
          </w:p>
        </w:tc>
        <w:tc>
          <w:tcPr>
            <w:tcW w:w="986" w:type="pct"/>
            <w:vMerge w:val="restart"/>
            <w:tcBorders>
              <w:top w:val="single" w:sz="4" w:space="0" w:color="auto"/>
              <w:left w:val="single" w:sz="4" w:space="0" w:color="auto"/>
              <w:right w:val="single" w:sz="4" w:space="0" w:color="auto"/>
            </w:tcBorders>
            <w:vAlign w:val="center"/>
          </w:tcPr>
          <w:p w:rsidR="00660414" w:rsidRDefault="00660414" w:rsidP="00FD34BC">
            <w:r>
              <w:t>Craoiva to Calafat</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+151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sidRPr="008C5B1B">
              <w:rPr>
                <w:color w:val="000000"/>
              </w:rPr>
              <w:t>3</w:t>
            </w:r>
            <w:r>
              <w:rPr>
                <w:color w:val="000000"/>
              </w:rPr>
              <w:t>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Pr>
                <w:color w:val="000000"/>
              </w:rPr>
              <w:t>3.65</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DS11A</w:t>
            </w:r>
          </w:p>
        </w:tc>
        <w:tc>
          <w:tcPr>
            <w:tcW w:w="986" w:type="pct"/>
            <w:vMerge/>
            <w:tcBorders>
              <w:left w:val="single" w:sz="4" w:space="0" w:color="auto"/>
              <w:right w:val="single" w:sz="4" w:space="0" w:color="auto"/>
            </w:tcBorders>
            <w:vAlign w:val="center"/>
          </w:tcPr>
          <w:p w:rsidR="00660414" w:rsidRPr="00515CCA"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+363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+92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-12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0.91</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rPr>
                <w:color w:val="000000"/>
              </w:rPr>
            </w:pPr>
            <w:r>
              <w:rPr>
                <w:color w:val="000000"/>
              </w:rPr>
              <w:t>DS11B</w:t>
            </w:r>
          </w:p>
        </w:tc>
        <w:tc>
          <w:tcPr>
            <w:tcW w:w="986" w:type="pct"/>
            <w:vMerge/>
            <w:tcBorders>
              <w:left w:val="single" w:sz="4" w:space="0" w:color="auto"/>
              <w:bottom w:val="single" w:sz="4" w:space="0" w:color="auto"/>
              <w:right w:val="single" w:sz="4" w:space="0" w:color="auto"/>
            </w:tcBorders>
            <w:vAlign w:val="center"/>
          </w:tcPr>
          <w:p w:rsidR="00660414" w:rsidRDefault="00660414" w:rsidP="00FD34BC"/>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+363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+92%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Pr>
                <w:color w:val="000000"/>
              </w:rPr>
              <w:t>90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sidRPr="008C5B1B">
              <w:rPr>
                <w:color w:val="000000"/>
              </w:rPr>
              <w:t>0.</w:t>
            </w:r>
            <w:r>
              <w:rPr>
                <w:color w:val="000000"/>
              </w:rPr>
              <w:t>64</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760C6E" w:rsidRDefault="00660414" w:rsidP="00FD34BC">
            <w:pPr>
              <w:rPr>
                <w:color w:val="000000"/>
              </w:rPr>
            </w:pPr>
            <w:r>
              <w:rPr>
                <w:color w:val="000000"/>
              </w:rPr>
              <w:t>DS12RR</w:t>
            </w:r>
          </w:p>
        </w:tc>
        <w:tc>
          <w:tcPr>
            <w:tcW w:w="986" w:type="pct"/>
            <w:tcBorders>
              <w:top w:val="single" w:sz="4" w:space="0" w:color="auto"/>
              <w:left w:val="single" w:sz="4" w:space="0" w:color="auto"/>
              <w:bottom w:val="single" w:sz="4" w:space="0" w:color="auto"/>
              <w:right w:val="single" w:sz="4" w:space="0" w:color="auto"/>
            </w:tcBorders>
            <w:vAlign w:val="center"/>
          </w:tcPr>
          <w:p w:rsidR="00660414" w:rsidRDefault="00660414" w:rsidP="00FD34BC">
            <w:r>
              <w:t>Freight test</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+20 (+0%)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pPr>
            <w:r>
              <w:t>+18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760C6E" w:rsidRDefault="00660414" w:rsidP="00FD34BC">
            <w:pPr>
              <w:jc w:val="center"/>
              <w:rPr>
                <w:color w:val="000000"/>
              </w:rPr>
            </w:pPr>
            <w:r>
              <w:rPr>
                <w:color w:val="000000"/>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sidRPr="008C5B1B">
              <w:rPr>
                <w:color w:val="000000"/>
              </w:rPr>
              <w:t>-</w:t>
            </w:r>
            <w:r>
              <w:rPr>
                <w:color w:val="000000"/>
              </w:rPr>
              <w:t>15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Default="00660414" w:rsidP="00FD34BC">
            <w:pPr>
              <w:jc w:val="center"/>
              <w:rPr>
                <w:color w:val="000000"/>
              </w:rPr>
            </w:pPr>
            <w:r>
              <w:rPr>
                <w:color w:val="000000"/>
              </w:rPr>
              <w:t>-</w:t>
            </w:r>
          </w:p>
        </w:tc>
      </w:tr>
      <w:tr w:rsidR="00660414" w:rsidRPr="00703F94" w:rsidTr="00FD34BC">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rPr>
                <w:color w:val="000000"/>
              </w:rPr>
            </w:pPr>
            <w:r w:rsidRPr="008C5B1B">
              <w:rPr>
                <w:color w:val="000000"/>
              </w:rPr>
              <w:t>DS99A</w:t>
            </w:r>
          </w:p>
        </w:tc>
        <w:tc>
          <w:tcPr>
            <w:tcW w:w="986" w:type="pct"/>
            <w:tcBorders>
              <w:top w:val="single" w:sz="4" w:space="0" w:color="auto"/>
              <w:left w:val="single" w:sz="4" w:space="0" w:color="auto"/>
              <w:bottom w:val="single" w:sz="4" w:space="0" w:color="auto"/>
              <w:right w:val="single" w:sz="4" w:space="0" w:color="auto"/>
            </w:tcBorders>
            <w:vAlign w:val="center"/>
          </w:tcPr>
          <w:p w:rsidR="00660414" w:rsidRPr="00515CCA" w:rsidRDefault="00660414" w:rsidP="00FD34BC">
            <w:r>
              <w:t>Combined test</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+24,289</w:t>
            </w:r>
            <w:r>
              <w:t xml:space="preserve"> (115%)</w:t>
            </w:r>
            <w:r w:rsidRPr="008C5B1B">
              <w:t xml:space="preserve"> (+115%)</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+7.1%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pPr>
            <w:r w:rsidRPr="008C5B1B">
              <w:t>+8,525</w:t>
            </w:r>
            <w:r>
              <w:t xml:space="preserve"> (13%)</w:t>
            </w:r>
            <w:r w:rsidRPr="008C5B1B">
              <w:t xml:space="preserve"> </w:t>
            </w:r>
            <w:r>
              <w:t>(1</w:t>
            </w:r>
            <w:r w:rsidRPr="008C5B1B">
              <w:t>(+19%)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60414" w:rsidRPr="008C5B1B" w:rsidRDefault="00660414" w:rsidP="00FD34BC">
            <w:pPr>
              <w:jc w:val="center"/>
              <w:rPr>
                <w:color w:val="000000"/>
              </w:rPr>
            </w:pPr>
            <w:r w:rsidRPr="008C5B1B">
              <w:rPr>
                <w:color w:val="000000"/>
              </w:rPr>
              <w:t>+2.5%</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248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660414" w:rsidRPr="008C5B1B" w:rsidRDefault="00660414" w:rsidP="00FD34BC">
            <w:pPr>
              <w:jc w:val="center"/>
              <w:rPr>
                <w:color w:val="000000"/>
              </w:rPr>
            </w:pPr>
            <w:r>
              <w:rPr>
                <w:color w:val="000000"/>
              </w:rPr>
              <w:t>1.03</w:t>
            </w:r>
          </w:p>
        </w:tc>
      </w:tr>
    </w:tbl>
    <w:p w:rsidR="00660414" w:rsidRPr="008C5B1B" w:rsidRDefault="00660414" w:rsidP="00170C2E">
      <w:pPr>
        <w:rPr>
          <w:i/>
        </w:rPr>
      </w:pPr>
      <w:r w:rsidRPr="008C5B1B">
        <w:rPr>
          <w:i/>
        </w:rPr>
        <w:t>Source: AECOM forecasts</w:t>
      </w:r>
    </w:p>
    <w:p w:rsidR="00660414" w:rsidRPr="00760C6E" w:rsidRDefault="00660414" w:rsidP="00FD34BC">
      <w:pPr>
        <w:pStyle w:val="Hdg3"/>
        <w:ind w:left="851"/>
      </w:pPr>
      <w:bookmarkStart w:id="7977" w:name="_Toc398885066"/>
      <w:r w:rsidRPr="008C5B1B">
        <w:t>Detailed Results Analysis</w:t>
      </w:r>
      <w:bookmarkEnd w:id="7977"/>
    </w:p>
    <w:p w:rsidR="00660414" w:rsidRPr="00760C6E" w:rsidRDefault="00660414" w:rsidP="00A4081F">
      <w:pPr>
        <w:pStyle w:val="NumberedParas"/>
      </w:pPr>
      <w:r w:rsidRPr="008C5B1B">
        <w:t xml:space="preserve">An approximate BCR has been calculated by route section by sub-dividing the costs and benefits, as shown in Table 5.12. Although this exercise produces aggregated results, it does provide a helpful indicator to rank projects </w:t>
      </w:r>
      <w:r>
        <w:t xml:space="preserve">at a more detailed level </w:t>
      </w:r>
      <w:r w:rsidRPr="008C5B1B">
        <w:t xml:space="preserve">and </w:t>
      </w:r>
      <w:r>
        <w:t xml:space="preserve">then </w:t>
      </w:r>
      <w:r w:rsidRPr="008C5B1B">
        <w:t xml:space="preserve">help inform the selection of priorities. A more detailed description of the test results is included in Appendix C. Table 5.12 demonstrate how sections of </w:t>
      </w:r>
      <w:r>
        <w:t xml:space="preserve">the network </w:t>
      </w:r>
      <w:r w:rsidRPr="008C5B1B">
        <w:t xml:space="preserve">closer to Bucharest </w:t>
      </w:r>
      <w:r>
        <w:t>g</w:t>
      </w:r>
      <w:r w:rsidRPr="008C5B1B">
        <w:t xml:space="preserve">enerate a better value for money. The two exceptions include Timisoara to Arad and Baia Mare to Satu Mare which link medium to large size cities with a poor rail service at present. Higher frequency regular interval timetables have been proposed between these cities which are expected to attract significant patronage given the competition with local bus services. The Reference Case also assumes some sections of corridor Core Ten-T IV-N will be rehabilitated by 2020. In accordance with the model outputs, the network changes governance and service improvements have the potential to reverse the trend of falling passenger and freight demand and deteriorating network conditions. There is significant scope to increase passenger and freight traffic on core routes which would improve the rail network and provide better services at lower cost. </w:t>
      </w:r>
    </w:p>
    <w:p w:rsidR="00660414" w:rsidRPr="008C5B1B" w:rsidRDefault="00660414" w:rsidP="00660414">
      <w:pPr>
        <w:pStyle w:val="Caption"/>
        <w:rPr>
          <w:b/>
          <w:sz w:val="22"/>
          <w:szCs w:val="22"/>
        </w:rPr>
      </w:pPr>
      <w:bookmarkStart w:id="7978" w:name="_Toc398885067"/>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14</w:t>
      </w:r>
      <w:r w:rsidRPr="001F5936">
        <w:rPr>
          <w:b/>
          <w:sz w:val="22"/>
          <w:szCs w:val="22"/>
        </w:rPr>
        <w:fldChar w:fldCharType="end"/>
      </w:r>
      <w:r w:rsidRPr="001F5936">
        <w:rPr>
          <w:b/>
          <w:sz w:val="22"/>
          <w:szCs w:val="22"/>
        </w:rPr>
        <w:t xml:space="preserve">: </w:t>
      </w:r>
      <w:r w:rsidRPr="008C5B1B">
        <w:rPr>
          <w:b/>
          <w:sz w:val="22"/>
          <w:szCs w:val="22"/>
        </w:rPr>
        <w:t xml:space="preserve">Detailed Results for selected tests </w:t>
      </w:r>
      <w:r>
        <w:rPr>
          <w:b/>
          <w:sz w:val="22"/>
          <w:szCs w:val="22"/>
        </w:rPr>
        <w:t>(</w:t>
      </w:r>
      <w:r w:rsidRPr="008C5B1B">
        <w:rPr>
          <w:b/>
          <w:sz w:val="22"/>
          <w:szCs w:val="22"/>
        </w:rPr>
        <w:t>2014 prices</w:t>
      </w:r>
      <w:bookmarkEnd w:id="7978"/>
      <w:r>
        <w:rPr>
          <w:b/>
          <w:sz w:val="22"/>
          <w:szCs w:val="22"/>
        </w:rPr>
        <w:t>)</w:t>
      </w:r>
    </w:p>
    <w:tbl>
      <w:tblPr>
        <w:tblW w:w="5000" w:type="pct"/>
        <w:jc w:val="center"/>
        <w:tblLayout w:type="fixed"/>
        <w:tblLook w:val="04A0" w:firstRow="1" w:lastRow="0" w:firstColumn="1" w:lastColumn="0" w:noHBand="0" w:noVBand="1"/>
      </w:tblPr>
      <w:tblGrid>
        <w:gridCol w:w="971"/>
        <w:gridCol w:w="1032"/>
        <w:gridCol w:w="2135"/>
        <w:gridCol w:w="2240"/>
        <w:gridCol w:w="1143"/>
        <w:gridCol w:w="1143"/>
        <w:gridCol w:w="868"/>
        <w:gridCol w:w="975"/>
      </w:tblGrid>
      <w:tr w:rsidR="00660414" w:rsidRPr="00760C6E" w:rsidTr="007613DE">
        <w:trPr>
          <w:cantSplit/>
          <w:tblHeader/>
          <w:jc w:val="center"/>
        </w:trPr>
        <w:tc>
          <w:tcPr>
            <w:tcW w:w="462"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bCs/>
                <w:sz w:val="22"/>
                <w:szCs w:val="22"/>
              </w:rPr>
            </w:pPr>
            <w:r w:rsidRPr="008C5B1B">
              <w:rPr>
                <w:rFonts w:cs="Arial"/>
                <w:b/>
                <w:bCs/>
                <w:sz w:val="22"/>
                <w:szCs w:val="22"/>
              </w:rPr>
              <w:t>Test</w:t>
            </w:r>
          </w:p>
        </w:tc>
        <w:tc>
          <w:tcPr>
            <w:tcW w:w="491"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Section</w:t>
            </w:r>
          </w:p>
        </w:tc>
        <w:tc>
          <w:tcPr>
            <w:tcW w:w="1016"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From</w:t>
            </w:r>
          </w:p>
        </w:tc>
        <w:tc>
          <w:tcPr>
            <w:tcW w:w="1066"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To</w:t>
            </w:r>
          </w:p>
        </w:tc>
        <w:tc>
          <w:tcPr>
            <w:tcW w:w="544"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PVC</w:t>
            </w:r>
          </w:p>
          <w:p w:rsidR="00660414" w:rsidRPr="008C5B1B" w:rsidRDefault="00660414" w:rsidP="007613DE">
            <w:pPr>
              <w:ind w:left="720" w:hanging="720"/>
              <w:jc w:val="center"/>
              <w:rPr>
                <w:rFonts w:cs="Arial"/>
                <w:b/>
                <w:sz w:val="22"/>
                <w:szCs w:val="22"/>
              </w:rPr>
            </w:pPr>
            <w:r w:rsidRPr="008C5B1B">
              <w:rPr>
                <w:rFonts w:cs="Arial"/>
                <w:b/>
                <w:sz w:val="22"/>
                <w:szCs w:val="22"/>
              </w:rPr>
              <w:t>(Mill €)</w:t>
            </w:r>
          </w:p>
        </w:tc>
        <w:tc>
          <w:tcPr>
            <w:tcW w:w="544"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PVB</w:t>
            </w:r>
          </w:p>
          <w:p w:rsidR="00660414" w:rsidRPr="008C5B1B" w:rsidRDefault="00660414" w:rsidP="007613DE">
            <w:pPr>
              <w:ind w:left="720" w:hanging="720"/>
              <w:jc w:val="center"/>
              <w:rPr>
                <w:rFonts w:cs="Arial"/>
                <w:b/>
                <w:sz w:val="22"/>
                <w:szCs w:val="22"/>
              </w:rPr>
            </w:pPr>
            <w:r w:rsidRPr="008C5B1B">
              <w:rPr>
                <w:rFonts w:cs="Arial"/>
                <w:b/>
                <w:sz w:val="22"/>
                <w:szCs w:val="22"/>
              </w:rPr>
              <w:t>(Mill €)</w:t>
            </w:r>
          </w:p>
        </w:tc>
        <w:tc>
          <w:tcPr>
            <w:tcW w:w="413"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NPV</w:t>
            </w:r>
          </w:p>
          <w:p w:rsidR="00660414" w:rsidRPr="008C5B1B" w:rsidRDefault="00660414" w:rsidP="007613DE">
            <w:pPr>
              <w:ind w:left="720" w:hanging="720"/>
              <w:jc w:val="center"/>
              <w:rPr>
                <w:rFonts w:cs="Arial"/>
                <w:b/>
                <w:sz w:val="22"/>
                <w:szCs w:val="22"/>
              </w:rPr>
            </w:pPr>
            <w:r w:rsidRPr="008C5B1B">
              <w:rPr>
                <w:rFonts w:cs="Arial"/>
                <w:b/>
                <w:sz w:val="22"/>
                <w:szCs w:val="22"/>
              </w:rPr>
              <w:t>(Mill )</w:t>
            </w:r>
          </w:p>
        </w:tc>
        <w:tc>
          <w:tcPr>
            <w:tcW w:w="465" w:type="pct"/>
            <w:tcBorders>
              <w:top w:val="single" w:sz="4" w:space="0" w:color="auto"/>
              <w:left w:val="single" w:sz="4" w:space="0" w:color="auto"/>
              <w:bottom w:val="single" w:sz="4" w:space="0" w:color="auto"/>
              <w:right w:val="single" w:sz="4" w:space="0" w:color="auto"/>
            </w:tcBorders>
            <w:shd w:val="clear" w:color="auto" w:fill="C6D9F1"/>
            <w:vAlign w:val="center"/>
          </w:tcPr>
          <w:p w:rsidR="00660414" w:rsidRPr="008C5B1B" w:rsidRDefault="00660414" w:rsidP="007613DE">
            <w:pPr>
              <w:ind w:left="720" w:hanging="720"/>
              <w:jc w:val="center"/>
              <w:rPr>
                <w:rFonts w:cs="Arial"/>
                <w:b/>
                <w:sz w:val="22"/>
                <w:szCs w:val="22"/>
              </w:rPr>
            </w:pPr>
            <w:r w:rsidRPr="008C5B1B">
              <w:rPr>
                <w:rFonts w:cs="Arial"/>
                <w:b/>
                <w:sz w:val="22"/>
                <w:szCs w:val="22"/>
              </w:rPr>
              <w:t>BCR</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DS01A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Arad / Cluj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2080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2263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183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1.09</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Campina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323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4.44</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Campina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Predeal</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191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189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Predeal</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Brasov</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0.74</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Brasov</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Sighisoara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630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751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1.19</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Sighisoara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Coslariu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Coslariu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Simeria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136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132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7</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Simeria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km 614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681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356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-325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0.52</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8</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km 614</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Hungary</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Coslariu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518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162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-356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0.31</w:t>
            </w:r>
          </w:p>
        </w:tc>
      </w:tr>
      <w:tr w:rsidR="00660414" w:rsidRPr="00760C6E" w:rsidTr="007613DE">
        <w:trPr>
          <w:cantSplit/>
          <w:jc w:val="center"/>
        </w:trPr>
        <w:tc>
          <w:tcPr>
            <w:tcW w:w="462" w:type="pct"/>
            <w:vMerge w:val="restart"/>
            <w:tcBorders>
              <w:left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DS01B</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Arad / Cluj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2477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2441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0.99</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Campina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449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355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4.75</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Campina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Predeal</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Predeal</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Brasov</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246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0.47</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Brasov</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Sighisoara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636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181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1.28</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Sighisoara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Coslariu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Coslariu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Simeria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7</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Simeria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km 614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373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-314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0.54</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8</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km 614</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Hungary</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9</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Coslariu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Cluj-Napoca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799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174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-625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0.22</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DS03A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1658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1764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1.06</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594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786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192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1.32</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Filiasi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171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0.26</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Caransebes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593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582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0.98</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Caransebes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Timisoara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210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1.12</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Timisoara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149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42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1.39</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DS03B</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2015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2020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1.00</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606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816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210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Filiasi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173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0.27</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Caransebes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0.86</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Caransebes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Timisoara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195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1.14</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Timisoara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4B56B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142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1.31</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4B56BB">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w:t>
            </w:r>
          </w:p>
        </w:tc>
      </w:tr>
      <w:tr w:rsidR="00660414" w:rsidRPr="00760C6E" w:rsidTr="007613DE">
        <w:trPr>
          <w:cantSplit/>
          <w:jc w:val="center"/>
        </w:trPr>
        <w:tc>
          <w:tcPr>
            <w:tcW w:w="462" w:type="pct"/>
            <w:vMerge w:val="restart"/>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r>
              <w:rPr>
                <w:rFonts w:cs="Arial"/>
                <w:color w:val="000000"/>
                <w:sz w:val="22"/>
                <w:szCs w:val="22"/>
              </w:rPr>
              <w:t>DS03C</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760C6E">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760C6E">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2223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1889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-334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0.85</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827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220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1.36</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Filiasi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175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0.27</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Caransebes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0.85</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Caransebes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Timisoara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192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192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1.00</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Timisoara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1.31</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Filiasi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4B56BB" w:rsidRDefault="00660414" w:rsidP="007613DE">
            <w:pPr>
              <w:ind w:left="720" w:hanging="720"/>
              <w:jc w:val="center"/>
              <w:rPr>
                <w:rFonts w:cs="Arial"/>
                <w:sz w:val="22"/>
                <w:szCs w:val="22"/>
              </w:rPr>
            </w:pPr>
            <w:r w:rsidRPr="004B56BB">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531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161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-369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0.30</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DS04A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Galati / Iasi / 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2276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2805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529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1.23</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Ploiesti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371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314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6.52</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Ploiesti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Buzau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533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329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2.61</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Buzau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Focsani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197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383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186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1.95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Focsani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Bacau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296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519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223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1.75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Bacau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Pascani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313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173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-140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0.55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Pascani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Moldova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157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-269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0.37</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7</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Pascani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Ukraine</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-326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0.20</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8</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Buzau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Galati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376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589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213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1.57</w:t>
            </w:r>
          </w:p>
        </w:tc>
      </w:tr>
      <w:tr w:rsidR="00660414" w:rsidRPr="00760C6E" w:rsidTr="007613DE">
        <w:trPr>
          <w:cantSplit/>
          <w:jc w:val="center"/>
        </w:trPr>
        <w:tc>
          <w:tcPr>
            <w:tcW w:w="462" w:type="pct"/>
            <w:vMerge w:val="restart"/>
            <w:tcBorders>
              <w:left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r>
              <w:rPr>
                <w:rFonts w:cs="Arial"/>
                <w:sz w:val="22"/>
                <w:szCs w:val="22"/>
              </w:rPr>
              <w:t>DS05C</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Craiova / Sibiu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1275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1566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291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1.23</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Bucharest</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Sibiu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1010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1530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520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1.51</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Pitesti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265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-229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0.14</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DS06A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 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1945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762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-1183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0.39</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317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223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0.70</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0.21</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Beclean pe Somes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385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172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-213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0.45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Beclean pe Somes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Vartra Dornei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427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148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-279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0.35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Vartra Dornei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-291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0.27</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Suceava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Pascani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306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-217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0.29</w:t>
            </w:r>
          </w:p>
        </w:tc>
      </w:tr>
      <w:tr w:rsidR="00660414" w:rsidRPr="00760C6E" w:rsidTr="007613DE">
        <w:trPr>
          <w:cantSplit/>
          <w:jc w:val="center"/>
        </w:trPr>
        <w:tc>
          <w:tcPr>
            <w:tcW w:w="462" w:type="pct"/>
            <w:vMerge w:val="restart"/>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r w:rsidRPr="00760C6E">
              <w:rPr>
                <w:rFonts w:cs="Arial"/>
                <w:sz w:val="22"/>
                <w:szCs w:val="22"/>
              </w:rPr>
              <w:t>DS06</w:t>
            </w:r>
            <w:r>
              <w:rPr>
                <w:rFonts w:cs="Arial"/>
                <w:sz w:val="22"/>
                <w:szCs w:val="22"/>
              </w:rPr>
              <w:t>B</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Cluj 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760C6E">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2687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947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-1740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0.35</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324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183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-141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0.56</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sidRPr="00760C6E">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0.18</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Beclean pe Somes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778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301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-477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0.39</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Beclean pe Somes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Vartra Dornei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745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277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-467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0.37</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Vartra Dornei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411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98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-313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0.24</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Default="00660414" w:rsidP="007613DE">
            <w:pPr>
              <w:ind w:left="720" w:hanging="720"/>
              <w:jc w:val="center"/>
              <w:rPr>
                <w:rFonts w:cs="Arial"/>
                <w:sz w:val="22"/>
                <w:szCs w:val="22"/>
              </w:rPr>
            </w:pPr>
            <w:r>
              <w:rPr>
                <w:rFonts w:cs="Arial"/>
                <w:sz w:val="22"/>
                <w:szCs w:val="22"/>
              </w:rPr>
              <w:t>6</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Suceava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Pascani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-248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0.21</w:t>
            </w:r>
          </w:p>
        </w:tc>
      </w:tr>
      <w:tr w:rsidR="00660414" w:rsidRPr="00760C6E" w:rsidTr="007613DE">
        <w:trPr>
          <w:cantSplit/>
          <w:jc w:val="center"/>
        </w:trPr>
        <w:tc>
          <w:tcPr>
            <w:tcW w:w="462" w:type="pct"/>
            <w:vMerge w:val="restart"/>
            <w:tcBorders>
              <w:left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r>
              <w:rPr>
                <w:rFonts w:cs="Arial"/>
                <w:sz w:val="22"/>
                <w:szCs w:val="22"/>
              </w:rPr>
              <w:t>DS08B</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Oradea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Serbia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393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180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-213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0.46</w:t>
            </w:r>
          </w:p>
        </w:tc>
      </w:tr>
      <w:tr w:rsidR="00660414" w:rsidRPr="00760C6E" w:rsidTr="007613DE">
        <w:trPr>
          <w:cantSplit/>
          <w:jc w:val="center"/>
        </w:trPr>
        <w:tc>
          <w:tcPr>
            <w:tcW w:w="462" w:type="pct"/>
            <w:vMerge/>
            <w:tcBorders>
              <w:left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Oradea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Timisoara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321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176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-145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0.55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ind w:left="720" w:hanging="720"/>
              <w:jc w:val="center"/>
              <w:rPr>
                <w:rFonts w:cs="Arial"/>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Timisoara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Serbia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72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0.05</w:t>
            </w:r>
          </w:p>
        </w:tc>
      </w:tr>
      <w:tr w:rsidR="00660414" w:rsidRPr="00760C6E" w:rsidTr="007613DE">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ind w:left="720" w:hanging="720"/>
              <w:jc w:val="center"/>
              <w:rPr>
                <w:rFonts w:cs="Arial"/>
                <w:sz w:val="22"/>
                <w:szCs w:val="22"/>
              </w:rPr>
            </w:pPr>
            <w:r w:rsidRPr="008C5B1B">
              <w:rPr>
                <w:rFonts w:cs="Arial"/>
                <w:sz w:val="22"/>
                <w:szCs w:val="22"/>
              </w:rPr>
              <w:t>DS09A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All</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Oradea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845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212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-633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0.25</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68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-239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0.22</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Baia Mare</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308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-289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0.06</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760C6E"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Pr>
                <w:rFonts w:cs="Arial"/>
                <w:sz w:val="22"/>
                <w:szCs w:val="22"/>
              </w:rPr>
              <w:t>3</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Baia Mare</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Satu Mare</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68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115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47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760C6E" w:rsidRDefault="00660414" w:rsidP="007613DE">
            <w:pPr>
              <w:ind w:left="720" w:hanging="720"/>
              <w:jc w:val="center"/>
              <w:rPr>
                <w:rFonts w:cs="Arial"/>
                <w:sz w:val="22"/>
                <w:szCs w:val="22"/>
              </w:rPr>
            </w:pPr>
            <w:r w:rsidRPr="008C5B1B">
              <w:rPr>
                <w:rFonts w:cs="Arial"/>
                <w:sz w:val="22"/>
                <w:szCs w:val="22"/>
              </w:rPr>
              <w:t>1.69</w:t>
            </w:r>
          </w:p>
        </w:tc>
      </w:tr>
      <w:tr w:rsidR="00660414" w:rsidRPr="00760C6E" w:rsidTr="007613DE">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660414" w:rsidRPr="008C5B1B" w:rsidRDefault="00660414" w:rsidP="007613DE">
            <w:pPr>
              <w:spacing w:before="120"/>
              <w:ind w:left="720" w:hanging="720"/>
              <w:jc w:val="center"/>
              <w:rPr>
                <w:rFonts w:cs="Arial"/>
                <w:color w:val="000000"/>
                <w:sz w:val="22"/>
                <w:szCs w:val="22"/>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Pr>
                <w:rFonts w:cs="Arial"/>
                <w:sz w:val="22"/>
                <w:szCs w:val="22"/>
              </w:rPr>
              <w:t>4</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Satu Mare</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Oradea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162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-152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bottom"/>
          </w:tcPr>
          <w:p w:rsidR="00660414" w:rsidRPr="008C5B1B" w:rsidRDefault="00660414" w:rsidP="007613DE">
            <w:pPr>
              <w:ind w:left="720" w:hanging="720"/>
              <w:jc w:val="center"/>
              <w:rPr>
                <w:rFonts w:cs="Arial"/>
                <w:sz w:val="22"/>
                <w:szCs w:val="22"/>
              </w:rPr>
            </w:pPr>
            <w:r w:rsidRPr="008C5B1B">
              <w:rPr>
                <w:rFonts w:cs="Arial"/>
                <w:sz w:val="22"/>
                <w:szCs w:val="22"/>
              </w:rPr>
              <w:t>0.06</w:t>
            </w:r>
          </w:p>
        </w:tc>
      </w:tr>
    </w:tbl>
    <w:p w:rsidR="00660414" w:rsidRPr="008C5B1B" w:rsidRDefault="00660414" w:rsidP="007613DE">
      <w:pPr>
        <w:rPr>
          <w:i/>
        </w:rPr>
      </w:pPr>
      <w:r w:rsidRPr="008C5B1B">
        <w:rPr>
          <w:i/>
        </w:rPr>
        <w:t>Source: AECOM forecasting model</w:t>
      </w:r>
    </w:p>
    <w:p w:rsidR="00660414" w:rsidRDefault="00660414" w:rsidP="00A4081F">
      <w:pPr>
        <w:pStyle w:val="NumberedParas"/>
      </w:pPr>
      <w:r w:rsidRPr="008C5B1B">
        <w:t xml:space="preserve">In addition to the results from the core option presented in Table 5.12, the impact of alternative assumptions for infrastructure repairs has been collated. For example, addressing just the temporary speed restrictions caused by badly maintained track such as turnouts forms the basis for the initial package of works, albeit with an assumption that a more extensive set of infrastructure works would be implemented downstream. The proposals for the revised timetable and new rolling stock as described in the core timetable option are retained for these sensitivity tests. Summary results for the core option (comprising rehabilitation, new rolling stock and a revised timetable – Scenario A), a more optimistic option (featuring higher line speeds – Scenario B), plus the pessimistic option with minimal infrastructure works (Scenario R). The BCR results for the pessimistic scenario are higher compared with the core or the optimistic timetable options and this reflects the less extensive infrastructure works which incur a lower capital cost. These results indicate that the timetable and rolling stock generate the majority of improvements, since the incremental change in benefits is greater than the revised costs. It should be noted that whilst the BCRs are higher in the pessimistic tests compared with the core option, there should still be a requirement to undertake the more extensive infrastructure works even though the incremental BCR is lower. </w:t>
      </w:r>
    </w:p>
    <w:p w:rsidR="00660414" w:rsidRDefault="00660414" w:rsidP="00A4081F">
      <w:pPr>
        <w:pStyle w:val="NumberedParas"/>
      </w:pPr>
      <w:r w:rsidRPr="008C5B1B">
        <w:t>The initial elements to deliver a wider scheme will usually generate the highest BCR. However, this outcome should not affect the opportunity for more extensive infrastructure works in the future assuming the BCR for the overall scheme still exceeds 1.0. For some tests, there is a significant change in the BCR result for a sensitivity test versus the core option. This can be attributed to the relationship between the total benefits versus the costs. In particular, the relationship between the operating costs and the capital costs may differ. If the capital costs account for a high percentage of the total cost, the postponement of the majority of infrastructure costs until a latter phase of works will lead to a larger change in the total discounted costs. As a result, the BCR would be higher. Table 5.13 presents the results for the alternative tests including the lower cost options. There are two key messages to highlight. Firstly, the benefit cost ratio for the lower cost options is generally higher compared with the core option or the proposals which feature a higher line speed and reflects the smaller capital costs which are assumed. Secondly, there is a significant difference between the relative scale of the benefits and costs. Using Test DS01 as an example, the benefits and costs for variants A and B range from £</w:t>
      </w:r>
      <w:r>
        <w:t>2.1</w:t>
      </w:r>
      <w:r w:rsidRPr="008C5B1B">
        <w:t>bn to £2.3bn over the 60 year period appraisal, yet the costs for variant R are less than £</w:t>
      </w:r>
      <w:r>
        <w:t>40</w:t>
      </w:r>
      <w:r w:rsidRPr="008C5B1B">
        <w:t>m with benefits lower than £3</w:t>
      </w:r>
      <w:r>
        <w:t>1</w:t>
      </w:r>
      <w:r w:rsidRPr="008C5B1B">
        <w:t xml:space="preserve">0m. The </w:t>
      </w:r>
      <w:r>
        <w:t xml:space="preserve">ability of the variant A and B for each test in generating </w:t>
      </w:r>
      <w:r w:rsidRPr="008C5B1B">
        <w:t xml:space="preserve">freight benefits and costs </w:t>
      </w:r>
      <w:r>
        <w:t xml:space="preserve">represents </w:t>
      </w:r>
      <w:r w:rsidRPr="008C5B1B">
        <w:t>one of the most important contributory factors for these differences. With faster journey times in scenarios A and B, this encourages additional freight to transfer from road to rail</w:t>
      </w:r>
      <w:r>
        <w:t xml:space="preserve">. This </w:t>
      </w:r>
      <w:r w:rsidRPr="008C5B1B">
        <w:t>lead</w:t>
      </w:r>
      <w:r>
        <w:t xml:space="preserve">s </w:t>
      </w:r>
      <w:r w:rsidRPr="008C5B1B">
        <w:t xml:space="preserve">to higher costs and benefits. This </w:t>
      </w:r>
      <w:r>
        <w:t xml:space="preserve">pattern of results occurs </w:t>
      </w:r>
      <w:r w:rsidRPr="008C5B1B">
        <w:t xml:space="preserve">for many of the tests, although the scale of the benefits and costs </w:t>
      </w:r>
      <w:r>
        <w:t>generated by the</w:t>
      </w:r>
      <w:r w:rsidRPr="008C5B1B">
        <w:t xml:space="preserve"> freight </w:t>
      </w:r>
      <w:r>
        <w:t xml:space="preserve">movements using rail </w:t>
      </w:r>
      <w:r w:rsidRPr="008C5B1B">
        <w:t xml:space="preserve">differs depending on the change in journey times between the scenarios. </w:t>
      </w:r>
    </w:p>
    <w:p w:rsidR="00660414" w:rsidRDefault="00660414" w:rsidP="00660414">
      <w:pPr>
        <w:rPr>
          <w:b/>
          <w:sz w:val="22"/>
          <w:szCs w:val="22"/>
        </w:rPr>
        <w:sectPr w:rsidR="00660414" w:rsidSect="007613DE">
          <w:pgSz w:w="11907" w:h="16840" w:code="9"/>
          <w:pgMar w:top="1418" w:right="709" w:bottom="1418" w:left="907" w:header="357" w:footer="567" w:gutter="0"/>
          <w:cols w:space="187"/>
          <w:docGrid w:linePitch="360"/>
        </w:sectPr>
      </w:pPr>
    </w:p>
    <w:p w:rsidR="00660414"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15</w:t>
      </w:r>
      <w:r w:rsidRPr="001F5936">
        <w:rPr>
          <w:b/>
          <w:sz w:val="22"/>
          <w:szCs w:val="22"/>
        </w:rPr>
        <w:fldChar w:fldCharType="end"/>
      </w:r>
      <w:r w:rsidRPr="001F5936">
        <w:rPr>
          <w:b/>
          <w:sz w:val="22"/>
          <w:szCs w:val="22"/>
        </w:rPr>
        <w:t xml:space="preserve">: </w:t>
      </w:r>
      <w:r w:rsidRPr="00515CCA">
        <w:rPr>
          <w:b/>
          <w:sz w:val="22"/>
          <w:szCs w:val="22"/>
        </w:rPr>
        <w:t>Summary of the Economic Appraisal Results – Sensitivity Tests</w:t>
      </w:r>
      <w:r>
        <w:rPr>
          <w:b/>
          <w:sz w:val="22"/>
          <w:szCs w:val="22"/>
        </w:rPr>
        <w:t xml:space="preserve"> (2014 prices)</w:t>
      </w:r>
    </w:p>
    <w:tbl>
      <w:tblPr>
        <w:tblStyle w:val="TableGrid"/>
        <w:tblW w:w="14560" w:type="dxa"/>
        <w:jc w:val="center"/>
        <w:tblLayout w:type="fixed"/>
        <w:tblLook w:val="04A0" w:firstRow="1" w:lastRow="0" w:firstColumn="1" w:lastColumn="0" w:noHBand="0" w:noVBand="1"/>
      </w:tblPr>
      <w:tblGrid>
        <w:gridCol w:w="353"/>
        <w:gridCol w:w="459"/>
        <w:gridCol w:w="2898"/>
        <w:gridCol w:w="353"/>
        <w:gridCol w:w="835"/>
        <w:gridCol w:w="836"/>
        <w:gridCol w:w="1769"/>
        <w:gridCol w:w="1777"/>
        <w:gridCol w:w="1984"/>
        <w:gridCol w:w="1276"/>
        <w:gridCol w:w="1200"/>
        <w:gridCol w:w="820"/>
      </w:tblGrid>
      <w:tr w:rsidR="00660414" w:rsidTr="007613DE">
        <w:trPr>
          <w:jc w:val="center"/>
        </w:trPr>
        <w:tc>
          <w:tcPr>
            <w:tcW w:w="3710" w:type="dxa"/>
            <w:gridSpan w:val="3"/>
            <w:shd w:val="clear" w:color="auto" w:fill="C6D9F1"/>
            <w:vAlign w:val="center"/>
          </w:tcPr>
          <w:p w:rsidR="00660414" w:rsidRPr="008C5B1B" w:rsidRDefault="00660414" w:rsidP="007613DE">
            <w:r w:rsidRPr="008C5B1B">
              <w:t>Test and Description</w:t>
            </w:r>
          </w:p>
        </w:tc>
        <w:tc>
          <w:tcPr>
            <w:tcW w:w="353" w:type="dxa"/>
            <w:shd w:val="clear" w:color="auto" w:fill="C6D9F1"/>
          </w:tcPr>
          <w:p w:rsidR="00660414" w:rsidRPr="008C5B1B" w:rsidRDefault="00660414" w:rsidP="007613DE"/>
        </w:tc>
        <w:tc>
          <w:tcPr>
            <w:tcW w:w="835" w:type="dxa"/>
            <w:shd w:val="clear" w:color="auto" w:fill="C6D9F1"/>
            <w:vAlign w:val="center"/>
          </w:tcPr>
          <w:p w:rsidR="00660414" w:rsidRPr="007613DE" w:rsidRDefault="00660414" w:rsidP="007613DE">
            <w:pPr>
              <w:jc w:val="center"/>
              <w:rPr>
                <w:b/>
                <w:vertAlign w:val="superscript"/>
              </w:rPr>
            </w:pPr>
            <w:r w:rsidRPr="007613DE">
              <w:rPr>
                <w:b/>
              </w:rPr>
              <w:t>PVC</w:t>
            </w:r>
          </w:p>
          <w:p w:rsidR="00660414" w:rsidRPr="007613DE" w:rsidRDefault="00660414" w:rsidP="007613DE">
            <w:pPr>
              <w:jc w:val="center"/>
              <w:rPr>
                <w:b/>
                <w:vertAlign w:val="superscript"/>
              </w:rPr>
            </w:pPr>
            <w:r w:rsidRPr="007613DE">
              <w:rPr>
                <w:b/>
              </w:rPr>
              <w:t>Total</w:t>
            </w:r>
            <w:r w:rsidRPr="007613DE">
              <w:rPr>
                <w:b/>
                <w:vertAlign w:val="superscript"/>
              </w:rPr>
              <w:t>1</w:t>
            </w:r>
          </w:p>
        </w:tc>
        <w:tc>
          <w:tcPr>
            <w:tcW w:w="836" w:type="dxa"/>
            <w:shd w:val="clear" w:color="auto" w:fill="C6D9F1"/>
            <w:vAlign w:val="center"/>
          </w:tcPr>
          <w:p w:rsidR="00660414" w:rsidRPr="007613DE" w:rsidRDefault="00660414" w:rsidP="007613DE">
            <w:pPr>
              <w:jc w:val="center"/>
              <w:rPr>
                <w:b/>
              </w:rPr>
            </w:pPr>
            <w:r w:rsidRPr="007613DE">
              <w:rPr>
                <w:b/>
              </w:rPr>
              <w:t>PVB</w:t>
            </w:r>
          </w:p>
          <w:p w:rsidR="00660414" w:rsidRPr="007613DE" w:rsidRDefault="00660414" w:rsidP="007613DE">
            <w:pPr>
              <w:jc w:val="center"/>
              <w:rPr>
                <w:b/>
                <w:vertAlign w:val="superscript"/>
              </w:rPr>
            </w:pPr>
            <w:r w:rsidRPr="007613DE">
              <w:rPr>
                <w:b/>
              </w:rPr>
              <w:t>Total</w:t>
            </w:r>
            <w:r w:rsidRPr="007613DE">
              <w:rPr>
                <w:b/>
                <w:vertAlign w:val="superscript"/>
              </w:rPr>
              <w:t>1</w:t>
            </w:r>
          </w:p>
        </w:tc>
        <w:tc>
          <w:tcPr>
            <w:tcW w:w="1769" w:type="dxa"/>
            <w:shd w:val="clear" w:color="auto" w:fill="C6D9F1"/>
            <w:vAlign w:val="center"/>
          </w:tcPr>
          <w:p w:rsidR="00660414" w:rsidRPr="007613DE" w:rsidRDefault="00660414" w:rsidP="007613DE">
            <w:pPr>
              <w:jc w:val="center"/>
              <w:rPr>
                <w:b/>
              </w:rPr>
            </w:pPr>
            <w:r w:rsidRPr="007613DE">
              <w:rPr>
                <w:b/>
              </w:rPr>
              <w:t>Cost to infrast.</w:t>
            </w:r>
          </w:p>
          <w:p w:rsidR="00660414" w:rsidRPr="007613DE" w:rsidRDefault="00660414" w:rsidP="007613DE">
            <w:pPr>
              <w:jc w:val="center"/>
              <w:rPr>
                <w:b/>
              </w:rPr>
            </w:pPr>
            <w:r w:rsidRPr="007613DE">
              <w:rPr>
                <w:b/>
              </w:rPr>
              <w:t>Manager</w:t>
            </w:r>
          </w:p>
        </w:tc>
        <w:tc>
          <w:tcPr>
            <w:tcW w:w="1777" w:type="dxa"/>
            <w:shd w:val="clear" w:color="auto" w:fill="C6D9F1"/>
            <w:vAlign w:val="center"/>
          </w:tcPr>
          <w:p w:rsidR="00660414" w:rsidRPr="007613DE" w:rsidRDefault="00660414" w:rsidP="007613DE">
            <w:pPr>
              <w:jc w:val="center"/>
              <w:rPr>
                <w:b/>
              </w:rPr>
            </w:pPr>
            <w:r w:rsidRPr="007613DE">
              <w:rPr>
                <w:b/>
              </w:rPr>
              <w:t>Cost to operator</w:t>
            </w:r>
          </w:p>
          <w:p w:rsidR="00660414" w:rsidRPr="007613DE" w:rsidRDefault="00660414" w:rsidP="007613DE">
            <w:pPr>
              <w:jc w:val="center"/>
              <w:rPr>
                <w:b/>
              </w:rPr>
            </w:pPr>
            <w:r w:rsidRPr="007613DE">
              <w:rPr>
                <w:b/>
              </w:rPr>
              <w:t>(Pass.)</w:t>
            </w:r>
          </w:p>
        </w:tc>
        <w:tc>
          <w:tcPr>
            <w:tcW w:w="1984" w:type="dxa"/>
            <w:shd w:val="clear" w:color="auto" w:fill="C6D9F1"/>
            <w:vAlign w:val="center"/>
          </w:tcPr>
          <w:p w:rsidR="00660414" w:rsidRPr="007613DE" w:rsidRDefault="00660414" w:rsidP="007613DE">
            <w:pPr>
              <w:jc w:val="center"/>
              <w:rPr>
                <w:b/>
              </w:rPr>
            </w:pPr>
            <w:r w:rsidRPr="007613DE">
              <w:rPr>
                <w:b/>
              </w:rPr>
              <w:t>Cost to operator</w:t>
            </w:r>
          </w:p>
          <w:p w:rsidR="00660414" w:rsidRPr="007613DE" w:rsidRDefault="00660414" w:rsidP="007613DE">
            <w:pPr>
              <w:jc w:val="center"/>
              <w:rPr>
                <w:b/>
              </w:rPr>
            </w:pPr>
            <w:r w:rsidRPr="007613DE">
              <w:rPr>
                <w:b/>
              </w:rPr>
              <w:t>(Freight.)</w:t>
            </w:r>
          </w:p>
        </w:tc>
        <w:tc>
          <w:tcPr>
            <w:tcW w:w="1276" w:type="dxa"/>
            <w:shd w:val="clear" w:color="auto" w:fill="C6D9F1"/>
            <w:vAlign w:val="center"/>
          </w:tcPr>
          <w:p w:rsidR="00660414" w:rsidRPr="007613DE" w:rsidRDefault="00660414" w:rsidP="007613DE">
            <w:pPr>
              <w:jc w:val="center"/>
              <w:rPr>
                <w:b/>
              </w:rPr>
            </w:pPr>
            <w:r w:rsidRPr="007613DE">
              <w:rPr>
                <w:b/>
              </w:rPr>
              <w:t>Benefits</w:t>
            </w:r>
          </w:p>
          <w:p w:rsidR="00660414" w:rsidRPr="007613DE" w:rsidRDefault="00660414" w:rsidP="007613DE">
            <w:pPr>
              <w:jc w:val="center"/>
              <w:rPr>
                <w:b/>
              </w:rPr>
            </w:pPr>
            <w:r w:rsidRPr="007613DE">
              <w:rPr>
                <w:b/>
              </w:rPr>
              <w:t>(Pass.)</w:t>
            </w:r>
          </w:p>
        </w:tc>
        <w:tc>
          <w:tcPr>
            <w:tcW w:w="1200" w:type="dxa"/>
            <w:shd w:val="clear" w:color="auto" w:fill="C6D9F1"/>
            <w:vAlign w:val="center"/>
          </w:tcPr>
          <w:p w:rsidR="00660414" w:rsidRPr="007613DE" w:rsidRDefault="00660414" w:rsidP="007613DE">
            <w:pPr>
              <w:jc w:val="center"/>
              <w:rPr>
                <w:b/>
              </w:rPr>
            </w:pPr>
            <w:r w:rsidRPr="007613DE">
              <w:rPr>
                <w:b/>
              </w:rPr>
              <w:t>Benefits</w:t>
            </w:r>
          </w:p>
          <w:p w:rsidR="00660414" w:rsidRPr="007613DE" w:rsidRDefault="00660414" w:rsidP="007613DE">
            <w:pPr>
              <w:jc w:val="center"/>
              <w:rPr>
                <w:b/>
              </w:rPr>
            </w:pPr>
            <w:r w:rsidRPr="007613DE">
              <w:rPr>
                <w:b/>
              </w:rPr>
              <w:t>(Freight.)</w:t>
            </w:r>
          </w:p>
        </w:tc>
        <w:tc>
          <w:tcPr>
            <w:tcW w:w="820" w:type="dxa"/>
            <w:shd w:val="clear" w:color="auto" w:fill="C6D9F1"/>
            <w:vAlign w:val="center"/>
          </w:tcPr>
          <w:p w:rsidR="00660414" w:rsidRPr="007613DE" w:rsidRDefault="00660414" w:rsidP="007613DE">
            <w:pPr>
              <w:jc w:val="center"/>
              <w:rPr>
                <w:b/>
                <w:vertAlign w:val="superscript"/>
              </w:rPr>
            </w:pPr>
            <w:r w:rsidRPr="007613DE">
              <w:rPr>
                <w:b/>
              </w:rPr>
              <w:t>BCR</w:t>
            </w:r>
            <w:r w:rsidRPr="007613DE">
              <w:rPr>
                <w:b/>
                <w:vertAlign w:val="superscript"/>
              </w:rPr>
              <w:t>1</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DS01</w:t>
            </w:r>
          </w:p>
        </w:tc>
        <w:tc>
          <w:tcPr>
            <w:tcW w:w="2898" w:type="dxa"/>
            <w:vMerge w:val="restart"/>
            <w:vAlign w:val="center"/>
          </w:tcPr>
          <w:p w:rsidR="00660414" w:rsidRPr="008C5B1B" w:rsidRDefault="00660414" w:rsidP="007613DE">
            <w:pPr>
              <w:rPr>
                <w:sz w:val="22"/>
                <w:szCs w:val="22"/>
              </w:rPr>
            </w:pPr>
            <w:r w:rsidRPr="004B672D">
              <w:rPr>
                <w:sz w:val="22"/>
                <w:szCs w:val="22"/>
              </w:rPr>
              <w:t>Bucharest to Arad / Cluj via Brasov</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38</w:t>
            </w:r>
          </w:p>
        </w:tc>
        <w:tc>
          <w:tcPr>
            <w:tcW w:w="836" w:type="dxa"/>
            <w:vAlign w:val="center"/>
          </w:tcPr>
          <w:p w:rsidR="00660414" w:rsidRPr="008C5B1B" w:rsidRDefault="00660414" w:rsidP="007613DE">
            <w:pPr>
              <w:jc w:val="center"/>
              <w:rPr>
                <w:sz w:val="22"/>
                <w:szCs w:val="22"/>
              </w:rPr>
            </w:pPr>
            <w:r w:rsidRPr="008C5B1B">
              <w:rPr>
                <w:sz w:val="22"/>
                <w:szCs w:val="22"/>
              </w:rPr>
              <w:t>315</w:t>
            </w:r>
          </w:p>
        </w:tc>
        <w:tc>
          <w:tcPr>
            <w:tcW w:w="1769" w:type="dxa"/>
            <w:vAlign w:val="center"/>
          </w:tcPr>
          <w:p w:rsidR="00660414" w:rsidRPr="008C5B1B" w:rsidRDefault="00660414" w:rsidP="007613DE">
            <w:pPr>
              <w:jc w:val="center"/>
              <w:rPr>
                <w:sz w:val="22"/>
                <w:szCs w:val="22"/>
              </w:rPr>
            </w:pPr>
            <w:r w:rsidRPr="008C5B1B">
              <w:rPr>
                <w:sz w:val="22"/>
                <w:szCs w:val="22"/>
              </w:rPr>
              <w:t>4</w:t>
            </w:r>
          </w:p>
        </w:tc>
        <w:tc>
          <w:tcPr>
            <w:tcW w:w="1777" w:type="dxa"/>
            <w:vAlign w:val="center"/>
          </w:tcPr>
          <w:p w:rsidR="00660414" w:rsidRPr="008C5B1B" w:rsidRDefault="00660414" w:rsidP="007613DE">
            <w:pPr>
              <w:jc w:val="center"/>
              <w:rPr>
                <w:sz w:val="22"/>
                <w:szCs w:val="22"/>
              </w:rPr>
            </w:pPr>
            <w:r w:rsidRPr="008C5B1B">
              <w:rPr>
                <w:sz w:val="22"/>
                <w:szCs w:val="22"/>
              </w:rPr>
              <w:t>30</w:t>
            </w:r>
          </w:p>
        </w:tc>
        <w:tc>
          <w:tcPr>
            <w:tcW w:w="1984" w:type="dxa"/>
            <w:vAlign w:val="center"/>
          </w:tcPr>
          <w:p w:rsidR="00660414" w:rsidRPr="008C5B1B" w:rsidRDefault="00660414" w:rsidP="007613DE">
            <w:pPr>
              <w:jc w:val="center"/>
              <w:rPr>
                <w:sz w:val="22"/>
                <w:szCs w:val="22"/>
              </w:rPr>
            </w:pPr>
            <w:r w:rsidRPr="008C5B1B">
              <w:rPr>
                <w:sz w:val="22"/>
                <w:szCs w:val="22"/>
              </w:rPr>
              <w:t>4</w:t>
            </w:r>
          </w:p>
        </w:tc>
        <w:tc>
          <w:tcPr>
            <w:tcW w:w="1276" w:type="dxa"/>
            <w:vAlign w:val="center"/>
          </w:tcPr>
          <w:p w:rsidR="00660414" w:rsidRPr="008C5B1B" w:rsidRDefault="00660414" w:rsidP="007613DE">
            <w:pPr>
              <w:jc w:val="center"/>
              <w:rPr>
                <w:sz w:val="22"/>
                <w:szCs w:val="22"/>
              </w:rPr>
            </w:pPr>
            <w:r w:rsidRPr="008C5B1B">
              <w:rPr>
                <w:sz w:val="22"/>
                <w:szCs w:val="22"/>
              </w:rPr>
              <w:t>306</w:t>
            </w:r>
          </w:p>
        </w:tc>
        <w:tc>
          <w:tcPr>
            <w:tcW w:w="1200" w:type="dxa"/>
            <w:vAlign w:val="center"/>
          </w:tcPr>
          <w:p w:rsidR="00660414" w:rsidRPr="008C5B1B" w:rsidRDefault="00660414" w:rsidP="007613DE">
            <w:pPr>
              <w:jc w:val="center"/>
              <w:rPr>
                <w:sz w:val="22"/>
                <w:szCs w:val="22"/>
              </w:rPr>
            </w:pPr>
            <w:r w:rsidRPr="008C5B1B">
              <w:rPr>
                <w:sz w:val="22"/>
                <w:szCs w:val="22"/>
              </w:rPr>
              <w:t>9</w:t>
            </w:r>
          </w:p>
        </w:tc>
        <w:tc>
          <w:tcPr>
            <w:tcW w:w="820" w:type="dxa"/>
            <w:vAlign w:val="center"/>
          </w:tcPr>
          <w:p w:rsidR="00660414" w:rsidRPr="008C5B1B" w:rsidRDefault="00660414" w:rsidP="007613DE">
            <w:pPr>
              <w:jc w:val="center"/>
              <w:rPr>
                <w:sz w:val="22"/>
                <w:szCs w:val="22"/>
              </w:rPr>
            </w:pPr>
            <w:r w:rsidRPr="008C5B1B">
              <w:rPr>
                <w:sz w:val="22"/>
                <w:szCs w:val="22"/>
              </w:rPr>
              <w:t>8.32</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2080</w:t>
            </w:r>
          </w:p>
        </w:tc>
        <w:tc>
          <w:tcPr>
            <w:tcW w:w="836" w:type="dxa"/>
            <w:vAlign w:val="center"/>
          </w:tcPr>
          <w:p w:rsidR="00660414" w:rsidRPr="008C5B1B" w:rsidRDefault="00660414" w:rsidP="007613DE">
            <w:pPr>
              <w:jc w:val="center"/>
              <w:rPr>
                <w:sz w:val="22"/>
                <w:szCs w:val="22"/>
              </w:rPr>
            </w:pPr>
            <w:r w:rsidRPr="008C5B1B">
              <w:rPr>
                <w:sz w:val="22"/>
                <w:szCs w:val="22"/>
              </w:rPr>
              <w:t>2263</w:t>
            </w:r>
          </w:p>
        </w:tc>
        <w:tc>
          <w:tcPr>
            <w:tcW w:w="1769" w:type="dxa"/>
            <w:vAlign w:val="center"/>
          </w:tcPr>
          <w:p w:rsidR="00660414" w:rsidRPr="008C5B1B" w:rsidRDefault="00660414" w:rsidP="007613DE">
            <w:pPr>
              <w:jc w:val="center"/>
              <w:rPr>
                <w:sz w:val="22"/>
                <w:szCs w:val="22"/>
              </w:rPr>
            </w:pPr>
            <w:r w:rsidRPr="008C5B1B">
              <w:rPr>
                <w:sz w:val="22"/>
                <w:szCs w:val="22"/>
              </w:rPr>
              <w:t>2035</w:t>
            </w:r>
          </w:p>
        </w:tc>
        <w:tc>
          <w:tcPr>
            <w:tcW w:w="1777" w:type="dxa"/>
            <w:vAlign w:val="center"/>
          </w:tcPr>
          <w:p w:rsidR="00660414" w:rsidRPr="008C5B1B" w:rsidRDefault="00660414" w:rsidP="007613DE">
            <w:pPr>
              <w:jc w:val="center"/>
              <w:rPr>
                <w:sz w:val="22"/>
                <w:szCs w:val="22"/>
              </w:rPr>
            </w:pPr>
            <w:r w:rsidRPr="008C5B1B">
              <w:rPr>
                <w:sz w:val="22"/>
                <w:szCs w:val="22"/>
              </w:rPr>
              <w:t>22</w:t>
            </w:r>
          </w:p>
        </w:tc>
        <w:tc>
          <w:tcPr>
            <w:tcW w:w="1984" w:type="dxa"/>
            <w:vAlign w:val="center"/>
          </w:tcPr>
          <w:p w:rsidR="00660414" w:rsidRPr="008C5B1B" w:rsidRDefault="00660414" w:rsidP="007613DE">
            <w:pPr>
              <w:jc w:val="center"/>
              <w:rPr>
                <w:sz w:val="22"/>
                <w:szCs w:val="22"/>
              </w:rPr>
            </w:pPr>
            <w:r w:rsidRPr="008C5B1B">
              <w:rPr>
                <w:sz w:val="22"/>
                <w:szCs w:val="22"/>
              </w:rPr>
              <w:t>642</w:t>
            </w:r>
          </w:p>
        </w:tc>
        <w:tc>
          <w:tcPr>
            <w:tcW w:w="1276" w:type="dxa"/>
            <w:vAlign w:val="center"/>
          </w:tcPr>
          <w:p w:rsidR="00660414" w:rsidRPr="008C5B1B" w:rsidRDefault="00660414" w:rsidP="007613DE">
            <w:pPr>
              <w:jc w:val="center"/>
              <w:rPr>
                <w:sz w:val="22"/>
                <w:szCs w:val="22"/>
              </w:rPr>
            </w:pPr>
            <w:r w:rsidRPr="008C5B1B">
              <w:rPr>
                <w:sz w:val="22"/>
                <w:szCs w:val="22"/>
              </w:rPr>
              <w:t>1703</w:t>
            </w:r>
          </w:p>
        </w:tc>
        <w:tc>
          <w:tcPr>
            <w:tcW w:w="1200" w:type="dxa"/>
            <w:vAlign w:val="center"/>
          </w:tcPr>
          <w:p w:rsidR="00660414" w:rsidRPr="008C5B1B" w:rsidRDefault="00660414" w:rsidP="007613DE">
            <w:pPr>
              <w:jc w:val="center"/>
              <w:rPr>
                <w:sz w:val="22"/>
                <w:szCs w:val="22"/>
              </w:rPr>
            </w:pPr>
            <w:r w:rsidRPr="008C5B1B">
              <w:rPr>
                <w:sz w:val="22"/>
                <w:szCs w:val="22"/>
              </w:rPr>
              <w:t>1179</w:t>
            </w:r>
          </w:p>
        </w:tc>
        <w:tc>
          <w:tcPr>
            <w:tcW w:w="820" w:type="dxa"/>
            <w:vAlign w:val="center"/>
          </w:tcPr>
          <w:p w:rsidR="00660414" w:rsidRPr="008C5B1B" w:rsidRDefault="00660414" w:rsidP="007613DE">
            <w:pPr>
              <w:jc w:val="center"/>
              <w:rPr>
                <w:sz w:val="22"/>
                <w:szCs w:val="22"/>
              </w:rPr>
            </w:pPr>
            <w:r w:rsidRPr="008C5B1B">
              <w:rPr>
                <w:sz w:val="22"/>
                <w:szCs w:val="22"/>
              </w:rPr>
              <w:t>1.09</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2477</w:t>
            </w:r>
          </w:p>
        </w:tc>
        <w:tc>
          <w:tcPr>
            <w:tcW w:w="836" w:type="dxa"/>
            <w:vAlign w:val="center"/>
          </w:tcPr>
          <w:p w:rsidR="00660414" w:rsidRPr="008C5B1B" w:rsidRDefault="00660414" w:rsidP="007613DE">
            <w:pPr>
              <w:jc w:val="center"/>
              <w:rPr>
                <w:sz w:val="22"/>
                <w:szCs w:val="22"/>
              </w:rPr>
            </w:pPr>
            <w:r w:rsidRPr="008C5B1B">
              <w:rPr>
                <w:sz w:val="22"/>
                <w:szCs w:val="22"/>
              </w:rPr>
              <w:t>2441</w:t>
            </w:r>
          </w:p>
        </w:tc>
        <w:tc>
          <w:tcPr>
            <w:tcW w:w="1769" w:type="dxa"/>
            <w:vAlign w:val="center"/>
          </w:tcPr>
          <w:p w:rsidR="00660414" w:rsidRPr="008C5B1B" w:rsidRDefault="00660414" w:rsidP="007613DE">
            <w:pPr>
              <w:jc w:val="center"/>
              <w:rPr>
                <w:sz w:val="22"/>
                <w:szCs w:val="22"/>
              </w:rPr>
            </w:pPr>
            <w:r w:rsidRPr="008C5B1B">
              <w:rPr>
                <w:sz w:val="22"/>
                <w:szCs w:val="22"/>
              </w:rPr>
              <w:t>2433</w:t>
            </w:r>
          </w:p>
        </w:tc>
        <w:tc>
          <w:tcPr>
            <w:tcW w:w="1777" w:type="dxa"/>
            <w:vAlign w:val="center"/>
          </w:tcPr>
          <w:p w:rsidR="00660414" w:rsidRPr="008C5B1B" w:rsidRDefault="00660414" w:rsidP="007613DE">
            <w:pPr>
              <w:jc w:val="center"/>
              <w:rPr>
                <w:sz w:val="22"/>
                <w:szCs w:val="22"/>
              </w:rPr>
            </w:pPr>
            <w:r w:rsidRPr="008C5B1B">
              <w:rPr>
                <w:sz w:val="22"/>
                <w:szCs w:val="22"/>
              </w:rPr>
              <w:t>30</w:t>
            </w:r>
          </w:p>
        </w:tc>
        <w:tc>
          <w:tcPr>
            <w:tcW w:w="1984" w:type="dxa"/>
            <w:vAlign w:val="center"/>
          </w:tcPr>
          <w:p w:rsidR="00660414" w:rsidRPr="008C5B1B" w:rsidRDefault="00660414" w:rsidP="007613DE">
            <w:pPr>
              <w:jc w:val="center"/>
              <w:rPr>
                <w:sz w:val="22"/>
                <w:szCs w:val="22"/>
              </w:rPr>
            </w:pPr>
            <w:r w:rsidRPr="008C5B1B">
              <w:rPr>
                <w:sz w:val="22"/>
                <w:szCs w:val="22"/>
              </w:rPr>
              <w:t>642</w:t>
            </w:r>
          </w:p>
        </w:tc>
        <w:tc>
          <w:tcPr>
            <w:tcW w:w="1276" w:type="dxa"/>
            <w:vAlign w:val="center"/>
          </w:tcPr>
          <w:p w:rsidR="00660414" w:rsidRPr="008C5B1B" w:rsidRDefault="00660414" w:rsidP="007613DE">
            <w:pPr>
              <w:jc w:val="center"/>
              <w:rPr>
                <w:sz w:val="22"/>
                <w:szCs w:val="22"/>
              </w:rPr>
            </w:pPr>
            <w:r w:rsidRPr="008C5B1B">
              <w:rPr>
                <w:sz w:val="22"/>
                <w:szCs w:val="22"/>
              </w:rPr>
              <w:t>1885</w:t>
            </w:r>
          </w:p>
        </w:tc>
        <w:tc>
          <w:tcPr>
            <w:tcW w:w="1200" w:type="dxa"/>
            <w:vAlign w:val="center"/>
          </w:tcPr>
          <w:p w:rsidR="00660414" w:rsidRPr="008C5B1B" w:rsidRDefault="00660414" w:rsidP="007613DE">
            <w:pPr>
              <w:jc w:val="center"/>
              <w:rPr>
                <w:sz w:val="22"/>
                <w:szCs w:val="22"/>
              </w:rPr>
            </w:pPr>
            <w:r w:rsidRPr="008C5B1B">
              <w:rPr>
                <w:sz w:val="22"/>
                <w:szCs w:val="22"/>
              </w:rPr>
              <w:t>1184</w:t>
            </w:r>
          </w:p>
        </w:tc>
        <w:tc>
          <w:tcPr>
            <w:tcW w:w="820" w:type="dxa"/>
            <w:vAlign w:val="center"/>
          </w:tcPr>
          <w:p w:rsidR="00660414" w:rsidRPr="008C5B1B" w:rsidRDefault="00660414" w:rsidP="007613DE">
            <w:pPr>
              <w:jc w:val="center"/>
              <w:rPr>
                <w:sz w:val="22"/>
                <w:szCs w:val="22"/>
              </w:rPr>
            </w:pPr>
            <w:r w:rsidRPr="008C5B1B">
              <w:rPr>
                <w:sz w:val="22"/>
                <w:szCs w:val="22"/>
              </w:rPr>
              <w:t>0.99</w:t>
            </w:r>
          </w:p>
        </w:tc>
      </w:tr>
      <w:tr w:rsidR="00660414" w:rsidTr="007613DE">
        <w:trPr>
          <w:trHeight w:hRule="exact" w:val="255"/>
          <w:jc w:val="center"/>
        </w:trPr>
        <w:tc>
          <w:tcPr>
            <w:tcW w:w="812" w:type="dxa"/>
            <w:gridSpan w:val="2"/>
            <w:vAlign w:val="center"/>
          </w:tcPr>
          <w:p w:rsidR="00660414" w:rsidRPr="008C5B1B" w:rsidRDefault="00660414" w:rsidP="007613DE">
            <w:pPr>
              <w:rPr>
                <w:sz w:val="22"/>
                <w:szCs w:val="22"/>
              </w:rPr>
            </w:pPr>
            <w:r w:rsidRPr="008C5B1B">
              <w:rPr>
                <w:sz w:val="22"/>
                <w:szCs w:val="22"/>
              </w:rPr>
              <w:t>DS02</w:t>
            </w:r>
          </w:p>
        </w:tc>
        <w:tc>
          <w:tcPr>
            <w:tcW w:w="2898" w:type="dxa"/>
          </w:tcPr>
          <w:p w:rsidR="00660414" w:rsidRPr="008C5B1B" w:rsidRDefault="00660414" w:rsidP="007613DE">
            <w:pPr>
              <w:rPr>
                <w:sz w:val="22"/>
                <w:szCs w:val="22"/>
              </w:rPr>
            </w:pPr>
            <w:r w:rsidRPr="008C5B1B">
              <w:rPr>
                <w:sz w:val="22"/>
                <w:szCs w:val="22"/>
              </w:rPr>
              <w:t>Bucharest to Constanta</w:t>
            </w: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20</w:t>
            </w:r>
          </w:p>
        </w:tc>
        <w:tc>
          <w:tcPr>
            <w:tcW w:w="836" w:type="dxa"/>
            <w:vAlign w:val="center"/>
          </w:tcPr>
          <w:p w:rsidR="00660414" w:rsidRPr="008C5B1B" w:rsidRDefault="00660414" w:rsidP="007613DE">
            <w:pPr>
              <w:jc w:val="center"/>
              <w:rPr>
                <w:sz w:val="22"/>
                <w:szCs w:val="22"/>
              </w:rPr>
            </w:pPr>
            <w:r w:rsidRPr="008C5B1B">
              <w:rPr>
                <w:sz w:val="22"/>
                <w:szCs w:val="22"/>
              </w:rPr>
              <w:t>275</w:t>
            </w:r>
          </w:p>
        </w:tc>
        <w:tc>
          <w:tcPr>
            <w:tcW w:w="1769" w:type="dxa"/>
            <w:vAlign w:val="center"/>
          </w:tcPr>
          <w:p w:rsidR="00660414" w:rsidRPr="008C5B1B" w:rsidRDefault="00660414" w:rsidP="007613DE">
            <w:pPr>
              <w:jc w:val="center"/>
              <w:rPr>
                <w:sz w:val="22"/>
                <w:szCs w:val="22"/>
              </w:rPr>
            </w:pPr>
            <w:r w:rsidRPr="008C5B1B">
              <w:rPr>
                <w:sz w:val="22"/>
                <w:szCs w:val="22"/>
              </w:rPr>
              <w:t>0</w:t>
            </w:r>
          </w:p>
        </w:tc>
        <w:tc>
          <w:tcPr>
            <w:tcW w:w="1777" w:type="dxa"/>
            <w:vAlign w:val="center"/>
          </w:tcPr>
          <w:p w:rsidR="00660414" w:rsidRPr="008C5B1B" w:rsidRDefault="00660414" w:rsidP="007613DE">
            <w:pPr>
              <w:jc w:val="center"/>
              <w:rPr>
                <w:sz w:val="22"/>
                <w:szCs w:val="22"/>
              </w:rPr>
            </w:pPr>
            <w:r w:rsidRPr="008C5B1B">
              <w:rPr>
                <w:sz w:val="22"/>
                <w:szCs w:val="22"/>
              </w:rPr>
              <w:t>104</w:t>
            </w:r>
          </w:p>
        </w:tc>
        <w:tc>
          <w:tcPr>
            <w:tcW w:w="1984" w:type="dxa"/>
            <w:vAlign w:val="center"/>
          </w:tcPr>
          <w:p w:rsidR="00660414" w:rsidRPr="008C5B1B" w:rsidRDefault="00660414" w:rsidP="007613DE">
            <w:pPr>
              <w:jc w:val="center"/>
              <w:rPr>
                <w:sz w:val="22"/>
                <w:szCs w:val="22"/>
              </w:rPr>
            </w:pPr>
            <w:r w:rsidRPr="008C5B1B">
              <w:rPr>
                <w:sz w:val="22"/>
                <w:szCs w:val="22"/>
              </w:rPr>
              <w:t>0</w:t>
            </w:r>
          </w:p>
        </w:tc>
        <w:tc>
          <w:tcPr>
            <w:tcW w:w="1276" w:type="dxa"/>
            <w:vAlign w:val="center"/>
          </w:tcPr>
          <w:p w:rsidR="00660414" w:rsidRPr="008C5B1B" w:rsidRDefault="00660414" w:rsidP="007613DE">
            <w:pPr>
              <w:jc w:val="center"/>
              <w:rPr>
                <w:sz w:val="22"/>
                <w:szCs w:val="22"/>
              </w:rPr>
            </w:pPr>
            <w:r w:rsidRPr="008C5B1B">
              <w:rPr>
                <w:sz w:val="22"/>
                <w:szCs w:val="22"/>
              </w:rPr>
              <w:t>349</w:t>
            </w:r>
          </w:p>
        </w:tc>
        <w:tc>
          <w:tcPr>
            <w:tcW w:w="1200" w:type="dxa"/>
            <w:vAlign w:val="center"/>
          </w:tcPr>
          <w:p w:rsidR="00660414" w:rsidRPr="008C5B1B" w:rsidRDefault="00660414" w:rsidP="007613DE">
            <w:pPr>
              <w:jc w:val="center"/>
              <w:rPr>
                <w:sz w:val="22"/>
                <w:szCs w:val="22"/>
              </w:rPr>
            </w:pPr>
            <w:r w:rsidRPr="008C5B1B">
              <w:rPr>
                <w:sz w:val="22"/>
                <w:szCs w:val="22"/>
              </w:rPr>
              <w:t>10</w:t>
            </w:r>
          </w:p>
        </w:tc>
        <w:tc>
          <w:tcPr>
            <w:tcW w:w="820" w:type="dxa"/>
            <w:vAlign w:val="center"/>
          </w:tcPr>
          <w:p w:rsidR="00660414" w:rsidRPr="008C5B1B" w:rsidRDefault="00660414" w:rsidP="007613DE">
            <w:pPr>
              <w:jc w:val="center"/>
              <w:rPr>
                <w:sz w:val="22"/>
                <w:szCs w:val="22"/>
              </w:rPr>
            </w:pPr>
            <w:r w:rsidRPr="008C5B1B">
              <w:rPr>
                <w:sz w:val="22"/>
                <w:szCs w:val="22"/>
              </w:rPr>
              <w:t>13.62</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DS03</w:t>
            </w:r>
          </w:p>
        </w:tc>
        <w:tc>
          <w:tcPr>
            <w:tcW w:w="2898" w:type="dxa"/>
            <w:vMerge w:val="restart"/>
          </w:tcPr>
          <w:p w:rsidR="00660414" w:rsidRPr="008C5B1B" w:rsidRDefault="00660414" w:rsidP="007613DE">
            <w:pPr>
              <w:rPr>
                <w:sz w:val="22"/>
                <w:szCs w:val="22"/>
              </w:rPr>
            </w:pPr>
            <w:r>
              <w:rPr>
                <w:sz w:val="22"/>
                <w:szCs w:val="22"/>
              </w:rPr>
              <w:t>Bucharest to Arad via Craoiva</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273</w:t>
            </w:r>
          </w:p>
        </w:tc>
        <w:tc>
          <w:tcPr>
            <w:tcW w:w="836" w:type="dxa"/>
            <w:vAlign w:val="center"/>
          </w:tcPr>
          <w:p w:rsidR="00660414" w:rsidRPr="008C5B1B" w:rsidRDefault="00660414" w:rsidP="007613DE">
            <w:pPr>
              <w:jc w:val="center"/>
              <w:rPr>
                <w:sz w:val="22"/>
                <w:szCs w:val="22"/>
              </w:rPr>
            </w:pPr>
            <w:r w:rsidRPr="008C5B1B">
              <w:rPr>
                <w:sz w:val="22"/>
                <w:szCs w:val="22"/>
              </w:rPr>
              <w:t>696</w:t>
            </w:r>
          </w:p>
        </w:tc>
        <w:tc>
          <w:tcPr>
            <w:tcW w:w="1769" w:type="dxa"/>
            <w:vAlign w:val="center"/>
          </w:tcPr>
          <w:p w:rsidR="00660414" w:rsidRPr="008C5B1B" w:rsidRDefault="00660414" w:rsidP="007613DE">
            <w:pPr>
              <w:jc w:val="center"/>
              <w:rPr>
                <w:sz w:val="22"/>
                <w:szCs w:val="22"/>
              </w:rPr>
            </w:pPr>
            <w:r w:rsidRPr="008C5B1B">
              <w:rPr>
                <w:sz w:val="22"/>
                <w:szCs w:val="22"/>
              </w:rPr>
              <w:t>18</w:t>
            </w:r>
          </w:p>
        </w:tc>
        <w:tc>
          <w:tcPr>
            <w:tcW w:w="1777" w:type="dxa"/>
            <w:vAlign w:val="center"/>
          </w:tcPr>
          <w:p w:rsidR="00660414" w:rsidRPr="008C5B1B" w:rsidRDefault="00660414" w:rsidP="007613DE">
            <w:pPr>
              <w:jc w:val="center"/>
              <w:rPr>
                <w:sz w:val="22"/>
                <w:szCs w:val="22"/>
              </w:rPr>
            </w:pPr>
            <w:r w:rsidRPr="008C5B1B">
              <w:rPr>
                <w:sz w:val="22"/>
                <w:szCs w:val="22"/>
              </w:rPr>
              <w:t>220</w:t>
            </w:r>
          </w:p>
        </w:tc>
        <w:tc>
          <w:tcPr>
            <w:tcW w:w="1984" w:type="dxa"/>
            <w:vAlign w:val="center"/>
          </w:tcPr>
          <w:p w:rsidR="00660414" w:rsidRPr="008C5B1B" w:rsidRDefault="00660414" w:rsidP="007613DE">
            <w:pPr>
              <w:jc w:val="center"/>
              <w:rPr>
                <w:sz w:val="22"/>
                <w:szCs w:val="22"/>
              </w:rPr>
            </w:pPr>
            <w:r w:rsidRPr="008C5B1B">
              <w:rPr>
                <w:sz w:val="22"/>
                <w:szCs w:val="22"/>
              </w:rPr>
              <w:t>36</w:t>
            </w:r>
          </w:p>
        </w:tc>
        <w:tc>
          <w:tcPr>
            <w:tcW w:w="1276" w:type="dxa"/>
            <w:vAlign w:val="center"/>
          </w:tcPr>
          <w:p w:rsidR="00660414" w:rsidRPr="008C5B1B" w:rsidRDefault="00660414" w:rsidP="007613DE">
            <w:pPr>
              <w:jc w:val="center"/>
              <w:rPr>
                <w:sz w:val="22"/>
                <w:szCs w:val="22"/>
              </w:rPr>
            </w:pPr>
            <w:r w:rsidRPr="008C5B1B">
              <w:rPr>
                <w:sz w:val="22"/>
                <w:szCs w:val="22"/>
              </w:rPr>
              <w:t>439</w:t>
            </w:r>
          </w:p>
        </w:tc>
        <w:tc>
          <w:tcPr>
            <w:tcW w:w="1200" w:type="dxa"/>
            <w:vAlign w:val="center"/>
          </w:tcPr>
          <w:p w:rsidR="00660414" w:rsidRPr="008C5B1B" w:rsidRDefault="00660414" w:rsidP="007613DE">
            <w:pPr>
              <w:jc w:val="center"/>
              <w:rPr>
                <w:sz w:val="22"/>
                <w:szCs w:val="22"/>
              </w:rPr>
            </w:pPr>
            <w:r w:rsidRPr="008C5B1B">
              <w:rPr>
                <w:sz w:val="22"/>
                <w:szCs w:val="22"/>
              </w:rPr>
              <w:t>256</w:t>
            </w:r>
          </w:p>
        </w:tc>
        <w:tc>
          <w:tcPr>
            <w:tcW w:w="820" w:type="dxa"/>
            <w:vAlign w:val="center"/>
          </w:tcPr>
          <w:p w:rsidR="00660414" w:rsidRPr="008C5B1B" w:rsidRDefault="00660414" w:rsidP="007613DE">
            <w:pPr>
              <w:jc w:val="center"/>
              <w:rPr>
                <w:sz w:val="22"/>
                <w:szCs w:val="22"/>
              </w:rPr>
            </w:pPr>
            <w:r w:rsidRPr="008C5B1B">
              <w:rPr>
                <w:sz w:val="22"/>
                <w:szCs w:val="22"/>
              </w:rPr>
              <w:t>2.46</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1658</w:t>
            </w:r>
          </w:p>
        </w:tc>
        <w:tc>
          <w:tcPr>
            <w:tcW w:w="836" w:type="dxa"/>
            <w:vAlign w:val="center"/>
          </w:tcPr>
          <w:p w:rsidR="00660414" w:rsidRPr="008C5B1B" w:rsidRDefault="00660414" w:rsidP="007613DE">
            <w:pPr>
              <w:jc w:val="center"/>
              <w:rPr>
                <w:sz w:val="22"/>
                <w:szCs w:val="22"/>
              </w:rPr>
            </w:pPr>
            <w:r w:rsidRPr="008C5B1B">
              <w:rPr>
                <w:sz w:val="22"/>
                <w:szCs w:val="22"/>
              </w:rPr>
              <w:t>1764</w:t>
            </w:r>
          </w:p>
        </w:tc>
        <w:tc>
          <w:tcPr>
            <w:tcW w:w="1769" w:type="dxa"/>
            <w:vAlign w:val="center"/>
          </w:tcPr>
          <w:p w:rsidR="00660414" w:rsidRPr="008C5B1B" w:rsidRDefault="00660414" w:rsidP="007613DE">
            <w:pPr>
              <w:jc w:val="center"/>
              <w:rPr>
                <w:sz w:val="22"/>
                <w:szCs w:val="22"/>
              </w:rPr>
            </w:pPr>
            <w:r w:rsidRPr="008C5B1B">
              <w:rPr>
                <w:sz w:val="22"/>
                <w:szCs w:val="22"/>
              </w:rPr>
              <w:t>1623</w:t>
            </w:r>
          </w:p>
        </w:tc>
        <w:tc>
          <w:tcPr>
            <w:tcW w:w="1777" w:type="dxa"/>
            <w:vAlign w:val="center"/>
          </w:tcPr>
          <w:p w:rsidR="00660414" w:rsidRPr="008C5B1B" w:rsidRDefault="00660414" w:rsidP="007613DE">
            <w:pPr>
              <w:jc w:val="center"/>
              <w:rPr>
                <w:sz w:val="22"/>
                <w:szCs w:val="22"/>
              </w:rPr>
            </w:pPr>
            <w:r w:rsidRPr="008C5B1B">
              <w:rPr>
                <w:sz w:val="22"/>
                <w:szCs w:val="22"/>
              </w:rPr>
              <w:t>220</w:t>
            </w:r>
          </w:p>
        </w:tc>
        <w:tc>
          <w:tcPr>
            <w:tcW w:w="1984" w:type="dxa"/>
            <w:vAlign w:val="center"/>
          </w:tcPr>
          <w:p w:rsidR="00660414" w:rsidRPr="008C5B1B" w:rsidRDefault="00660414" w:rsidP="007613DE">
            <w:pPr>
              <w:jc w:val="center"/>
              <w:rPr>
                <w:sz w:val="22"/>
                <w:szCs w:val="22"/>
              </w:rPr>
            </w:pPr>
            <w:r w:rsidRPr="008C5B1B">
              <w:rPr>
                <w:sz w:val="22"/>
                <w:szCs w:val="22"/>
              </w:rPr>
              <w:t>604</w:t>
            </w:r>
          </w:p>
        </w:tc>
        <w:tc>
          <w:tcPr>
            <w:tcW w:w="1276" w:type="dxa"/>
            <w:vAlign w:val="center"/>
          </w:tcPr>
          <w:p w:rsidR="00660414" w:rsidRPr="008C5B1B" w:rsidRDefault="00660414" w:rsidP="007613DE">
            <w:pPr>
              <w:jc w:val="center"/>
              <w:rPr>
                <w:sz w:val="22"/>
                <w:szCs w:val="22"/>
              </w:rPr>
            </w:pPr>
            <w:r w:rsidRPr="008C5B1B">
              <w:rPr>
                <w:sz w:val="22"/>
                <w:szCs w:val="22"/>
              </w:rPr>
              <w:t>1398</w:t>
            </w:r>
          </w:p>
        </w:tc>
        <w:tc>
          <w:tcPr>
            <w:tcW w:w="1200" w:type="dxa"/>
            <w:vAlign w:val="center"/>
          </w:tcPr>
          <w:p w:rsidR="00660414" w:rsidRPr="008C5B1B" w:rsidRDefault="00660414" w:rsidP="007613DE">
            <w:pPr>
              <w:jc w:val="center"/>
              <w:rPr>
                <w:sz w:val="22"/>
                <w:szCs w:val="22"/>
              </w:rPr>
            </w:pPr>
            <w:r w:rsidRPr="008C5B1B">
              <w:rPr>
                <w:sz w:val="22"/>
                <w:szCs w:val="22"/>
              </w:rPr>
              <w:t>1154</w:t>
            </w:r>
          </w:p>
        </w:tc>
        <w:tc>
          <w:tcPr>
            <w:tcW w:w="820" w:type="dxa"/>
            <w:vAlign w:val="center"/>
          </w:tcPr>
          <w:p w:rsidR="00660414" w:rsidRPr="008C5B1B" w:rsidRDefault="00660414" w:rsidP="007613DE">
            <w:pPr>
              <w:jc w:val="center"/>
              <w:rPr>
                <w:sz w:val="22"/>
                <w:szCs w:val="22"/>
              </w:rPr>
            </w:pPr>
            <w:r w:rsidRPr="008C5B1B">
              <w:rPr>
                <w:sz w:val="22"/>
                <w:szCs w:val="22"/>
              </w:rPr>
              <w:t>1.06</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2015</w:t>
            </w:r>
          </w:p>
        </w:tc>
        <w:tc>
          <w:tcPr>
            <w:tcW w:w="836" w:type="dxa"/>
            <w:vAlign w:val="center"/>
          </w:tcPr>
          <w:p w:rsidR="00660414" w:rsidRPr="008C5B1B" w:rsidRDefault="00660414" w:rsidP="007613DE">
            <w:pPr>
              <w:jc w:val="center"/>
              <w:rPr>
                <w:sz w:val="22"/>
                <w:szCs w:val="22"/>
              </w:rPr>
            </w:pPr>
            <w:r w:rsidRPr="008C5B1B">
              <w:rPr>
                <w:sz w:val="22"/>
                <w:szCs w:val="22"/>
              </w:rPr>
              <w:t>2020</w:t>
            </w:r>
          </w:p>
        </w:tc>
        <w:tc>
          <w:tcPr>
            <w:tcW w:w="1769" w:type="dxa"/>
            <w:vAlign w:val="center"/>
          </w:tcPr>
          <w:p w:rsidR="00660414" w:rsidRPr="008C5B1B" w:rsidRDefault="00660414" w:rsidP="007613DE">
            <w:pPr>
              <w:jc w:val="center"/>
              <w:rPr>
                <w:sz w:val="22"/>
                <w:szCs w:val="22"/>
              </w:rPr>
            </w:pPr>
            <w:r w:rsidRPr="008C5B1B">
              <w:rPr>
                <w:sz w:val="22"/>
                <w:szCs w:val="22"/>
              </w:rPr>
              <w:t>1979</w:t>
            </w:r>
          </w:p>
        </w:tc>
        <w:tc>
          <w:tcPr>
            <w:tcW w:w="1777" w:type="dxa"/>
            <w:vAlign w:val="center"/>
          </w:tcPr>
          <w:p w:rsidR="00660414" w:rsidRPr="008C5B1B" w:rsidRDefault="00660414" w:rsidP="007613DE">
            <w:pPr>
              <w:jc w:val="center"/>
              <w:rPr>
                <w:sz w:val="22"/>
                <w:szCs w:val="22"/>
              </w:rPr>
            </w:pPr>
            <w:r w:rsidRPr="008C5B1B">
              <w:rPr>
                <w:sz w:val="22"/>
                <w:szCs w:val="22"/>
              </w:rPr>
              <w:t>220</w:t>
            </w:r>
          </w:p>
        </w:tc>
        <w:tc>
          <w:tcPr>
            <w:tcW w:w="1984" w:type="dxa"/>
            <w:vAlign w:val="center"/>
          </w:tcPr>
          <w:p w:rsidR="00660414" w:rsidRPr="008C5B1B" w:rsidRDefault="00660414" w:rsidP="007613DE">
            <w:pPr>
              <w:jc w:val="center"/>
              <w:rPr>
                <w:sz w:val="22"/>
                <w:szCs w:val="22"/>
              </w:rPr>
            </w:pPr>
            <w:r w:rsidRPr="008C5B1B">
              <w:rPr>
                <w:sz w:val="22"/>
                <w:szCs w:val="22"/>
              </w:rPr>
              <w:t>601</w:t>
            </w:r>
          </w:p>
        </w:tc>
        <w:tc>
          <w:tcPr>
            <w:tcW w:w="1276" w:type="dxa"/>
            <w:vAlign w:val="center"/>
          </w:tcPr>
          <w:p w:rsidR="00660414" w:rsidRPr="008C5B1B" w:rsidRDefault="00660414" w:rsidP="007613DE">
            <w:pPr>
              <w:jc w:val="center"/>
              <w:rPr>
                <w:sz w:val="22"/>
                <w:szCs w:val="22"/>
              </w:rPr>
            </w:pPr>
            <w:r w:rsidRPr="008C5B1B">
              <w:rPr>
                <w:sz w:val="22"/>
                <w:szCs w:val="22"/>
              </w:rPr>
              <w:t>1655</w:t>
            </w:r>
          </w:p>
        </w:tc>
        <w:tc>
          <w:tcPr>
            <w:tcW w:w="1200" w:type="dxa"/>
            <w:vAlign w:val="center"/>
          </w:tcPr>
          <w:p w:rsidR="00660414" w:rsidRPr="008C5B1B" w:rsidRDefault="00660414" w:rsidP="007613DE">
            <w:pPr>
              <w:jc w:val="center"/>
              <w:rPr>
                <w:sz w:val="22"/>
                <w:szCs w:val="22"/>
              </w:rPr>
            </w:pPr>
            <w:r w:rsidRPr="008C5B1B">
              <w:rPr>
                <w:sz w:val="22"/>
                <w:szCs w:val="22"/>
              </w:rPr>
              <w:t>1151</w:t>
            </w:r>
          </w:p>
        </w:tc>
        <w:tc>
          <w:tcPr>
            <w:tcW w:w="820" w:type="dxa"/>
            <w:vAlign w:val="center"/>
          </w:tcPr>
          <w:p w:rsidR="00660414" w:rsidRPr="008C5B1B" w:rsidRDefault="00660414" w:rsidP="007613DE">
            <w:pPr>
              <w:jc w:val="center"/>
              <w:rPr>
                <w:sz w:val="22"/>
                <w:szCs w:val="22"/>
              </w:rPr>
            </w:pPr>
            <w:r w:rsidRPr="008C5B1B">
              <w:rPr>
                <w:sz w:val="22"/>
                <w:szCs w:val="22"/>
              </w:rPr>
              <w:t>1.00</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C</w:t>
            </w:r>
          </w:p>
        </w:tc>
        <w:tc>
          <w:tcPr>
            <w:tcW w:w="835" w:type="dxa"/>
            <w:vAlign w:val="center"/>
          </w:tcPr>
          <w:p w:rsidR="00660414" w:rsidRPr="008C5B1B" w:rsidRDefault="00660414" w:rsidP="007613DE">
            <w:pPr>
              <w:jc w:val="center"/>
              <w:rPr>
                <w:sz w:val="22"/>
                <w:szCs w:val="22"/>
              </w:rPr>
            </w:pPr>
            <w:r w:rsidRPr="008C5B1B">
              <w:rPr>
                <w:sz w:val="22"/>
                <w:szCs w:val="22"/>
              </w:rPr>
              <w:t>3079</w:t>
            </w:r>
          </w:p>
        </w:tc>
        <w:tc>
          <w:tcPr>
            <w:tcW w:w="836" w:type="dxa"/>
            <w:vAlign w:val="center"/>
          </w:tcPr>
          <w:p w:rsidR="00660414" w:rsidRPr="008C5B1B" w:rsidRDefault="00660414" w:rsidP="007613DE">
            <w:pPr>
              <w:jc w:val="center"/>
              <w:rPr>
                <w:sz w:val="22"/>
                <w:szCs w:val="22"/>
              </w:rPr>
            </w:pPr>
            <w:r w:rsidRPr="008C5B1B">
              <w:rPr>
                <w:sz w:val="22"/>
                <w:szCs w:val="22"/>
              </w:rPr>
              <w:t>2745</w:t>
            </w:r>
          </w:p>
        </w:tc>
        <w:tc>
          <w:tcPr>
            <w:tcW w:w="1769" w:type="dxa"/>
            <w:vAlign w:val="center"/>
          </w:tcPr>
          <w:p w:rsidR="00660414" w:rsidRPr="008C5B1B" w:rsidRDefault="00660414" w:rsidP="007613DE">
            <w:pPr>
              <w:jc w:val="center"/>
              <w:rPr>
                <w:sz w:val="22"/>
                <w:szCs w:val="22"/>
              </w:rPr>
            </w:pPr>
            <w:r w:rsidRPr="008C5B1B">
              <w:rPr>
                <w:sz w:val="22"/>
                <w:szCs w:val="22"/>
              </w:rPr>
              <w:t>2187</w:t>
            </w:r>
          </w:p>
        </w:tc>
        <w:tc>
          <w:tcPr>
            <w:tcW w:w="1777" w:type="dxa"/>
            <w:vAlign w:val="center"/>
          </w:tcPr>
          <w:p w:rsidR="00660414" w:rsidRPr="008C5B1B" w:rsidRDefault="00660414" w:rsidP="007613DE">
            <w:pPr>
              <w:jc w:val="center"/>
              <w:rPr>
                <w:sz w:val="22"/>
                <w:szCs w:val="22"/>
              </w:rPr>
            </w:pPr>
            <w:r w:rsidRPr="008C5B1B">
              <w:rPr>
                <w:sz w:val="22"/>
                <w:szCs w:val="22"/>
              </w:rPr>
              <w:t>220</w:t>
            </w:r>
          </w:p>
        </w:tc>
        <w:tc>
          <w:tcPr>
            <w:tcW w:w="1984" w:type="dxa"/>
            <w:vAlign w:val="center"/>
          </w:tcPr>
          <w:p w:rsidR="00660414" w:rsidRPr="008C5B1B" w:rsidRDefault="00660414" w:rsidP="007613DE">
            <w:pPr>
              <w:jc w:val="center"/>
              <w:rPr>
                <w:sz w:val="22"/>
                <w:szCs w:val="22"/>
              </w:rPr>
            </w:pPr>
            <w:r w:rsidRPr="008C5B1B">
              <w:rPr>
                <w:sz w:val="22"/>
                <w:szCs w:val="22"/>
              </w:rPr>
              <w:t>672</w:t>
            </w:r>
          </w:p>
        </w:tc>
        <w:tc>
          <w:tcPr>
            <w:tcW w:w="1276" w:type="dxa"/>
            <w:vAlign w:val="center"/>
          </w:tcPr>
          <w:p w:rsidR="00660414" w:rsidRPr="008C5B1B" w:rsidRDefault="00660414" w:rsidP="007613DE">
            <w:pPr>
              <w:jc w:val="center"/>
              <w:rPr>
                <w:sz w:val="22"/>
                <w:szCs w:val="22"/>
              </w:rPr>
            </w:pPr>
            <w:r w:rsidRPr="008C5B1B">
              <w:rPr>
                <w:sz w:val="22"/>
                <w:szCs w:val="22"/>
              </w:rPr>
              <w:t>1480</w:t>
            </w:r>
          </w:p>
        </w:tc>
        <w:tc>
          <w:tcPr>
            <w:tcW w:w="1200" w:type="dxa"/>
            <w:vAlign w:val="center"/>
          </w:tcPr>
          <w:p w:rsidR="00660414" w:rsidRPr="008C5B1B" w:rsidRDefault="00660414" w:rsidP="007613DE">
            <w:pPr>
              <w:jc w:val="center"/>
              <w:rPr>
                <w:sz w:val="22"/>
                <w:szCs w:val="22"/>
              </w:rPr>
            </w:pPr>
            <w:r w:rsidRPr="008C5B1B">
              <w:rPr>
                <w:sz w:val="22"/>
                <w:szCs w:val="22"/>
              </w:rPr>
              <w:t>1265</w:t>
            </w:r>
          </w:p>
        </w:tc>
        <w:tc>
          <w:tcPr>
            <w:tcW w:w="820" w:type="dxa"/>
            <w:vAlign w:val="center"/>
          </w:tcPr>
          <w:p w:rsidR="00660414" w:rsidRPr="008C5B1B" w:rsidRDefault="00660414" w:rsidP="007613DE">
            <w:pPr>
              <w:jc w:val="center"/>
              <w:rPr>
                <w:sz w:val="22"/>
                <w:szCs w:val="22"/>
              </w:rPr>
            </w:pPr>
            <w:r w:rsidRPr="008C5B1B">
              <w:rPr>
                <w:sz w:val="22"/>
                <w:szCs w:val="22"/>
              </w:rPr>
              <w:t>0.89</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DS04</w:t>
            </w:r>
          </w:p>
        </w:tc>
        <w:tc>
          <w:tcPr>
            <w:tcW w:w="2898" w:type="dxa"/>
            <w:vMerge w:val="restart"/>
          </w:tcPr>
          <w:p w:rsidR="00660414" w:rsidRPr="008C5B1B" w:rsidRDefault="00660414" w:rsidP="007613DE">
            <w:pPr>
              <w:rPr>
                <w:sz w:val="22"/>
                <w:szCs w:val="22"/>
              </w:rPr>
            </w:pPr>
            <w:r>
              <w:rPr>
                <w:sz w:val="22"/>
                <w:szCs w:val="22"/>
              </w:rPr>
              <w:t>Bucharest to Galati / Iasi / Suceava</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113</w:t>
            </w:r>
          </w:p>
        </w:tc>
        <w:tc>
          <w:tcPr>
            <w:tcW w:w="836" w:type="dxa"/>
            <w:vAlign w:val="center"/>
          </w:tcPr>
          <w:p w:rsidR="00660414" w:rsidRPr="008C5B1B" w:rsidRDefault="00660414" w:rsidP="007613DE">
            <w:pPr>
              <w:jc w:val="center"/>
              <w:rPr>
                <w:sz w:val="22"/>
                <w:szCs w:val="22"/>
              </w:rPr>
            </w:pPr>
            <w:r w:rsidRPr="008C5B1B">
              <w:rPr>
                <w:sz w:val="22"/>
                <w:szCs w:val="22"/>
              </w:rPr>
              <w:t>410</w:t>
            </w:r>
          </w:p>
        </w:tc>
        <w:tc>
          <w:tcPr>
            <w:tcW w:w="1769" w:type="dxa"/>
            <w:vAlign w:val="center"/>
          </w:tcPr>
          <w:p w:rsidR="00660414" w:rsidRPr="008C5B1B" w:rsidRDefault="00660414" w:rsidP="007613DE">
            <w:pPr>
              <w:jc w:val="center"/>
              <w:rPr>
                <w:sz w:val="22"/>
                <w:szCs w:val="22"/>
              </w:rPr>
            </w:pPr>
            <w:r w:rsidRPr="008C5B1B">
              <w:rPr>
                <w:sz w:val="22"/>
                <w:szCs w:val="22"/>
              </w:rPr>
              <w:t>1</w:t>
            </w:r>
          </w:p>
        </w:tc>
        <w:tc>
          <w:tcPr>
            <w:tcW w:w="1777" w:type="dxa"/>
            <w:vAlign w:val="center"/>
          </w:tcPr>
          <w:p w:rsidR="00660414" w:rsidRPr="008C5B1B" w:rsidRDefault="00660414" w:rsidP="007613DE">
            <w:pPr>
              <w:jc w:val="center"/>
              <w:rPr>
                <w:sz w:val="22"/>
                <w:szCs w:val="22"/>
              </w:rPr>
            </w:pPr>
            <w:r w:rsidRPr="008C5B1B">
              <w:rPr>
                <w:sz w:val="22"/>
                <w:szCs w:val="22"/>
              </w:rPr>
              <w:t>104</w:t>
            </w:r>
          </w:p>
        </w:tc>
        <w:tc>
          <w:tcPr>
            <w:tcW w:w="1984" w:type="dxa"/>
            <w:vAlign w:val="center"/>
          </w:tcPr>
          <w:p w:rsidR="00660414" w:rsidRPr="008C5B1B" w:rsidRDefault="00660414" w:rsidP="007613DE">
            <w:pPr>
              <w:jc w:val="center"/>
              <w:rPr>
                <w:sz w:val="22"/>
                <w:szCs w:val="22"/>
              </w:rPr>
            </w:pPr>
            <w:r w:rsidRPr="008C5B1B">
              <w:rPr>
                <w:sz w:val="22"/>
                <w:szCs w:val="22"/>
              </w:rPr>
              <w:t>8</w:t>
            </w:r>
          </w:p>
        </w:tc>
        <w:tc>
          <w:tcPr>
            <w:tcW w:w="1276" w:type="dxa"/>
            <w:vAlign w:val="center"/>
          </w:tcPr>
          <w:p w:rsidR="00660414" w:rsidRPr="008C5B1B" w:rsidRDefault="00660414" w:rsidP="007613DE">
            <w:pPr>
              <w:jc w:val="center"/>
              <w:rPr>
                <w:sz w:val="22"/>
                <w:szCs w:val="22"/>
              </w:rPr>
            </w:pPr>
            <w:r w:rsidRPr="008C5B1B">
              <w:rPr>
                <w:sz w:val="22"/>
                <w:szCs w:val="22"/>
              </w:rPr>
              <w:t>320</w:t>
            </w:r>
          </w:p>
        </w:tc>
        <w:tc>
          <w:tcPr>
            <w:tcW w:w="1200" w:type="dxa"/>
            <w:vAlign w:val="center"/>
          </w:tcPr>
          <w:p w:rsidR="00660414" w:rsidRPr="008C5B1B" w:rsidRDefault="00660414" w:rsidP="007613DE">
            <w:pPr>
              <w:jc w:val="center"/>
              <w:rPr>
                <w:sz w:val="22"/>
                <w:szCs w:val="22"/>
              </w:rPr>
            </w:pPr>
            <w:r w:rsidRPr="008C5B1B">
              <w:rPr>
                <w:sz w:val="22"/>
                <w:szCs w:val="22"/>
              </w:rPr>
              <w:t>90</w:t>
            </w:r>
          </w:p>
        </w:tc>
        <w:tc>
          <w:tcPr>
            <w:tcW w:w="820" w:type="dxa"/>
            <w:vAlign w:val="center"/>
          </w:tcPr>
          <w:p w:rsidR="00660414" w:rsidRPr="008C5B1B" w:rsidRDefault="00660414" w:rsidP="007613DE">
            <w:pPr>
              <w:jc w:val="center"/>
              <w:rPr>
                <w:sz w:val="22"/>
                <w:szCs w:val="22"/>
              </w:rPr>
            </w:pPr>
            <w:r w:rsidRPr="008C5B1B">
              <w:rPr>
                <w:sz w:val="22"/>
                <w:szCs w:val="22"/>
              </w:rPr>
              <w:t>3.64</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2276</w:t>
            </w:r>
          </w:p>
        </w:tc>
        <w:tc>
          <w:tcPr>
            <w:tcW w:w="836" w:type="dxa"/>
            <w:vAlign w:val="center"/>
          </w:tcPr>
          <w:p w:rsidR="00660414" w:rsidRPr="008C5B1B" w:rsidRDefault="00660414" w:rsidP="007613DE">
            <w:pPr>
              <w:jc w:val="center"/>
              <w:rPr>
                <w:sz w:val="22"/>
                <w:szCs w:val="22"/>
              </w:rPr>
            </w:pPr>
            <w:r w:rsidRPr="008C5B1B">
              <w:rPr>
                <w:sz w:val="22"/>
                <w:szCs w:val="22"/>
              </w:rPr>
              <w:t>2805</w:t>
            </w:r>
          </w:p>
        </w:tc>
        <w:tc>
          <w:tcPr>
            <w:tcW w:w="1769" w:type="dxa"/>
            <w:vAlign w:val="center"/>
          </w:tcPr>
          <w:p w:rsidR="00660414" w:rsidRPr="008C5B1B" w:rsidRDefault="00660414" w:rsidP="007613DE">
            <w:pPr>
              <w:jc w:val="center"/>
              <w:rPr>
                <w:sz w:val="22"/>
                <w:szCs w:val="22"/>
              </w:rPr>
            </w:pPr>
            <w:r w:rsidRPr="008C5B1B">
              <w:rPr>
                <w:sz w:val="22"/>
                <w:szCs w:val="22"/>
              </w:rPr>
              <w:t>2213</w:t>
            </w:r>
          </w:p>
        </w:tc>
        <w:tc>
          <w:tcPr>
            <w:tcW w:w="1777" w:type="dxa"/>
            <w:vAlign w:val="center"/>
          </w:tcPr>
          <w:p w:rsidR="00660414" w:rsidRPr="008C5B1B" w:rsidRDefault="00660414" w:rsidP="007613DE">
            <w:pPr>
              <w:jc w:val="center"/>
              <w:rPr>
                <w:sz w:val="22"/>
                <w:szCs w:val="22"/>
              </w:rPr>
            </w:pPr>
            <w:r w:rsidRPr="008C5B1B">
              <w:rPr>
                <w:sz w:val="22"/>
                <w:szCs w:val="22"/>
              </w:rPr>
              <w:t>110</w:t>
            </w:r>
          </w:p>
        </w:tc>
        <w:tc>
          <w:tcPr>
            <w:tcW w:w="1984" w:type="dxa"/>
            <w:vAlign w:val="center"/>
          </w:tcPr>
          <w:p w:rsidR="00660414" w:rsidRPr="008C5B1B" w:rsidRDefault="00660414" w:rsidP="007613DE">
            <w:pPr>
              <w:jc w:val="center"/>
              <w:rPr>
                <w:sz w:val="22"/>
                <w:szCs w:val="22"/>
              </w:rPr>
            </w:pPr>
            <w:r w:rsidRPr="008C5B1B">
              <w:rPr>
                <w:sz w:val="22"/>
                <w:szCs w:val="22"/>
              </w:rPr>
              <w:t>297</w:t>
            </w:r>
          </w:p>
        </w:tc>
        <w:tc>
          <w:tcPr>
            <w:tcW w:w="1276" w:type="dxa"/>
            <w:vAlign w:val="center"/>
          </w:tcPr>
          <w:p w:rsidR="00660414" w:rsidRPr="008C5B1B" w:rsidRDefault="00660414" w:rsidP="007613DE">
            <w:pPr>
              <w:jc w:val="center"/>
              <w:rPr>
                <w:sz w:val="22"/>
                <w:szCs w:val="22"/>
              </w:rPr>
            </w:pPr>
            <w:r w:rsidRPr="008C5B1B">
              <w:rPr>
                <w:sz w:val="22"/>
                <w:szCs w:val="22"/>
              </w:rPr>
              <w:t>2189</w:t>
            </w:r>
          </w:p>
        </w:tc>
        <w:tc>
          <w:tcPr>
            <w:tcW w:w="1200" w:type="dxa"/>
            <w:vAlign w:val="center"/>
          </w:tcPr>
          <w:p w:rsidR="00660414" w:rsidRPr="008C5B1B" w:rsidRDefault="00660414" w:rsidP="007613DE">
            <w:pPr>
              <w:jc w:val="center"/>
              <w:rPr>
                <w:sz w:val="22"/>
                <w:szCs w:val="22"/>
              </w:rPr>
            </w:pPr>
            <w:r w:rsidRPr="008C5B1B">
              <w:rPr>
                <w:sz w:val="22"/>
                <w:szCs w:val="22"/>
              </w:rPr>
              <w:t>960</w:t>
            </w:r>
          </w:p>
        </w:tc>
        <w:tc>
          <w:tcPr>
            <w:tcW w:w="820" w:type="dxa"/>
            <w:vAlign w:val="center"/>
          </w:tcPr>
          <w:p w:rsidR="00660414" w:rsidRPr="008C5B1B" w:rsidRDefault="00660414" w:rsidP="007613DE">
            <w:pPr>
              <w:jc w:val="center"/>
              <w:rPr>
                <w:sz w:val="22"/>
                <w:szCs w:val="22"/>
              </w:rPr>
            </w:pPr>
            <w:r w:rsidRPr="008C5B1B">
              <w:rPr>
                <w:sz w:val="22"/>
                <w:szCs w:val="22"/>
              </w:rPr>
              <w:t>1.23</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DS05</w:t>
            </w:r>
          </w:p>
        </w:tc>
        <w:tc>
          <w:tcPr>
            <w:tcW w:w="2898" w:type="dxa"/>
            <w:vMerge w:val="restart"/>
          </w:tcPr>
          <w:p w:rsidR="00660414" w:rsidRPr="008C5B1B" w:rsidRDefault="00660414" w:rsidP="007613DE">
            <w:pPr>
              <w:rPr>
                <w:sz w:val="22"/>
                <w:szCs w:val="22"/>
              </w:rPr>
            </w:pPr>
            <w:r>
              <w:rPr>
                <w:sz w:val="22"/>
                <w:szCs w:val="22"/>
              </w:rPr>
              <w:t>Bucharest to Sibiu via Ramnicu Valcea</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84</w:t>
            </w:r>
          </w:p>
        </w:tc>
        <w:tc>
          <w:tcPr>
            <w:tcW w:w="836" w:type="dxa"/>
            <w:vAlign w:val="center"/>
          </w:tcPr>
          <w:p w:rsidR="00660414" w:rsidRPr="008C5B1B" w:rsidRDefault="00660414" w:rsidP="007613DE">
            <w:pPr>
              <w:jc w:val="center"/>
              <w:rPr>
                <w:sz w:val="22"/>
                <w:szCs w:val="22"/>
              </w:rPr>
            </w:pPr>
            <w:r w:rsidRPr="008C5B1B">
              <w:rPr>
                <w:sz w:val="22"/>
                <w:szCs w:val="22"/>
              </w:rPr>
              <w:t>-3</w:t>
            </w:r>
          </w:p>
        </w:tc>
        <w:tc>
          <w:tcPr>
            <w:tcW w:w="1769" w:type="dxa"/>
            <w:vAlign w:val="center"/>
          </w:tcPr>
          <w:p w:rsidR="00660414" w:rsidRPr="008C5B1B" w:rsidRDefault="00660414" w:rsidP="007613DE">
            <w:pPr>
              <w:jc w:val="center"/>
              <w:rPr>
                <w:sz w:val="22"/>
                <w:szCs w:val="22"/>
              </w:rPr>
            </w:pPr>
            <w:r w:rsidRPr="008C5B1B">
              <w:rPr>
                <w:sz w:val="22"/>
                <w:szCs w:val="22"/>
              </w:rPr>
              <w:t>12</w:t>
            </w:r>
          </w:p>
        </w:tc>
        <w:tc>
          <w:tcPr>
            <w:tcW w:w="1777" w:type="dxa"/>
            <w:vAlign w:val="center"/>
          </w:tcPr>
          <w:p w:rsidR="00660414" w:rsidRPr="008C5B1B" w:rsidRDefault="00660414" w:rsidP="007613DE">
            <w:pPr>
              <w:jc w:val="center"/>
              <w:rPr>
                <w:sz w:val="22"/>
                <w:szCs w:val="22"/>
              </w:rPr>
            </w:pPr>
            <w:r w:rsidRPr="008C5B1B">
              <w:rPr>
                <w:sz w:val="22"/>
                <w:szCs w:val="22"/>
              </w:rPr>
              <w:t>67</w:t>
            </w:r>
          </w:p>
        </w:tc>
        <w:tc>
          <w:tcPr>
            <w:tcW w:w="1984" w:type="dxa"/>
            <w:vAlign w:val="center"/>
          </w:tcPr>
          <w:p w:rsidR="00660414" w:rsidRPr="008C5B1B" w:rsidRDefault="00660414" w:rsidP="007613DE">
            <w:pPr>
              <w:jc w:val="center"/>
              <w:rPr>
                <w:sz w:val="22"/>
                <w:szCs w:val="22"/>
              </w:rPr>
            </w:pPr>
            <w:r w:rsidRPr="008C5B1B">
              <w:rPr>
                <w:sz w:val="22"/>
                <w:szCs w:val="22"/>
              </w:rPr>
              <w:t>5</w:t>
            </w:r>
          </w:p>
        </w:tc>
        <w:tc>
          <w:tcPr>
            <w:tcW w:w="1276" w:type="dxa"/>
            <w:vAlign w:val="center"/>
          </w:tcPr>
          <w:p w:rsidR="00660414" w:rsidRPr="008C5B1B" w:rsidRDefault="00660414" w:rsidP="007613DE">
            <w:pPr>
              <w:jc w:val="center"/>
              <w:rPr>
                <w:sz w:val="22"/>
                <w:szCs w:val="22"/>
              </w:rPr>
            </w:pPr>
            <w:r w:rsidRPr="008C5B1B">
              <w:rPr>
                <w:sz w:val="22"/>
                <w:szCs w:val="22"/>
              </w:rPr>
              <w:t>-12</w:t>
            </w:r>
          </w:p>
        </w:tc>
        <w:tc>
          <w:tcPr>
            <w:tcW w:w="1200" w:type="dxa"/>
            <w:vAlign w:val="center"/>
          </w:tcPr>
          <w:p w:rsidR="00660414" w:rsidRPr="008C5B1B" w:rsidRDefault="00660414" w:rsidP="007613DE">
            <w:pPr>
              <w:jc w:val="center"/>
              <w:rPr>
                <w:sz w:val="22"/>
                <w:szCs w:val="22"/>
              </w:rPr>
            </w:pPr>
            <w:r w:rsidRPr="008C5B1B">
              <w:rPr>
                <w:sz w:val="22"/>
                <w:szCs w:val="22"/>
              </w:rPr>
              <w:t>9</w:t>
            </w:r>
          </w:p>
        </w:tc>
        <w:tc>
          <w:tcPr>
            <w:tcW w:w="820" w:type="dxa"/>
            <w:vAlign w:val="center"/>
          </w:tcPr>
          <w:p w:rsidR="00660414" w:rsidRPr="008C5B1B" w:rsidRDefault="00660414" w:rsidP="007613DE">
            <w:pPr>
              <w:jc w:val="center"/>
              <w:rPr>
                <w:sz w:val="22"/>
                <w:szCs w:val="22"/>
              </w:rPr>
            </w:pPr>
            <w:r w:rsidRPr="008C5B1B">
              <w:rPr>
                <w:sz w:val="22"/>
                <w:szCs w:val="22"/>
              </w:rPr>
              <w:t>-</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613</w:t>
            </w:r>
          </w:p>
        </w:tc>
        <w:tc>
          <w:tcPr>
            <w:tcW w:w="836" w:type="dxa"/>
            <w:vAlign w:val="center"/>
          </w:tcPr>
          <w:p w:rsidR="00660414" w:rsidRPr="008C5B1B" w:rsidRDefault="00660414" w:rsidP="007613DE">
            <w:pPr>
              <w:jc w:val="center"/>
              <w:rPr>
                <w:sz w:val="22"/>
                <w:szCs w:val="22"/>
              </w:rPr>
            </w:pPr>
            <w:r w:rsidRPr="008C5B1B">
              <w:rPr>
                <w:sz w:val="22"/>
                <w:szCs w:val="22"/>
              </w:rPr>
              <w:t>8</w:t>
            </w:r>
          </w:p>
        </w:tc>
        <w:tc>
          <w:tcPr>
            <w:tcW w:w="1769" w:type="dxa"/>
            <w:vAlign w:val="center"/>
          </w:tcPr>
          <w:p w:rsidR="00660414" w:rsidRPr="008C5B1B" w:rsidRDefault="00660414" w:rsidP="007613DE">
            <w:pPr>
              <w:jc w:val="center"/>
              <w:rPr>
                <w:sz w:val="22"/>
                <w:szCs w:val="22"/>
              </w:rPr>
            </w:pPr>
            <w:r w:rsidRPr="008C5B1B">
              <w:rPr>
                <w:sz w:val="22"/>
                <w:szCs w:val="22"/>
              </w:rPr>
              <w:t>578</w:t>
            </w:r>
          </w:p>
        </w:tc>
        <w:tc>
          <w:tcPr>
            <w:tcW w:w="1777" w:type="dxa"/>
            <w:vAlign w:val="center"/>
          </w:tcPr>
          <w:p w:rsidR="00660414" w:rsidRPr="008C5B1B" w:rsidRDefault="00660414" w:rsidP="007613DE">
            <w:pPr>
              <w:jc w:val="center"/>
              <w:rPr>
                <w:sz w:val="22"/>
                <w:szCs w:val="22"/>
              </w:rPr>
            </w:pPr>
            <w:r w:rsidRPr="008C5B1B">
              <w:rPr>
                <w:sz w:val="22"/>
                <w:szCs w:val="22"/>
              </w:rPr>
              <w:t>161</w:t>
            </w:r>
          </w:p>
        </w:tc>
        <w:tc>
          <w:tcPr>
            <w:tcW w:w="1984" w:type="dxa"/>
            <w:vAlign w:val="center"/>
          </w:tcPr>
          <w:p w:rsidR="00660414" w:rsidRPr="008C5B1B" w:rsidRDefault="00660414" w:rsidP="007613DE">
            <w:pPr>
              <w:jc w:val="center"/>
              <w:rPr>
                <w:sz w:val="22"/>
                <w:szCs w:val="22"/>
              </w:rPr>
            </w:pPr>
            <w:r w:rsidRPr="008C5B1B">
              <w:rPr>
                <w:sz w:val="22"/>
                <w:szCs w:val="22"/>
              </w:rPr>
              <w:t>-94</w:t>
            </w:r>
          </w:p>
        </w:tc>
        <w:tc>
          <w:tcPr>
            <w:tcW w:w="1276" w:type="dxa"/>
            <w:vAlign w:val="center"/>
          </w:tcPr>
          <w:p w:rsidR="00660414" w:rsidRPr="008C5B1B" w:rsidRDefault="00660414" w:rsidP="007613DE">
            <w:pPr>
              <w:jc w:val="center"/>
              <w:rPr>
                <w:sz w:val="22"/>
                <w:szCs w:val="22"/>
              </w:rPr>
            </w:pPr>
            <w:r w:rsidRPr="008C5B1B">
              <w:rPr>
                <w:sz w:val="22"/>
                <w:szCs w:val="22"/>
              </w:rPr>
              <w:t>586</w:t>
            </w:r>
          </w:p>
        </w:tc>
        <w:tc>
          <w:tcPr>
            <w:tcW w:w="1200" w:type="dxa"/>
            <w:vAlign w:val="center"/>
          </w:tcPr>
          <w:p w:rsidR="00660414" w:rsidRPr="008C5B1B" w:rsidRDefault="00660414" w:rsidP="007613DE">
            <w:pPr>
              <w:jc w:val="center"/>
              <w:rPr>
                <w:sz w:val="22"/>
                <w:szCs w:val="22"/>
              </w:rPr>
            </w:pPr>
            <w:r w:rsidRPr="008C5B1B">
              <w:rPr>
                <w:sz w:val="22"/>
                <w:szCs w:val="22"/>
              </w:rPr>
              <w:t>-547</w:t>
            </w:r>
          </w:p>
        </w:tc>
        <w:tc>
          <w:tcPr>
            <w:tcW w:w="820" w:type="dxa"/>
            <w:vAlign w:val="center"/>
          </w:tcPr>
          <w:p w:rsidR="00660414" w:rsidRPr="008C5B1B" w:rsidRDefault="00660414" w:rsidP="007613DE">
            <w:pPr>
              <w:jc w:val="center"/>
              <w:rPr>
                <w:sz w:val="22"/>
                <w:szCs w:val="22"/>
              </w:rPr>
            </w:pPr>
            <w:r w:rsidRPr="008C5B1B">
              <w:rPr>
                <w:sz w:val="22"/>
                <w:szCs w:val="22"/>
              </w:rPr>
              <w:t>0.01</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1088</w:t>
            </w:r>
          </w:p>
        </w:tc>
        <w:tc>
          <w:tcPr>
            <w:tcW w:w="836" w:type="dxa"/>
            <w:vAlign w:val="center"/>
          </w:tcPr>
          <w:p w:rsidR="00660414" w:rsidRPr="008C5B1B" w:rsidRDefault="00660414" w:rsidP="007613DE">
            <w:pPr>
              <w:jc w:val="center"/>
              <w:rPr>
                <w:sz w:val="22"/>
                <w:szCs w:val="22"/>
              </w:rPr>
            </w:pPr>
            <w:r w:rsidRPr="008C5B1B">
              <w:rPr>
                <w:sz w:val="22"/>
                <w:szCs w:val="22"/>
              </w:rPr>
              <w:t>1746</w:t>
            </w:r>
          </w:p>
        </w:tc>
        <w:tc>
          <w:tcPr>
            <w:tcW w:w="1769" w:type="dxa"/>
            <w:vAlign w:val="center"/>
          </w:tcPr>
          <w:p w:rsidR="00660414" w:rsidRPr="008C5B1B" w:rsidRDefault="00660414" w:rsidP="007613DE">
            <w:pPr>
              <w:jc w:val="center"/>
              <w:rPr>
                <w:sz w:val="22"/>
                <w:szCs w:val="22"/>
              </w:rPr>
            </w:pPr>
            <w:r w:rsidRPr="008C5B1B">
              <w:rPr>
                <w:sz w:val="22"/>
                <w:szCs w:val="22"/>
              </w:rPr>
              <w:t>1052</w:t>
            </w:r>
          </w:p>
        </w:tc>
        <w:tc>
          <w:tcPr>
            <w:tcW w:w="1777" w:type="dxa"/>
            <w:vAlign w:val="center"/>
          </w:tcPr>
          <w:p w:rsidR="00660414" w:rsidRPr="008C5B1B" w:rsidRDefault="00660414" w:rsidP="007613DE">
            <w:pPr>
              <w:jc w:val="center"/>
              <w:rPr>
                <w:sz w:val="22"/>
                <w:szCs w:val="22"/>
              </w:rPr>
            </w:pPr>
            <w:r w:rsidRPr="008C5B1B">
              <w:rPr>
                <w:sz w:val="22"/>
                <w:szCs w:val="22"/>
              </w:rPr>
              <w:t>144</w:t>
            </w:r>
          </w:p>
        </w:tc>
        <w:tc>
          <w:tcPr>
            <w:tcW w:w="1984" w:type="dxa"/>
            <w:vAlign w:val="center"/>
          </w:tcPr>
          <w:p w:rsidR="00660414" w:rsidRPr="008C5B1B" w:rsidRDefault="00660414" w:rsidP="007613DE">
            <w:pPr>
              <w:jc w:val="center"/>
              <w:rPr>
                <w:sz w:val="22"/>
                <w:szCs w:val="22"/>
              </w:rPr>
            </w:pPr>
            <w:r w:rsidRPr="008C5B1B">
              <w:rPr>
                <w:sz w:val="22"/>
                <w:szCs w:val="22"/>
              </w:rPr>
              <w:t>-88</w:t>
            </w:r>
          </w:p>
        </w:tc>
        <w:tc>
          <w:tcPr>
            <w:tcW w:w="1276" w:type="dxa"/>
            <w:vAlign w:val="center"/>
          </w:tcPr>
          <w:p w:rsidR="00660414" w:rsidRPr="008C5B1B" w:rsidRDefault="00660414" w:rsidP="007613DE">
            <w:pPr>
              <w:jc w:val="center"/>
              <w:rPr>
                <w:sz w:val="22"/>
                <w:szCs w:val="22"/>
              </w:rPr>
            </w:pPr>
            <w:r w:rsidRPr="008C5B1B">
              <w:rPr>
                <w:sz w:val="22"/>
                <w:szCs w:val="22"/>
              </w:rPr>
              <w:t>646</w:t>
            </w:r>
          </w:p>
        </w:tc>
        <w:tc>
          <w:tcPr>
            <w:tcW w:w="1200" w:type="dxa"/>
            <w:vAlign w:val="center"/>
          </w:tcPr>
          <w:p w:rsidR="00660414" w:rsidRPr="008C5B1B" w:rsidRDefault="00660414" w:rsidP="007613DE">
            <w:pPr>
              <w:jc w:val="center"/>
              <w:rPr>
                <w:sz w:val="22"/>
                <w:szCs w:val="22"/>
              </w:rPr>
            </w:pPr>
            <w:r w:rsidRPr="008C5B1B">
              <w:rPr>
                <w:sz w:val="22"/>
                <w:szCs w:val="22"/>
              </w:rPr>
              <w:t>1121</w:t>
            </w:r>
          </w:p>
        </w:tc>
        <w:tc>
          <w:tcPr>
            <w:tcW w:w="820" w:type="dxa"/>
            <w:vAlign w:val="center"/>
          </w:tcPr>
          <w:p w:rsidR="00660414" w:rsidRPr="008C5B1B" w:rsidRDefault="00660414" w:rsidP="007613DE">
            <w:pPr>
              <w:jc w:val="center"/>
              <w:rPr>
                <w:sz w:val="22"/>
                <w:szCs w:val="22"/>
              </w:rPr>
            </w:pPr>
            <w:r w:rsidRPr="008C5B1B">
              <w:rPr>
                <w:sz w:val="22"/>
                <w:szCs w:val="22"/>
              </w:rPr>
              <w:t>1.61</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C</w:t>
            </w:r>
          </w:p>
        </w:tc>
        <w:tc>
          <w:tcPr>
            <w:tcW w:w="835" w:type="dxa"/>
            <w:vAlign w:val="center"/>
          </w:tcPr>
          <w:p w:rsidR="00660414" w:rsidRPr="008C5B1B" w:rsidRDefault="00660414" w:rsidP="007613DE">
            <w:pPr>
              <w:jc w:val="center"/>
              <w:rPr>
                <w:sz w:val="22"/>
                <w:szCs w:val="22"/>
              </w:rPr>
            </w:pPr>
            <w:r w:rsidRPr="008C5B1B">
              <w:rPr>
                <w:sz w:val="22"/>
                <w:szCs w:val="22"/>
              </w:rPr>
              <w:t>1275</w:t>
            </w:r>
          </w:p>
        </w:tc>
        <w:tc>
          <w:tcPr>
            <w:tcW w:w="836" w:type="dxa"/>
            <w:vAlign w:val="center"/>
          </w:tcPr>
          <w:p w:rsidR="00660414" w:rsidRPr="008C5B1B" w:rsidRDefault="00660414" w:rsidP="007613DE">
            <w:pPr>
              <w:jc w:val="center"/>
              <w:rPr>
                <w:sz w:val="22"/>
                <w:szCs w:val="22"/>
              </w:rPr>
            </w:pPr>
            <w:r w:rsidRPr="008C5B1B">
              <w:rPr>
                <w:sz w:val="22"/>
                <w:szCs w:val="22"/>
              </w:rPr>
              <w:t>1566</w:t>
            </w:r>
          </w:p>
        </w:tc>
        <w:tc>
          <w:tcPr>
            <w:tcW w:w="1769" w:type="dxa"/>
            <w:vAlign w:val="center"/>
          </w:tcPr>
          <w:p w:rsidR="00660414" w:rsidRPr="008C5B1B" w:rsidRDefault="00660414" w:rsidP="007613DE">
            <w:pPr>
              <w:jc w:val="center"/>
              <w:rPr>
                <w:sz w:val="22"/>
                <w:szCs w:val="22"/>
              </w:rPr>
            </w:pPr>
            <w:r w:rsidRPr="008C5B1B">
              <w:rPr>
                <w:sz w:val="22"/>
                <w:szCs w:val="22"/>
              </w:rPr>
              <w:t>1240</w:t>
            </w:r>
          </w:p>
        </w:tc>
        <w:tc>
          <w:tcPr>
            <w:tcW w:w="1777" w:type="dxa"/>
            <w:vAlign w:val="center"/>
          </w:tcPr>
          <w:p w:rsidR="00660414" w:rsidRPr="008C5B1B" w:rsidRDefault="00660414" w:rsidP="007613DE">
            <w:pPr>
              <w:jc w:val="center"/>
              <w:rPr>
                <w:sz w:val="22"/>
                <w:szCs w:val="22"/>
              </w:rPr>
            </w:pPr>
            <w:r w:rsidRPr="008C5B1B">
              <w:rPr>
                <w:sz w:val="22"/>
                <w:szCs w:val="22"/>
              </w:rPr>
              <w:t>169</w:t>
            </w:r>
          </w:p>
        </w:tc>
        <w:tc>
          <w:tcPr>
            <w:tcW w:w="1984" w:type="dxa"/>
            <w:vAlign w:val="center"/>
          </w:tcPr>
          <w:p w:rsidR="00660414" w:rsidRPr="008C5B1B" w:rsidRDefault="00660414" w:rsidP="007613DE">
            <w:pPr>
              <w:jc w:val="center"/>
              <w:rPr>
                <w:sz w:val="22"/>
                <w:szCs w:val="22"/>
              </w:rPr>
            </w:pPr>
            <w:r w:rsidRPr="008C5B1B">
              <w:rPr>
                <w:sz w:val="22"/>
                <w:szCs w:val="22"/>
              </w:rPr>
              <w:t>211</w:t>
            </w:r>
          </w:p>
        </w:tc>
        <w:tc>
          <w:tcPr>
            <w:tcW w:w="1276" w:type="dxa"/>
            <w:vAlign w:val="center"/>
          </w:tcPr>
          <w:p w:rsidR="00660414" w:rsidRPr="008C5B1B" w:rsidRDefault="00660414" w:rsidP="007613DE">
            <w:pPr>
              <w:jc w:val="center"/>
              <w:rPr>
                <w:sz w:val="22"/>
                <w:szCs w:val="22"/>
              </w:rPr>
            </w:pPr>
            <w:r w:rsidRPr="008C5B1B">
              <w:rPr>
                <w:sz w:val="22"/>
                <w:szCs w:val="22"/>
              </w:rPr>
              <w:t>711</w:t>
            </w:r>
          </w:p>
        </w:tc>
        <w:tc>
          <w:tcPr>
            <w:tcW w:w="1200" w:type="dxa"/>
            <w:vAlign w:val="center"/>
          </w:tcPr>
          <w:p w:rsidR="00660414" w:rsidRPr="008C5B1B" w:rsidRDefault="00660414" w:rsidP="007613DE">
            <w:pPr>
              <w:jc w:val="center"/>
              <w:rPr>
                <w:sz w:val="22"/>
                <w:szCs w:val="22"/>
              </w:rPr>
            </w:pPr>
            <w:r w:rsidRPr="008C5B1B">
              <w:rPr>
                <w:sz w:val="22"/>
                <w:szCs w:val="22"/>
              </w:rPr>
              <w:t>1200</w:t>
            </w:r>
          </w:p>
        </w:tc>
        <w:tc>
          <w:tcPr>
            <w:tcW w:w="820" w:type="dxa"/>
            <w:vAlign w:val="center"/>
          </w:tcPr>
          <w:p w:rsidR="00660414" w:rsidRPr="008C5B1B" w:rsidRDefault="00660414" w:rsidP="007613DE">
            <w:pPr>
              <w:jc w:val="center"/>
              <w:rPr>
                <w:sz w:val="22"/>
                <w:szCs w:val="22"/>
              </w:rPr>
            </w:pPr>
            <w:r w:rsidRPr="008C5B1B">
              <w:rPr>
                <w:sz w:val="22"/>
                <w:szCs w:val="22"/>
              </w:rPr>
              <w:t>1.23</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DS06</w:t>
            </w:r>
          </w:p>
        </w:tc>
        <w:tc>
          <w:tcPr>
            <w:tcW w:w="2898" w:type="dxa"/>
            <w:vMerge w:val="restart"/>
          </w:tcPr>
          <w:p w:rsidR="00660414" w:rsidRPr="008C5B1B" w:rsidRDefault="00660414" w:rsidP="007613DE">
            <w:pPr>
              <w:rPr>
                <w:sz w:val="22"/>
                <w:szCs w:val="22"/>
              </w:rPr>
            </w:pPr>
            <w:r>
              <w:rPr>
                <w:sz w:val="22"/>
                <w:szCs w:val="22"/>
              </w:rPr>
              <w:t>Cluj Napoca to Iasi</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-30</w:t>
            </w:r>
          </w:p>
        </w:tc>
        <w:tc>
          <w:tcPr>
            <w:tcW w:w="836" w:type="dxa"/>
            <w:vAlign w:val="center"/>
          </w:tcPr>
          <w:p w:rsidR="00660414" w:rsidRPr="008C5B1B" w:rsidRDefault="00660414" w:rsidP="007613DE">
            <w:pPr>
              <w:jc w:val="center"/>
              <w:rPr>
                <w:sz w:val="22"/>
                <w:szCs w:val="22"/>
              </w:rPr>
            </w:pPr>
            <w:r w:rsidRPr="008C5B1B">
              <w:rPr>
                <w:sz w:val="22"/>
                <w:szCs w:val="22"/>
              </w:rPr>
              <w:t>46</w:t>
            </w:r>
          </w:p>
        </w:tc>
        <w:tc>
          <w:tcPr>
            <w:tcW w:w="1769" w:type="dxa"/>
            <w:vAlign w:val="center"/>
          </w:tcPr>
          <w:p w:rsidR="00660414" w:rsidRPr="008C5B1B" w:rsidRDefault="00660414" w:rsidP="007613DE">
            <w:pPr>
              <w:jc w:val="center"/>
              <w:rPr>
                <w:sz w:val="22"/>
                <w:szCs w:val="22"/>
              </w:rPr>
            </w:pPr>
            <w:r w:rsidRPr="008C5B1B">
              <w:rPr>
                <w:sz w:val="22"/>
                <w:szCs w:val="22"/>
              </w:rPr>
              <w:t>2</w:t>
            </w:r>
          </w:p>
        </w:tc>
        <w:tc>
          <w:tcPr>
            <w:tcW w:w="1777" w:type="dxa"/>
            <w:vAlign w:val="center"/>
          </w:tcPr>
          <w:p w:rsidR="00660414" w:rsidRPr="008C5B1B" w:rsidRDefault="00660414" w:rsidP="007613DE">
            <w:pPr>
              <w:jc w:val="center"/>
              <w:rPr>
                <w:sz w:val="22"/>
                <w:szCs w:val="22"/>
              </w:rPr>
            </w:pPr>
            <w:r w:rsidRPr="008C5B1B">
              <w:rPr>
                <w:sz w:val="22"/>
                <w:szCs w:val="22"/>
              </w:rPr>
              <w:t>-35</w:t>
            </w:r>
          </w:p>
        </w:tc>
        <w:tc>
          <w:tcPr>
            <w:tcW w:w="1984" w:type="dxa"/>
            <w:vAlign w:val="center"/>
          </w:tcPr>
          <w:p w:rsidR="00660414" w:rsidRPr="008C5B1B" w:rsidRDefault="00660414" w:rsidP="007613DE">
            <w:pPr>
              <w:jc w:val="center"/>
              <w:rPr>
                <w:sz w:val="22"/>
                <w:szCs w:val="22"/>
              </w:rPr>
            </w:pPr>
            <w:r w:rsidRPr="008C5B1B">
              <w:rPr>
                <w:sz w:val="22"/>
                <w:szCs w:val="22"/>
              </w:rPr>
              <w:t>4</w:t>
            </w:r>
          </w:p>
        </w:tc>
        <w:tc>
          <w:tcPr>
            <w:tcW w:w="1276" w:type="dxa"/>
            <w:vAlign w:val="center"/>
          </w:tcPr>
          <w:p w:rsidR="00660414" w:rsidRPr="008C5B1B" w:rsidRDefault="00660414" w:rsidP="007613DE">
            <w:pPr>
              <w:jc w:val="center"/>
              <w:rPr>
                <w:sz w:val="22"/>
                <w:szCs w:val="22"/>
              </w:rPr>
            </w:pPr>
            <w:r w:rsidRPr="008C5B1B">
              <w:rPr>
                <w:sz w:val="22"/>
                <w:szCs w:val="22"/>
              </w:rPr>
              <w:t>37</w:t>
            </w:r>
          </w:p>
        </w:tc>
        <w:tc>
          <w:tcPr>
            <w:tcW w:w="1200" w:type="dxa"/>
            <w:vAlign w:val="center"/>
          </w:tcPr>
          <w:p w:rsidR="00660414" w:rsidRPr="008C5B1B" w:rsidRDefault="00660414" w:rsidP="007613DE">
            <w:pPr>
              <w:jc w:val="center"/>
              <w:rPr>
                <w:sz w:val="22"/>
                <w:szCs w:val="22"/>
              </w:rPr>
            </w:pPr>
            <w:r w:rsidRPr="008C5B1B">
              <w:rPr>
                <w:sz w:val="22"/>
                <w:szCs w:val="22"/>
              </w:rPr>
              <w:t>9</w:t>
            </w:r>
          </w:p>
        </w:tc>
        <w:tc>
          <w:tcPr>
            <w:tcW w:w="820" w:type="dxa"/>
            <w:vAlign w:val="center"/>
          </w:tcPr>
          <w:p w:rsidR="00660414" w:rsidRPr="008C5B1B" w:rsidRDefault="00660414" w:rsidP="007613DE">
            <w:pPr>
              <w:jc w:val="center"/>
              <w:rPr>
                <w:sz w:val="22"/>
                <w:szCs w:val="22"/>
              </w:rPr>
            </w:pPr>
            <w:r w:rsidRPr="008C5B1B">
              <w:rPr>
                <w:sz w:val="22"/>
                <w:szCs w:val="22"/>
              </w:rPr>
              <w:t>-</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1945</w:t>
            </w:r>
          </w:p>
        </w:tc>
        <w:tc>
          <w:tcPr>
            <w:tcW w:w="836" w:type="dxa"/>
            <w:vAlign w:val="center"/>
          </w:tcPr>
          <w:p w:rsidR="00660414" w:rsidRPr="008C5B1B" w:rsidRDefault="00660414" w:rsidP="007613DE">
            <w:pPr>
              <w:jc w:val="center"/>
              <w:rPr>
                <w:sz w:val="22"/>
                <w:szCs w:val="22"/>
              </w:rPr>
            </w:pPr>
            <w:r w:rsidRPr="008C5B1B">
              <w:rPr>
                <w:sz w:val="22"/>
                <w:szCs w:val="22"/>
              </w:rPr>
              <w:t>762</w:t>
            </w:r>
          </w:p>
        </w:tc>
        <w:tc>
          <w:tcPr>
            <w:tcW w:w="1769" w:type="dxa"/>
            <w:vAlign w:val="center"/>
          </w:tcPr>
          <w:p w:rsidR="00660414" w:rsidRPr="008C5B1B" w:rsidRDefault="00660414" w:rsidP="007613DE">
            <w:pPr>
              <w:jc w:val="center"/>
              <w:rPr>
                <w:sz w:val="22"/>
                <w:szCs w:val="22"/>
              </w:rPr>
            </w:pPr>
            <w:r w:rsidRPr="008C5B1B">
              <w:rPr>
                <w:sz w:val="22"/>
                <w:szCs w:val="22"/>
              </w:rPr>
              <w:t>1910</w:t>
            </w:r>
          </w:p>
        </w:tc>
        <w:tc>
          <w:tcPr>
            <w:tcW w:w="1777" w:type="dxa"/>
            <w:vAlign w:val="center"/>
          </w:tcPr>
          <w:p w:rsidR="00660414" w:rsidRPr="008C5B1B" w:rsidRDefault="00660414" w:rsidP="007613DE">
            <w:pPr>
              <w:jc w:val="center"/>
              <w:rPr>
                <w:sz w:val="22"/>
                <w:szCs w:val="22"/>
              </w:rPr>
            </w:pPr>
            <w:r w:rsidRPr="008C5B1B">
              <w:rPr>
                <w:sz w:val="22"/>
                <w:szCs w:val="22"/>
              </w:rPr>
              <w:t>-35</w:t>
            </w:r>
          </w:p>
        </w:tc>
        <w:tc>
          <w:tcPr>
            <w:tcW w:w="1984" w:type="dxa"/>
            <w:vAlign w:val="center"/>
          </w:tcPr>
          <w:p w:rsidR="00660414" w:rsidRPr="008C5B1B" w:rsidRDefault="00660414" w:rsidP="007613DE">
            <w:pPr>
              <w:jc w:val="center"/>
              <w:rPr>
                <w:sz w:val="22"/>
                <w:szCs w:val="22"/>
              </w:rPr>
            </w:pPr>
            <w:r w:rsidRPr="008C5B1B">
              <w:rPr>
                <w:sz w:val="22"/>
                <w:szCs w:val="22"/>
              </w:rPr>
              <w:t>137</w:t>
            </w:r>
          </w:p>
        </w:tc>
        <w:tc>
          <w:tcPr>
            <w:tcW w:w="1276" w:type="dxa"/>
            <w:vAlign w:val="center"/>
          </w:tcPr>
          <w:p w:rsidR="00660414" w:rsidRPr="008C5B1B" w:rsidRDefault="00660414" w:rsidP="007613DE">
            <w:pPr>
              <w:jc w:val="center"/>
              <w:rPr>
                <w:sz w:val="22"/>
                <w:szCs w:val="22"/>
              </w:rPr>
            </w:pPr>
            <w:r w:rsidRPr="008C5B1B">
              <w:rPr>
                <w:sz w:val="22"/>
                <w:szCs w:val="22"/>
              </w:rPr>
              <w:t>482</w:t>
            </w:r>
          </w:p>
        </w:tc>
        <w:tc>
          <w:tcPr>
            <w:tcW w:w="1200" w:type="dxa"/>
            <w:vAlign w:val="center"/>
          </w:tcPr>
          <w:p w:rsidR="00660414" w:rsidRPr="008C5B1B" w:rsidRDefault="00660414" w:rsidP="007613DE">
            <w:pPr>
              <w:jc w:val="center"/>
              <w:rPr>
                <w:sz w:val="22"/>
                <w:szCs w:val="22"/>
              </w:rPr>
            </w:pPr>
            <w:r w:rsidRPr="008C5B1B">
              <w:rPr>
                <w:sz w:val="22"/>
                <w:szCs w:val="22"/>
              </w:rPr>
              <w:t>346</w:t>
            </w:r>
          </w:p>
        </w:tc>
        <w:tc>
          <w:tcPr>
            <w:tcW w:w="820" w:type="dxa"/>
            <w:vAlign w:val="center"/>
          </w:tcPr>
          <w:p w:rsidR="00660414" w:rsidRPr="008C5B1B" w:rsidRDefault="00660414" w:rsidP="007613DE">
            <w:pPr>
              <w:jc w:val="center"/>
              <w:rPr>
                <w:sz w:val="22"/>
                <w:szCs w:val="22"/>
              </w:rPr>
            </w:pPr>
            <w:r w:rsidRPr="008C5B1B">
              <w:rPr>
                <w:sz w:val="22"/>
                <w:szCs w:val="22"/>
              </w:rPr>
              <w:t>0.39</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2687</w:t>
            </w:r>
          </w:p>
        </w:tc>
        <w:tc>
          <w:tcPr>
            <w:tcW w:w="836" w:type="dxa"/>
            <w:vAlign w:val="center"/>
          </w:tcPr>
          <w:p w:rsidR="00660414" w:rsidRPr="008C5B1B" w:rsidRDefault="00660414" w:rsidP="007613DE">
            <w:pPr>
              <w:jc w:val="center"/>
              <w:rPr>
                <w:sz w:val="22"/>
                <w:szCs w:val="22"/>
              </w:rPr>
            </w:pPr>
            <w:r w:rsidRPr="008C5B1B">
              <w:rPr>
                <w:sz w:val="22"/>
                <w:szCs w:val="22"/>
              </w:rPr>
              <w:t>947</w:t>
            </w:r>
          </w:p>
        </w:tc>
        <w:tc>
          <w:tcPr>
            <w:tcW w:w="1769" w:type="dxa"/>
            <w:vAlign w:val="center"/>
          </w:tcPr>
          <w:p w:rsidR="00660414" w:rsidRPr="008C5B1B" w:rsidRDefault="00660414" w:rsidP="007613DE">
            <w:pPr>
              <w:jc w:val="center"/>
              <w:rPr>
                <w:sz w:val="22"/>
                <w:szCs w:val="22"/>
              </w:rPr>
            </w:pPr>
            <w:r w:rsidRPr="008C5B1B">
              <w:rPr>
                <w:sz w:val="22"/>
                <w:szCs w:val="22"/>
              </w:rPr>
              <w:t>2634</w:t>
            </w:r>
          </w:p>
        </w:tc>
        <w:tc>
          <w:tcPr>
            <w:tcW w:w="1777" w:type="dxa"/>
            <w:vAlign w:val="center"/>
          </w:tcPr>
          <w:p w:rsidR="00660414" w:rsidRPr="008C5B1B" w:rsidRDefault="00660414" w:rsidP="007613DE">
            <w:pPr>
              <w:jc w:val="center"/>
              <w:rPr>
                <w:sz w:val="22"/>
                <w:szCs w:val="22"/>
              </w:rPr>
            </w:pPr>
            <w:r w:rsidRPr="008C5B1B">
              <w:rPr>
                <w:sz w:val="22"/>
                <w:szCs w:val="22"/>
              </w:rPr>
              <w:t>-18</w:t>
            </w:r>
          </w:p>
        </w:tc>
        <w:tc>
          <w:tcPr>
            <w:tcW w:w="1984" w:type="dxa"/>
            <w:vAlign w:val="center"/>
          </w:tcPr>
          <w:p w:rsidR="00660414" w:rsidRPr="008C5B1B" w:rsidRDefault="00660414" w:rsidP="007613DE">
            <w:pPr>
              <w:jc w:val="center"/>
              <w:rPr>
                <w:sz w:val="22"/>
                <w:szCs w:val="22"/>
              </w:rPr>
            </w:pPr>
            <w:r w:rsidRPr="008C5B1B">
              <w:rPr>
                <w:sz w:val="22"/>
                <w:szCs w:val="22"/>
              </w:rPr>
              <w:t>139</w:t>
            </w:r>
          </w:p>
        </w:tc>
        <w:tc>
          <w:tcPr>
            <w:tcW w:w="1276" w:type="dxa"/>
            <w:vAlign w:val="center"/>
          </w:tcPr>
          <w:p w:rsidR="00660414" w:rsidRPr="008C5B1B" w:rsidRDefault="00660414" w:rsidP="007613DE">
            <w:pPr>
              <w:jc w:val="center"/>
              <w:rPr>
                <w:sz w:val="22"/>
                <w:szCs w:val="22"/>
              </w:rPr>
            </w:pPr>
            <w:r w:rsidRPr="008C5B1B">
              <w:rPr>
                <w:sz w:val="22"/>
                <w:szCs w:val="22"/>
              </w:rPr>
              <w:t>668</w:t>
            </w:r>
          </w:p>
        </w:tc>
        <w:tc>
          <w:tcPr>
            <w:tcW w:w="1200" w:type="dxa"/>
            <w:vAlign w:val="center"/>
          </w:tcPr>
          <w:p w:rsidR="00660414" w:rsidRPr="008C5B1B" w:rsidRDefault="00660414" w:rsidP="007613DE">
            <w:pPr>
              <w:jc w:val="center"/>
              <w:rPr>
                <w:sz w:val="22"/>
                <w:szCs w:val="22"/>
              </w:rPr>
            </w:pPr>
            <w:r w:rsidRPr="008C5B1B">
              <w:rPr>
                <w:sz w:val="22"/>
                <w:szCs w:val="22"/>
              </w:rPr>
              <w:t>347</w:t>
            </w:r>
          </w:p>
        </w:tc>
        <w:tc>
          <w:tcPr>
            <w:tcW w:w="820" w:type="dxa"/>
            <w:vAlign w:val="center"/>
          </w:tcPr>
          <w:p w:rsidR="00660414" w:rsidRPr="008C5B1B" w:rsidRDefault="00660414" w:rsidP="007613DE">
            <w:pPr>
              <w:jc w:val="center"/>
              <w:rPr>
                <w:sz w:val="22"/>
                <w:szCs w:val="22"/>
              </w:rPr>
            </w:pPr>
            <w:r w:rsidRPr="008C5B1B">
              <w:rPr>
                <w:sz w:val="22"/>
                <w:szCs w:val="22"/>
              </w:rPr>
              <w:t>0.35</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DS07</w:t>
            </w:r>
          </w:p>
        </w:tc>
        <w:tc>
          <w:tcPr>
            <w:tcW w:w="2898" w:type="dxa"/>
            <w:vMerge w:val="restart"/>
          </w:tcPr>
          <w:p w:rsidR="00660414" w:rsidRPr="008C5B1B" w:rsidRDefault="00660414" w:rsidP="007613DE">
            <w:pPr>
              <w:rPr>
                <w:sz w:val="22"/>
                <w:szCs w:val="22"/>
              </w:rPr>
            </w:pPr>
            <w:r>
              <w:rPr>
                <w:sz w:val="22"/>
                <w:szCs w:val="22"/>
              </w:rPr>
              <w:t>Cluj Napoca to Oradea</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28</w:t>
            </w:r>
          </w:p>
        </w:tc>
        <w:tc>
          <w:tcPr>
            <w:tcW w:w="836" w:type="dxa"/>
            <w:vAlign w:val="center"/>
          </w:tcPr>
          <w:p w:rsidR="00660414" w:rsidRPr="008C5B1B" w:rsidRDefault="00660414" w:rsidP="007613DE">
            <w:pPr>
              <w:jc w:val="center"/>
              <w:rPr>
                <w:sz w:val="22"/>
                <w:szCs w:val="22"/>
              </w:rPr>
            </w:pPr>
            <w:r w:rsidRPr="008C5B1B">
              <w:rPr>
                <w:sz w:val="22"/>
                <w:szCs w:val="22"/>
              </w:rPr>
              <w:t>21</w:t>
            </w:r>
          </w:p>
        </w:tc>
        <w:tc>
          <w:tcPr>
            <w:tcW w:w="1769" w:type="dxa"/>
            <w:vAlign w:val="center"/>
          </w:tcPr>
          <w:p w:rsidR="00660414" w:rsidRPr="008C5B1B" w:rsidRDefault="00660414" w:rsidP="007613DE">
            <w:pPr>
              <w:jc w:val="center"/>
              <w:rPr>
                <w:sz w:val="22"/>
                <w:szCs w:val="22"/>
              </w:rPr>
            </w:pPr>
            <w:r w:rsidRPr="008C5B1B">
              <w:rPr>
                <w:sz w:val="22"/>
                <w:szCs w:val="22"/>
              </w:rPr>
              <w:t>1</w:t>
            </w:r>
          </w:p>
        </w:tc>
        <w:tc>
          <w:tcPr>
            <w:tcW w:w="1777" w:type="dxa"/>
            <w:vAlign w:val="center"/>
          </w:tcPr>
          <w:p w:rsidR="00660414" w:rsidRPr="008C5B1B" w:rsidRDefault="00660414" w:rsidP="007613DE">
            <w:pPr>
              <w:jc w:val="center"/>
              <w:rPr>
                <w:sz w:val="22"/>
                <w:szCs w:val="22"/>
              </w:rPr>
            </w:pPr>
            <w:r w:rsidRPr="008C5B1B">
              <w:rPr>
                <w:sz w:val="22"/>
                <w:szCs w:val="22"/>
              </w:rPr>
              <w:t>24</w:t>
            </w:r>
          </w:p>
        </w:tc>
        <w:tc>
          <w:tcPr>
            <w:tcW w:w="1984" w:type="dxa"/>
            <w:vAlign w:val="center"/>
          </w:tcPr>
          <w:p w:rsidR="00660414" w:rsidRPr="008C5B1B" w:rsidRDefault="00660414" w:rsidP="007613DE">
            <w:pPr>
              <w:jc w:val="center"/>
              <w:rPr>
                <w:sz w:val="22"/>
                <w:szCs w:val="22"/>
              </w:rPr>
            </w:pPr>
            <w:r w:rsidRPr="008C5B1B">
              <w:rPr>
                <w:sz w:val="22"/>
                <w:szCs w:val="22"/>
              </w:rPr>
              <w:t>4</w:t>
            </w:r>
          </w:p>
        </w:tc>
        <w:tc>
          <w:tcPr>
            <w:tcW w:w="1276" w:type="dxa"/>
            <w:vAlign w:val="center"/>
          </w:tcPr>
          <w:p w:rsidR="00660414" w:rsidRPr="008C5B1B" w:rsidRDefault="00660414" w:rsidP="007613DE">
            <w:pPr>
              <w:jc w:val="center"/>
              <w:rPr>
                <w:sz w:val="22"/>
                <w:szCs w:val="22"/>
              </w:rPr>
            </w:pPr>
            <w:r w:rsidRPr="008C5B1B">
              <w:rPr>
                <w:sz w:val="22"/>
                <w:szCs w:val="22"/>
              </w:rPr>
              <w:t>12</w:t>
            </w:r>
          </w:p>
        </w:tc>
        <w:tc>
          <w:tcPr>
            <w:tcW w:w="1200" w:type="dxa"/>
            <w:vAlign w:val="center"/>
          </w:tcPr>
          <w:p w:rsidR="00660414" w:rsidRPr="008C5B1B" w:rsidRDefault="00660414" w:rsidP="007613DE">
            <w:pPr>
              <w:jc w:val="center"/>
              <w:rPr>
                <w:sz w:val="22"/>
                <w:szCs w:val="22"/>
              </w:rPr>
            </w:pPr>
            <w:r w:rsidRPr="008C5B1B">
              <w:rPr>
                <w:sz w:val="22"/>
                <w:szCs w:val="22"/>
              </w:rPr>
              <w:t>9</w:t>
            </w:r>
          </w:p>
        </w:tc>
        <w:tc>
          <w:tcPr>
            <w:tcW w:w="820" w:type="dxa"/>
            <w:vAlign w:val="center"/>
          </w:tcPr>
          <w:p w:rsidR="00660414" w:rsidRPr="008C5B1B" w:rsidRDefault="00660414" w:rsidP="007613DE">
            <w:pPr>
              <w:jc w:val="center"/>
              <w:rPr>
                <w:sz w:val="22"/>
                <w:szCs w:val="22"/>
              </w:rPr>
            </w:pPr>
            <w:r w:rsidRPr="008C5B1B">
              <w:rPr>
                <w:sz w:val="22"/>
                <w:szCs w:val="22"/>
              </w:rPr>
              <w:t>0.73</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454</w:t>
            </w:r>
          </w:p>
        </w:tc>
        <w:tc>
          <w:tcPr>
            <w:tcW w:w="836" w:type="dxa"/>
            <w:vAlign w:val="center"/>
          </w:tcPr>
          <w:p w:rsidR="00660414" w:rsidRPr="008C5B1B" w:rsidRDefault="00660414" w:rsidP="007613DE">
            <w:pPr>
              <w:jc w:val="center"/>
              <w:rPr>
                <w:sz w:val="22"/>
                <w:szCs w:val="22"/>
              </w:rPr>
            </w:pPr>
            <w:r w:rsidRPr="008C5B1B">
              <w:rPr>
                <w:sz w:val="22"/>
                <w:szCs w:val="22"/>
              </w:rPr>
              <w:t>137</w:t>
            </w:r>
          </w:p>
        </w:tc>
        <w:tc>
          <w:tcPr>
            <w:tcW w:w="1769" w:type="dxa"/>
            <w:vAlign w:val="center"/>
          </w:tcPr>
          <w:p w:rsidR="00660414" w:rsidRPr="008C5B1B" w:rsidRDefault="00660414" w:rsidP="007613DE">
            <w:pPr>
              <w:jc w:val="center"/>
              <w:rPr>
                <w:sz w:val="22"/>
                <w:szCs w:val="22"/>
              </w:rPr>
            </w:pPr>
            <w:r w:rsidRPr="008C5B1B">
              <w:rPr>
                <w:sz w:val="22"/>
                <w:szCs w:val="22"/>
              </w:rPr>
              <w:t>444</w:t>
            </w:r>
          </w:p>
        </w:tc>
        <w:tc>
          <w:tcPr>
            <w:tcW w:w="1777" w:type="dxa"/>
            <w:vAlign w:val="center"/>
          </w:tcPr>
          <w:p w:rsidR="00660414" w:rsidRPr="008C5B1B" w:rsidRDefault="00660414" w:rsidP="007613DE">
            <w:pPr>
              <w:jc w:val="center"/>
              <w:rPr>
                <w:sz w:val="22"/>
                <w:szCs w:val="22"/>
              </w:rPr>
            </w:pPr>
            <w:r w:rsidRPr="008C5B1B">
              <w:rPr>
                <w:sz w:val="22"/>
                <w:szCs w:val="22"/>
              </w:rPr>
              <w:t>24</w:t>
            </w:r>
          </w:p>
        </w:tc>
        <w:tc>
          <w:tcPr>
            <w:tcW w:w="1984" w:type="dxa"/>
            <w:vAlign w:val="center"/>
          </w:tcPr>
          <w:p w:rsidR="00660414" w:rsidRPr="008C5B1B" w:rsidRDefault="00660414" w:rsidP="007613DE">
            <w:pPr>
              <w:jc w:val="center"/>
              <w:rPr>
                <w:sz w:val="22"/>
                <w:szCs w:val="22"/>
              </w:rPr>
            </w:pPr>
            <w:r w:rsidRPr="008C5B1B">
              <w:rPr>
                <w:sz w:val="22"/>
                <w:szCs w:val="22"/>
              </w:rPr>
              <w:t>63</w:t>
            </w:r>
          </w:p>
        </w:tc>
        <w:tc>
          <w:tcPr>
            <w:tcW w:w="1276" w:type="dxa"/>
            <w:vAlign w:val="center"/>
          </w:tcPr>
          <w:p w:rsidR="00660414" w:rsidRPr="008C5B1B" w:rsidRDefault="00660414" w:rsidP="007613DE">
            <w:pPr>
              <w:jc w:val="center"/>
              <w:rPr>
                <w:sz w:val="22"/>
                <w:szCs w:val="22"/>
              </w:rPr>
            </w:pPr>
            <w:r w:rsidRPr="008C5B1B">
              <w:rPr>
                <w:sz w:val="22"/>
                <w:szCs w:val="22"/>
              </w:rPr>
              <w:t>121</w:t>
            </w:r>
          </w:p>
        </w:tc>
        <w:tc>
          <w:tcPr>
            <w:tcW w:w="1200" w:type="dxa"/>
            <w:vAlign w:val="center"/>
          </w:tcPr>
          <w:p w:rsidR="00660414" w:rsidRPr="008C5B1B" w:rsidRDefault="00660414" w:rsidP="007613DE">
            <w:pPr>
              <w:jc w:val="center"/>
              <w:rPr>
                <w:sz w:val="22"/>
                <w:szCs w:val="22"/>
              </w:rPr>
            </w:pPr>
            <w:r w:rsidRPr="008C5B1B">
              <w:rPr>
                <w:sz w:val="22"/>
                <w:szCs w:val="22"/>
              </w:rPr>
              <w:t>93</w:t>
            </w:r>
          </w:p>
        </w:tc>
        <w:tc>
          <w:tcPr>
            <w:tcW w:w="820" w:type="dxa"/>
            <w:vAlign w:val="center"/>
          </w:tcPr>
          <w:p w:rsidR="00660414" w:rsidRPr="008C5B1B" w:rsidRDefault="00660414" w:rsidP="007613DE">
            <w:pPr>
              <w:jc w:val="center"/>
              <w:rPr>
                <w:sz w:val="22"/>
                <w:szCs w:val="22"/>
              </w:rPr>
            </w:pPr>
            <w:r w:rsidRPr="008C5B1B">
              <w:rPr>
                <w:sz w:val="22"/>
                <w:szCs w:val="22"/>
              </w:rPr>
              <w:t>0.30</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1215</w:t>
            </w:r>
          </w:p>
        </w:tc>
        <w:tc>
          <w:tcPr>
            <w:tcW w:w="836" w:type="dxa"/>
            <w:vAlign w:val="center"/>
          </w:tcPr>
          <w:p w:rsidR="00660414" w:rsidRPr="008C5B1B" w:rsidRDefault="00660414" w:rsidP="007613DE">
            <w:pPr>
              <w:jc w:val="center"/>
              <w:rPr>
                <w:sz w:val="22"/>
                <w:szCs w:val="22"/>
              </w:rPr>
            </w:pPr>
            <w:r w:rsidRPr="008C5B1B">
              <w:rPr>
                <w:sz w:val="22"/>
                <w:szCs w:val="22"/>
              </w:rPr>
              <w:t>475</w:t>
            </w:r>
          </w:p>
        </w:tc>
        <w:tc>
          <w:tcPr>
            <w:tcW w:w="1769" w:type="dxa"/>
            <w:vAlign w:val="center"/>
          </w:tcPr>
          <w:p w:rsidR="00660414" w:rsidRPr="008C5B1B" w:rsidRDefault="00660414" w:rsidP="007613DE">
            <w:pPr>
              <w:jc w:val="center"/>
              <w:rPr>
                <w:sz w:val="22"/>
                <w:szCs w:val="22"/>
              </w:rPr>
            </w:pPr>
            <w:r w:rsidRPr="008C5B1B">
              <w:rPr>
                <w:sz w:val="22"/>
                <w:szCs w:val="22"/>
              </w:rPr>
              <w:t>1200</w:t>
            </w:r>
          </w:p>
        </w:tc>
        <w:tc>
          <w:tcPr>
            <w:tcW w:w="1777" w:type="dxa"/>
            <w:vAlign w:val="center"/>
          </w:tcPr>
          <w:p w:rsidR="00660414" w:rsidRPr="008C5B1B" w:rsidRDefault="00660414" w:rsidP="007613DE">
            <w:pPr>
              <w:jc w:val="center"/>
              <w:rPr>
                <w:sz w:val="22"/>
                <w:szCs w:val="22"/>
              </w:rPr>
            </w:pPr>
            <w:r w:rsidRPr="008C5B1B">
              <w:rPr>
                <w:sz w:val="22"/>
                <w:szCs w:val="22"/>
              </w:rPr>
              <w:t>9</w:t>
            </w:r>
          </w:p>
        </w:tc>
        <w:tc>
          <w:tcPr>
            <w:tcW w:w="1984" w:type="dxa"/>
            <w:vAlign w:val="center"/>
          </w:tcPr>
          <w:p w:rsidR="00660414" w:rsidRPr="008C5B1B" w:rsidRDefault="00660414" w:rsidP="007613DE">
            <w:pPr>
              <w:jc w:val="center"/>
              <w:rPr>
                <w:sz w:val="22"/>
                <w:szCs w:val="22"/>
              </w:rPr>
            </w:pPr>
            <w:r w:rsidRPr="008C5B1B">
              <w:rPr>
                <w:sz w:val="22"/>
                <w:szCs w:val="22"/>
              </w:rPr>
              <w:t>63</w:t>
            </w:r>
          </w:p>
        </w:tc>
        <w:tc>
          <w:tcPr>
            <w:tcW w:w="1276" w:type="dxa"/>
            <w:vAlign w:val="center"/>
          </w:tcPr>
          <w:p w:rsidR="00660414" w:rsidRPr="008C5B1B" w:rsidRDefault="00660414" w:rsidP="007613DE">
            <w:pPr>
              <w:jc w:val="center"/>
              <w:rPr>
                <w:sz w:val="22"/>
                <w:szCs w:val="22"/>
              </w:rPr>
            </w:pPr>
            <w:r w:rsidRPr="008C5B1B">
              <w:rPr>
                <w:sz w:val="22"/>
                <w:szCs w:val="22"/>
              </w:rPr>
              <w:t>198</w:t>
            </w:r>
          </w:p>
        </w:tc>
        <w:tc>
          <w:tcPr>
            <w:tcW w:w="1200" w:type="dxa"/>
            <w:vAlign w:val="center"/>
          </w:tcPr>
          <w:p w:rsidR="00660414" w:rsidRPr="008C5B1B" w:rsidRDefault="00660414" w:rsidP="007613DE">
            <w:pPr>
              <w:jc w:val="center"/>
              <w:rPr>
                <w:sz w:val="22"/>
                <w:szCs w:val="22"/>
              </w:rPr>
            </w:pPr>
            <w:r w:rsidRPr="008C5B1B">
              <w:rPr>
                <w:sz w:val="22"/>
                <w:szCs w:val="22"/>
              </w:rPr>
              <w:t>334</w:t>
            </w:r>
          </w:p>
        </w:tc>
        <w:tc>
          <w:tcPr>
            <w:tcW w:w="820" w:type="dxa"/>
            <w:vAlign w:val="center"/>
          </w:tcPr>
          <w:p w:rsidR="00660414" w:rsidRPr="008C5B1B" w:rsidRDefault="00660414" w:rsidP="007613DE">
            <w:pPr>
              <w:jc w:val="center"/>
              <w:rPr>
                <w:sz w:val="22"/>
                <w:szCs w:val="22"/>
              </w:rPr>
            </w:pPr>
            <w:r w:rsidRPr="008C5B1B">
              <w:rPr>
                <w:sz w:val="22"/>
                <w:szCs w:val="22"/>
              </w:rPr>
              <w:t>0.39</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C</w:t>
            </w:r>
          </w:p>
        </w:tc>
        <w:tc>
          <w:tcPr>
            <w:tcW w:w="835" w:type="dxa"/>
            <w:vAlign w:val="center"/>
          </w:tcPr>
          <w:p w:rsidR="00660414" w:rsidRPr="008C5B1B" w:rsidRDefault="00660414" w:rsidP="007613DE">
            <w:pPr>
              <w:jc w:val="center"/>
              <w:rPr>
                <w:sz w:val="22"/>
                <w:szCs w:val="22"/>
              </w:rPr>
            </w:pPr>
            <w:r w:rsidRPr="008C5B1B">
              <w:rPr>
                <w:sz w:val="22"/>
                <w:szCs w:val="22"/>
              </w:rPr>
              <w:t>229</w:t>
            </w:r>
          </w:p>
        </w:tc>
        <w:tc>
          <w:tcPr>
            <w:tcW w:w="836" w:type="dxa"/>
            <w:vAlign w:val="center"/>
          </w:tcPr>
          <w:p w:rsidR="00660414" w:rsidRPr="008C5B1B" w:rsidRDefault="00660414" w:rsidP="007613DE">
            <w:pPr>
              <w:jc w:val="center"/>
              <w:rPr>
                <w:sz w:val="22"/>
                <w:szCs w:val="22"/>
              </w:rPr>
            </w:pPr>
            <w:r w:rsidRPr="008C5B1B">
              <w:rPr>
                <w:sz w:val="22"/>
                <w:szCs w:val="22"/>
              </w:rPr>
              <w:t>224</w:t>
            </w:r>
          </w:p>
        </w:tc>
        <w:tc>
          <w:tcPr>
            <w:tcW w:w="1769" w:type="dxa"/>
            <w:vAlign w:val="center"/>
          </w:tcPr>
          <w:p w:rsidR="00660414" w:rsidRPr="008C5B1B" w:rsidRDefault="00660414" w:rsidP="007613DE">
            <w:pPr>
              <w:jc w:val="center"/>
              <w:rPr>
                <w:sz w:val="22"/>
                <w:szCs w:val="22"/>
              </w:rPr>
            </w:pPr>
            <w:r w:rsidRPr="008C5B1B">
              <w:rPr>
                <w:sz w:val="22"/>
                <w:szCs w:val="22"/>
              </w:rPr>
              <w:t>229</w:t>
            </w:r>
          </w:p>
        </w:tc>
        <w:tc>
          <w:tcPr>
            <w:tcW w:w="1777" w:type="dxa"/>
            <w:vAlign w:val="center"/>
          </w:tcPr>
          <w:p w:rsidR="00660414" w:rsidRPr="008C5B1B" w:rsidRDefault="00660414" w:rsidP="007613DE">
            <w:pPr>
              <w:jc w:val="center"/>
              <w:rPr>
                <w:sz w:val="22"/>
                <w:szCs w:val="22"/>
              </w:rPr>
            </w:pPr>
            <w:r w:rsidRPr="008C5B1B">
              <w:rPr>
                <w:sz w:val="22"/>
                <w:szCs w:val="22"/>
              </w:rPr>
              <w:t>-14</w:t>
            </w:r>
          </w:p>
        </w:tc>
        <w:tc>
          <w:tcPr>
            <w:tcW w:w="1984" w:type="dxa"/>
            <w:vAlign w:val="center"/>
          </w:tcPr>
          <w:p w:rsidR="00660414" w:rsidRPr="008C5B1B" w:rsidRDefault="00660414" w:rsidP="007613DE">
            <w:pPr>
              <w:jc w:val="center"/>
              <w:rPr>
                <w:sz w:val="22"/>
                <w:szCs w:val="22"/>
              </w:rPr>
            </w:pPr>
            <w:r w:rsidRPr="008C5B1B">
              <w:rPr>
                <w:sz w:val="22"/>
                <w:szCs w:val="22"/>
              </w:rPr>
              <w:t>0</w:t>
            </w:r>
          </w:p>
        </w:tc>
        <w:tc>
          <w:tcPr>
            <w:tcW w:w="1276" w:type="dxa"/>
            <w:vAlign w:val="center"/>
          </w:tcPr>
          <w:p w:rsidR="00660414" w:rsidRPr="008C5B1B" w:rsidRDefault="00660414" w:rsidP="007613DE">
            <w:pPr>
              <w:jc w:val="center"/>
              <w:rPr>
                <w:sz w:val="22"/>
                <w:szCs w:val="22"/>
              </w:rPr>
            </w:pPr>
            <w:r w:rsidRPr="008C5B1B">
              <w:rPr>
                <w:sz w:val="22"/>
                <w:szCs w:val="22"/>
              </w:rPr>
              <w:t>37</w:t>
            </w:r>
          </w:p>
        </w:tc>
        <w:tc>
          <w:tcPr>
            <w:tcW w:w="1200" w:type="dxa"/>
            <w:vAlign w:val="center"/>
          </w:tcPr>
          <w:p w:rsidR="00660414" w:rsidRPr="008C5B1B" w:rsidRDefault="00660414" w:rsidP="007613DE">
            <w:pPr>
              <w:jc w:val="center"/>
              <w:rPr>
                <w:sz w:val="22"/>
                <w:szCs w:val="22"/>
              </w:rPr>
            </w:pPr>
            <w:r w:rsidRPr="008C5B1B">
              <w:rPr>
                <w:sz w:val="22"/>
                <w:szCs w:val="22"/>
              </w:rPr>
              <w:t>174</w:t>
            </w:r>
          </w:p>
        </w:tc>
        <w:tc>
          <w:tcPr>
            <w:tcW w:w="820" w:type="dxa"/>
            <w:vAlign w:val="center"/>
          </w:tcPr>
          <w:p w:rsidR="00660414" w:rsidRPr="008C5B1B" w:rsidRDefault="00660414" w:rsidP="007613DE">
            <w:pPr>
              <w:jc w:val="center"/>
              <w:rPr>
                <w:sz w:val="22"/>
                <w:szCs w:val="22"/>
              </w:rPr>
            </w:pPr>
            <w:r w:rsidRPr="008C5B1B">
              <w:rPr>
                <w:sz w:val="22"/>
                <w:szCs w:val="22"/>
              </w:rPr>
              <w:t>0.98</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DS08</w:t>
            </w:r>
          </w:p>
        </w:tc>
        <w:tc>
          <w:tcPr>
            <w:tcW w:w="2898" w:type="dxa"/>
            <w:vMerge w:val="restart"/>
          </w:tcPr>
          <w:p w:rsidR="00660414" w:rsidRPr="008C5B1B" w:rsidRDefault="00660414" w:rsidP="007613DE">
            <w:pPr>
              <w:rPr>
                <w:sz w:val="22"/>
                <w:szCs w:val="22"/>
              </w:rPr>
            </w:pPr>
            <w:r>
              <w:rPr>
                <w:sz w:val="22"/>
                <w:szCs w:val="22"/>
              </w:rPr>
              <w:t>Stamora Moravita to Oradea via Timisoara</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166</w:t>
            </w:r>
          </w:p>
        </w:tc>
        <w:tc>
          <w:tcPr>
            <w:tcW w:w="836" w:type="dxa"/>
            <w:vAlign w:val="center"/>
          </w:tcPr>
          <w:p w:rsidR="00660414" w:rsidRPr="008C5B1B" w:rsidRDefault="00660414" w:rsidP="007613DE">
            <w:pPr>
              <w:jc w:val="center"/>
              <w:rPr>
                <w:sz w:val="22"/>
                <w:szCs w:val="22"/>
              </w:rPr>
            </w:pPr>
            <w:r w:rsidRPr="008C5B1B">
              <w:rPr>
                <w:sz w:val="22"/>
                <w:szCs w:val="22"/>
              </w:rPr>
              <w:t>58</w:t>
            </w:r>
          </w:p>
        </w:tc>
        <w:tc>
          <w:tcPr>
            <w:tcW w:w="1769" w:type="dxa"/>
            <w:vAlign w:val="center"/>
          </w:tcPr>
          <w:p w:rsidR="00660414" w:rsidRPr="008C5B1B" w:rsidRDefault="00660414" w:rsidP="007613DE">
            <w:pPr>
              <w:jc w:val="center"/>
              <w:rPr>
                <w:sz w:val="22"/>
                <w:szCs w:val="22"/>
              </w:rPr>
            </w:pPr>
            <w:r w:rsidRPr="008C5B1B">
              <w:rPr>
                <w:sz w:val="22"/>
                <w:szCs w:val="22"/>
              </w:rPr>
              <w:t>0</w:t>
            </w:r>
          </w:p>
        </w:tc>
        <w:tc>
          <w:tcPr>
            <w:tcW w:w="1777" w:type="dxa"/>
            <w:vAlign w:val="center"/>
          </w:tcPr>
          <w:p w:rsidR="00660414" w:rsidRPr="008C5B1B" w:rsidRDefault="00660414" w:rsidP="007613DE">
            <w:pPr>
              <w:jc w:val="center"/>
              <w:rPr>
                <w:sz w:val="22"/>
                <w:szCs w:val="22"/>
              </w:rPr>
            </w:pPr>
            <w:r w:rsidRPr="008C5B1B">
              <w:rPr>
                <w:sz w:val="22"/>
                <w:szCs w:val="22"/>
              </w:rPr>
              <w:t>149</w:t>
            </w:r>
          </w:p>
        </w:tc>
        <w:tc>
          <w:tcPr>
            <w:tcW w:w="1984" w:type="dxa"/>
            <w:vAlign w:val="center"/>
          </w:tcPr>
          <w:p w:rsidR="00660414" w:rsidRPr="008C5B1B" w:rsidRDefault="00660414" w:rsidP="007613DE">
            <w:pPr>
              <w:jc w:val="center"/>
              <w:rPr>
                <w:sz w:val="22"/>
                <w:szCs w:val="22"/>
              </w:rPr>
            </w:pPr>
            <w:r w:rsidRPr="008C5B1B">
              <w:rPr>
                <w:sz w:val="22"/>
                <w:szCs w:val="22"/>
              </w:rPr>
              <w:t>17</w:t>
            </w:r>
          </w:p>
        </w:tc>
        <w:tc>
          <w:tcPr>
            <w:tcW w:w="1276" w:type="dxa"/>
            <w:vAlign w:val="center"/>
          </w:tcPr>
          <w:p w:rsidR="00660414" w:rsidRPr="008C5B1B" w:rsidRDefault="00660414" w:rsidP="007613DE">
            <w:pPr>
              <w:jc w:val="center"/>
              <w:rPr>
                <w:sz w:val="22"/>
                <w:szCs w:val="22"/>
              </w:rPr>
            </w:pPr>
            <w:r w:rsidRPr="008C5B1B">
              <w:rPr>
                <w:sz w:val="22"/>
                <w:szCs w:val="22"/>
              </w:rPr>
              <w:t>54</w:t>
            </w:r>
          </w:p>
        </w:tc>
        <w:tc>
          <w:tcPr>
            <w:tcW w:w="1200" w:type="dxa"/>
            <w:vAlign w:val="center"/>
          </w:tcPr>
          <w:p w:rsidR="00660414" w:rsidRPr="008C5B1B" w:rsidRDefault="00660414" w:rsidP="007613DE">
            <w:pPr>
              <w:jc w:val="center"/>
              <w:rPr>
                <w:sz w:val="22"/>
                <w:szCs w:val="22"/>
              </w:rPr>
            </w:pPr>
            <w:r w:rsidRPr="008C5B1B">
              <w:rPr>
                <w:sz w:val="22"/>
                <w:szCs w:val="22"/>
              </w:rPr>
              <w:t>4</w:t>
            </w:r>
          </w:p>
        </w:tc>
        <w:tc>
          <w:tcPr>
            <w:tcW w:w="820" w:type="dxa"/>
            <w:vAlign w:val="center"/>
          </w:tcPr>
          <w:p w:rsidR="00660414" w:rsidRPr="008C5B1B" w:rsidRDefault="00660414" w:rsidP="007613DE">
            <w:pPr>
              <w:jc w:val="center"/>
              <w:rPr>
                <w:sz w:val="22"/>
                <w:szCs w:val="22"/>
              </w:rPr>
            </w:pPr>
            <w:r w:rsidRPr="008C5B1B">
              <w:rPr>
                <w:sz w:val="22"/>
                <w:szCs w:val="22"/>
              </w:rPr>
              <w:t>0.35</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260</w:t>
            </w:r>
          </w:p>
        </w:tc>
        <w:tc>
          <w:tcPr>
            <w:tcW w:w="836" w:type="dxa"/>
            <w:vAlign w:val="center"/>
          </w:tcPr>
          <w:p w:rsidR="00660414" w:rsidRPr="008C5B1B" w:rsidRDefault="00660414" w:rsidP="007613DE">
            <w:pPr>
              <w:jc w:val="center"/>
              <w:rPr>
                <w:sz w:val="22"/>
                <w:szCs w:val="22"/>
              </w:rPr>
            </w:pPr>
            <w:r w:rsidRPr="008C5B1B">
              <w:rPr>
                <w:sz w:val="22"/>
                <w:szCs w:val="22"/>
              </w:rPr>
              <w:t>163</w:t>
            </w:r>
          </w:p>
        </w:tc>
        <w:tc>
          <w:tcPr>
            <w:tcW w:w="1769" w:type="dxa"/>
            <w:vAlign w:val="center"/>
          </w:tcPr>
          <w:p w:rsidR="00660414" w:rsidRPr="008C5B1B" w:rsidRDefault="00660414" w:rsidP="007613DE">
            <w:pPr>
              <w:jc w:val="center"/>
              <w:rPr>
                <w:sz w:val="22"/>
                <w:szCs w:val="22"/>
              </w:rPr>
            </w:pPr>
            <w:r w:rsidRPr="008C5B1B">
              <w:rPr>
                <w:sz w:val="22"/>
                <w:szCs w:val="22"/>
              </w:rPr>
              <w:t>235</w:t>
            </w:r>
          </w:p>
        </w:tc>
        <w:tc>
          <w:tcPr>
            <w:tcW w:w="1777" w:type="dxa"/>
            <w:vAlign w:val="center"/>
          </w:tcPr>
          <w:p w:rsidR="00660414" w:rsidRPr="008C5B1B" w:rsidRDefault="00660414" w:rsidP="007613DE">
            <w:pPr>
              <w:jc w:val="center"/>
              <w:rPr>
                <w:sz w:val="22"/>
                <w:szCs w:val="22"/>
              </w:rPr>
            </w:pPr>
            <w:r w:rsidRPr="008C5B1B">
              <w:rPr>
                <w:sz w:val="22"/>
                <w:szCs w:val="22"/>
              </w:rPr>
              <w:t>163</w:t>
            </w:r>
          </w:p>
        </w:tc>
        <w:tc>
          <w:tcPr>
            <w:tcW w:w="1984" w:type="dxa"/>
            <w:vAlign w:val="center"/>
          </w:tcPr>
          <w:p w:rsidR="00660414" w:rsidRPr="008C5B1B" w:rsidRDefault="00660414" w:rsidP="007613DE">
            <w:pPr>
              <w:jc w:val="center"/>
              <w:rPr>
                <w:sz w:val="22"/>
                <w:szCs w:val="22"/>
              </w:rPr>
            </w:pPr>
            <w:r w:rsidRPr="008C5B1B">
              <w:rPr>
                <w:sz w:val="22"/>
                <w:szCs w:val="22"/>
              </w:rPr>
              <w:t>49</w:t>
            </w:r>
          </w:p>
        </w:tc>
        <w:tc>
          <w:tcPr>
            <w:tcW w:w="1276" w:type="dxa"/>
            <w:vAlign w:val="center"/>
          </w:tcPr>
          <w:p w:rsidR="00660414" w:rsidRPr="008C5B1B" w:rsidRDefault="00660414" w:rsidP="007613DE">
            <w:pPr>
              <w:jc w:val="center"/>
              <w:rPr>
                <w:sz w:val="22"/>
                <w:szCs w:val="22"/>
              </w:rPr>
            </w:pPr>
            <w:r w:rsidRPr="008C5B1B">
              <w:rPr>
                <w:sz w:val="22"/>
                <w:szCs w:val="22"/>
              </w:rPr>
              <w:t>313</w:t>
            </w:r>
          </w:p>
        </w:tc>
        <w:tc>
          <w:tcPr>
            <w:tcW w:w="1200" w:type="dxa"/>
            <w:vAlign w:val="center"/>
          </w:tcPr>
          <w:p w:rsidR="00660414" w:rsidRPr="008C5B1B" w:rsidRDefault="00660414" w:rsidP="007613DE">
            <w:pPr>
              <w:jc w:val="center"/>
              <w:rPr>
                <w:sz w:val="22"/>
                <w:szCs w:val="22"/>
              </w:rPr>
            </w:pPr>
            <w:r w:rsidRPr="008C5B1B">
              <w:rPr>
                <w:sz w:val="22"/>
                <w:szCs w:val="22"/>
              </w:rPr>
              <w:t>37</w:t>
            </w:r>
          </w:p>
        </w:tc>
        <w:tc>
          <w:tcPr>
            <w:tcW w:w="820" w:type="dxa"/>
            <w:vAlign w:val="center"/>
          </w:tcPr>
          <w:p w:rsidR="00660414" w:rsidRPr="008C5B1B" w:rsidRDefault="00660414" w:rsidP="007613DE">
            <w:pPr>
              <w:jc w:val="center"/>
              <w:rPr>
                <w:sz w:val="22"/>
                <w:szCs w:val="22"/>
              </w:rPr>
            </w:pPr>
            <w:r w:rsidRPr="008C5B1B">
              <w:rPr>
                <w:sz w:val="22"/>
                <w:szCs w:val="22"/>
              </w:rPr>
              <w:t>0.63</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393</w:t>
            </w:r>
          </w:p>
        </w:tc>
        <w:tc>
          <w:tcPr>
            <w:tcW w:w="836" w:type="dxa"/>
            <w:vAlign w:val="center"/>
          </w:tcPr>
          <w:p w:rsidR="00660414" w:rsidRPr="008C5B1B" w:rsidRDefault="00660414" w:rsidP="007613DE">
            <w:pPr>
              <w:jc w:val="center"/>
              <w:rPr>
                <w:sz w:val="22"/>
                <w:szCs w:val="22"/>
              </w:rPr>
            </w:pPr>
            <w:r w:rsidRPr="008C5B1B">
              <w:rPr>
                <w:sz w:val="22"/>
                <w:szCs w:val="22"/>
              </w:rPr>
              <w:t>180</w:t>
            </w:r>
          </w:p>
        </w:tc>
        <w:tc>
          <w:tcPr>
            <w:tcW w:w="1769" w:type="dxa"/>
            <w:vAlign w:val="center"/>
          </w:tcPr>
          <w:p w:rsidR="00660414" w:rsidRPr="008C5B1B" w:rsidRDefault="00660414" w:rsidP="007613DE">
            <w:pPr>
              <w:jc w:val="center"/>
              <w:rPr>
                <w:sz w:val="22"/>
                <w:szCs w:val="22"/>
              </w:rPr>
            </w:pPr>
            <w:r w:rsidRPr="008C5B1B">
              <w:rPr>
                <w:sz w:val="22"/>
                <w:szCs w:val="22"/>
              </w:rPr>
              <w:t>367</w:t>
            </w:r>
          </w:p>
        </w:tc>
        <w:tc>
          <w:tcPr>
            <w:tcW w:w="1777" w:type="dxa"/>
            <w:vAlign w:val="center"/>
          </w:tcPr>
          <w:p w:rsidR="00660414" w:rsidRPr="008C5B1B" w:rsidRDefault="00660414" w:rsidP="007613DE">
            <w:pPr>
              <w:jc w:val="center"/>
              <w:rPr>
                <w:sz w:val="22"/>
                <w:szCs w:val="22"/>
              </w:rPr>
            </w:pPr>
            <w:r w:rsidRPr="008C5B1B">
              <w:rPr>
                <w:sz w:val="22"/>
                <w:szCs w:val="22"/>
              </w:rPr>
              <w:t>163</w:t>
            </w:r>
          </w:p>
        </w:tc>
        <w:tc>
          <w:tcPr>
            <w:tcW w:w="1984" w:type="dxa"/>
            <w:vAlign w:val="center"/>
          </w:tcPr>
          <w:p w:rsidR="00660414" w:rsidRPr="008C5B1B" w:rsidRDefault="00660414" w:rsidP="007613DE">
            <w:pPr>
              <w:jc w:val="center"/>
              <w:rPr>
                <w:sz w:val="22"/>
                <w:szCs w:val="22"/>
              </w:rPr>
            </w:pPr>
            <w:r w:rsidRPr="008C5B1B">
              <w:rPr>
                <w:sz w:val="22"/>
                <w:szCs w:val="22"/>
              </w:rPr>
              <w:t>62</w:t>
            </w:r>
          </w:p>
        </w:tc>
        <w:tc>
          <w:tcPr>
            <w:tcW w:w="1276" w:type="dxa"/>
            <w:vAlign w:val="center"/>
          </w:tcPr>
          <w:p w:rsidR="00660414" w:rsidRPr="008C5B1B" w:rsidRDefault="00660414" w:rsidP="007613DE">
            <w:pPr>
              <w:jc w:val="center"/>
              <w:rPr>
                <w:sz w:val="22"/>
                <w:szCs w:val="22"/>
              </w:rPr>
            </w:pPr>
            <w:r w:rsidRPr="008C5B1B">
              <w:rPr>
                <w:sz w:val="22"/>
                <w:szCs w:val="22"/>
              </w:rPr>
              <w:t>297</w:t>
            </w:r>
          </w:p>
        </w:tc>
        <w:tc>
          <w:tcPr>
            <w:tcW w:w="1200" w:type="dxa"/>
            <w:vAlign w:val="center"/>
          </w:tcPr>
          <w:p w:rsidR="00660414" w:rsidRPr="008C5B1B" w:rsidRDefault="00660414" w:rsidP="007613DE">
            <w:pPr>
              <w:jc w:val="center"/>
              <w:rPr>
                <w:sz w:val="22"/>
                <w:szCs w:val="22"/>
              </w:rPr>
            </w:pPr>
            <w:r w:rsidRPr="008C5B1B">
              <w:rPr>
                <w:sz w:val="22"/>
                <w:szCs w:val="22"/>
              </w:rPr>
              <w:t>83</w:t>
            </w:r>
          </w:p>
        </w:tc>
        <w:tc>
          <w:tcPr>
            <w:tcW w:w="820" w:type="dxa"/>
            <w:vAlign w:val="center"/>
          </w:tcPr>
          <w:p w:rsidR="00660414" w:rsidRPr="008C5B1B" w:rsidRDefault="00660414" w:rsidP="007613DE">
            <w:pPr>
              <w:jc w:val="center"/>
              <w:rPr>
                <w:sz w:val="22"/>
                <w:szCs w:val="22"/>
              </w:rPr>
            </w:pPr>
            <w:r w:rsidRPr="008C5B1B">
              <w:rPr>
                <w:sz w:val="22"/>
                <w:szCs w:val="22"/>
              </w:rPr>
              <w:t>0.46</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DS09</w:t>
            </w:r>
          </w:p>
        </w:tc>
        <w:tc>
          <w:tcPr>
            <w:tcW w:w="2898" w:type="dxa"/>
            <w:vMerge w:val="restart"/>
          </w:tcPr>
          <w:p w:rsidR="00660414" w:rsidRPr="008C5B1B" w:rsidRDefault="00660414" w:rsidP="007613DE">
            <w:pPr>
              <w:rPr>
                <w:sz w:val="22"/>
                <w:szCs w:val="22"/>
              </w:rPr>
            </w:pPr>
            <w:r>
              <w:rPr>
                <w:sz w:val="22"/>
                <w:szCs w:val="22"/>
              </w:rPr>
              <w:t>Oradea to Cluj via Baia Mare and Satu Mare</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117</w:t>
            </w:r>
          </w:p>
        </w:tc>
        <w:tc>
          <w:tcPr>
            <w:tcW w:w="836" w:type="dxa"/>
            <w:vAlign w:val="center"/>
          </w:tcPr>
          <w:p w:rsidR="00660414" w:rsidRPr="008C5B1B" w:rsidRDefault="00660414" w:rsidP="007613DE">
            <w:pPr>
              <w:jc w:val="center"/>
              <w:rPr>
                <w:sz w:val="22"/>
                <w:szCs w:val="22"/>
              </w:rPr>
            </w:pPr>
            <w:r w:rsidRPr="008C5B1B">
              <w:rPr>
                <w:sz w:val="22"/>
                <w:szCs w:val="22"/>
              </w:rPr>
              <w:t>15</w:t>
            </w:r>
          </w:p>
        </w:tc>
        <w:tc>
          <w:tcPr>
            <w:tcW w:w="1769" w:type="dxa"/>
            <w:vAlign w:val="center"/>
          </w:tcPr>
          <w:p w:rsidR="00660414" w:rsidRPr="008C5B1B" w:rsidRDefault="00660414" w:rsidP="007613DE">
            <w:pPr>
              <w:jc w:val="center"/>
              <w:rPr>
                <w:sz w:val="22"/>
                <w:szCs w:val="22"/>
              </w:rPr>
            </w:pPr>
            <w:r w:rsidRPr="008C5B1B">
              <w:rPr>
                <w:sz w:val="22"/>
                <w:szCs w:val="22"/>
              </w:rPr>
              <w:t>4</w:t>
            </w:r>
          </w:p>
        </w:tc>
        <w:tc>
          <w:tcPr>
            <w:tcW w:w="1777" w:type="dxa"/>
            <w:vAlign w:val="center"/>
          </w:tcPr>
          <w:p w:rsidR="00660414" w:rsidRPr="008C5B1B" w:rsidRDefault="00660414" w:rsidP="007613DE">
            <w:pPr>
              <w:jc w:val="center"/>
              <w:rPr>
                <w:sz w:val="22"/>
                <w:szCs w:val="22"/>
              </w:rPr>
            </w:pPr>
            <w:r w:rsidRPr="008C5B1B">
              <w:rPr>
                <w:sz w:val="22"/>
                <w:szCs w:val="22"/>
              </w:rPr>
              <w:t>110</w:t>
            </w:r>
          </w:p>
        </w:tc>
        <w:tc>
          <w:tcPr>
            <w:tcW w:w="1984" w:type="dxa"/>
            <w:vAlign w:val="center"/>
          </w:tcPr>
          <w:p w:rsidR="00660414" w:rsidRPr="008C5B1B" w:rsidRDefault="00660414" w:rsidP="007613DE">
            <w:pPr>
              <w:jc w:val="center"/>
              <w:rPr>
                <w:sz w:val="22"/>
                <w:szCs w:val="22"/>
              </w:rPr>
            </w:pPr>
            <w:r w:rsidRPr="008C5B1B">
              <w:rPr>
                <w:sz w:val="22"/>
                <w:szCs w:val="22"/>
              </w:rPr>
              <w:t>3</w:t>
            </w:r>
          </w:p>
        </w:tc>
        <w:tc>
          <w:tcPr>
            <w:tcW w:w="1276" w:type="dxa"/>
            <w:vAlign w:val="center"/>
          </w:tcPr>
          <w:p w:rsidR="00660414" w:rsidRPr="008C5B1B" w:rsidRDefault="00660414" w:rsidP="007613DE">
            <w:pPr>
              <w:jc w:val="center"/>
              <w:rPr>
                <w:sz w:val="22"/>
                <w:szCs w:val="22"/>
              </w:rPr>
            </w:pPr>
            <w:r w:rsidRPr="008C5B1B">
              <w:rPr>
                <w:sz w:val="22"/>
                <w:szCs w:val="22"/>
              </w:rPr>
              <w:t>13</w:t>
            </w:r>
          </w:p>
        </w:tc>
        <w:tc>
          <w:tcPr>
            <w:tcW w:w="1200" w:type="dxa"/>
            <w:vAlign w:val="center"/>
          </w:tcPr>
          <w:p w:rsidR="00660414" w:rsidRPr="008C5B1B" w:rsidRDefault="00660414" w:rsidP="007613DE">
            <w:pPr>
              <w:jc w:val="center"/>
              <w:rPr>
                <w:sz w:val="22"/>
                <w:szCs w:val="22"/>
              </w:rPr>
            </w:pPr>
            <w:r w:rsidRPr="008C5B1B">
              <w:rPr>
                <w:sz w:val="22"/>
                <w:szCs w:val="22"/>
              </w:rPr>
              <w:t>1</w:t>
            </w:r>
          </w:p>
        </w:tc>
        <w:tc>
          <w:tcPr>
            <w:tcW w:w="820" w:type="dxa"/>
            <w:vAlign w:val="center"/>
          </w:tcPr>
          <w:p w:rsidR="00660414" w:rsidRPr="008C5B1B" w:rsidRDefault="00660414" w:rsidP="007613DE">
            <w:pPr>
              <w:jc w:val="center"/>
              <w:rPr>
                <w:sz w:val="22"/>
                <w:szCs w:val="22"/>
              </w:rPr>
            </w:pPr>
            <w:r w:rsidRPr="008C5B1B">
              <w:rPr>
                <w:sz w:val="22"/>
                <w:szCs w:val="22"/>
              </w:rPr>
              <w:t>0.12</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845</w:t>
            </w:r>
          </w:p>
        </w:tc>
        <w:tc>
          <w:tcPr>
            <w:tcW w:w="836" w:type="dxa"/>
            <w:vAlign w:val="center"/>
          </w:tcPr>
          <w:p w:rsidR="00660414" w:rsidRPr="008C5B1B" w:rsidRDefault="00660414" w:rsidP="007613DE">
            <w:pPr>
              <w:jc w:val="center"/>
              <w:rPr>
                <w:sz w:val="22"/>
                <w:szCs w:val="22"/>
              </w:rPr>
            </w:pPr>
            <w:r w:rsidRPr="008C5B1B">
              <w:rPr>
                <w:sz w:val="22"/>
                <w:szCs w:val="22"/>
              </w:rPr>
              <w:t>212</w:t>
            </w:r>
          </w:p>
        </w:tc>
        <w:tc>
          <w:tcPr>
            <w:tcW w:w="1769" w:type="dxa"/>
            <w:vAlign w:val="center"/>
          </w:tcPr>
          <w:p w:rsidR="00660414" w:rsidRPr="008C5B1B" w:rsidRDefault="00660414" w:rsidP="007613DE">
            <w:pPr>
              <w:jc w:val="center"/>
              <w:rPr>
                <w:sz w:val="22"/>
                <w:szCs w:val="22"/>
              </w:rPr>
            </w:pPr>
            <w:r w:rsidRPr="008C5B1B">
              <w:rPr>
                <w:sz w:val="22"/>
                <w:szCs w:val="22"/>
              </w:rPr>
              <w:t>822</w:t>
            </w:r>
          </w:p>
        </w:tc>
        <w:tc>
          <w:tcPr>
            <w:tcW w:w="1777" w:type="dxa"/>
            <w:vAlign w:val="center"/>
          </w:tcPr>
          <w:p w:rsidR="00660414" w:rsidRPr="008C5B1B" w:rsidRDefault="00660414" w:rsidP="007613DE">
            <w:pPr>
              <w:jc w:val="center"/>
              <w:rPr>
                <w:sz w:val="22"/>
                <w:szCs w:val="22"/>
              </w:rPr>
            </w:pPr>
            <w:r w:rsidRPr="008C5B1B">
              <w:rPr>
                <w:sz w:val="22"/>
                <w:szCs w:val="22"/>
              </w:rPr>
              <w:t>110</w:t>
            </w:r>
          </w:p>
        </w:tc>
        <w:tc>
          <w:tcPr>
            <w:tcW w:w="1984" w:type="dxa"/>
            <w:vAlign w:val="center"/>
          </w:tcPr>
          <w:p w:rsidR="00660414" w:rsidRPr="008C5B1B" w:rsidRDefault="00660414" w:rsidP="007613DE">
            <w:pPr>
              <w:jc w:val="center"/>
              <w:rPr>
                <w:sz w:val="22"/>
                <w:szCs w:val="22"/>
              </w:rPr>
            </w:pPr>
            <w:r w:rsidRPr="008C5B1B">
              <w:rPr>
                <w:sz w:val="22"/>
                <w:szCs w:val="22"/>
              </w:rPr>
              <w:t>83</w:t>
            </w:r>
          </w:p>
        </w:tc>
        <w:tc>
          <w:tcPr>
            <w:tcW w:w="1276" w:type="dxa"/>
            <w:vAlign w:val="center"/>
          </w:tcPr>
          <w:p w:rsidR="00660414" w:rsidRPr="008C5B1B" w:rsidRDefault="00660414" w:rsidP="007613DE">
            <w:pPr>
              <w:jc w:val="center"/>
              <w:rPr>
                <w:sz w:val="22"/>
                <w:szCs w:val="22"/>
              </w:rPr>
            </w:pPr>
            <w:r w:rsidRPr="008C5B1B">
              <w:rPr>
                <w:sz w:val="22"/>
                <w:szCs w:val="22"/>
              </w:rPr>
              <w:t>266</w:t>
            </w:r>
          </w:p>
        </w:tc>
        <w:tc>
          <w:tcPr>
            <w:tcW w:w="1200" w:type="dxa"/>
            <w:vAlign w:val="center"/>
          </w:tcPr>
          <w:p w:rsidR="00660414" w:rsidRPr="008C5B1B" w:rsidRDefault="00660414" w:rsidP="007613DE">
            <w:pPr>
              <w:jc w:val="center"/>
              <w:rPr>
                <w:sz w:val="22"/>
                <w:szCs w:val="22"/>
              </w:rPr>
            </w:pPr>
            <w:r w:rsidRPr="008C5B1B">
              <w:rPr>
                <w:sz w:val="22"/>
                <w:szCs w:val="22"/>
              </w:rPr>
              <w:t>116</w:t>
            </w:r>
          </w:p>
        </w:tc>
        <w:tc>
          <w:tcPr>
            <w:tcW w:w="820" w:type="dxa"/>
            <w:vAlign w:val="center"/>
          </w:tcPr>
          <w:p w:rsidR="00660414" w:rsidRPr="008C5B1B" w:rsidRDefault="00660414" w:rsidP="007613DE">
            <w:pPr>
              <w:jc w:val="center"/>
              <w:rPr>
                <w:sz w:val="22"/>
                <w:szCs w:val="22"/>
              </w:rPr>
            </w:pPr>
            <w:r w:rsidRPr="008C5B1B">
              <w:rPr>
                <w:sz w:val="22"/>
                <w:szCs w:val="22"/>
              </w:rPr>
              <w:t>0.25</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DS10</w:t>
            </w:r>
          </w:p>
        </w:tc>
        <w:tc>
          <w:tcPr>
            <w:tcW w:w="2898" w:type="dxa"/>
            <w:vMerge w:val="restart"/>
          </w:tcPr>
          <w:p w:rsidR="00660414" w:rsidRPr="008C5B1B" w:rsidRDefault="00660414" w:rsidP="007613DE">
            <w:pPr>
              <w:rPr>
                <w:sz w:val="22"/>
                <w:szCs w:val="22"/>
              </w:rPr>
            </w:pPr>
            <w:r>
              <w:rPr>
                <w:sz w:val="22"/>
                <w:szCs w:val="22"/>
              </w:rPr>
              <w:t>Bucharest to Giurgiu</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39</w:t>
            </w:r>
          </w:p>
        </w:tc>
        <w:tc>
          <w:tcPr>
            <w:tcW w:w="836" w:type="dxa"/>
            <w:vAlign w:val="center"/>
          </w:tcPr>
          <w:p w:rsidR="00660414" w:rsidRPr="008C5B1B" w:rsidRDefault="00660414" w:rsidP="007613DE">
            <w:pPr>
              <w:jc w:val="center"/>
              <w:rPr>
                <w:sz w:val="22"/>
                <w:szCs w:val="22"/>
              </w:rPr>
            </w:pPr>
            <w:r w:rsidRPr="008C5B1B">
              <w:rPr>
                <w:sz w:val="22"/>
                <w:szCs w:val="22"/>
              </w:rPr>
              <w:t>434</w:t>
            </w:r>
          </w:p>
        </w:tc>
        <w:tc>
          <w:tcPr>
            <w:tcW w:w="1769" w:type="dxa"/>
            <w:vAlign w:val="center"/>
          </w:tcPr>
          <w:p w:rsidR="00660414" w:rsidRPr="008C5B1B" w:rsidRDefault="00660414" w:rsidP="007613DE">
            <w:pPr>
              <w:jc w:val="center"/>
              <w:rPr>
                <w:sz w:val="22"/>
                <w:szCs w:val="22"/>
              </w:rPr>
            </w:pPr>
            <w:r w:rsidRPr="008C5B1B">
              <w:rPr>
                <w:sz w:val="22"/>
                <w:szCs w:val="22"/>
              </w:rPr>
              <w:t>0</w:t>
            </w:r>
          </w:p>
        </w:tc>
        <w:tc>
          <w:tcPr>
            <w:tcW w:w="1777" w:type="dxa"/>
            <w:vAlign w:val="center"/>
          </w:tcPr>
          <w:p w:rsidR="00660414" w:rsidRPr="008C5B1B" w:rsidRDefault="00660414" w:rsidP="007613DE">
            <w:pPr>
              <w:jc w:val="center"/>
              <w:rPr>
                <w:sz w:val="22"/>
                <w:szCs w:val="22"/>
              </w:rPr>
            </w:pPr>
            <w:r w:rsidRPr="008C5B1B">
              <w:rPr>
                <w:sz w:val="22"/>
                <w:szCs w:val="22"/>
              </w:rPr>
              <w:t>25</w:t>
            </w:r>
          </w:p>
        </w:tc>
        <w:tc>
          <w:tcPr>
            <w:tcW w:w="1984" w:type="dxa"/>
            <w:vAlign w:val="center"/>
          </w:tcPr>
          <w:p w:rsidR="00660414" w:rsidRPr="008C5B1B" w:rsidRDefault="00660414" w:rsidP="007613DE">
            <w:pPr>
              <w:jc w:val="center"/>
              <w:rPr>
                <w:sz w:val="22"/>
                <w:szCs w:val="22"/>
              </w:rPr>
            </w:pPr>
            <w:r w:rsidRPr="008C5B1B">
              <w:rPr>
                <w:sz w:val="22"/>
                <w:szCs w:val="22"/>
              </w:rPr>
              <w:t>14</w:t>
            </w:r>
          </w:p>
        </w:tc>
        <w:tc>
          <w:tcPr>
            <w:tcW w:w="1276" w:type="dxa"/>
            <w:vAlign w:val="center"/>
          </w:tcPr>
          <w:p w:rsidR="00660414" w:rsidRPr="008C5B1B" w:rsidRDefault="00660414" w:rsidP="007613DE">
            <w:pPr>
              <w:jc w:val="center"/>
              <w:rPr>
                <w:sz w:val="22"/>
                <w:szCs w:val="22"/>
              </w:rPr>
            </w:pPr>
            <w:r w:rsidRPr="008C5B1B">
              <w:rPr>
                <w:sz w:val="22"/>
                <w:szCs w:val="22"/>
              </w:rPr>
              <w:t>399</w:t>
            </w:r>
          </w:p>
        </w:tc>
        <w:tc>
          <w:tcPr>
            <w:tcW w:w="1200" w:type="dxa"/>
            <w:vAlign w:val="center"/>
          </w:tcPr>
          <w:p w:rsidR="00660414" w:rsidRPr="008C5B1B" w:rsidRDefault="00660414" w:rsidP="007613DE">
            <w:pPr>
              <w:jc w:val="center"/>
              <w:rPr>
                <w:sz w:val="22"/>
                <w:szCs w:val="22"/>
              </w:rPr>
            </w:pPr>
            <w:r w:rsidRPr="008C5B1B">
              <w:rPr>
                <w:sz w:val="22"/>
                <w:szCs w:val="22"/>
              </w:rPr>
              <w:t>35</w:t>
            </w:r>
          </w:p>
        </w:tc>
        <w:tc>
          <w:tcPr>
            <w:tcW w:w="820" w:type="dxa"/>
            <w:vAlign w:val="center"/>
          </w:tcPr>
          <w:p w:rsidR="00660414" w:rsidRPr="008C5B1B" w:rsidRDefault="00660414" w:rsidP="007613DE">
            <w:pPr>
              <w:jc w:val="center"/>
              <w:rPr>
                <w:sz w:val="22"/>
                <w:szCs w:val="22"/>
              </w:rPr>
            </w:pPr>
            <w:r w:rsidRPr="008C5B1B">
              <w:rPr>
                <w:sz w:val="22"/>
                <w:szCs w:val="22"/>
              </w:rPr>
              <w:t>11.18</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105</w:t>
            </w:r>
          </w:p>
        </w:tc>
        <w:tc>
          <w:tcPr>
            <w:tcW w:w="836" w:type="dxa"/>
            <w:vAlign w:val="center"/>
          </w:tcPr>
          <w:p w:rsidR="00660414" w:rsidRPr="008C5B1B" w:rsidRDefault="00660414" w:rsidP="007613DE">
            <w:pPr>
              <w:jc w:val="center"/>
              <w:rPr>
                <w:sz w:val="22"/>
                <w:szCs w:val="22"/>
              </w:rPr>
            </w:pPr>
            <w:r w:rsidRPr="008C5B1B">
              <w:rPr>
                <w:sz w:val="22"/>
                <w:szCs w:val="22"/>
              </w:rPr>
              <w:t>440</w:t>
            </w:r>
          </w:p>
        </w:tc>
        <w:tc>
          <w:tcPr>
            <w:tcW w:w="1769" w:type="dxa"/>
            <w:vAlign w:val="center"/>
          </w:tcPr>
          <w:p w:rsidR="00660414" w:rsidRPr="008C5B1B" w:rsidRDefault="00660414" w:rsidP="007613DE">
            <w:pPr>
              <w:jc w:val="center"/>
              <w:rPr>
                <w:sz w:val="22"/>
                <w:szCs w:val="22"/>
              </w:rPr>
            </w:pPr>
            <w:r w:rsidRPr="008C5B1B">
              <w:rPr>
                <w:sz w:val="22"/>
                <w:szCs w:val="22"/>
              </w:rPr>
              <w:t>105</w:t>
            </w:r>
          </w:p>
        </w:tc>
        <w:tc>
          <w:tcPr>
            <w:tcW w:w="1777" w:type="dxa"/>
            <w:vAlign w:val="center"/>
          </w:tcPr>
          <w:p w:rsidR="00660414" w:rsidRPr="008C5B1B" w:rsidRDefault="00660414" w:rsidP="007613DE">
            <w:pPr>
              <w:jc w:val="center"/>
              <w:rPr>
                <w:sz w:val="22"/>
                <w:szCs w:val="22"/>
              </w:rPr>
            </w:pPr>
            <w:r w:rsidRPr="008C5B1B">
              <w:rPr>
                <w:sz w:val="22"/>
                <w:szCs w:val="22"/>
              </w:rPr>
              <w:t>25</w:t>
            </w:r>
          </w:p>
        </w:tc>
        <w:tc>
          <w:tcPr>
            <w:tcW w:w="1984" w:type="dxa"/>
            <w:vAlign w:val="center"/>
          </w:tcPr>
          <w:p w:rsidR="00660414" w:rsidRPr="008C5B1B" w:rsidRDefault="00660414" w:rsidP="007613DE">
            <w:pPr>
              <w:jc w:val="center"/>
              <w:rPr>
                <w:sz w:val="22"/>
                <w:szCs w:val="22"/>
              </w:rPr>
            </w:pPr>
            <w:r w:rsidRPr="008C5B1B">
              <w:rPr>
                <w:sz w:val="22"/>
                <w:szCs w:val="22"/>
              </w:rPr>
              <w:t>25</w:t>
            </w:r>
          </w:p>
        </w:tc>
        <w:tc>
          <w:tcPr>
            <w:tcW w:w="1276" w:type="dxa"/>
            <w:vAlign w:val="center"/>
          </w:tcPr>
          <w:p w:rsidR="00660414" w:rsidRPr="008C5B1B" w:rsidRDefault="00660414" w:rsidP="007613DE">
            <w:pPr>
              <w:jc w:val="center"/>
              <w:rPr>
                <w:sz w:val="22"/>
                <w:szCs w:val="22"/>
              </w:rPr>
            </w:pPr>
            <w:r w:rsidRPr="008C5B1B">
              <w:rPr>
                <w:sz w:val="22"/>
                <w:szCs w:val="22"/>
              </w:rPr>
              <w:t>437</w:t>
            </w:r>
          </w:p>
        </w:tc>
        <w:tc>
          <w:tcPr>
            <w:tcW w:w="1200" w:type="dxa"/>
            <w:vAlign w:val="center"/>
          </w:tcPr>
          <w:p w:rsidR="00660414" w:rsidRPr="008C5B1B" w:rsidRDefault="00660414" w:rsidP="007613DE">
            <w:pPr>
              <w:jc w:val="center"/>
              <w:rPr>
                <w:sz w:val="22"/>
                <w:szCs w:val="22"/>
              </w:rPr>
            </w:pPr>
            <w:r w:rsidRPr="008C5B1B">
              <w:rPr>
                <w:sz w:val="22"/>
                <w:szCs w:val="22"/>
              </w:rPr>
              <w:t>52</w:t>
            </w:r>
          </w:p>
        </w:tc>
        <w:tc>
          <w:tcPr>
            <w:tcW w:w="820" w:type="dxa"/>
            <w:vAlign w:val="center"/>
          </w:tcPr>
          <w:p w:rsidR="00660414" w:rsidRPr="008C5B1B" w:rsidRDefault="00660414" w:rsidP="007613DE">
            <w:pPr>
              <w:jc w:val="center"/>
              <w:rPr>
                <w:sz w:val="22"/>
                <w:szCs w:val="22"/>
              </w:rPr>
            </w:pPr>
            <w:r w:rsidRPr="008C5B1B">
              <w:rPr>
                <w:sz w:val="22"/>
                <w:szCs w:val="22"/>
              </w:rPr>
              <w:t>4.20</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207</w:t>
            </w:r>
          </w:p>
        </w:tc>
        <w:tc>
          <w:tcPr>
            <w:tcW w:w="836" w:type="dxa"/>
            <w:vAlign w:val="center"/>
          </w:tcPr>
          <w:p w:rsidR="00660414" w:rsidRPr="008C5B1B" w:rsidRDefault="00660414" w:rsidP="007613DE">
            <w:pPr>
              <w:jc w:val="center"/>
              <w:rPr>
                <w:sz w:val="22"/>
                <w:szCs w:val="22"/>
              </w:rPr>
            </w:pPr>
            <w:r w:rsidRPr="008C5B1B">
              <w:rPr>
                <w:sz w:val="22"/>
                <w:szCs w:val="22"/>
              </w:rPr>
              <w:t>553</w:t>
            </w:r>
          </w:p>
        </w:tc>
        <w:tc>
          <w:tcPr>
            <w:tcW w:w="1769" w:type="dxa"/>
            <w:vAlign w:val="center"/>
          </w:tcPr>
          <w:p w:rsidR="00660414" w:rsidRPr="008C5B1B" w:rsidRDefault="00660414" w:rsidP="007613DE">
            <w:pPr>
              <w:jc w:val="center"/>
              <w:rPr>
                <w:sz w:val="22"/>
                <w:szCs w:val="22"/>
              </w:rPr>
            </w:pPr>
            <w:r w:rsidRPr="008C5B1B">
              <w:rPr>
                <w:sz w:val="22"/>
                <w:szCs w:val="22"/>
              </w:rPr>
              <w:t>207</w:t>
            </w:r>
          </w:p>
        </w:tc>
        <w:tc>
          <w:tcPr>
            <w:tcW w:w="1777" w:type="dxa"/>
            <w:vAlign w:val="center"/>
          </w:tcPr>
          <w:p w:rsidR="00660414" w:rsidRPr="008C5B1B" w:rsidRDefault="00660414" w:rsidP="007613DE">
            <w:pPr>
              <w:jc w:val="center"/>
              <w:rPr>
                <w:sz w:val="22"/>
                <w:szCs w:val="22"/>
              </w:rPr>
            </w:pPr>
            <w:r w:rsidRPr="008C5B1B">
              <w:rPr>
                <w:sz w:val="22"/>
                <w:szCs w:val="22"/>
              </w:rPr>
              <w:t>26</w:t>
            </w:r>
          </w:p>
        </w:tc>
        <w:tc>
          <w:tcPr>
            <w:tcW w:w="1984" w:type="dxa"/>
            <w:vAlign w:val="center"/>
          </w:tcPr>
          <w:p w:rsidR="00660414" w:rsidRPr="008C5B1B" w:rsidRDefault="00660414" w:rsidP="007613DE">
            <w:pPr>
              <w:jc w:val="center"/>
              <w:rPr>
                <w:sz w:val="22"/>
                <w:szCs w:val="22"/>
              </w:rPr>
            </w:pPr>
            <w:r w:rsidRPr="008C5B1B">
              <w:rPr>
                <w:sz w:val="22"/>
                <w:szCs w:val="22"/>
              </w:rPr>
              <w:t>25</w:t>
            </w:r>
          </w:p>
        </w:tc>
        <w:tc>
          <w:tcPr>
            <w:tcW w:w="1276" w:type="dxa"/>
            <w:vAlign w:val="center"/>
          </w:tcPr>
          <w:p w:rsidR="00660414" w:rsidRPr="008C5B1B" w:rsidRDefault="00660414" w:rsidP="007613DE">
            <w:pPr>
              <w:jc w:val="center"/>
              <w:rPr>
                <w:sz w:val="22"/>
                <w:szCs w:val="22"/>
              </w:rPr>
            </w:pPr>
            <w:r w:rsidRPr="008C5B1B">
              <w:rPr>
                <w:sz w:val="22"/>
                <w:szCs w:val="22"/>
              </w:rPr>
              <w:t>445</w:t>
            </w:r>
          </w:p>
        </w:tc>
        <w:tc>
          <w:tcPr>
            <w:tcW w:w="1200" w:type="dxa"/>
            <w:vAlign w:val="center"/>
          </w:tcPr>
          <w:p w:rsidR="00660414" w:rsidRPr="008C5B1B" w:rsidRDefault="00660414" w:rsidP="007613DE">
            <w:pPr>
              <w:jc w:val="center"/>
              <w:rPr>
                <w:sz w:val="22"/>
                <w:szCs w:val="22"/>
              </w:rPr>
            </w:pPr>
            <w:r w:rsidRPr="008C5B1B">
              <w:rPr>
                <w:sz w:val="22"/>
                <w:szCs w:val="22"/>
              </w:rPr>
              <w:t>160</w:t>
            </w:r>
          </w:p>
        </w:tc>
        <w:tc>
          <w:tcPr>
            <w:tcW w:w="820" w:type="dxa"/>
            <w:vAlign w:val="center"/>
          </w:tcPr>
          <w:p w:rsidR="00660414" w:rsidRPr="008C5B1B" w:rsidRDefault="00660414" w:rsidP="007613DE">
            <w:pPr>
              <w:jc w:val="center"/>
              <w:rPr>
                <w:sz w:val="22"/>
                <w:szCs w:val="22"/>
              </w:rPr>
            </w:pPr>
            <w:r w:rsidRPr="008C5B1B">
              <w:rPr>
                <w:sz w:val="22"/>
                <w:szCs w:val="22"/>
              </w:rPr>
              <w:t>2.68</w:t>
            </w:r>
          </w:p>
        </w:tc>
      </w:tr>
      <w:tr w:rsidR="00660414" w:rsidTr="007613DE">
        <w:trPr>
          <w:trHeight w:hRule="exact" w:val="255"/>
          <w:jc w:val="center"/>
        </w:trPr>
        <w:tc>
          <w:tcPr>
            <w:tcW w:w="812" w:type="dxa"/>
            <w:gridSpan w:val="2"/>
            <w:vMerge w:val="restart"/>
            <w:vAlign w:val="center"/>
          </w:tcPr>
          <w:p w:rsidR="00660414" w:rsidRPr="008C5B1B" w:rsidRDefault="00660414" w:rsidP="007613DE">
            <w:pPr>
              <w:rPr>
                <w:sz w:val="22"/>
                <w:szCs w:val="22"/>
              </w:rPr>
            </w:pPr>
            <w:r w:rsidRPr="008C5B1B">
              <w:rPr>
                <w:sz w:val="22"/>
                <w:szCs w:val="22"/>
              </w:rPr>
              <w:t>DS11</w:t>
            </w:r>
          </w:p>
        </w:tc>
        <w:tc>
          <w:tcPr>
            <w:tcW w:w="2898" w:type="dxa"/>
            <w:vMerge w:val="restart"/>
          </w:tcPr>
          <w:p w:rsidR="00660414" w:rsidRPr="008C5B1B" w:rsidRDefault="00660414" w:rsidP="007613DE">
            <w:pPr>
              <w:rPr>
                <w:sz w:val="22"/>
                <w:szCs w:val="22"/>
              </w:rPr>
            </w:pPr>
            <w:r>
              <w:rPr>
                <w:sz w:val="22"/>
                <w:szCs w:val="22"/>
              </w:rPr>
              <w:t>Craoiva to Calafat</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13</w:t>
            </w:r>
          </w:p>
        </w:tc>
        <w:tc>
          <w:tcPr>
            <w:tcW w:w="836" w:type="dxa"/>
            <w:vAlign w:val="center"/>
          </w:tcPr>
          <w:p w:rsidR="00660414" w:rsidRPr="008C5B1B" w:rsidRDefault="00660414" w:rsidP="007613DE">
            <w:pPr>
              <w:jc w:val="center"/>
              <w:rPr>
                <w:sz w:val="22"/>
                <w:szCs w:val="22"/>
              </w:rPr>
            </w:pPr>
            <w:r w:rsidRPr="008C5B1B">
              <w:rPr>
                <w:sz w:val="22"/>
                <w:szCs w:val="22"/>
              </w:rPr>
              <w:t>46</w:t>
            </w:r>
          </w:p>
        </w:tc>
        <w:tc>
          <w:tcPr>
            <w:tcW w:w="1769" w:type="dxa"/>
            <w:vAlign w:val="center"/>
          </w:tcPr>
          <w:p w:rsidR="00660414" w:rsidRPr="008C5B1B" w:rsidRDefault="00660414" w:rsidP="007613DE">
            <w:pPr>
              <w:jc w:val="center"/>
              <w:rPr>
                <w:sz w:val="22"/>
                <w:szCs w:val="22"/>
              </w:rPr>
            </w:pPr>
            <w:r w:rsidRPr="008C5B1B">
              <w:rPr>
                <w:sz w:val="22"/>
                <w:szCs w:val="22"/>
              </w:rPr>
              <w:t>1</w:t>
            </w:r>
          </w:p>
        </w:tc>
        <w:tc>
          <w:tcPr>
            <w:tcW w:w="1777" w:type="dxa"/>
            <w:vAlign w:val="center"/>
          </w:tcPr>
          <w:p w:rsidR="00660414" w:rsidRPr="008C5B1B" w:rsidRDefault="00660414" w:rsidP="007613DE">
            <w:pPr>
              <w:jc w:val="center"/>
              <w:rPr>
                <w:sz w:val="22"/>
                <w:szCs w:val="22"/>
              </w:rPr>
            </w:pPr>
            <w:r w:rsidRPr="008C5B1B">
              <w:rPr>
                <w:sz w:val="22"/>
                <w:szCs w:val="22"/>
              </w:rPr>
              <w:t>11</w:t>
            </w:r>
          </w:p>
        </w:tc>
        <w:tc>
          <w:tcPr>
            <w:tcW w:w="1984" w:type="dxa"/>
            <w:vAlign w:val="center"/>
          </w:tcPr>
          <w:p w:rsidR="00660414" w:rsidRPr="008C5B1B" w:rsidRDefault="00660414" w:rsidP="007613DE">
            <w:pPr>
              <w:jc w:val="center"/>
              <w:rPr>
                <w:sz w:val="22"/>
                <w:szCs w:val="22"/>
              </w:rPr>
            </w:pPr>
            <w:r w:rsidRPr="008C5B1B">
              <w:rPr>
                <w:sz w:val="22"/>
                <w:szCs w:val="22"/>
              </w:rPr>
              <w:t>1</w:t>
            </w:r>
          </w:p>
        </w:tc>
        <w:tc>
          <w:tcPr>
            <w:tcW w:w="1276" w:type="dxa"/>
            <w:vAlign w:val="center"/>
          </w:tcPr>
          <w:p w:rsidR="00660414" w:rsidRPr="008C5B1B" w:rsidRDefault="00660414" w:rsidP="007613DE">
            <w:pPr>
              <w:jc w:val="center"/>
              <w:rPr>
                <w:sz w:val="22"/>
                <w:szCs w:val="22"/>
              </w:rPr>
            </w:pPr>
            <w:r w:rsidRPr="008C5B1B">
              <w:rPr>
                <w:sz w:val="22"/>
                <w:szCs w:val="22"/>
              </w:rPr>
              <w:t>37</w:t>
            </w:r>
          </w:p>
        </w:tc>
        <w:tc>
          <w:tcPr>
            <w:tcW w:w="1200" w:type="dxa"/>
            <w:vAlign w:val="center"/>
          </w:tcPr>
          <w:p w:rsidR="00660414" w:rsidRPr="008C5B1B" w:rsidRDefault="00660414" w:rsidP="007613DE">
            <w:pPr>
              <w:jc w:val="center"/>
              <w:rPr>
                <w:sz w:val="22"/>
                <w:szCs w:val="22"/>
              </w:rPr>
            </w:pPr>
            <w:r w:rsidRPr="008C5B1B">
              <w:rPr>
                <w:sz w:val="22"/>
                <w:szCs w:val="22"/>
              </w:rPr>
              <w:t>9</w:t>
            </w:r>
          </w:p>
        </w:tc>
        <w:tc>
          <w:tcPr>
            <w:tcW w:w="820" w:type="dxa"/>
            <w:vAlign w:val="center"/>
          </w:tcPr>
          <w:p w:rsidR="00660414" w:rsidRPr="008C5B1B" w:rsidRDefault="00660414" w:rsidP="007613DE">
            <w:pPr>
              <w:jc w:val="center"/>
              <w:rPr>
                <w:sz w:val="22"/>
                <w:szCs w:val="22"/>
              </w:rPr>
            </w:pPr>
            <w:r w:rsidRPr="008C5B1B">
              <w:rPr>
                <w:sz w:val="22"/>
                <w:szCs w:val="22"/>
              </w:rPr>
              <w:t>3.65</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123</w:t>
            </w:r>
          </w:p>
        </w:tc>
        <w:tc>
          <w:tcPr>
            <w:tcW w:w="836" w:type="dxa"/>
            <w:vAlign w:val="center"/>
          </w:tcPr>
          <w:p w:rsidR="00660414" w:rsidRPr="008C5B1B" w:rsidRDefault="00660414" w:rsidP="007613DE">
            <w:pPr>
              <w:jc w:val="center"/>
              <w:rPr>
                <w:sz w:val="22"/>
                <w:szCs w:val="22"/>
              </w:rPr>
            </w:pPr>
            <w:r w:rsidRPr="008C5B1B">
              <w:rPr>
                <w:sz w:val="22"/>
                <w:szCs w:val="22"/>
              </w:rPr>
              <w:t>111</w:t>
            </w:r>
          </w:p>
        </w:tc>
        <w:tc>
          <w:tcPr>
            <w:tcW w:w="1769" w:type="dxa"/>
            <w:vAlign w:val="center"/>
          </w:tcPr>
          <w:p w:rsidR="00660414" w:rsidRPr="008C5B1B" w:rsidRDefault="00660414" w:rsidP="007613DE">
            <w:pPr>
              <w:jc w:val="center"/>
              <w:rPr>
                <w:sz w:val="22"/>
                <w:szCs w:val="22"/>
              </w:rPr>
            </w:pPr>
            <w:r w:rsidRPr="008C5B1B">
              <w:rPr>
                <w:sz w:val="22"/>
                <w:szCs w:val="22"/>
              </w:rPr>
              <w:t>123</w:t>
            </w:r>
          </w:p>
        </w:tc>
        <w:tc>
          <w:tcPr>
            <w:tcW w:w="1777" w:type="dxa"/>
            <w:vAlign w:val="center"/>
          </w:tcPr>
          <w:p w:rsidR="00660414" w:rsidRPr="008C5B1B" w:rsidRDefault="00660414" w:rsidP="007613DE">
            <w:pPr>
              <w:jc w:val="center"/>
              <w:rPr>
                <w:sz w:val="22"/>
                <w:szCs w:val="22"/>
              </w:rPr>
            </w:pPr>
            <w:r w:rsidRPr="008C5B1B">
              <w:rPr>
                <w:sz w:val="22"/>
                <w:szCs w:val="22"/>
              </w:rPr>
              <w:t>11</w:t>
            </w:r>
          </w:p>
        </w:tc>
        <w:tc>
          <w:tcPr>
            <w:tcW w:w="1984" w:type="dxa"/>
            <w:vAlign w:val="center"/>
          </w:tcPr>
          <w:p w:rsidR="00660414" w:rsidRPr="008C5B1B" w:rsidRDefault="00660414" w:rsidP="007613DE">
            <w:pPr>
              <w:jc w:val="center"/>
              <w:rPr>
                <w:sz w:val="22"/>
                <w:szCs w:val="22"/>
              </w:rPr>
            </w:pPr>
            <w:r w:rsidRPr="008C5B1B">
              <w:rPr>
                <w:sz w:val="22"/>
                <w:szCs w:val="22"/>
              </w:rPr>
              <w:t>14</w:t>
            </w:r>
          </w:p>
        </w:tc>
        <w:tc>
          <w:tcPr>
            <w:tcW w:w="1276" w:type="dxa"/>
            <w:vAlign w:val="center"/>
          </w:tcPr>
          <w:p w:rsidR="00660414" w:rsidRPr="008C5B1B" w:rsidRDefault="00660414" w:rsidP="007613DE">
            <w:pPr>
              <w:jc w:val="center"/>
              <w:rPr>
                <w:sz w:val="22"/>
                <w:szCs w:val="22"/>
              </w:rPr>
            </w:pPr>
            <w:r w:rsidRPr="008C5B1B">
              <w:rPr>
                <w:sz w:val="22"/>
                <w:szCs w:val="22"/>
              </w:rPr>
              <w:t>115</w:t>
            </w:r>
          </w:p>
        </w:tc>
        <w:tc>
          <w:tcPr>
            <w:tcW w:w="1200" w:type="dxa"/>
            <w:vAlign w:val="center"/>
          </w:tcPr>
          <w:p w:rsidR="00660414" w:rsidRPr="008C5B1B" w:rsidRDefault="00660414" w:rsidP="007613DE">
            <w:pPr>
              <w:jc w:val="center"/>
              <w:rPr>
                <w:sz w:val="22"/>
                <w:szCs w:val="22"/>
              </w:rPr>
            </w:pPr>
            <w:r w:rsidRPr="008C5B1B">
              <w:rPr>
                <w:sz w:val="22"/>
                <w:szCs w:val="22"/>
              </w:rPr>
              <w:t>22</w:t>
            </w:r>
          </w:p>
        </w:tc>
        <w:tc>
          <w:tcPr>
            <w:tcW w:w="820" w:type="dxa"/>
            <w:vAlign w:val="center"/>
          </w:tcPr>
          <w:p w:rsidR="00660414" w:rsidRPr="008C5B1B" w:rsidRDefault="00660414" w:rsidP="007613DE">
            <w:pPr>
              <w:jc w:val="center"/>
              <w:rPr>
                <w:sz w:val="22"/>
                <w:szCs w:val="22"/>
              </w:rPr>
            </w:pPr>
            <w:r w:rsidRPr="008C5B1B">
              <w:rPr>
                <w:sz w:val="22"/>
                <w:szCs w:val="22"/>
              </w:rPr>
              <w:t>0.91</w:t>
            </w:r>
          </w:p>
        </w:tc>
      </w:tr>
      <w:tr w:rsidR="00660414" w:rsidTr="007613DE">
        <w:trPr>
          <w:trHeight w:hRule="exact" w:val="255"/>
          <w:jc w:val="center"/>
        </w:trPr>
        <w:tc>
          <w:tcPr>
            <w:tcW w:w="812" w:type="dxa"/>
            <w:gridSpan w:val="2"/>
            <w:vMerge/>
            <w:vAlign w:val="center"/>
          </w:tcPr>
          <w:p w:rsidR="00660414" w:rsidRPr="008C5B1B" w:rsidRDefault="00660414" w:rsidP="007613DE">
            <w:pPr>
              <w:rPr>
                <w:sz w:val="22"/>
                <w:szCs w:val="22"/>
              </w:rPr>
            </w:pPr>
          </w:p>
        </w:tc>
        <w:tc>
          <w:tcPr>
            <w:tcW w:w="2898" w:type="dxa"/>
            <w:vMerge/>
          </w:tcPr>
          <w:p w:rsidR="00660414" w:rsidRPr="008C5B1B" w:rsidRDefault="00660414" w:rsidP="007613DE">
            <w:pPr>
              <w:rPr>
                <w:sz w:val="22"/>
                <w:szCs w:val="22"/>
              </w:rPr>
            </w:pPr>
          </w:p>
        </w:tc>
        <w:tc>
          <w:tcPr>
            <w:tcW w:w="353" w:type="dxa"/>
          </w:tcPr>
          <w:p w:rsidR="00660414" w:rsidRPr="008C5B1B" w:rsidRDefault="00660414" w:rsidP="007613DE">
            <w:pPr>
              <w:rPr>
                <w:sz w:val="22"/>
                <w:szCs w:val="22"/>
              </w:rPr>
            </w:pPr>
            <w:r w:rsidRPr="008C5B1B">
              <w:rPr>
                <w:sz w:val="22"/>
                <w:szCs w:val="22"/>
              </w:rPr>
              <w:t>B</w:t>
            </w:r>
          </w:p>
        </w:tc>
        <w:tc>
          <w:tcPr>
            <w:tcW w:w="835" w:type="dxa"/>
            <w:vAlign w:val="center"/>
          </w:tcPr>
          <w:p w:rsidR="00660414" w:rsidRPr="008C5B1B" w:rsidRDefault="00660414" w:rsidP="007613DE">
            <w:pPr>
              <w:jc w:val="center"/>
              <w:rPr>
                <w:sz w:val="22"/>
                <w:szCs w:val="22"/>
              </w:rPr>
            </w:pPr>
            <w:r w:rsidRPr="008C5B1B">
              <w:rPr>
                <w:sz w:val="22"/>
                <w:szCs w:val="22"/>
              </w:rPr>
              <w:t>252</w:t>
            </w:r>
          </w:p>
        </w:tc>
        <w:tc>
          <w:tcPr>
            <w:tcW w:w="836" w:type="dxa"/>
            <w:vAlign w:val="center"/>
          </w:tcPr>
          <w:p w:rsidR="00660414" w:rsidRPr="008C5B1B" w:rsidRDefault="00660414" w:rsidP="007613DE">
            <w:pPr>
              <w:jc w:val="center"/>
              <w:rPr>
                <w:sz w:val="22"/>
                <w:szCs w:val="22"/>
              </w:rPr>
            </w:pPr>
            <w:r w:rsidRPr="008C5B1B">
              <w:rPr>
                <w:sz w:val="22"/>
                <w:szCs w:val="22"/>
              </w:rPr>
              <w:t>161</w:t>
            </w:r>
          </w:p>
        </w:tc>
        <w:tc>
          <w:tcPr>
            <w:tcW w:w="1769" w:type="dxa"/>
            <w:vAlign w:val="center"/>
          </w:tcPr>
          <w:p w:rsidR="00660414" w:rsidRPr="008C5B1B" w:rsidRDefault="00660414" w:rsidP="007613DE">
            <w:pPr>
              <w:jc w:val="center"/>
              <w:rPr>
                <w:sz w:val="22"/>
                <w:szCs w:val="22"/>
              </w:rPr>
            </w:pPr>
            <w:r w:rsidRPr="008C5B1B">
              <w:rPr>
                <w:sz w:val="22"/>
                <w:szCs w:val="22"/>
              </w:rPr>
              <w:t>252</w:t>
            </w:r>
          </w:p>
        </w:tc>
        <w:tc>
          <w:tcPr>
            <w:tcW w:w="1777" w:type="dxa"/>
            <w:vAlign w:val="center"/>
          </w:tcPr>
          <w:p w:rsidR="00660414" w:rsidRPr="008C5B1B" w:rsidRDefault="00660414" w:rsidP="007613DE">
            <w:pPr>
              <w:jc w:val="center"/>
              <w:rPr>
                <w:sz w:val="22"/>
                <w:szCs w:val="22"/>
              </w:rPr>
            </w:pPr>
            <w:r w:rsidRPr="008C5B1B">
              <w:rPr>
                <w:sz w:val="22"/>
                <w:szCs w:val="22"/>
              </w:rPr>
              <w:t>11</w:t>
            </w:r>
          </w:p>
        </w:tc>
        <w:tc>
          <w:tcPr>
            <w:tcW w:w="1984" w:type="dxa"/>
            <w:vAlign w:val="center"/>
          </w:tcPr>
          <w:p w:rsidR="00660414" w:rsidRPr="008C5B1B" w:rsidRDefault="00660414" w:rsidP="007613DE">
            <w:pPr>
              <w:jc w:val="center"/>
              <w:rPr>
                <w:sz w:val="22"/>
                <w:szCs w:val="22"/>
              </w:rPr>
            </w:pPr>
            <w:r w:rsidRPr="008C5B1B">
              <w:rPr>
                <w:sz w:val="22"/>
                <w:szCs w:val="22"/>
              </w:rPr>
              <w:t>14</w:t>
            </w:r>
          </w:p>
        </w:tc>
        <w:tc>
          <w:tcPr>
            <w:tcW w:w="1276" w:type="dxa"/>
            <w:vAlign w:val="center"/>
          </w:tcPr>
          <w:p w:rsidR="00660414" w:rsidRPr="008C5B1B" w:rsidRDefault="00660414" w:rsidP="007613DE">
            <w:pPr>
              <w:jc w:val="center"/>
              <w:rPr>
                <w:sz w:val="22"/>
                <w:szCs w:val="22"/>
              </w:rPr>
            </w:pPr>
            <w:r w:rsidRPr="008C5B1B">
              <w:rPr>
                <w:sz w:val="22"/>
                <w:szCs w:val="22"/>
              </w:rPr>
              <w:t>124</w:t>
            </w:r>
          </w:p>
        </w:tc>
        <w:tc>
          <w:tcPr>
            <w:tcW w:w="1200" w:type="dxa"/>
            <w:vAlign w:val="center"/>
          </w:tcPr>
          <w:p w:rsidR="00660414" w:rsidRPr="008C5B1B" w:rsidRDefault="00660414" w:rsidP="007613DE">
            <w:pPr>
              <w:jc w:val="center"/>
              <w:rPr>
                <w:sz w:val="22"/>
                <w:szCs w:val="22"/>
              </w:rPr>
            </w:pPr>
            <w:r w:rsidRPr="008C5B1B">
              <w:rPr>
                <w:sz w:val="22"/>
                <w:szCs w:val="22"/>
              </w:rPr>
              <w:t>63</w:t>
            </w:r>
          </w:p>
        </w:tc>
        <w:tc>
          <w:tcPr>
            <w:tcW w:w="820" w:type="dxa"/>
            <w:vAlign w:val="center"/>
          </w:tcPr>
          <w:p w:rsidR="00660414" w:rsidRPr="008C5B1B" w:rsidRDefault="00660414" w:rsidP="007613DE">
            <w:pPr>
              <w:jc w:val="center"/>
              <w:rPr>
                <w:sz w:val="22"/>
                <w:szCs w:val="22"/>
              </w:rPr>
            </w:pPr>
            <w:r w:rsidRPr="008C5B1B">
              <w:rPr>
                <w:sz w:val="22"/>
                <w:szCs w:val="22"/>
              </w:rPr>
              <w:t>0.64</w:t>
            </w:r>
          </w:p>
        </w:tc>
      </w:tr>
      <w:tr w:rsidR="00660414" w:rsidTr="007613DE">
        <w:trPr>
          <w:trHeight w:hRule="exact" w:val="255"/>
          <w:jc w:val="center"/>
        </w:trPr>
        <w:tc>
          <w:tcPr>
            <w:tcW w:w="812" w:type="dxa"/>
            <w:gridSpan w:val="2"/>
            <w:vAlign w:val="center"/>
          </w:tcPr>
          <w:p w:rsidR="00660414" w:rsidRPr="008C5B1B" w:rsidRDefault="00660414" w:rsidP="007613DE">
            <w:pPr>
              <w:rPr>
                <w:sz w:val="22"/>
                <w:szCs w:val="22"/>
              </w:rPr>
            </w:pPr>
            <w:r w:rsidRPr="008C5B1B">
              <w:rPr>
                <w:sz w:val="22"/>
                <w:szCs w:val="22"/>
              </w:rPr>
              <w:t>DS12</w:t>
            </w:r>
          </w:p>
        </w:tc>
        <w:tc>
          <w:tcPr>
            <w:tcW w:w="2898" w:type="dxa"/>
          </w:tcPr>
          <w:p w:rsidR="00660414" w:rsidRPr="008C5B1B" w:rsidRDefault="00660414" w:rsidP="007613DE">
            <w:pPr>
              <w:rPr>
                <w:sz w:val="22"/>
                <w:szCs w:val="22"/>
              </w:rPr>
            </w:pPr>
            <w:r>
              <w:rPr>
                <w:sz w:val="22"/>
                <w:szCs w:val="22"/>
              </w:rPr>
              <w:t>Freight test</w:t>
            </w:r>
          </w:p>
        </w:tc>
        <w:tc>
          <w:tcPr>
            <w:tcW w:w="353" w:type="dxa"/>
          </w:tcPr>
          <w:p w:rsidR="00660414" w:rsidRPr="008C5B1B" w:rsidRDefault="00660414" w:rsidP="007613DE">
            <w:pPr>
              <w:rPr>
                <w:sz w:val="22"/>
                <w:szCs w:val="22"/>
              </w:rPr>
            </w:pPr>
            <w:r w:rsidRPr="008C5B1B">
              <w:rPr>
                <w:sz w:val="22"/>
                <w:szCs w:val="22"/>
              </w:rPr>
              <w:t>R</w:t>
            </w:r>
          </w:p>
        </w:tc>
        <w:tc>
          <w:tcPr>
            <w:tcW w:w="835" w:type="dxa"/>
            <w:vAlign w:val="center"/>
          </w:tcPr>
          <w:p w:rsidR="00660414" w:rsidRPr="008C5B1B" w:rsidRDefault="00660414" w:rsidP="007613DE">
            <w:pPr>
              <w:jc w:val="center"/>
              <w:rPr>
                <w:sz w:val="22"/>
                <w:szCs w:val="22"/>
              </w:rPr>
            </w:pPr>
            <w:r w:rsidRPr="008C5B1B">
              <w:rPr>
                <w:sz w:val="22"/>
                <w:szCs w:val="22"/>
              </w:rPr>
              <w:t>2</w:t>
            </w:r>
          </w:p>
        </w:tc>
        <w:tc>
          <w:tcPr>
            <w:tcW w:w="836" w:type="dxa"/>
            <w:vAlign w:val="center"/>
          </w:tcPr>
          <w:p w:rsidR="00660414" w:rsidRPr="008C5B1B" w:rsidRDefault="00660414" w:rsidP="007613DE">
            <w:pPr>
              <w:jc w:val="center"/>
              <w:rPr>
                <w:sz w:val="22"/>
                <w:szCs w:val="22"/>
              </w:rPr>
            </w:pPr>
            <w:r w:rsidRPr="008C5B1B">
              <w:rPr>
                <w:sz w:val="22"/>
                <w:szCs w:val="22"/>
              </w:rPr>
              <w:t>-12</w:t>
            </w:r>
          </w:p>
        </w:tc>
        <w:tc>
          <w:tcPr>
            <w:tcW w:w="1769" w:type="dxa"/>
            <w:vAlign w:val="center"/>
          </w:tcPr>
          <w:p w:rsidR="00660414" w:rsidRPr="008C5B1B" w:rsidRDefault="00660414" w:rsidP="007613DE">
            <w:pPr>
              <w:jc w:val="center"/>
              <w:rPr>
                <w:sz w:val="22"/>
                <w:szCs w:val="22"/>
              </w:rPr>
            </w:pPr>
            <w:r w:rsidRPr="008C5B1B">
              <w:rPr>
                <w:sz w:val="22"/>
                <w:szCs w:val="22"/>
              </w:rPr>
              <w:t>0</w:t>
            </w:r>
          </w:p>
        </w:tc>
        <w:tc>
          <w:tcPr>
            <w:tcW w:w="1777" w:type="dxa"/>
            <w:vAlign w:val="center"/>
          </w:tcPr>
          <w:p w:rsidR="00660414" w:rsidRPr="008C5B1B" w:rsidRDefault="00660414" w:rsidP="007613DE">
            <w:pPr>
              <w:jc w:val="center"/>
              <w:rPr>
                <w:sz w:val="22"/>
                <w:szCs w:val="22"/>
              </w:rPr>
            </w:pPr>
            <w:r w:rsidRPr="008C5B1B">
              <w:rPr>
                <w:sz w:val="22"/>
                <w:szCs w:val="22"/>
              </w:rPr>
              <w:t>0</w:t>
            </w:r>
          </w:p>
        </w:tc>
        <w:tc>
          <w:tcPr>
            <w:tcW w:w="1984" w:type="dxa"/>
            <w:vAlign w:val="center"/>
          </w:tcPr>
          <w:p w:rsidR="00660414" w:rsidRPr="008C5B1B" w:rsidRDefault="00660414" w:rsidP="007613DE">
            <w:pPr>
              <w:jc w:val="center"/>
              <w:rPr>
                <w:sz w:val="22"/>
                <w:szCs w:val="22"/>
              </w:rPr>
            </w:pPr>
            <w:r w:rsidRPr="008C5B1B">
              <w:rPr>
                <w:sz w:val="22"/>
                <w:szCs w:val="22"/>
              </w:rPr>
              <w:t>2</w:t>
            </w:r>
          </w:p>
        </w:tc>
        <w:tc>
          <w:tcPr>
            <w:tcW w:w="1276" w:type="dxa"/>
            <w:vAlign w:val="center"/>
          </w:tcPr>
          <w:p w:rsidR="00660414" w:rsidRPr="008C5B1B" w:rsidRDefault="00660414" w:rsidP="007613DE">
            <w:pPr>
              <w:jc w:val="center"/>
              <w:rPr>
                <w:sz w:val="22"/>
                <w:szCs w:val="22"/>
              </w:rPr>
            </w:pPr>
            <w:r w:rsidRPr="008C5B1B">
              <w:rPr>
                <w:sz w:val="22"/>
                <w:szCs w:val="22"/>
              </w:rPr>
              <w:t>-17</w:t>
            </w:r>
          </w:p>
        </w:tc>
        <w:tc>
          <w:tcPr>
            <w:tcW w:w="1200" w:type="dxa"/>
            <w:vAlign w:val="center"/>
          </w:tcPr>
          <w:p w:rsidR="00660414" w:rsidRPr="008C5B1B" w:rsidRDefault="00660414" w:rsidP="007613DE">
            <w:pPr>
              <w:jc w:val="center"/>
              <w:rPr>
                <w:sz w:val="22"/>
                <w:szCs w:val="22"/>
              </w:rPr>
            </w:pPr>
            <w:r w:rsidRPr="008C5B1B">
              <w:rPr>
                <w:sz w:val="22"/>
                <w:szCs w:val="22"/>
              </w:rPr>
              <w:t>5</w:t>
            </w:r>
          </w:p>
        </w:tc>
        <w:tc>
          <w:tcPr>
            <w:tcW w:w="820" w:type="dxa"/>
            <w:vAlign w:val="center"/>
          </w:tcPr>
          <w:p w:rsidR="00660414" w:rsidRPr="008C5B1B" w:rsidRDefault="00660414" w:rsidP="007613DE">
            <w:pPr>
              <w:jc w:val="center"/>
              <w:rPr>
                <w:sz w:val="22"/>
                <w:szCs w:val="22"/>
              </w:rPr>
            </w:pPr>
            <w:r w:rsidRPr="008C5B1B">
              <w:rPr>
                <w:sz w:val="22"/>
                <w:szCs w:val="22"/>
              </w:rPr>
              <w:t>-</w:t>
            </w:r>
          </w:p>
        </w:tc>
      </w:tr>
      <w:tr w:rsidR="00660414" w:rsidTr="007613DE">
        <w:trPr>
          <w:trHeight w:hRule="exact" w:val="255"/>
          <w:jc w:val="center"/>
        </w:trPr>
        <w:tc>
          <w:tcPr>
            <w:tcW w:w="812" w:type="dxa"/>
            <w:gridSpan w:val="2"/>
            <w:vAlign w:val="center"/>
          </w:tcPr>
          <w:p w:rsidR="00660414" w:rsidRPr="008C5B1B" w:rsidRDefault="00660414" w:rsidP="007613DE">
            <w:pPr>
              <w:rPr>
                <w:sz w:val="22"/>
                <w:szCs w:val="22"/>
              </w:rPr>
            </w:pPr>
            <w:r w:rsidRPr="008C5B1B">
              <w:rPr>
                <w:sz w:val="22"/>
                <w:szCs w:val="22"/>
              </w:rPr>
              <w:t>DS99</w:t>
            </w:r>
          </w:p>
        </w:tc>
        <w:tc>
          <w:tcPr>
            <w:tcW w:w="2898" w:type="dxa"/>
          </w:tcPr>
          <w:p w:rsidR="00660414" w:rsidRPr="008C5B1B" w:rsidRDefault="00660414" w:rsidP="007613DE">
            <w:pPr>
              <w:rPr>
                <w:sz w:val="22"/>
                <w:szCs w:val="22"/>
              </w:rPr>
            </w:pPr>
            <w:r>
              <w:rPr>
                <w:sz w:val="22"/>
                <w:szCs w:val="22"/>
              </w:rPr>
              <w:t>Combined test</w:t>
            </w:r>
          </w:p>
        </w:tc>
        <w:tc>
          <w:tcPr>
            <w:tcW w:w="353" w:type="dxa"/>
          </w:tcPr>
          <w:p w:rsidR="00660414" w:rsidRPr="008C5B1B" w:rsidRDefault="00660414" w:rsidP="007613DE">
            <w:pPr>
              <w:rPr>
                <w:sz w:val="22"/>
                <w:szCs w:val="22"/>
              </w:rPr>
            </w:pPr>
            <w:r w:rsidRPr="008C5B1B">
              <w:rPr>
                <w:sz w:val="22"/>
                <w:szCs w:val="22"/>
              </w:rPr>
              <w:t>A</w:t>
            </w:r>
          </w:p>
        </w:tc>
        <w:tc>
          <w:tcPr>
            <w:tcW w:w="835" w:type="dxa"/>
            <w:vAlign w:val="center"/>
          </w:tcPr>
          <w:p w:rsidR="00660414" w:rsidRPr="008C5B1B" w:rsidRDefault="00660414" w:rsidP="007613DE">
            <w:pPr>
              <w:jc w:val="center"/>
              <w:rPr>
                <w:sz w:val="22"/>
                <w:szCs w:val="22"/>
              </w:rPr>
            </w:pPr>
            <w:r w:rsidRPr="008C5B1B">
              <w:rPr>
                <w:sz w:val="22"/>
                <w:szCs w:val="22"/>
              </w:rPr>
              <w:t>9594</w:t>
            </w:r>
          </w:p>
        </w:tc>
        <w:tc>
          <w:tcPr>
            <w:tcW w:w="836" w:type="dxa"/>
            <w:vAlign w:val="center"/>
          </w:tcPr>
          <w:p w:rsidR="00660414" w:rsidRPr="008C5B1B" w:rsidRDefault="00660414" w:rsidP="007613DE">
            <w:pPr>
              <w:jc w:val="center"/>
              <w:rPr>
                <w:sz w:val="22"/>
                <w:szCs w:val="22"/>
              </w:rPr>
            </w:pPr>
            <w:r w:rsidRPr="008C5B1B">
              <w:rPr>
                <w:sz w:val="22"/>
                <w:szCs w:val="22"/>
              </w:rPr>
              <w:t>9842</w:t>
            </w:r>
          </w:p>
        </w:tc>
        <w:tc>
          <w:tcPr>
            <w:tcW w:w="1769" w:type="dxa"/>
            <w:vAlign w:val="center"/>
          </w:tcPr>
          <w:p w:rsidR="00660414" w:rsidRPr="008C5B1B" w:rsidRDefault="00660414" w:rsidP="007613DE">
            <w:pPr>
              <w:jc w:val="center"/>
              <w:rPr>
                <w:sz w:val="22"/>
                <w:szCs w:val="22"/>
              </w:rPr>
            </w:pPr>
            <w:r w:rsidRPr="008C5B1B">
              <w:rPr>
                <w:sz w:val="22"/>
                <w:szCs w:val="22"/>
              </w:rPr>
              <w:t>9303</w:t>
            </w:r>
          </w:p>
        </w:tc>
        <w:tc>
          <w:tcPr>
            <w:tcW w:w="1777" w:type="dxa"/>
            <w:vAlign w:val="center"/>
          </w:tcPr>
          <w:p w:rsidR="00660414" w:rsidRPr="008C5B1B" w:rsidRDefault="00660414" w:rsidP="007613DE">
            <w:pPr>
              <w:jc w:val="center"/>
              <w:rPr>
                <w:sz w:val="22"/>
                <w:szCs w:val="22"/>
              </w:rPr>
            </w:pPr>
            <w:r w:rsidRPr="008C5B1B">
              <w:rPr>
                <w:sz w:val="22"/>
                <w:szCs w:val="22"/>
              </w:rPr>
              <w:t>1271</w:t>
            </w:r>
          </w:p>
        </w:tc>
        <w:tc>
          <w:tcPr>
            <w:tcW w:w="1984" w:type="dxa"/>
            <w:vAlign w:val="center"/>
          </w:tcPr>
          <w:p w:rsidR="00660414" w:rsidRPr="008C5B1B" w:rsidRDefault="00660414" w:rsidP="007613DE">
            <w:pPr>
              <w:jc w:val="center"/>
              <w:rPr>
                <w:sz w:val="22"/>
                <w:szCs w:val="22"/>
              </w:rPr>
            </w:pPr>
            <w:r w:rsidRPr="008C5B1B">
              <w:rPr>
                <w:sz w:val="22"/>
                <w:szCs w:val="22"/>
              </w:rPr>
              <w:t>881</w:t>
            </w:r>
          </w:p>
        </w:tc>
        <w:tc>
          <w:tcPr>
            <w:tcW w:w="1276" w:type="dxa"/>
            <w:vAlign w:val="center"/>
          </w:tcPr>
          <w:p w:rsidR="00660414" w:rsidRPr="008C5B1B" w:rsidRDefault="00660414" w:rsidP="007613DE">
            <w:pPr>
              <w:jc w:val="center"/>
              <w:rPr>
                <w:sz w:val="22"/>
                <w:szCs w:val="22"/>
              </w:rPr>
            </w:pPr>
            <w:r w:rsidRPr="008C5B1B">
              <w:rPr>
                <w:sz w:val="22"/>
                <w:szCs w:val="22"/>
              </w:rPr>
              <w:t>7959</w:t>
            </w:r>
          </w:p>
        </w:tc>
        <w:tc>
          <w:tcPr>
            <w:tcW w:w="1200" w:type="dxa"/>
            <w:vAlign w:val="center"/>
          </w:tcPr>
          <w:p w:rsidR="00660414" w:rsidRPr="008C5B1B" w:rsidRDefault="00660414" w:rsidP="007613DE">
            <w:pPr>
              <w:jc w:val="center"/>
              <w:rPr>
                <w:sz w:val="22"/>
                <w:szCs w:val="22"/>
              </w:rPr>
            </w:pPr>
            <w:r w:rsidRPr="008C5B1B">
              <w:rPr>
                <w:sz w:val="22"/>
                <w:szCs w:val="22"/>
              </w:rPr>
              <w:t>3744</w:t>
            </w:r>
          </w:p>
        </w:tc>
        <w:tc>
          <w:tcPr>
            <w:tcW w:w="820" w:type="dxa"/>
            <w:vAlign w:val="center"/>
          </w:tcPr>
          <w:p w:rsidR="00660414" w:rsidRPr="008C5B1B" w:rsidRDefault="00660414" w:rsidP="007613DE">
            <w:pPr>
              <w:jc w:val="center"/>
              <w:rPr>
                <w:sz w:val="22"/>
                <w:szCs w:val="22"/>
              </w:rPr>
            </w:pPr>
            <w:r w:rsidRPr="008C5B1B">
              <w:rPr>
                <w:sz w:val="22"/>
                <w:szCs w:val="22"/>
              </w:rPr>
              <w:t>1.03</w:t>
            </w:r>
          </w:p>
        </w:tc>
      </w:tr>
      <w:tr w:rsidR="00660414" w:rsidTr="007613DE">
        <w:trPr>
          <w:jc w:val="center"/>
        </w:trPr>
        <w:tc>
          <w:tcPr>
            <w:tcW w:w="353" w:type="dxa"/>
          </w:tcPr>
          <w:p w:rsidR="00660414" w:rsidRDefault="00660414" w:rsidP="007613DE">
            <w:pPr>
              <w:rPr>
                <w:vertAlign w:val="superscript"/>
              </w:rPr>
            </w:pPr>
          </w:p>
        </w:tc>
        <w:tc>
          <w:tcPr>
            <w:tcW w:w="14207" w:type="dxa"/>
            <w:gridSpan w:val="11"/>
            <w:vAlign w:val="center"/>
          </w:tcPr>
          <w:p w:rsidR="00660414" w:rsidRPr="00C05610" w:rsidRDefault="00660414" w:rsidP="007613DE">
            <w:r>
              <w:rPr>
                <w:vertAlign w:val="superscript"/>
              </w:rPr>
              <w:t>1</w:t>
            </w:r>
            <w:r>
              <w:t xml:space="preserve"> Note that for the PVC, PVB and BCR calculations some costs are computed as negative benefits</w:t>
            </w:r>
          </w:p>
        </w:tc>
      </w:tr>
    </w:tbl>
    <w:p w:rsidR="00660414" w:rsidRPr="008C5B1B" w:rsidRDefault="00660414" w:rsidP="007613DE">
      <w:pPr>
        <w:rPr>
          <w:i/>
        </w:rPr>
        <w:sectPr w:rsidR="00660414" w:rsidRPr="008C5B1B" w:rsidSect="007613DE">
          <w:pgSz w:w="16840" w:h="11907" w:orient="landscape" w:code="9"/>
          <w:pgMar w:top="907" w:right="1418" w:bottom="709" w:left="1418" w:header="357" w:footer="567" w:gutter="0"/>
          <w:cols w:space="187"/>
          <w:docGrid w:linePitch="360"/>
        </w:sectPr>
      </w:pPr>
      <w:r w:rsidRPr="008C5B1B">
        <w:rPr>
          <w:i/>
        </w:rPr>
        <w:t>Source: AECOM forecasting model</w:t>
      </w:r>
    </w:p>
    <w:p w:rsidR="00660414" w:rsidRDefault="00660414" w:rsidP="00A4081F">
      <w:pPr>
        <w:pStyle w:val="NumberedParas"/>
      </w:pPr>
      <w:r w:rsidRPr="008C5B1B">
        <w:t xml:space="preserve">The table above splits the costs and benefits of each test into </w:t>
      </w:r>
      <w:r>
        <w:t xml:space="preserve">three </w:t>
      </w:r>
      <w:r w:rsidRPr="008C5B1B">
        <w:t xml:space="preserve">categories, infrastructure, passenger and freight. Infrastructure costs </w:t>
      </w:r>
      <w:r>
        <w:t>relate</w:t>
      </w:r>
      <w:r w:rsidRPr="008C5B1B">
        <w:t xml:space="preserve"> to the track condition, and therefore include any upgrades or renewals of the studied line. Similarly, costs and benefits of freight and passenger trains account for the costs of operating the services, p</w:t>
      </w:r>
      <w:r>
        <w:t xml:space="preserve">rocurement of </w:t>
      </w:r>
      <w:r w:rsidRPr="008C5B1B">
        <w:t>new rolling stock units, and the externalities and benefit to users of passenger and freight rail.</w:t>
      </w:r>
      <w:r>
        <w:t xml:space="preserve"> The</w:t>
      </w:r>
      <w:r w:rsidRPr="008C5B1B">
        <w:t xml:space="preserve"> variant R </w:t>
      </w:r>
      <w:r>
        <w:t xml:space="preserve">generate </w:t>
      </w:r>
      <w:r w:rsidRPr="008C5B1B">
        <w:t xml:space="preserve">lower costs and benefits than the </w:t>
      </w:r>
      <w:r>
        <w:t xml:space="preserve">variants A and B which involve more extensive </w:t>
      </w:r>
      <w:r w:rsidRPr="008C5B1B">
        <w:t xml:space="preserve">rehabilitation </w:t>
      </w:r>
      <w:r>
        <w:t>works</w:t>
      </w:r>
      <w:r w:rsidRPr="008C5B1B">
        <w:t xml:space="preserve">, </w:t>
      </w:r>
      <w:r>
        <w:t xml:space="preserve">with the latter </w:t>
      </w:r>
      <w:r w:rsidRPr="008C5B1B">
        <w:t xml:space="preserve">returning a better value for money. </w:t>
      </w:r>
    </w:p>
    <w:p w:rsidR="00660414" w:rsidRDefault="00660414" w:rsidP="00A4081F">
      <w:pPr>
        <w:pStyle w:val="NumberedParas"/>
      </w:pPr>
      <w:r w:rsidRPr="005E06F5">
        <w:t xml:space="preserve">Tests DS06 show a reduction in passenger operator costs. The estimated operating cost saving </w:t>
      </w:r>
      <w:r>
        <w:t xml:space="preserve">can be attributed to the assumption that </w:t>
      </w:r>
      <w:r w:rsidRPr="005E06F5">
        <w:t xml:space="preserve"> newer EMU trains over the appraisal period has been forecasted to exceed the costs of purchasing new units. Similarly, an operating cost saving has been also forecasted in test DS07C, where some diesel trains are replaced by electric units.</w:t>
      </w:r>
      <w:r w:rsidRPr="008C5B1B">
        <w:t xml:space="preserve">  </w:t>
      </w:r>
      <w:r>
        <w:t>I</w:t>
      </w:r>
      <w:r w:rsidRPr="005E06F5">
        <w:t xml:space="preserve">n Tests DS05A and DS05B, freight trains benefit from </w:t>
      </w:r>
      <w:r>
        <w:t>a</w:t>
      </w:r>
      <w:r w:rsidRPr="005E06F5">
        <w:t xml:space="preserve"> shorter route between Bucharest and the Northwest via the new link </w:t>
      </w:r>
      <w:r>
        <w:t xml:space="preserve">between </w:t>
      </w:r>
      <w:r w:rsidRPr="005E06F5">
        <w:t xml:space="preserve">Valcele </w:t>
      </w:r>
      <w:r>
        <w:t xml:space="preserve">and </w:t>
      </w:r>
      <w:r w:rsidRPr="005E06F5">
        <w:t>Ramnicu Valcea. The model also forecasts a small dis-benefit to rail passengers in test DS05R</w:t>
      </w:r>
      <w:r>
        <w:t xml:space="preserve">. This is due to </w:t>
      </w:r>
      <w:r w:rsidRPr="005E06F5">
        <w:t>the importance of coordinating arrivals and departures at interchange station</w:t>
      </w:r>
      <w:r>
        <w:t>s</w:t>
      </w:r>
      <w:r w:rsidRPr="005E06F5">
        <w:t xml:space="preserve">. Freight </w:t>
      </w:r>
      <w:r>
        <w:t xml:space="preserve">traffic </w:t>
      </w:r>
      <w:r w:rsidRPr="005E06F5">
        <w:t xml:space="preserve">in test DS05A generate significant environmental dis-benefits </w:t>
      </w:r>
      <w:r>
        <w:t>by running diesel trains</w:t>
      </w:r>
      <w:r w:rsidRPr="005E06F5">
        <w:t xml:space="preserve"> in a densely urbanised area, th</w:t>
      </w:r>
      <w:r>
        <w:t>is</w:t>
      </w:r>
      <w:r w:rsidRPr="005E06F5">
        <w:t xml:space="preserve"> </w:t>
      </w:r>
      <w:r>
        <w:t xml:space="preserve">negative </w:t>
      </w:r>
      <w:r w:rsidRPr="005E06F5">
        <w:t>impact</w:t>
      </w:r>
      <w:r>
        <w:t xml:space="preserve"> is</w:t>
      </w:r>
      <w:r w:rsidRPr="005E06F5">
        <w:t xml:space="preserve"> addressed in tests DS05B and DS05C with the electrification of the line.</w:t>
      </w:r>
    </w:p>
    <w:p w:rsidR="00660414" w:rsidRDefault="00660414" w:rsidP="00A4081F">
      <w:pPr>
        <w:pStyle w:val="NumberedParas"/>
      </w:pPr>
      <w:r w:rsidRPr="008C5B1B">
        <w:t>The example presented in Figure 5.28 illustrates the forecast traffic changes for the combined scenario, which comprises the impact of including all the best performing options for each corridor. Passenger traffic is forecast to increase across the majority of the network, with the estimated rail patronage more than doubling compared with the reference scenario. The number of daily passengers between Bucharest and Ploiesti increases of least 25,000 in both directions, whilst there are increases of at least 10,000 between Timisoara and Arad, Bacau and Ploiesti, Brasov and Ploiesti and Craiova to Bucharest. The only parts of the network affected by a reduction in passengers include Iasi to Tecuci and Bistrita to Miercurea Ciuc, although these changes are caused by service improvements on parallel corridors.</w:t>
      </w:r>
      <w: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0298802" wp14:editId="24536582">
            <wp:extent cx="5609028" cy="3960000"/>
            <wp:effectExtent l="0" t="0" r="0" b="2540"/>
            <wp:docPr id="574" name="Picture 1" descr="F:\Projects\Transport Planning - Romania UK GTMP\PUBLIC TRANSPORT\Rail\04_Plots\Rail_results\output\DS99A_2030_change_pas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Rail_results\output\DS99A_2030_change_pass_v2.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609028"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79" w:name="_Toc398885068"/>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29</w:t>
      </w:r>
      <w:r w:rsidRPr="008C7A83">
        <w:rPr>
          <w:b/>
          <w:sz w:val="22"/>
          <w:szCs w:val="22"/>
        </w:rPr>
        <w:fldChar w:fldCharType="end"/>
      </w:r>
      <w:r w:rsidRPr="008C7A83">
        <w:rPr>
          <w:b/>
          <w:sz w:val="22"/>
          <w:szCs w:val="22"/>
        </w:rPr>
        <w:t>: Change in Passenger Demand versus the Reference Case- 2030 Combined Scenario</w:t>
      </w:r>
    </w:p>
    <w:p w:rsidR="00660414" w:rsidRPr="002F07AC" w:rsidRDefault="00660414" w:rsidP="002F07AC">
      <w:pPr>
        <w:rPr>
          <w:i/>
        </w:rPr>
      </w:pPr>
      <w:bookmarkStart w:id="7980" w:name="_Toc398885069"/>
      <w:bookmarkEnd w:id="7979"/>
      <w:r w:rsidRPr="002F07AC">
        <w:rPr>
          <w:i/>
        </w:rPr>
        <w:t>Source: AECOM forecasting model</w:t>
      </w:r>
      <w:bookmarkEnd w:id="7980"/>
    </w:p>
    <w:p w:rsidR="00660414" w:rsidRDefault="00660414" w:rsidP="00A4081F">
      <w:pPr>
        <w:pStyle w:val="NumberedParas"/>
      </w:pPr>
      <w:r w:rsidRPr="008C5B1B">
        <w:t>The increase in passenger traffic is even more evident when the foreasted flow for the 2030 combined scenario is compared against the observed 2011 flows, as Figure 5.29 demonstrates. Core corridors experience a substantial passenger traffic increase, with flows to and from Bucharest facing the largest increases in absolute terms.</w:t>
      </w:r>
      <w:r>
        <w:br w:type="page"/>
      </w:r>
    </w:p>
    <w:p w:rsidR="00660414" w:rsidRPr="008C5B1B" w:rsidRDefault="00660414" w:rsidP="00660414">
      <w:pPr>
        <w:rPr>
          <w:b/>
          <w:noProof/>
          <w:sz w:val="22"/>
          <w:szCs w:val="22"/>
          <w:lang w:eastAsia="en-GB"/>
        </w:rPr>
      </w:pPr>
      <w:bookmarkStart w:id="7981" w:name="_Toc398885070"/>
      <w:r w:rsidRPr="008C5B1B">
        <w:rPr>
          <w:b/>
          <w:noProof/>
          <w:sz w:val="22"/>
          <w:szCs w:val="22"/>
          <w:lang w:val="ro-RO" w:eastAsia="ro-RO"/>
        </w:rPr>
        <w:drawing>
          <wp:inline distT="0" distB="0" distL="0" distR="0" wp14:anchorId="2E69E938" wp14:editId="3024DDA4">
            <wp:extent cx="5549895" cy="3960000"/>
            <wp:effectExtent l="0" t="0" r="0" b="2540"/>
            <wp:docPr id="575" name="Picture 209" descr="DS99_2030_change_pass_vs_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99_2030_change_pass_vs_Base.jpg"/>
                    <pic:cNvPicPr/>
                  </pic:nvPicPr>
                  <pic:blipFill>
                    <a:blip r:embed="rId197" cstate="print"/>
                    <a:srcRect l="2312" t="2499" r="2117" b="2321"/>
                    <a:stretch>
                      <a:fillRect/>
                    </a:stretch>
                  </pic:blipFill>
                  <pic:spPr>
                    <a:xfrm>
                      <a:off x="0" y="0"/>
                      <a:ext cx="5549895" cy="3960000"/>
                    </a:xfrm>
                    <a:prstGeom prst="rect">
                      <a:avLst/>
                    </a:prstGeom>
                  </pic:spPr>
                </pic:pic>
              </a:graphicData>
            </a:graphic>
          </wp:inline>
        </w:drawing>
      </w:r>
      <w:bookmarkEnd w:id="7981"/>
    </w:p>
    <w:p w:rsidR="00660414" w:rsidRPr="008C7A83" w:rsidRDefault="00660414" w:rsidP="00660414">
      <w:pPr>
        <w:pStyle w:val="Caption"/>
        <w:rPr>
          <w:b/>
          <w:sz w:val="22"/>
          <w:szCs w:val="22"/>
        </w:rPr>
      </w:pPr>
      <w:bookmarkStart w:id="7982" w:name="_Toc398885071"/>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30</w:t>
      </w:r>
      <w:r w:rsidRPr="008C7A83">
        <w:rPr>
          <w:b/>
          <w:sz w:val="22"/>
          <w:szCs w:val="22"/>
        </w:rPr>
        <w:fldChar w:fldCharType="end"/>
      </w:r>
      <w:r w:rsidRPr="008C7A83">
        <w:rPr>
          <w:b/>
          <w:sz w:val="22"/>
          <w:szCs w:val="22"/>
        </w:rPr>
        <w:t>: Change in Passenger Demand versus the base 2011 Case- 2030 Combined Scenario</w:t>
      </w:r>
    </w:p>
    <w:bookmarkEnd w:id="7982"/>
    <w:p w:rsidR="00660414" w:rsidRPr="008C5B1B" w:rsidRDefault="00660414" w:rsidP="007613DE">
      <w:pPr>
        <w:rPr>
          <w:i/>
        </w:rPr>
      </w:pPr>
      <w:r w:rsidRPr="008C5B1B">
        <w:rPr>
          <w:i/>
        </w:rPr>
        <w:t>Source: AECOM forecasting model</w:t>
      </w:r>
    </w:p>
    <w:p w:rsidR="00660414" w:rsidRDefault="00660414" w:rsidP="00A4081F">
      <w:pPr>
        <w:pStyle w:val="NumberedParas"/>
      </w:pPr>
      <w:r w:rsidRPr="008C5B1B">
        <w:t>Freight traffic has been also forecast to rise about 20% in relative terms as shown in Figure 5.30.This increase would be achieved by restoring the rail network to design conditions, improving freight travel times considerably. Further demand growth could be delivered if new intermodal terminals were constructed and this is examined in Chapter 10. The corridors attracting most of the additional traffic are the lines from Bucharest to Arad via Craiova, Core Corridor Ten-T IX and the line Bucharest to Sibiu via the proposed new link between Valcele and Ramnicu Valcea.</w:t>
      </w:r>
      <w: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1579D52" wp14:editId="693B03DD">
            <wp:extent cx="5673749" cy="3960000"/>
            <wp:effectExtent l="0" t="0" r="3175" b="2540"/>
            <wp:docPr id="576" name="Picture 2" descr="F:\Projects\Transport Planning - Romania UK GTMP\PUBLIC TRANSPORT\Rail\04_Plots\Rail_results\output\DS9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99A_2030_change_freight.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673749"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sz w:val="22"/>
          <w:szCs w:val="22"/>
        </w:rPr>
      </w:pPr>
      <w:bookmarkStart w:id="7983" w:name="_Toc398885072"/>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31</w:t>
      </w:r>
      <w:r w:rsidRPr="008C7A83">
        <w:rPr>
          <w:b/>
          <w:sz w:val="22"/>
          <w:szCs w:val="22"/>
        </w:rPr>
        <w:fldChar w:fldCharType="end"/>
      </w:r>
      <w:r w:rsidRPr="008C7A83">
        <w:rPr>
          <w:b/>
          <w:sz w:val="22"/>
          <w:szCs w:val="22"/>
        </w:rPr>
        <w:t>: Change in Freight Demand - Combined Scenario</w:t>
      </w:r>
    </w:p>
    <w:p w:rsidR="00660414" w:rsidRPr="008C5B1B" w:rsidRDefault="00660414" w:rsidP="007613DE">
      <w:pPr>
        <w:rPr>
          <w:i/>
        </w:rPr>
      </w:pPr>
      <w:bookmarkStart w:id="7984" w:name="_Toc398885073"/>
      <w:bookmarkEnd w:id="7983"/>
      <w:r w:rsidRPr="008C5B1B">
        <w:rPr>
          <w:i/>
        </w:rPr>
        <w:t>Source: AECOM forecasting model</w:t>
      </w:r>
      <w:bookmarkEnd w:id="7984"/>
    </w:p>
    <w:p w:rsidR="00660414" w:rsidRDefault="00660414" w:rsidP="00660414">
      <w:pPr>
        <w:rPr>
          <w:rFonts w:cs="Arial"/>
          <w:b/>
          <w:color w:val="9E0880"/>
          <w:sz w:val="22"/>
          <w:szCs w:val="22"/>
        </w:rPr>
      </w:pPr>
      <w:r>
        <w:rPr>
          <w:b/>
          <w:color w:val="9E0880"/>
          <w:sz w:val="22"/>
          <w:szCs w:val="22"/>
        </w:rPr>
        <w:br w:type="page"/>
      </w:r>
    </w:p>
    <w:p w:rsidR="00660414" w:rsidRPr="002F07AC" w:rsidRDefault="00660414" w:rsidP="002F07AC">
      <w:pPr>
        <w:pStyle w:val="Hdg3"/>
        <w:ind w:left="851"/>
      </w:pPr>
      <w:r w:rsidRPr="002F07AC">
        <w:t>Detailed Results Analysis: Core TEN-T corridor IV-N and link to Cluj-Napoca to design speed (Test DS01A)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rPr>
                <w:rFonts w:cs="Arial"/>
                <w:b/>
                <w:sz w:val="22"/>
                <w:szCs w:val="22"/>
              </w:rPr>
            </w:pPr>
            <w:r w:rsidRPr="008C5B1B">
              <w:rPr>
                <w:rFonts w:cs="Arial"/>
                <w:b/>
                <w:sz w:val="22"/>
                <w:szCs w:val="22"/>
              </w:rPr>
              <w:t>Proposal description:</w:t>
            </w:r>
          </w:p>
          <w:p w:rsidR="00660414" w:rsidRDefault="00660414" w:rsidP="007613DE">
            <w:pPr>
              <w:rPr>
                <w:lang w:val="ro-RO"/>
              </w:rPr>
            </w:pPr>
            <w:r>
              <w:rPr>
                <w:rFonts w:cs="Arial"/>
                <w:sz w:val="22"/>
                <w:szCs w:val="22"/>
              </w:rPr>
              <w:t>Upgrade programme for</w:t>
            </w:r>
            <w:r w:rsidRPr="00804F1B">
              <w:rPr>
                <w:rFonts w:cs="Arial"/>
                <w:sz w:val="22"/>
                <w:szCs w:val="22"/>
              </w:rPr>
              <w:t xml:space="preserve"> Core TEN-T corridor IV-N between Bucharest Nord and Arad /Hungarian border; and line 300 between Cluj-Napoca and Core TEN-T corridor IV-N. The sections Bucharest to Predeal, Sighisoara to Deva and Hungarian border to km 614 (Northwest of Lipova) are either already rehabilitated or under upgrade.</w:t>
            </w:r>
          </w:p>
          <w:p w:rsidR="00660414" w:rsidRDefault="00660414" w:rsidP="007613DE">
            <w:pPr>
              <w:rPr>
                <w:lang w:val="ro-RO"/>
              </w:rPr>
            </w:pPr>
          </w:p>
          <w:p w:rsidR="00660414" w:rsidRPr="000A76BD" w:rsidRDefault="00660414" w:rsidP="007613DE">
            <w:pPr>
              <w:spacing w:line="276" w:lineRule="auto"/>
              <w:rPr>
                <w:rFonts w:cs="Arial"/>
                <w:sz w:val="22"/>
                <w:szCs w:val="22"/>
              </w:rPr>
            </w:pPr>
            <w:r w:rsidRPr="00804F1B">
              <w:rPr>
                <w:rFonts w:cs="Arial"/>
                <w:sz w:val="22"/>
                <w:szCs w:val="22"/>
              </w:rPr>
              <w:t xml:space="preserve">This project includes: </w:t>
            </w:r>
          </w:p>
          <w:p w:rsidR="00660414" w:rsidRPr="000A76BD" w:rsidRDefault="00660414" w:rsidP="0085264B">
            <w:pPr>
              <w:pStyle w:val="ListParagraph"/>
              <w:numPr>
                <w:ilvl w:val="0"/>
                <w:numId w:val="61"/>
              </w:numPr>
              <w:spacing w:after="120" w:line="276" w:lineRule="auto"/>
              <w:contextualSpacing/>
              <w:rPr>
                <w:sz w:val="22"/>
                <w:szCs w:val="22"/>
              </w:rPr>
            </w:pPr>
            <w:r w:rsidRPr="00804F1B">
              <w:rPr>
                <w:sz w:val="22"/>
                <w:szCs w:val="22"/>
              </w:rPr>
              <w:t>Rehabilitation to design speed of corridors: 300 Bucharest Nord to Cluj-Napoca, 200A, 200 Hungarian border to Alba Iulia (some sections have been already rehabilitated).</w:t>
            </w:r>
          </w:p>
          <w:p w:rsidR="00660414" w:rsidRPr="000A76BD" w:rsidRDefault="00660414" w:rsidP="0085264B">
            <w:pPr>
              <w:pStyle w:val="ListParagraph"/>
              <w:numPr>
                <w:ilvl w:val="0"/>
                <w:numId w:val="61"/>
              </w:numPr>
              <w:spacing w:after="120" w:line="276" w:lineRule="auto"/>
              <w:contextualSpacing/>
              <w:rPr>
                <w:sz w:val="22"/>
                <w:szCs w:val="22"/>
              </w:rPr>
            </w:pPr>
            <w:r w:rsidRPr="00804F1B">
              <w:rPr>
                <w:sz w:val="22"/>
                <w:szCs w:val="22"/>
              </w:rPr>
              <w:t>Steady state maintenance of the core network (baseline assumption for all Do Something tests).</w:t>
            </w:r>
          </w:p>
          <w:p w:rsidR="00660414" w:rsidRPr="000A76BD" w:rsidRDefault="00660414" w:rsidP="0085264B">
            <w:pPr>
              <w:pStyle w:val="ListParagraph"/>
              <w:numPr>
                <w:ilvl w:val="0"/>
                <w:numId w:val="61"/>
              </w:numPr>
              <w:spacing w:after="120" w:line="276" w:lineRule="auto"/>
              <w:contextualSpacing/>
              <w:rPr>
                <w:sz w:val="22"/>
                <w:szCs w:val="22"/>
              </w:rPr>
            </w:pPr>
            <w:r w:rsidRPr="00804F1B">
              <w:rPr>
                <w:sz w:val="22"/>
                <w:szCs w:val="22"/>
              </w:rPr>
              <w:t>Improved signalling and communications systems, ERTMS will be implemented on Core TEN-T corridor IV-N.</w:t>
            </w:r>
          </w:p>
          <w:p w:rsidR="00660414" w:rsidRPr="000A76BD" w:rsidRDefault="00660414" w:rsidP="0085264B">
            <w:pPr>
              <w:pStyle w:val="ListParagraph"/>
              <w:numPr>
                <w:ilvl w:val="0"/>
                <w:numId w:val="61"/>
              </w:numPr>
              <w:spacing w:after="120" w:line="276" w:lineRule="auto"/>
              <w:contextualSpacing/>
              <w:rPr>
                <w:sz w:val="22"/>
                <w:szCs w:val="22"/>
              </w:rPr>
            </w:pPr>
            <w:r w:rsidRPr="00804F1B">
              <w:rPr>
                <w:sz w:val="22"/>
                <w:szCs w:val="22"/>
              </w:rPr>
              <w:t>Improved station facilities at Bucharest, Ploiesti, Campina, Predeal, Brasov, Sigishoara, Medias, Blaj, Aiud, Campia Turzii, Cluj-Napoca, Alba Iulia, Simeria, Deva, Ilia, Radna and Arad.</w:t>
            </w:r>
          </w:p>
          <w:p w:rsidR="00660414" w:rsidRPr="008C5B1B" w:rsidRDefault="00660414" w:rsidP="0085264B">
            <w:pPr>
              <w:pStyle w:val="ListParagraph"/>
              <w:numPr>
                <w:ilvl w:val="0"/>
                <w:numId w:val="61"/>
              </w:numPr>
              <w:spacing w:after="120" w:line="276" w:lineRule="auto"/>
              <w:contextualSpacing/>
              <w:rPr>
                <w:sz w:val="22"/>
                <w:szCs w:val="22"/>
              </w:rPr>
            </w:pPr>
            <w:r w:rsidRPr="00804F1B">
              <w:rPr>
                <w:sz w:val="22"/>
                <w:szCs w:val="22"/>
              </w:rPr>
              <w:t>Interregio regular interval timetable operated by new rolling stock. The proposed regular interval service pattern is:</w:t>
            </w:r>
            <w:r w:rsidRPr="00804F1B">
              <w:rPr>
                <w:color w:val="000000"/>
                <w:sz w:val="22"/>
                <w:szCs w:val="22"/>
              </w:rPr>
              <w:t xml:space="preserve"> </w:t>
            </w:r>
            <w:r w:rsidRPr="00804F1B">
              <w:rPr>
                <w:sz w:val="22"/>
                <w:szCs w:val="22"/>
              </w:rPr>
              <w:t>Bucharest to Cluj-Napoca (0.5 tph), Bucharest to Arad (0.5 tph), Bucharest to Brasov (1 tph), Deva to Cluj-Napoca (0.5 tph).</w:t>
            </w:r>
          </w:p>
        </w:tc>
      </w:tr>
    </w:tbl>
    <w:p w:rsidR="00660414" w:rsidRPr="008C5B1B"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18103484" wp14:editId="40BB6FC3">
            <wp:extent cx="5760000" cy="4043175"/>
            <wp:effectExtent l="0" t="0" r="0" b="0"/>
            <wp:docPr id="426" name="Picture 4" descr="F:\Projects\Transport Planning - Romania UK GTMP\PUBLIC TRANSPORT\Rail\04_Plots\Do_Somthing_schemes\outputs\DoSomethingSchemes_DS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Do_Somthing_schemes\outputs\DoSomethingSchemes_DS01A.jpg"/>
                    <pic:cNvPicPr>
                      <a:picLocks noChangeAspect="1" noChangeArrowheads="1"/>
                    </pic:cNvPicPr>
                  </pic:nvPicPr>
                  <pic:blipFill>
                    <a:blip r:embed="rId199" cstate="print"/>
                    <a:srcRect l="2361" t="2468" r="2146" b="2606"/>
                    <a:stretch>
                      <a:fillRect/>
                    </a:stretch>
                  </pic:blipFill>
                  <pic:spPr bwMode="auto">
                    <a:xfrm>
                      <a:off x="0" y="0"/>
                      <a:ext cx="5760000" cy="4043175"/>
                    </a:xfrm>
                    <a:prstGeom prst="rect">
                      <a:avLst/>
                    </a:prstGeom>
                    <a:noFill/>
                    <a:ln w="9525">
                      <a:noFill/>
                      <a:miter lim="800000"/>
                      <a:headEnd/>
                      <a:tailEnd/>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32</w:t>
      </w:r>
      <w:r w:rsidRPr="0075501B">
        <w:rPr>
          <w:b/>
          <w:sz w:val="22"/>
          <w:szCs w:val="22"/>
        </w:rPr>
        <w:fldChar w:fldCharType="end"/>
      </w:r>
      <w:r>
        <w:rPr>
          <w:b/>
          <w:sz w:val="22"/>
          <w:szCs w:val="22"/>
        </w:rPr>
        <w:t>:</w:t>
      </w:r>
      <w:r w:rsidRPr="0075501B">
        <w:rPr>
          <w:b/>
          <w:sz w:val="22"/>
          <w:szCs w:val="22"/>
        </w:rPr>
        <w:t xml:space="preserve"> </w:t>
      </w:r>
      <w:r>
        <w:rPr>
          <w:b/>
          <w:sz w:val="22"/>
          <w:szCs w:val="22"/>
        </w:rPr>
        <w:t>Description of Service Proposals – DS01A</w:t>
      </w:r>
    </w:p>
    <w:p w:rsidR="00660414" w:rsidRDefault="00660414" w:rsidP="007613DE">
      <w:pPr>
        <w:rPr>
          <w:i/>
        </w:rPr>
      </w:pPr>
      <w:r w:rsidRPr="008C5B1B">
        <w:rPr>
          <w:i/>
        </w:rPr>
        <w:t>Source: AECOM forecast</w:t>
      </w:r>
    </w:p>
    <w:p w:rsidR="00660414" w:rsidRPr="008C5B1B" w:rsidRDefault="00660414" w:rsidP="00660414">
      <w:pPr>
        <w:outlineLvl w:val="0"/>
        <w:rPr>
          <w:i/>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line="276" w:lineRule="auto"/>
              <w:rPr>
                <w:rFonts w:cs="Arial"/>
                <w:b/>
                <w:sz w:val="22"/>
                <w:szCs w:val="22"/>
              </w:rPr>
            </w:pPr>
            <w:r w:rsidRPr="008C5B1B">
              <w:rPr>
                <w:rFonts w:cs="Arial"/>
                <w:b/>
                <w:sz w:val="22"/>
                <w:szCs w:val="22"/>
              </w:rPr>
              <w:t>Problems addressed:</w:t>
            </w:r>
          </w:p>
          <w:p w:rsidR="00660414" w:rsidRPr="000A76BD" w:rsidRDefault="00660414" w:rsidP="007613DE">
            <w:pPr>
              <w:spacing w:line="276" w:lineRule="auto"/>
              <w:rPr>
                <w:rFonts w:cs="Arial"/>
                <w:sz w:val="22"/>
                <w:szCs w:val="22"/>
              </w:rPr>
            </w:pPr>
            <w:r w:rsidRPr="00804F1B">
              <w:rPr>
                <w:rFonts w:cs="Arial"/>
                <w:sz w:val="22"/>
                <w:szCs w:val="22"/>
              </w:rPr>
              <w:t xml:space="preserve">This intervention addresses the following issues: </w:t>
            </w:r>
          </w:p>
          <w:p w:rsidR="00660414" w:rsidRPr="000A76BD" w:rsidRDefault="00660414" w:rsidP="0085264B">
            <w:pPr>
              <w:pStyle w:val="ListParagraph"/>
              <w:numPr>
                <w:ilvl w:val="0"/>
                <w:numId w:val="62"/>
              </w:numPr>
              <w:spacing w:after="120" w:line="276" w:lineRule="auto"/>
              <w:contextualSpacing/>
              <w:rPr>
                <w:sz w:val="22"/>
                <w:szCs w:val="22"/>
              </w:rPr>
            </w:pPr>
            <w:r w:rsidRPr="00804F1B">
              <w:rPr>
                <w:sz w:val="22"/>
                <w:szCs w:val="22"/>
              </w:rPr>
              <w:t>Deteriorat</w:t>
            </w:r>
            <w:r>
              <w:rPr>
                <w:sz w:val="22"/>
                <w:szCs w:val="22"/>
              </w:rPr>
              <w:t xml:space="preserve">ing </w:t>
            </w:r>
            <w:r w:rsidRPr="00804F1B">
              <w:rPr>
                <w:sz w:val="22"/>
                <w:szCs w:val="22"/>
              </w:rPr>
              <w:t>track condition due to underspend in maintenance and renewals. Slow running speeds of passenger and freight trains between Bucharest and Cluj-Napoca, Bucharest and Arad and towards Hungary</w:t>
            </w:r>
            <w:r>
              <w:rPr>
                <w:sz w:val="22"/>
                <w:szCs w:val="22"/>
              </w:rPr>
              <w:t>;</w:t>
            </w:r>
          </w:p>
          <w:p w:rsidR="00660414" w:rsidRDefault="00660414" w:rsidP="0085264B">
            <w:pPr>
              <w:pStyle w:val="ListParagraph"/>
              <w:numPr>
                <w:ilvl w:val="0"/>
                <w:numId w:val="62"/>
              </w:numPr>
              <w:spacing w:after="120" w:line="276" w:lineRule="auto"/>
              <w:contextualSpacing/>
              <w:rPr>
                <w:sz w:val="22"/>
                <w:szCs w:val="22"/>
              </w:rPr>
            </w:pPr>
            <w:r w:rsidRPr="007306DA">
              <w:rPr>
                <w:sz w:val="22"/>
                <w:szCs w:val="22"/>
              </w:rPr>
              <w:t>Delays due to poor infrastructure condition, with commercial speeds below design parameters between Predeal and Arad and Teius and Cluj-Napoca. Maximum speeds are as low as 45% of the design parameters (section Augustin – Racos);</w:t>
            </w:r>
          </w:p>
          <w:p w:rsidR="00660414" w:rsidRPr="007306DA" w:rsidRDefault="00660414" w:rsidP="0085264B">
            <w:pPr>
              <w:pStyle w:val="ListParagraph"/>
              <w:numPr>
                <w:ilvl w:val="0"/>
                <w:numId w:val="62"/>
              </w:numPr>
              <w:spacing w:after="120" w:line="276" w:lineRule="auto"/>
              <w:contextualSpacing/>
              <w:rPr>
                <w:sz w:val="22"/>
                <w:szCs w:val="22"/>
              </w:rPr>
            </w:pPr>
            <w:r w:rsidRPr="007306DA">
              <w:rPr>
                <w:sz w:val="22"/>
                <w:szCs w:val="22"/>
              </w:rPr>
              <w:t>Low rail market share on the Bucharest – Ploiesti – Brasov section, with rail not competitive versus road on the corridor;</w:t>
            </w:r>
          </w:p>
          <w:p w:rsidR="00660414" w:rsidRPr="000A76BD" w:rsidRDefault="00660414" w:rsidP="0085264B">
            <w:pPr>
              <w:pStyle w:val="ListParagraph"/>
              <w:numPr>
                <w:ilvl w:val="0"/>
                <w:numId w:val="62"/>
              </w:numPr>
              <w:spacing w:after="120" w:line="276" w:lineRule="auto"/>
              <w:contextualSpacing/>
              <w:rPr>
                <w:sz w:val="22"/>
                <w:szCs w:val="22"/>
              </w:rPr>
            </w:pPr>
            <w:r w:rsidRPr="00804F1B">
              <w:rPr>
                <w:sz w:val="22"/>
                <w:szCs w:val="22"/>
              </w:rPr>
              <w:t>Poor rolling stock and station facilities condition</w:t>
            </w:r>
            <w:r>
              <w:rPr>
                <w:sz w:val="22"/>
                <w:szCs w:val="22"/>
              </w:rPr>
              <w:t xml:space="preserve"> which is </w:t>
            </w:r>
            <w:r w:rsidRPr="00804F1B">
              <w:rPr>
                <w:sz w:val="22"/>
                <w:szCs w:val="22"/>
              </w:rPr>
              <w:t>country wide issue</w:t>
            </w:r>
            <w:r>
              <w:rPr>
                <w:sz w:val="22"/>
                <w:szCs w:val="22"/>
              </w:rPr>
              <w:t>;</w:t>
            </w:r>
          </w:p>
          <w:p w:rsidR="00660414" w:rsidRPr="000A76BD" w:rsidRDefault="00660414" w:rsidP="0085264B">
            <w:pPr>
              <w:pStyle w:val="ListParagraph"/>
              <w:numPr>
                <w:ilvl w:val="0"/>
                <w:numId w:val="62"/>
              </w:numPr>
              <w:spacing w:after="120" w:line="276" w:lineRule="auto"/>
              <w:contextualSpacing/>
              <w:rPr>
                <w:sz w:val="22"/>
                <w:szCs w:val="22"/>
              </w:rPr>
            </w:pPr>
            <w:r w:rsidRPr="00804F1B">
              <w:rPr>
                <w:sz w:val="22"/>
                <w:szCs w:val="22"/>
              </w:rPr>
              <w:t>Inefficient timetable leading to low staff efficiency and poor rolling stock usage. Long turnaround times and irregular stoppin</w:t>
            </w:r>
            <w:r>
              <w:rPr>
                <w:sz w:val="22"/>
                <w:szCs w:val="22"/>
              </w:rPr>
              <w:t>g patterns which affects all services;</w:t>
            </w:r>
          </w:p>
          <w:p w:rsidR="00660414" w:rsidRPr="000A76BD" w:rsidRDefault="00660414" w:rsidP="0085264B">
            <w:pPr>
              <w:pStyle w:val="ListParagraph"/>
              <w:numPr>
                <w:ilvl w:val="0"/>
                <w:numId w:val="62"/>
              </w:numPr>
              <w:spacing w:after="120" w:line="276" w:lineRule="auto"/>
              <w:contextualSpacing/>
              <w:rPr>
                <w:sz w:val="22"/>
                <w:szCs w:val="22"/>
              </w:rPr>
            </w:pPr>
            <w:r w:rsidRPr="00804F1B">
              <w:rPr>
                <w:sz w:val="22"/>
                <w:szCs w:val="22"/>
              </w:rPr>
              <w:t>Poor reliability record and inefficient signalling systems</w:t>
            </w:r>
            <w:r>
              <w:rPr>
                <w:sz w:val="22"/>
                <w:szCs w:val="22"/>
              </w:rPr>
              <w:t xml:space="preserve"> which affect the wider n</w:t>
            </w:r>
            <w:r w:rsidRPr="00804F1B">
              <w:rPr>
                <w:sz w:val="22"/>
                <w:szCs w:val="22"/>
              </w:rPr>
              <w:t>etwork</w:t>
            </w:r>
            <w:r>
              <w:rPr>
                <w:sz w:val="22"/>
                <w:szCs w:val="22"/>
              </w:rPr>
              <w:t>;</w:t>
            </w:r>
          </w:p>
          <w:p w:rsidR="00660414" w:rsidRPr="008C5B1B" w:rsidRDefault="00660414" w:rsidP="0085264B">
            <w:pPr>
              <w:pStyle w:val="ListParagraph"/>
              <w:numPr>
                <w:ilvl w:val="0"/>
                <w:numId w:val="62"/>
              </w:numPr>
              <w:spacing w:after="120" w:line="276" w:lineRule="auto"/>
              <w:contextualSpacing/>
              <w:rPr>
                <w:sz w:val="22"/>
                <w:szCs w:val="22"/>
              </w:rPr>
            </w:pPr>
            <w:r w:rsidRPr="00804F1B">
              <w:rPr>
                <w:sz w:val="22"/>
                <w:szCs w:val="22"/>
              </w:rPr>
              <w:t>Limited capacity and obsolete signalling systems. Infrastructure between Bucharest and Brasov may not be able to cope with the forecast rail traffic after rehabilitation</w:t>
            </w:r>
            <w:r>
              <w:rPr>
                <w:sz w:val="22"/>
                <w:szCs w:val="22"/>
              </w:rPr>
              <w:t>. A</w:t>
            </w:r>
            <w:r w:rsidRPr="00804F1B">
              <w:rPr>
                <w:sz w:val="22"/>
                <w:szCs w:val="22"/>
              </w:rPr>
              <w:t xml:space="preserve"> pilot ERTMS test planned on this line would increase capacity and </w:t>
            </w:r>
            <w:r>
              <w:rPr>
                <w:sz w:val="22"/>
                <w:szCs w:val="22"/>
              </w:rPr>
              <w:t xml:space="preserve">improve </w:t>
            </w:r>
            <w:r w:rsidRPr="00804F1B">
              <w:rPr>
                <w:sz w:val="22"/>
                <w:szCs w:val="22"/>
              </w:rPr>
              <w:t>safety</w:t>
            </w:r>
            <w:r>
              <w:rPr>
                <w:sz w:val="22"/>
                <w:szCs w:val="22"/>
              </w:rPr>
              <w:t>.</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rPr>
          <w:rFonts w:cs="Arial"/>
          <w:sz w:val="22"/>
          <w:szCs w:val="22"/>
        </w:rPr>
      </w:pPr>
      <w:r w:rsidRPr="00804F1B">
        <w:rPr>
          <w:rFonts w:cs="Arial"/>
          <w:sz w:val="22"/>
          <w:szCs w:val="22"/>
        </w:rPr>
        <w:t>It has been estimated that the project will incur in the following costs, excluding steady state maintenance of the core network and infrastructure rehabilitation of corridors either previously restored or under upgrade.</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16</w:t>
      </w:r>
      <w:r w:rsidRPr="001F5936">
        <w:rPr>
          <w:b/>
          <w:sz w:val="22"/>
          <w:szCs w:val="22"/>
        </w:rPr>
        <w:fldChar w:fldCharType="end"/>
      </w:r>
      <w:r w:rsidRPr="001F5936">
        <w:rPr>
          <w:b/>
          <w:sz w:val="22"/>
          <w:szCs w:val="22"/>
        </w:rPr>
        <w:t>:</w:t>
      </w:r>
      <w:r>
        <w:rPr>
          <w:b/>
          <w:sz w:val="22"/>
          <w:szCs w:val="22"/>
        </w:rPr>
        <w:t xml:space="preserve"> Summary of Infrastructure Costs and Operating Costs (DS01A)</w:t>
      </w:r>
    </w:p>
    <w:tbl>
      <w:tblPr>
        <w:tblStyle w:val="TableGrid"/>
        <w:tblW w:w="4976" w:type="pct"/>
        <w:tblLook w:val="04A0" w:firstRow="1" w:lastRow="0" w:firstColumn="1" w:lastColumn="0" w:noHBand="0" w:noVBand="1"/>
      </w:tblPr>
      <w:tblGrid>
        <w:gridCol w:w="1409"/>
        <w:gridCol w:w="2598"/>
        <w:gridCol w:w="6450"/>
      </w:tblGrid>
      <w:tr w:rsidR="00660414" w:rsidRPr="000A76BD" w:rsidTr="007613DE">
        <w:trPr>
          <w:cantSplit/>
          <w:tblHeader/>
        </w:trPr>
        <w:tc>
          <w:tcPr>
            <w:tcW w:w="674" w:type="pct"/>
            <w:shd w:val="clear" w:color="auto" w:fill="C6D9F1"/>
            <w:vAlign w:val="center"/>
          </w:tcPr>
          <w:p w:rsidR="00660414" w:rsidRPr="000A76BD" w:rsidRDefault="00660414" w:rsidP="007613DE">
            <w:pPr>
              <w:spacing w:line="276" w:lineRule="auto"/>
              <w:jc w:val="center"/>
              <w:rPr>
                <w:rFonts w:cs="Arial"/>
                <w:b/>
                <w:bCs/>
                <w:sz w:val="22"/>
                <w:szCs w:val="22"/>
              </w:rPr>
            </w:pPr>
            <w:r w:rsidRPr="00804F1B">
              <w:rPr>
                <w:rFonts w:cs="Arial"/>
                <w:b/>
                <w:bCs/>
                <w:sz w:val="22"/>
                <w:szCs w:val="22"/>
              </w:rPr>
              <w:t>Item</w:t>
            </w:r>
          </w:p>
        </w:tc>
        <w:tc>
          <w:tcPr>
            <w:tcW w:w="1242" w:type="pct"/>
            <w:shd w:val="clear" w:color="auto" w:fill="C6D9F1"/>
            <w:vAlign w:val="center"/>
          </w:tcPr>
          <w:p w:rsidR="00660414" w:rsidRPr="000A76BD" w:rsidRDefault="00660414" w:rsidP="007613DE">
            <w:pPr>
              <w:spacing w:line="276" w:lineRule="auto"/>
              <w:jc w:val="center"/>
              <w:rPr>
                <w:rFonts w:cs="Arial"/>
                <w:b/>
                <w:bCs/>
                <w:sz w:val="22"/>
                <w:szCs w:val="22"/>
              </w:rPr>
            </w:pPr>
            <w:r w:rsidRPr="00804F1B">
              <w:rPr>
                <w:rFonts w:cs="Arial"/>
                <w:b/>
                <w:bCs/>
                <w:sz w:val="22"/>
                <w:szCs w:val="22"/>
              </w:rPr>
              <w:t>Undiscounted costs (Million €, 2014 prices)</w:t>
            </w:r>
          </w:p>
        </w:tc>
        <w:tc>
          <w:tcPr>
            <w:tcW w:w="3084" w:type="pct"/>
            <w:shd w:val="clear" w:color="auto" w:fill="C6D9F1"/>
            <w:vAlign w:val="center"/>
          </w:tcPr>
          <w:p w:rsidR="00660414" w:rsidRPr="000A76BD" w:rsidRDefault="00660414" w:rsidP="007613DE">
            <w:pPr>
              <w:spacing w:line="276" w:lineRule="auto"/>
              <w:jc w:val="center"/>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674" w:type="pct"/>
            <w:vAlign w:val="center"/>
          </w:tcPr>
          <w:p w:rsidR="00660414" w:rsidRPr="000A76BD" w:rsidRDefault="00660414" w:rsidP="007613DE">
            <w:pPr>
              <w:spacing w:before="120" w:line="276" w:lineRule="auto"/>
              <w:rPr>
                <w:rFonts w:cs="Arial"/>
                <w:sz w:val="22"/>
                <w:szCs w:val="22"/>
              </w:rPr>
            </w:pPr>
            <w:r w:rsidRPr="00804F1B">
              <w:rPr>
                <w:rFonts w:cs="Arial"/>
                <w:sz w:val="22"/>
                <w:szCs w:val="22"/>
              </w:rPr>
              <w:t xml:space="preserve">CAPEX </w:t>
            </w:r>
          </w:p>
        </w:tc>
        <w:tc>
          <w:tcPr>
            <w:tcW w:w="1242"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3,0</w:t>
            </w:r>
            <w:r>
              <w:rPr>
                <w:rFonts w:cs="Arial"/>
                <w:sz w:val="22"/>
                <w:szCs w:val="22"/>
              </w:rPr>
              <w:t>30</w:t>
            </w:r>
          </w:p>
        </w:tc>
        <w:tc>
          <w:tcPr>
            <w:tcW w:w="3084" w:type="pct"/>
          </w:tcPr>
          <w:p w:rsidR="00660414" w:rsidRPr="000A76BD" w:rsidRDefault="00660414" w:rsidP="007613DE">
            <w:pPr>
              <w:spacing w:before="120" w:line="276" w:lineRule="auto"/>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rPr>
                <w:rFonts w:cs="Arial"/>
                <w:sz w:val="22"/>
                <w:szCs w:val="22"/>
              </w:rPr>
            </w:pPr>
            <w:r w:rsidRPr="00804F1B">
              <w:rPr>
                <w:rFonts w:cs="Arial"/>
                <w:sz w:val="22"/>
                <w:szCs w:val="22"/>
              </w:rPr>
              <w:t>Rehabilitation of signaling equipment</w:t>
            </w:r>
          </w:p>
          <w:p w:rsidR="00660414" w:rsidRPr="000A76BD" w:rsidRDefault="00660414" w:rsidP="007613DE">
            <w:pPr>
              <w:spacing w:before="120" w:line="276" w:lineRule="auto"/>
              <w:rPr>
                <w:rFonts w:cs="Arial"/>
                <w:sz w:val="22"/>
                <w:szCs w:val="22"/>
              </w:rPr>
            </w:pPr>
            <w:r w:rsidRPr="00804F1B">
              <w:rPr>
                <w:rFonts w:cs="Arial"/>
                <w:sz w:val="22"/>
                <w:szCs w:val="22"/>
              </w:rPr>
              <w:t>New rolling stock</w:t>
            </w:r>
          </w:p>
          <w:p w:rsidR="00660414" w:rsidRPr="000A76BD" w:rsidRDefault="00660414" w:rsidP="007613DE">
            <w:pPr>
              <w:spacing w:before="120" w:line="276" w:lineRule="auto"/>
              <w:rPr>
                <w:rFonts w:cs="Arial"/>
                <w:sz w:val="22"/>
                <w:szCs w:val="22"/>
              </w:rPr>
            </w:pPr>
            <w:r w:rsidRPr="00804F1B">
              <w:rPr>
                <w:rFonts w:cs="Arial"/>
                <w:sz w:val="22"/>
                <w:szCs w:val="22"/>
              </w:rPr>
              <w:t>Improved station facilities</w:t>
            </w:r>
          </w:p>
        </w:tc>
      </w:tr>
      <w:tr w:rsidR="00660414" w:rsidRPr="000A76BD" w:rsidTr="007613DE">
        <w:trPr>
          <w:cantSplit/>
        </w:trPr>
        <w:tc>
          <w:tcPr>
            <w:tcW w:w="674" w:type="pct"/>
            <w:vAlign w:val="center"/>
          </w:tcPr>
          <w:p w:rsidR="00660414" w:rsidRPr="000A76BD" w:rsidRDefault="00660414" w:rsidP="007613DE">
            <w:pPr>
              <w:spacing w:before="120" w:line="276" w:lineRule="auto"/>
              <w:rPr>
                <w:rFonts w:cs="Arial"/>
                <w:sz w:val="22"/>
                <w:szCs w:val="22"/>
              </w:rPr>
            </w:pPr>
            <w:r w:rsidRPr="00804F1B">
              <w:rPr>
                <w:rFonts w:cs="Arial"/>
                <w:sz w:val="22"/>
                <w:szCs w:val="22"/>
              </w:rPr>
              <w:t xml:space="preserve">OPEX </w:t>
            </w:r>
          </w:p>
        </w:tc>
        <w:tc>
          <w:tcPr>
            <w:tcW w:w="1242"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1,</w:t>
            </w:r>
            <w:r>
              <w:rPr>
                <w:rFonts w:cs="Arial"/>
                <w:sz w:val="22"/>
                <w:szCs w:val="22"/>
              </w:rPr>
              <w:t>935</w:t>
            </w:r>
          </w:p>
        </w:tc>
        <w:tc>
          <w:tcPr>
            <w:tcW w:w="3084" w:type="pct"/>
          </w:tcPr>
          <w:p w:rsidR="00660414" w:rsidRPr="000A76BD" w:rsidRDefault="00660414" w:rsidP="007613DE">
            <w:pPr>
              <w:spacing w:before="120" w:line="276" w:lineRule="auto"/>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674" w:type="pct"/>
            <w:vAlign w:val="center"/>
          </w:tcPr>
          <w:p w:rsidR="00660414" w:rsidRPr="000A76BD" w:rsidRDefault="00660414" w:rsidP="007613DE">
            <w:pPr>
              <w:spacing w:before="120" w:line="276" w:lineRule="auto"/>
              <w:rPr>
                <w:rFonts w:cs="Arial"/>
                <w:sz w:val="22"/>
                <w:szCs w:val="22"/>
              </w:rPr>
            </w:pPr>
            <w:r w:rsidRPr="00804F1B">
              <w:rPr>
                <w:rFonts w:cs="Arial"/>
                <w:sz w:val="22"/>
                <w:szCs w:val="22"/>
              </w:rPr>
              <w:t xml:space="preserve">Total </w:t>
            </w:r>
          </w:p>
        </w:tc>
        <w:tc>
          <w:tcPr>
            <w:tcW w:w="1242"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4,</w:t>
            </w:r>
            <w:r>
              <w:rPr>
                <w:rFonts w:cs="Arial"/>
                <w:sz w:val="22"/>
                <w:szCs w:val="22"/>
              </w:rPr>
              <w:t>965</w:t>
            </w:r>
          </w:p>
        </w:tc>
        <w:tc>
          <w:tcPr>
            <w:tcW w:w="3084" w:type="pct"/>
          </w:tcPr>
          <w:p w:rsidR="00660414" w:rsidRPr="000A76BD" w:rsidRDefault="00660414" w:rsidP="007613DE">
            <w:pPr>
              <w:spacing w:before="120" w:line="276" w:lineRule="auto"/>
              <w:rPr>
                <w:rFonts w:cs="Arial"/>
                <w:sz w:val="22"/>
                <w:szCs w:val="22"/>
              </w:rPr>
            </w:pPr>
            <w:r w:rsidRPr="00804F1B">
              <w:rPr>
                <w:rFonts w:cs="Arial"/>
                <w:sz w:val="22"/>
                <w:szCs w:val="22"/>
              </w:rPr>
              <w:t>CAPEX + OPEX</w:t>
            </w:r>
          </w:p>
        </w:tc>
      </w:tr>
    </w:tbl>
    <w:p w:rsidR="00660414" w:rsidRDefault="00660414" w:rsidP="007613DE">
      <w:pPr>
        <w:rPr>
          <w:i/>
        </w:rPr>
      </w:pPr>
      <w:r>
        <w:rPr>
          <w:i/>
        </w:rPr>
        <w:t>Source: AECOM analysis of data from CFR Marfa and CFR Calatori</w:t>
      </w:r>
    </w:p>
    <w:p w:rsidR="00660414" w:rsidRPr="002F07AC" w:rsidRDefault="00660414" w:rsidP="002F07AC">
      <w:pPr>
        <w:rPr>
          <w:i/>
        </w:rPr>
      </w:pP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rPr>
          <w:rFonts w:cs="Arial"/>
          <w:sz w:val="22"/>
          <w:szCs w:val="22"/>
        </w:rPr>
      </w:pPr>
      <w:r w:rsidRPr="00804F1B">
        <w:rPr>
          <w:rFonts w:cs="Arial"/>
          <w:sz w:val="22"/>
          <w:szCs w:val="22"/>
        </w:rPr>
        <w:t>This intervention returns good value for money (BCR = 1.</w:t>
      </w:r>
      <w:r>
        <w:rPr>
          <w:rFonts w:cs="Arial"/>
          <w:sz w:val="22"/>
          <w:szCs w:val="22"/>
        </w:rPr>
        <w:t>09</w:t>
      </w:r>
      <w:r w:rsidRPr="00804F1B">
        <w:rPr>
          <w:rFonts w:cs="Arial"/>
          <w:sz w:val="22"/>
          <w:szCs w:val="22"/>
        </w:rPr>
        <w:t>), and a significant overall increase in rail passenger and freight traffic</w:t>
      </w:r>
      <w:r>
        <w:rPr>
          <w:rFonts w:cs="Arial"/>
          <w:sz w:val="22"/>
          <w:szCs w:val="22"/>
        </w:rPr>
        <w:t xml:space="preserve"> with an increase </w:t>
      </w:r>
      <w:r w:rsidRPr="00804F1B">
        <w:rPr>
          <w:rFonts w:cs="Arial"/>
          <w:sz w:val="22"/>
          <w:szCs w:val="22"/>
        </w:rPr>
        <w:t>of 27% and 9% respectively</w:t>
      </w:r>
      <w:r>
        <w:rPr>
          <w:rFonts w:cs="Arial"/>
          <w:sz w:val="22"/>
          <w:szCs w:val="22"/>
        </w:rPr>
        <w:t xml:space="preserve">, as shown in Table 5.17. </w:t>
      </w:r>
    </w:p>
    <w:p w:rsidR="00660414" w:rsidRDefault="00660414" w:rsidP="00660414">
      <w:pPr>
        <w:pStyle w:val="Caption"/>
        <w:rPr>
          <w:b/>
          <w:sz w:val="22"/>
          <w:szCs w:val="22"/>
        </w:rPr>
      </w:pP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17</w:t>
      </w:r>
      <w:r w:rsidRPr="001F5936">
        <w:rPr>
          <w:b/>
          <w:sz w:val="22"/>
          <w:szCs w:val="22"/>
        </w:rPr>
        <w:fldChar w:fldCharType="end"/>
      </w:r>
      <w:r w:rsidRPr="001F5936">
        <w:rPr>
          <w:b/>
          <w:sz w:val="22"/>
          <w:szCs w:val="22"/>
        </w:rPr>
        <w:t>:</w:t>
      </w:r>
      <w:r>
        <w:rPr>
          <w:b/>
          <w:sz w:val="22"/>
          <w:szCs w:val="22"/>
        </w:rPr>
        <w:t xml:space="preserve"> Summary of Results </w:t>
      </w:r>
    </w:p>
    <w:tbl>
      <w:tblPr>
        <w:tblStyle w:val="TableGrid"/>
        <w:tblW w:w="3087" w:type="pct"/>
        <w:tblLook w:val="04A0" w:firstRow="1" w:lastRow="0" w:firstColumn="1" w:lastColumn="0" w:noHBand="0" w:noVBand="1"/>
      </w:tblPr>
      <w:tblGrid>
        <w:gridCol w:w="4643"/>
        <w:gridCol w:w="1844"/>
      </w:tblGrid>
      <w:tr w:rsidR="00660414" w:rsidRPr="000A76BD" w:rsidTr="007613DE">
        <w:trPr>
          <w:cantSplit/>
          <w:tblHeader/>
        </w:trPr>
        <w:tc>
          <w:tcPr>
            <w:tcW w:w="3579" w:type="pct"/>
            <w:shd w:val="clear" w:color="auto" w:fill="C6D9F1"/>
            <w:vAlign w:val="center"/>
          </w:tcPr>
          <w:p w:rsidR="00660414" w:rsidRPr="000A76BD" w:rsidRDefault="00660414" w:rsidP="007613DE">
            <w:pPr>
              <w:spacing w:line="276" w:lineRule="auto"/>
              <w:rPr>
                <w:rFonts w:cs="Arial"/>
                <w:b/>
                <w:bCs/>
                <w:sz w:val="22"/>
                <w:szCs w:val="22"/>
              </w:rPr>
            </w:pPr>
            <w:r w:rsidRPr="00804F1B">
              <w:rPr>
                <w:rFonts w:cs="Arial"/>
                <w:b/>
                <w:bCs/>
                <w:sz w:val="22"/>
                <w:szCs w:val="22"/>
              </w:rPr>
              <w:t>Test code</w:t>
            </w:r>
          </w:p>
        </w:tc>
        <w:tc>
          <w:tcPr>
            <w:tcW w:w="1421" w:type="pct"/>
            <w:shd w:val="clear" w:color="auto" w:fill="C6D9F1"/>
            <w:vAlign w:val="center"/>
          </w:tcPr>
          <w:p w:rsidR="00660414" w:rsidRPr="000A76BD" w:rsidRDefault="00660414" w:rsidP="007613DE">
            <w:pPr>
              <w:spacing w:line="276" w:lineRule="auto"/>
              <w:jc w:val="center"/>
              <w:rPr>
                <w:rFonts w:cs="Arial"/>
                <w:b/>
                <w:bCs/>
                <w:sz w:val="22"/>
                <w:szCs w:val="22"/>
              </w:rPr>
            </w:pPr>
            <w:r w:rsidRPr="00804F1B">
              <w:rPr>
                <w:rFonts w:cs="Arial"/>
                <w:b/>
                <w:bCs/>
                <w:sz w:val="22"/>
                <w:szCs w:val="22"/>
              </w:rPr>
              <w:t>DS01A</w:t>
            </w:r>
          </w:p>
        </w:tc>
      </w:tr>
      <w:tr w:rsidR="00660414" w:rsidRPr="000A76BD" w:rsidTr="007613DE">
        <w:trPr>
          <w:cantSplit/>
        </w:trPr>
        <w:tc>
          <w:tcPr>
            <w:tcW w:w="3579" w:type="pct"/>
            <w:vAlign w:val="bottom"/>
          </w:tcPr>
          <w:p w:rsidR="00660414" w:rsidRPr="000A76BD" w:rsidRDefault="00660414" w:rsidP="007613DE">
            <w:pPr>
              <w:spacing w:before="120" w:line="276" w:lineRule="auto"/>
              <w:rPr>
                <w:rFonts w:cs="Arial"/>
                <w:sz w:val="22"/>
                <w:szCs w:val="22"/>
              </w:rPr>
            </w:pPr>
            <w:r w:rsidRPr="00804F1B">
              <w:rPr>
                <w:rFonts w:cs="Arial"/>
                <w:sz w:val="22"/>
                <w:szCs w:val="22"/>
              </w:rPr>
              <w:t>Overall inc. in Pass-km (1000's 2030)</w:t>
            </w:r>
          </w:p>
        </w:tc>
        <w:tc>
          <w:tcPr>
            <w:tcW w:w="1421"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+5,814 (+27%)</w:t>
            </w:r>
          </w:p>
        </w:tc>
      </w:tr>
      <w:tr w:rsidR="00660414" w:rsidRPr="000A76BD" w:rsidTr="007613DE">
        <w:trPr>
          <w:cantSplit/>
        </w:trPr>
        <w:tc>
          <w:tcPr>
            <w:tcW w:w="3579" w:type="pct"/>
            <w:vAlign w:val="bottom"/>
          </w:tcPr>
          <w:p w:rsidR="00660414" w:rsidRPr="000A76BD" w:rsidRDefault="00660414" w:rsidP="007613DE">
            <w:pPr>
              <w:spacing w:before="120" w:line="276" w:lineRule="auto"/>
              <w:rPr>
                <w:rFonts w:cs="Arial"/>
                <w:sz w:val="22"/>
                <w:szCs w:val="22"/>
              </w:rPr>
            </w:pPr>
            <w:r w:rsidRPr="00804F1B">
              <w:rPr>
                <w:rFonts w:cs="Arial"/>
                <w:sz w:val="22"/>
                <w:szCs w:val="22"/>
              </w:rPr>
              <w:t>Overall inc. in Pass-km share (2030)</w:t>
            </w:r>
          </w:p>
        </w:tc>
        <w:tc>
          <w:tcPr>
            <w:tcW w:w="1421"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+1.7%</w:t>
            </w:r>
          </w:p>
        </w:tc>
      </w:tr>
      <w:tr w:rsidR="00660414" w:rsidRPr="000A76BD" w:rsidTr="007613DE">
        <w:trPr>
          <w:cantSplit/>
        </w:trPr>
        <w:tc>
          <w:tcPr>
            <w:tcW w:w="3579" w:type="pct"/>
            <w:vAlign w:val="center"/>
          </w:tcPr>
          <w:p w:rsidR="00660414" w:rsidRPr="000A76BD" w:rsidRDefault="00660414" w:rsidP="007613DE">
            <w:pPr>
              <w:spacing w:before="120" w:line="276" w:lineRule="auto"/>
              <w:rPr>
                <w:rFonts w:cs="Arial"/>
                <w:sz w:val="22"/>
                <w:szCs w:val="22"/>
              </w:rPr>
            </w:pPr>
            <w:r w:rsidRPr="00804F1B">
              <w:rPr>
                <w:rFonts w:cs="Arial"/>
                <w:sz w:val="22"/>
                <w:szCs w:val="22"/>
              </w:rPr>
              <w:t>Overall inc. in Tonne-km (1000,s 2030)</w:t>
            </w:r>
          </w:p>
        </w:tc>
        <w:tc>
          <w:tcPr>
            <w:tcW w:w="1421"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+4,175 (+9%)</w:t>
            </w:r>
          </w:p>
        </w:tc>
      </w:tr>
      <w:tr w:rsidR="00660414" w:rsidRPr="000A76BD" w:rsidTr="007613DE">
        <w:trPr>
          <w:cantSplit/>
        </w:trPr>
        <w:tc>
          <w:tcPr>
            <w:tcW w:w="3579" w:type="pct"/>
            <w:vAlign w:val="center"/>
          </w:tcPr>
          <w:p w:rsidR="00660414" w:rsidRPr="000A76BD" w:rsidRDefault="00660414" w:rsidP="007613DE">
            <w:pPr>
              <w:spacing w:before="120" w:line="276" w:lineRule="auto"/>
              <w:rPr>
                <w:rFonts w:cs="Arial"/>
                <w:sz w:val="22"/>
                <w:szCs w:val="22"/>
              </w:rPr>
            </w:pPr>
            <w:r w:rsidRPr="00804F1B">
              <w:rPr>
                <w:rFonts w:cs="Arial"/>
                <w:sz w:val="22"/>
                <w:szCs w:val="22"/>
              </w:rPr>
              <w:t>Overall inc. Tonne-km share (2030)</w:t>
            </w:r>
          </w:p>
        </w:tc>
        <w:tc>
          <w:tcPr>
            <w:tcW w:w="1421" w:type="pct"/>
            <w:vAlign w:val="center"/>
          </w:tcPr>
          <w:p w:rsidR="00660414" w:rsidRPr="000A76BD" w:rsidRDefault="00660414" w:rsidP="007613DE">
            <w:pPr>
              <w:spacing w:before="120" w:line="276" w:lineRule="auto"/>
              <w:jc w:val="center"/>
              <w:rPr>
                <w:rFonts w:cs="Arial"/>
                <w:sz w:val="22"/>
                <w:szCs w:val="22"/>
              </w:rPr>
            </w:pPr>
            <w:r w:rsidRPr="00804F1B">
              <w:rPr>
                <w:rFonts w:cs="Arial"/>
                <w:sz w:val="22"/>
                <w:szCs w:val="22"/>
              </w:rPr>
              <w:t>+1.2%</w:t>
            </w:r>
          </w:p>
        </w:tc>
      </w:tr>
      <w:tr w:rsidR="00660414" w:rsidRPr="000A76BD" w:rsidTr="007613DE">
        <w:trPr>
          <w:cantSplit/>
        </w:trPr>
        <w:tc>
          <w:tcPr>
            <w:tcW w:w="3579" w:type="pct"/>
            <w:vAlign w:val="center"/>
          </w:tcPr>
          <w:p w:rsidR="00660414" w:rsidRPr="000A76BD" w:rsidRDefault="00660414" w:rsidP="007613DE">
            <w:pPr>
              <w:spacing w:before="120" w:line="276" w:lineRule="auto"/>
              <w:rPr>
                <w:rFonts w:cs="Arial"/>
                <w:b/>
                <w:sz w:val="22"/>
                <w:szCs w:val="22"/>
              </w:rPr>
            </w:pPr>
            <w:r w:rsidRPr="00804F1B">
              <w:rPr>
                <w:rFonts w:cs="Arial"/>
                <w:b/>
                <w:sz w:val="22"/>
                <w:szCs w:val="22"/>
              </w:rPr>
              <w:t>NPV € Mill (2014 Prices)</w:t>
            </w:r>
          </w:p>
        </w:tc>
        <w:tc>
          <w:tcPr>
            <w:tcW w:w="1421" w:type="pct"/>
            <w:vAlign w:val="center"/>
          </w:tcPr>
          <w:p w:rsidR="00660414" w:rsidRPr="000A76BD" w:rsidRDefault="00660414" w:rsidP="007613DE">
            <w:pPr>
              <w:spacing w:before="120" w:line="276" w:lineRule="auto"/>
              <w:jc w:val="center"/>
              <w:rPr>
                <w:rFonts w:cs="Arial"/>
                <w:b/>
                <w:sz w:val="22"/>
                <w:szCs w:val="22"/>
              </w:rPr>
            </w:pPr>
            <w:r>
              <w:rPr>
                <w:rFonts w:cs="Arial"/>
                <w:b/>
                <w:sz w:val="22"/>
                <w:szCs w:val="22"/>
              </w:rPr>
              <w:t>183</w:t>
            </w:r>
          </w:p>
        </w:tc>
      </w:tr>
      <w:tr w:rsidR="00660414" w:rsidRPr="000A76BD" w:rsidTr="007613DE">
        <w:trPr>
          <w:cantSplit/>
        </w:trPr>
        <w:tc>
          <w:tcPr>
            <w:tcW w:w="3579" w:type="pct"/>
            <w:vAlign w:val="center"/>
          </w:tcPr>
          <w:p w:rsidR="00660414" w:rsidRPr="000A76BD" w:rsidRDefault="00660414" w:rsidP="007613DE">
            <w:pPr>
              <w:spacing w:before="120" w:line="276" w:lineRule="auto"/>
              <w:rPr>
                <w:rFonts w:cs="Arial"/>
                <w:b/>
                <w:sz w:val="22"/>
                <w:szCs w:val="22"/>
              </w:rPr>
            </w:pPr>
            <w:r w:rsidRPr="00804F1B">
              <w:rPr>
                <w:rFonts w:cs="Arial"/>
                <w:b/>
                <w:sz w:val="22"/>
                <w:szCs w:val="22"/>
              </w:rPr>
              <w:t>BCR</w:t>
            </w:r>
          </w:p>
        </w:tc>
        <w:tc>
          <w:tcPr>
            <w:tcW w:w="1421" w:type="pct"/>
            <w:vAlign w:val="center"/>
          </w:tcPr>
          <w:p w:rsidR="00660414" w:rsidRPr="000A76BD" w:rsidRDefault="00660414" w:rsidP="007613DE">
            <w:pPr>
              <w:spacing w:before="120" w:line="276" w:lineRule="auto"/>
              <w:jc w:val="center"/>
              <w:rPr>
                <w:rFonts w:cs="Arial"/>
                <w:b/>
                <w:sz w:val="22"/>
                <w:szCs w:val="22"/>
              </w:rPr>
            </w:pPr>
            <w:r w:rsidRPr="00804F1B">
              <w:rPr>
                <w:rFonts w:cs="Arial"/>
                <w:b/>
                <w:sz w:val="22"/>
                <w:szCs w:val="22"/>
              </w:rPr>
              <w:t>1.</w:t>
            </w:r>
            <w:r>
              <w:rPr>
                <w:rFonts w:cs="Arial"/>
                <w:b/>
                <w:sz w:val="22"/>
                <w:szCs w:val="22"/>
              </w:rPr>
              <w:t>09</w:t>
            </w:r>
          </w:p>
        </w:tc>
      </w:tr>
      <w:tr w:rsidR="00660414" w:rsidRPr="000A76BD" w:rsidTr="007613DE">
        <w:trPr>
          <w:cantSplit/>
        </w:trPr>
        <w:tc>
          <w:tcPr>
            <w:tcW w:w="3579" w:type="pct"/>
            <w:vAlign w:val="center"/>
          </w:tcPr>
          <w:p w:rsidR="00660414" w:rsidRPr="000A76BD" w:rsidRDefault="00660414" w:rsidP="007613DE">
            <w:pPr>
              <w:spacing w:before="120" w:line="276" w:lineRule="auto"/>
              <w:rPr>
                <w:rFonts w:cs="Arial"/>
                <w:b/>
                <w:sz w:val="22"/>
                <w:szCs w:val="22"/>
              </w:rPr>
            </w:pPr>
            <w:r w:rsidRPr="00804F1B">
              <w:rPr>
                <w:rFonts w:cs="Arial"/>
                <w:b/>
                <w:sz w:val="22"/>
                <w:szCs w:val="22"/>
              </w:rPr>
              <w:t>EIRR</w:t>
            </w:r>
          </w:p>
        </w:tc>
        <w:tc>
          <w:tcPr>
            <w:tcW w:w="1421" w:type="pct"/>
            <w:vAlign w:val="center"/>
          </w:tcPr>
          <w:p w:rsidR="00660414" w:rsidRPr="000A76BD" w:rsidRDefault="00660414" w:rsidP="007613DE">
            <w:pPr>
              <w:spacing w:before="120" w:line="276" w:lineRule="auto"/>
              <w:jc w:val="center"/>
              <w:rPr>
                <w:rFonts w:cs="Arial"/>
                <w:b/>
                <w:sz w:val="22"/>
                <w:szCs w:val="22"/>
              </w:rPr>
            </w:pPr>
            <w:r w:rsidRPr="00804F1B">
              <w:rPr>
                <w:rFonts w:cs="Arial"/>
                <w:b/>
                <w:sz w:val="22"/>
                <w:szCs w:val="22"/>
              </w:rPr>
              <w:t>5.</w:t>
            </w:r>
            <w:r>
              <w:rPr>
                <w:rFonts w:cs="Arial"/>
                <w:b/>
                <w:sz w:val="22"/>
                <w:szCs w:val="22"/>
              </w:rPr>
              <w:t>47%</w:t>
            </w:r>
          </w:p>
        </w:tc>
      </w:tr>
      <w:tr w:rsidR="00660414" w:rsidRPr="000A76BD" w:rsidTr="007613DE">
        <w:tc>
          <w:tcPr>
            <w:tcW w:w="3579" w:type="pct"/>
          </w:tcPr>
          <w:p w:rsidR="00660414" w:rsidRPr="000A76BD" w:rsidRDefault="00660414" w:rsidP="007613DE">
            <w:pPr>
              <w:spacing w:before="120" w:line="276" w:lineRule="auto"/>
              <w:rPr>
                <w:rFonts w:cs="Arial"/>
                <w:sz w:val="22"/>
                <w:szCs w:val="22"/>
              </w:rPr>
            </w:pPr>
            <w:r w:rsidRPr="00804F1B">
              <w:rPr>
                <w:rFonts w:cs="Arial"/>
                <w:sz w:val="22"/>
                <w:szCs w:val="22"/>
              </w:rPr>
              <w:t>Upgraded main line infrastructure (track-km)</w:t>
            </w:r>
          </w:p>
        </w:tc>
        <w:tc>
          <w:tcPr>
            <w:tcW w:w="1421" w:type="pct"/>
          </w:tcPr>
          <w:p w:rsidR="00660414" w:rsidRPr="000A76BD" w:rsidRDefault="00660414" w:rsidP="007613DE">
            <w:pPr>
              <w:spacing w:before="120" w:line="276" w:lineRule="auto"/>
              <w:jc w:val="center"/>
              <w:rPr>
                <w:rFonts w:cs="Arial"/>
                <w:sz w:val="22"/>
                <w:szCs w:val="22"/>
              </w:rPr>
            </w:pPr>
            <w:r w:rsidRPr="00804F1B">
              <w:rPr>
                <w:rFonts w:cs="Arial"/>
                <w:sz w:val="22"/>
                <w:szCs w:val="22"/>
              </w:rPr>
              <w:t>795</w:t>
            </w:r>
          </w:p>
        </w:tc>
      </w:tr>
      <w:tr w:rsidR="00660414" w:rsidRPr="000A76BD" w:rsidTr="007613DE">
        <w:tc>
          <w:tcPr>
            <w:tcW w:w="3579" w:type="pct"/>
          </w:tcPr>
          <w:p w:rsidR="00660414" w:rsidRPr="000A76BD" w:rsidRDefault="00660414" w:rsidP="007613DE">
            <w:pPr>
              <w:spacing w:before="120" w:line="276" w:lineRule="auto"/>
              <w:rPr>
                <w:rFonts w:cs="Arial"/>
                <w:sz w:val="22"/>
                <w:szCs w:val="22"/>
              </w:rPr>
            </w:pPr>
            <w:r w:rsidRPr="00804F1B">
              <w:rPr>
                <w:rFonts w:cs="Arial"/>
                <w:sz w:val="22"/>
                <w:szCs w:val="22"/>
              </w:rPr>
              <w:t>Required rolling stock units</w:t>
            </w:r>
          </w:p>
        </w:tc>
        <w:tc>
          <w:tcPr>
            <w:tcW w:w="1421" w:type="pct"/>
          </w:tcPr>
          <w:p w:rsidR="00660414" w:rsidRPr="000A76BD" w:rsidRDefault="00660414" w:rsidP="007613DE">
            <w:pPr>
              <w:spacing w:before="120" w:line="276" w:lineRule="auto"/>
              <w:jc w:val="center"/>
              <w:rPr>
                <w:rFonts w:cs="Arial"/>
                <w:sz w:val="22"/>
                <w:szCs w:val="22"/>
              </w:rPr>
            </w:pPr>
            <w:r w:rsidRPr="00804F1B">
              <w:rPr>
                <w:rFonts w:cs="Arial"/>
                <w:sz w:val="22"/>
                <w:szCs w:val="22"/>
              </w:rPr>
              <w:t>25</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5.32 and 5.33 </w:t>
      </w:r>
      <w:r w:rsidRPr="00804F1B">
        <w:rPr>
          <w:rFonts w:cs="Arial"/>
          <w:sz w:val="22"/>
          <w:szCs w:val="22"/>
        </w:rPr>
        <w:t>illustrate the forecast changes in passenger and freight traffic for 2030 assuming that the project operat</w:t>
      </w:r>
      <w:r>
        <w:rPr>
          <w:rFonts w:cs="Arial"/>
          <w:sz w:val="22"/>
          <w:szCs w:val="22"/>
        </w:rPr>
        <w:t xml:space="preserve">es </w:t>
      </w:r>
      <w:r w:rsidRPr="00804F1B">
        <w:rPr>
          <w:rFonts w:cs="Arial"/>
          <w:sz w:val="22"/>
          <w:szCs w:val="22"/>
        </w:rPr>
        <w:t xml:space="preserve">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1BB7470" wp14:editId="3F6EDC68">
            <wp:extent cx="5645583" cy="3960000"/>
            <wp:effectExtent l="0" t="0" r="0" b="2540"/>
            <wp:docPr id="427" name="Picture 427" descr="F:\Projects\Transport Planning - Romania UK GTMP\PUBLIC TRANSPORT\Rail\04_Plots\Rail_results\output\DS01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01A_2030_change_pass.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33</w:t>
      </w:r>
      <w:r w:rsidRPr="0075501B">
        <w:rPr>
          <w:b/>
          <w:sz w:val="22"/>
          <w:szCs w:val="22"/>
        </w:rPr>
        <w:fldChar w:fldCharType="end"/>
      </w:r>
      <w:r>
        <w:rPr>
          <w:b/>
          <w:sz w:val="22"/>
          <w:szCs w:val="22"/>
        </w:rPr>
        <w:t>:</w:t>
      </w:r>
      <w:r w:rsidRPr="0075501B">
        <w:rPr>
          <w:b/>
          <w:sz w:val="22"/>
          <w:szCs w:val="22"/>
        </w:rPr>
        <w:t xml:space="preserve"> </w:t>
      </w:r>
      <w:r>
        <w:rPr>
          <w:b/>
          <w:sz w:val="22"/>
          <w:szCs w:val="22"/>
        </w:rPr>
        <w:t>Change in Passenger Demand – DS01A</w:t>
      </w:r>
    </w:p>
    <w:p w:rsidR="00660414" w:rsidRDefault="00660414" w:rsidP="007613DE">
      <w:pPr>
        <w:rPr>
          <w:i/>
        </w:rPr>
      </w:pPr>
      <w:r w:rsidRPr="008C5B1B">
        <w:rPr>
          <w:i/>
        </w:rPr>
        <w:t>Source: AECOM forecasts</w:t>
      </w:r>
    </w:p>
    <w:p w:rsidR="00660414" w:rsidRPr="008C5B1B" w:rsidRDefault="00660414" w:rsidP="00660414">
      <w:pPr>
        <w:outlineLvl w:val="0"/>
        <w:rPr>
          <w:i/>
        </w:rPr>
      </w:pPr>
    </w:p>
    <w:p w:rsidR="00660414" w:rsidRDefault="00660414" w:rsidP="00660414">
      <w:pPr>
        <w:spacing w:line="276" w:lineRule="auto"/>
        <w:jc w:val="both"/>
        <w:rPr>
          <w:rFonts w:cs="Arial"/>
          <w:sz w:val="22"/>
          <w:szCs w:val="22"/>
        </w:rPr>
      </w:pPr>
      <w:r w:rsidRPr="00804F1B">
        <w:rPr>
          <w:rFonts w:cs="Arial"/>
          <w:sz w:val="22"/>
          <w:szCs w:val="22"/>
        </w:rPr>
        <w:t xml:space="preserve">As </w:t>
      </w:r>
      <w:r>
        <w:rPr>
          <w:rFonts w:cs="Arial"/>
          <w:sz w:val="22"/>
          <w:szCs w:val="22"/>
        </w:rPr>
        <w:t>Figure 5.33 d</w:t>
      </w:r>
      <w:r w:rsidRPr="00804F1B">
        <w:rPr>
          <w:rFonts w:cs="Arial"/>
          <w:sz w:val="22"/>
          <w:szCs w:val="22"/>
        </w:rPr>
        <w:t>emonstrates</w:t>
      </w:r>
      <w:r>
        <w:rPr>
          <w:rFonts w:cs="Arial"/>
          <w:sz w:val="22"/>
          <w:szCs w:val="22"/>
        </w:rPr>
        <w:t>,</w:t>
      </w:r>
      <w:r w:rsidRPr="00804F1B">
        <w:rPr>
          <w:rFonts w:cs="Arial"/>
          <w:sz w:val="22"/>
          <w:szCs w:val="22"/>
        </w:rPr>
        <w:t xml:space="preserve"> this project </w:t>
      </w:r>
      <w:r>
        <w:rPr>
          <w:rFonts w:cs="Arial"/>
          <w:sz w:val="22"/>
          <w:szCs w:val="22"/>
        </w:rPr>
        <w:t xml:space="preserve">generates </w:t>
      </w:r>
      <w:r w:rsidRPr="00804F1B">
        <w:rPr>
          <w:rFonts w:cs="Arial"/>
          <w:sz w:val="22"/>
          <w:szCs w:val="22"/>
        </w:rPr>
        <w:t xml:space="preserve">an increase in passenger demand on the Bucharest – Ploiesti – Brasov – Arad line. Patronage between Ploiesti and Brasov is expected to grow by +115%, and by up to +155% between Deva and Arad. </w:t>
      </w:r>
      <w:r>
        <w:rPr>
          <w:rFonts w:cs="Arial"/>
          <w:sz w:val="22"/>
          <w:szCs w:val="22"/>
        </w:rPr>
        <w:t xml:space="preserve">Much of the new </w:t>
      </w:r>
      <w:r w:rsidRPr="00804F1B">
        <w:rPr>
          <w:rFonts w:cs="Arial"/>
          <w:sz w:val="22"/>
          <w:szCs w:val="22"/>
        </w:rPr>
        <w:t xml:space="preserve">demand </w:t>
      </w:r>
      <w:r>
        <w:rPr>
          <w:rFonts w:cs="Arial"/>
          <w:sz w:val="22"/>
          <w:szCs w:val="22"/>
        </w:rPr>
        <w:t xml:space="preserve">will use the </w:t>
      </w:r>
      <w:r w:rsidRPr="00804F1B">
        <w:rPr>
          <w:rFonts w:cs="Arial"/>
          <w:sz w:val="22"/>
          <w:szCs w:val="22"/>
        </w:rPr>
        <w:t xml:space="preserve">line </w:t>
      </w:r>
      <w:r>
        <w:rPr>
          <w:rFonts w:cs="Arial"/>
          <w:sz w:val="22"/>
          <w:szCs w:val="22"/>
        </w:rPr>
        <w:t xml:space="preserve">from </w:t>
      </w:r>
      <w:r w:rsidRPr="00804F1B">
        <w:rPr>
          <w:rFonts w:cs="Arial"/>
          <w:sz w:val="22"/>
          <w:szCs w:val="22"/>
        </w:rPr>
        <w:t>Bucharest</w:t>
      </w:r>
      <w:r>
        <w:rPr>
          <w:rFonts w:cs="Arial"/>
          <w:sz w:val="22"/>
          <w:szCs w:val="22"/>
        </w:rPr>
        <w:t xml:space="preserve"> to Arad via </w:t>
      </w:r>
      <w:r w:rsidRPr="00804F1B">
        <w:rPr>
          <w:rFonts w:cs="Arial"/>
          <w:sz w:val="22"/>
          <w:szCs w:val="22"/>
        </w:rPr>
        <w:t xml:space="preserve">Craiova </w:t>
      </w:r>
      <w:r>
        <w:rPr>
          <w:rFonts w:cs="Arial"/>
          <w:sz w:val="22"/>
          <w:szCs w:val="22"/>
        </w:rPr>
        <w:t xml:space="preserve">and </w:t>
      </w:r>
      <w:r w:rsidRPr="00804F1B">
        <w:rPr>
          <w:rFonts w:cs="Arial"/>
          <w:sz w:val="22"/>
          <w:szCs w:val="22"/>
        </w:rPr>
        <w:t>Timisoara</w:t>
      </w:r>
      <w:r>
        <w:rPr>
          <w:rFonts w:cs="Arial"/>
          <w:sz w:val="22"/>
          <w:szCs w:val="22"/>
        </w:rPr>
        <w:t xml:space="preserve">. </w:t>
      </w:r>
      <w:r w:rsidRPr="00804F1B">
        <w:rPr>
          <w:rFonts w:cs="Arial"/>
          <w:sz w:val="22"/>
          <w:szCs w:val="22"/>
        </w:rPr>
        <w:t xml:space="preserve">Demand between Craiova and Drobeta - Turnu Severin </w:t>
      </w:r>
      <w:r>
        <w:rPr>
          <w:rFonts w:cs="Arial"/>
          <w:sz w:val="22"/>
          <w:szCs w:val="22"/>
        </w:rPr>
        <w:t xml:space="preserve">is </w:t>
      </w:r>
      <w:r w:rsidRPr="00804F1B">
        <w:rPr>
          <w:rFonts w:cs="Arial"/>
          <w:sz w:val="22"/>
          <w:szCs w:val="22"/>
        </w:rPr>
        <w:t>forecast to drop by -40%</w:t>
      </w:r>
      <w:r>
        <w:rPr>
          <w:rFonts w:cs="Arial"/>
          <w:sz w:val="22"/>
          <w:szCs w:val="22"/>
        </w:rPr>
        <w:t xml:space="preserve"> as a result of longer distance passengers abstracted onto the corridor via Brasov</w:t>
      </w:r>
      <w:r w:rsidRPr="00804F1B">
        <w:rPr>
          <w:rFonts w:cs="Arial"/>
          <w:sz w:val="22"/>
          <w:szCs w:val="22"/>
        </w:rPr>
        <w:t>.</w:t>
      </w:r>
      <w:r>
        <w:rPr>
          <w:rFonts w:cs="Arial"/>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B0A5507" wp14:editId="766CBFD0">
            <wp:extent cx="5665174" cy="3960000"/>
            <wp:effectExtent l="0" t="0" r="0" b="2540"/>
            <wp:docPr id="428" name="Picture 428" descr="F:\Projects\Transport Planning - Romania UK GTMP\PUBLIC TRANSPORT\Rail\04_Plots\Rail_results\output\DS01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Rail_results\output\DS01A_2030_change_freight.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665174"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34</w:t>
      </w:r>
      <w:r w:rsidRPr="0075501B">
        <w:rPr>
          <w:b/>
          <w:sz w:val="22"/>
          <w:szCs w:val="22"/>
        </w:rPr>
        <w:fldChar w:fldCharType="end"/>
      </w:r>
      <w:r>
        <w:rPr>
          <w:b/>
          <w:sz w:val="22"/>
          <w:szCs w:val="22"/>
        </w:rPr>
        <w:t>:</w:t>
      </w:r>
      <w:r w:rsidRPr="0075501B">
        <w:rPr>
          <w:b/>
          <w:sz w:val="22"/>
          <w:szCs w:val="22"/>
        </w:rPr>
        <w:t xml:space="preserve"> </w:t>
      </w:r>
      <w:r>
        <w:rPr>
          <w:b/>
          <w:sz w:val="22"/>
          <w:szCs w:val="22"/>
        </w:rPr>
        <w:t>Change in Freight Demand – DS01A</w:t>
      </w:r>
    </w:p>
    <w:p w:rsidR="00660414" w:rsidRDefault="00660414" w:rsidP="007613DE">
      <w:pPr>
        <w:rPr>
          <w:i/>
        </w:rPr>
      </w:pPr>
      <w:r w:rsidRPr="008C5B1B">
        <w:rPr>
          <w:i/>
        </w:rPr>
        <w:t>Source: AECOM forecasts</w:t>
      </w:r>
    </w:p>
    <w:p w:rsidR="00660414" w:rsidRPr="008C5B1B" w:rsidRDefault="00660414" w:rsidP="00660414">
      <w:pPr>
        <w:outlineLvl w:val="0"/>
        <w:rPr>
          <w:i/>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Freight traffic is also expected to grow overall, with a </w:t>
      </w:r>
      <w:r>
        <w:rPr>
          <w:rFonts w:cs="Arial"/>
          <w:sz w:val="22"/>
          <w:szCs w:val="22"/>
        </w:rPr>
        <w:t xml:space="preserve">60% </w:t>
      </w:r>
      <w:r w:rsidRPr="00804F1B">
        <w:rPr>
          <w:rFonts w:cs="Arial"/>
          <w:sz w:val="22"/>
          <w:szCs w:val="22"/>
        </w:rPr>
        <w:t xml:space="preserve">increase in the number of tonnes transported between Brasov and Sighisoara. Similar to the forecast trend in the passenger market, some freight traffic is expected to transfer from the line </w:t>
      </w:r>
      <w:r>
        <w:rPr>
          <w:rFonts w:cs="Arial"/>
          <w:sz w:val="22"/>
          <w:szCs w:val="22"/>
        </w:rPr>
        <w:t xml:space="preserve">via </w:t>
      </w:r>
      <w:r w:rsidRPr="00804F1B">
        <w:rPr>
          <w:rFonts w:cs="Arial"/>
          <w:sz w:val="22"/>
          <w:szCs w:val="22"/>
        </w:rPr>
        <w:t>Craiova to the upgraded corridor</w:t>
      </w:r>
      <w:r>
        <w:rPr>
          <w:rFonts w:cs="Arial"/>
          <w:sz w:val="22"/>
          <w:szCs w:val="22"/>
        </w:rPr>
        <w:t xml:space="preserve"> via Brasov</w:t>
      </w:r>
      <w:r w:rsidRPr="00804F1B">
        <w:rPr>
          <w:rFonts w:cs="Arial"/>
          <w:sz w:val="22"/>
          <w:szCs w:val="22"/>
        </w:rPr>
        <w:t xml:space="preserve">. The number of transported tonnes has been estimated to fall by -50%. </w:t>
      </w:r>
    </w:p>
    <w:p w:rsidR="00660414" w:rsidRPr="008C5B1B" w:rsidRDefault="00660414" w:rsidP="00660414">
      <w:pPr>
        <w:pStyle w:val="Heading3"/>
        <w:spacing w:line="276" w:lineRule="auto"/>
        <w:jc w:val="both"/>
        <w:rPr>
          <w:rFonts w:cs="Arial"/>
          <w:b/>
          <w:sz w:val="22"/>
          <w:szCs w:val="22"/>
        </w:rPr>
      </w:pPr>
      <w:r w:rsidRPr="008C5B1B">
        <w:rPr>
          <w:rFonts w:cs="Arial"/>
          <w:b/>
          <w:sz w:val="22"/>
          <w:szCs w:val="22"/>
        </w:rPr>
        <w:t>Implementing organisation</w:t>
      </w:r>
      <w:r>
        <w:rPr>
          <w:rFonts w:cs="Arial"/>
          <w:b/>
          <w:sz w:val="22"/>
          <w:szCs w:val="22"/>
        </w:rPr>
        <w:t>:</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jc w:val="both"/>
        <w:rPr>
          <w:rFonts w:cs="Arial"/>
          <w:b/>
          <w:sz w:val="22"/>
          <w:szCs w:val="22"/>
        </w:rPr>
      </w:pPr>
      <w:r w:rsidRPr="008C5B1B">
        <w:rPr>
          <w:rFonts w:cs="Arial"/>
          <w:b/>
          <w:sz w:val="22"/>
          <w:szCs w:val="22"/>
        </w:rPr>
        <w:t>Implementation years</w:t>
      </w:r>
      <w:r>
        <w:rPr>
          <w:rFonts w:cs="Arial"/>
          <w:b/>
          <w:sz w:val="22"/>
          <w:szCs w:val="22"/>
        </w:rPr>
        <w:t>:</w:t>
      </w:r>
    </w:p>
    <w:p w:rsidR="00660414" w:rsidRPr="000A76BD" w:rsidRDefault="00660414" w:rsidP="00273D5E">
      <w:pPr>
        <w:pStyle w:val="BulletLevel1"/>
        <w:numPr>
          <w:ilvl w:val="0"/>
          <w:numId w:val="60"/>
        </w:numPr>
      </w:pPr>
      <w:r w:rsidRPr="00804F1B">
        <w:t>Section Bucharest – Predeal completed.</w:t>
      </w:r>
    </w:p>
    <w:p w:rsidR="00660414" w:rsidRPr="000A76BD" w:rsidRDefault="00660414" w:rsidP="00273D5E">
      <w:pPr>
        <w:pStyle w:val="BulletLevel1"/>
        <w:numPr>
          <w:ilvl w:val="0"/>
          <w:numId w:val="60"/>
        </w:numPr>
      </w:pPr>
      <w:r w:rsidRPr="00804F1B">
        <w:t>Sighisoara to Deva and Hungarian border to km 614 between 2014 and 2020.</w:t>
      </w:r>
    </w:p>
    <w:p w:rsidR="00660414" w:rsidRPr="000A76BD" w:rsidRDefault="00660414" w:rsidP="00273D5E">
      <w:pPr>
        <w:pStyle w:val="BulletLevel1"/>
        <w:numPr>
          <w:ilvl w:val="0"/>
          <w:numId w:val="60"/>
        </w:numPr>
      </w:pPr>
      <w:r w:rsidRPr="00804F1B">
        <w:t>Other corridors on this test estimated 2020</w:t>
      </w:r>
    </w:p>
    <w:p w:rsidR="00660414" w:rsidRPr="002F07AC" w:rsidRDefault="00660414" w:rsidP="002F07AC">
      <w:pPr>
        <w:pStyle w:val="Hdg3"/>
        <w:ind w:left="851"/>
      </w:pPr>
      <w:r w:rsidRPr="00804F1B">
        <w:br w:type="page"/>
      </w:r>
      <w:r w:rsidRPr="008C5B1B">
        <w:t>Core TEN-T corridor IV-N and link to Cluj-Napoca to enhanced speed (Test DS01B)</w:t>
      </w:r>
    </w:p>
    <w:tbl>
      <w:tblPr>
        <w:tblStyle w:val="TableGrid"/>
        <w:tblW w:w="5000" w:type="pct"/>
        <w:shd w:val="clear" w:color="auto" w:fill="C6D9F1"/>
        <w:tblLook w:val="04A0" w:firstRow="1" w:lastRow="0" w:firstColumn="1" w:lastColumn="0" w:noHBand="0" w:noVBand="1"/>
      </w:tblPr>
      <w:tblGrid>
        <w:gridCol w:w="10507"/>
      </w:tblGrid>
      <w:tr w:rsidR="00660414" w:rsidTr="007613DE">
        <w:tc>
          <w:tcPr>
            <w:tcW w:w="5000" w:type="pct"/>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8C5B1B" w:rsidRDefault="00660414" w:rsidP="007613DE">
            <w:pPr>
              <w:spacing w:line="276" w:lineRule="auto"/>
              <w:rPr>
                <w:rFonts w:cs="Arial"/>
                <w:sz w:val="22"/>
                <w:szCs w:val="22"/>
                <w:lang w:val="en-US"/>
              </w:rPr>
            </w:pPr>
            <w:r>
              <w:rPr>
                <w:rFonts w:cs="Arial"/>
                <w:sz w:val="22"/>
                <w:szCs w:val="22"/>
                <w:lang w:val="en-US"/>
              </w:rPr>
              <w:t xml:space="preserve">Upgrade programme for </w:t>
            </w:r>
            <w:r w:rsidRPr="008C5B1B">
              <w:rPr>
                <w:rFonts w:cs="Arial"/>
                <w:sz w:val="22"/>
                <w:szCs w:val="22"/>
                <w:lang w:val="en-US"/>
              </w:rPr>
              <w:t>Core TEN-T corridor IV-N between Bucharest Nord and Arad /Hungarian border; and line 300 between Cluj-Napoca and Core TEN-T corridor IV-N. Lines with design speed below 100 km/h upgraded to enhanced speed. The sections Bucharest to Predeal, Sighisoara to Deva and Hungarian border to km 614 (Northwest of Lipova) are either already rehabilitated or under upgrade.</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project includes: </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Rehabilitation to design speed of corridors: 300 Bucharest Nord to Cluj-Napoca, 200A, 200 Hungarian border to Alba Iulia (some sections have been already rehabilitated).</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Rehabilitation to enhanced speed of sections with design speed below 100 km/h on the following corridors: 300 Bucharest Nord to Cluj-Napoca, 200A, 200 Hungarian border to Alba Iulia (Some sections have been already rehabilitated).</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Steady state maintenance of the core network (baseline assumption for all Do Something tests).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signalling and communications systems, ERTMS will be implemented on Core TEN-T corridor IV-N.</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station facilities at Bucharest, Ploiesti, Campina, Predeal, Brasov, Sigishoara, Medias, Blaj, Aiud, Campia Turzii, Cluj-Napoca, Alba Iulia, Simeria, Deva, Ilia, Radna and Arad.</w:t>
            </w:r>
          </w:p>
          <w:p w:rsidR="00660414" w:rsidRPr="008C5B1B" w:rsidRDefault="00660414" w:rsidP="0085264B">
            <w:pPr>
              <w:pStyle w:val="ListParagraph"/>
              <w:numPr>
                <w:ilvl w:val="0"/>
                <w:numId w:val="60"/>
              </w:numPr>
              <w:spacing w:after="120" w:line="276" w:lineRule="auto"/>
              <w:contextualSpacing/>
              <w:rPr>
                <w:sz w:val="22"/>
                <w:szCs w:val="22"/>
                <w:lang w:val="en-US"/>
              </w:rPr>
            </w:pPr>
            <w:r w:rsidRPr="008C5B1B">
              <w:rPr>
                <w:sz w:val="22"/>
                <w:szCs w:val="22"/>
                <w:lang w:val="en-US"/>
              </w:rPr>
              <w:t>Inter</w:t>
            </w:r>
            <w:r>
              <w:rPr>
                <w:sz w:val="22"/>
                <w:szCs w:val="22"/>
                <w:lang w:val="en-US"/>
              </w:rPr>
              <w:t>R</w:t>
            </w:r>
            <w:r w:rsidRPr="008C5B1B">
              <w:rPr>
                <w:sz w:val="22"/>
                <w:szCs w:val="22"/>
                <w:lang w:val="en-US"/>
              </w:rPr>
              <w:t>egio regular interval timetable operated by new rolling stock. The proposed regular interval service pattern is: Bucharest to Cluj-Napoca (0.5 tph), Bucharest to Arad (0.5 tph), Bucharest to Brasov (1 tph), Deva to Cluj-Napoca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5125A1F6" wp14:editId="2BC33781">
            <wp:extent cx="5627009" cy="3960000"/>
            <wp:effectExtent l="0" t="0" r="0" b="2540"/>
            <wp:docPr id="429" name="Picture 429" descr="DoSomethingSchemes_DS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SomethingSchemes_DS01B.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35</w:t>
      </w:r>
      <w:r w:rsidRPr="008C7A83">
        <w:rPr>
          <w:b/>
          <w:sz w:val="22"/>
          <w:szCs w:val="22"/>
        </w:rPr>
        <w:fldChar w:fldCharType="end"/>
      </w:r>
      <w:r w:rsidRPr="008C7A83">
        <w:rPr>
          <w:b/>
          <w:sz w:val="22"/>
          <w:szCs w:val="22"/>
        </w:rPr>
        <w:t>:</w:t>
      </w:r>
      <w:r>
        <w:rPr>
          <w:b/>
          <w:sz w:val="22"/>
          <w:szCs w:val="22"/>
        </w:rPr>
        <w:t xml:space="preserve"> Description of Service Proposals – DS01B</w:t>
      </w:r>
    </w:p>
    <w:p w:rsidR="00660414" w:rsidRDefault="00660414" w:rsidP="007613DE">
      <w:pPr>
        <w:rPr>
          <w:i/>
        </w:rPr>
      </w:pPr>
      <w:r>
        <w:rPr>
          <w:i/>
        </w:rPr>
        <w:t>Source: AECOM analysis of outputs from the National Transport Model</w:t>
      </w:r>
    </w:p>
    <w:p w:rsidR="00660414" w:rsidRDefault="00660414" w:rsidP="00660414">
      <w:pPr>
        <w:rPr>
          <w:b/>
          <w:noProof/>
          <w:sz w:val="22"/>
          <w:szCs w:val="22"/>
          <w:lang w:eastAsia="en-GB"/>
        </w:rPr>
      </w:pPr>
      <w:r>
        <w:rPr>
          <w:b/>
          <w:noProof/>
          <w:sz w:val="22"/>
          <w:szCs w:val="22"/>
          <w:lang w:eastAsia="en-GB"/>
        </w:rPr>
        <w:br w:type="page"/>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intervention addresses the following issues: </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Deteriorated track condition due to underspend in maintenance and renewals. Slow running speeds of passenger and freight trains between Bucharest and Cluj-Napoca, Bucharest and Arad and towards Hungary.</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 xml:space="preserve">Delays due to poor infrastructure condition, </w:t>
            </w:r>
            <w:r>
              <w:rPr>
                <w:sz w:val="22"/>
                <w:szCs w:val="22"/>
                <w:lang w:val="en-US"/>
              </w:rPr>
              <w:t xml:space="preserve">with </w:t>
            </w:r>
            <w:r w:rsidRPr="008C5B1B">
              <w:rPr>
                <w:sz w:val="22"/>
                <w:szCs w:val="22"/>
                <w:lang w:val="en-US"/>
              </w:rPr>
              <w:t xml:space="preserve">commercial speeds below design parameters between Predeal and Arad and Teius and Cluj-Napoca. Maximum speeds </w:t>
            </w:r>
            <w:r>
              <w:rPr>
                <w:sz w:val="22"/>
                <w:szCs w:val="22"/>
                <w:lang w:val="en-US"/>
              </w:rPr>
              <w:t xml:space="preserve">are </w:t>
            </w:r>
            <w:r w:rsidRPr="008C5B1B">
              <w:rPr>
                <w:sz w:val="22"/>
                <w:szCs w:val="22"/>
                <w:lang w:val="en-US"/>
              </w:rPr>
              <w:t>as low as 45% the design parameters (section Augustin – Racos).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Low rail market share on the Bucharest – Ploiesti – Brasov section</w:t>
            </w:r>
            <w:r>
              <w:rPr>
                <w:sz w:val="22"/>
                <w:szCs w:val="22"/>
                <w:lang w:val="en-US"/>
              </w:rPr>
              <w:t xml:space="preserve"> since </w:t>
            </w:r>
            <w:r w:rsidRPr="008C5B1B">
              <w:rPr>
                <w:sz w:val="22"/>
                <w:szCs w:val="22"/>
                <w:lang w:val="en-US"/>
              </w:rPr>
              <w:t>rail is not competitive versus road on the corridor.</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Low design speeds of the sections Predeal to Brasov and Razboieni to Apahida.</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Poor rolling stock and station facilities condition, country wide issue.</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Inefficient timetable leading to low staff efficiency and poor rolling stock usage. Long turnaround times and irregular stopping patterns, network wide issues.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Poor reliability record and inefficient signalling systems, network wide issues.</w:t>
            </w:r>
          </w:p>
          <w:p w:rsidR="00660414" w:rsidRPr="008C5B1B" w:rsidRDefault="00660414" w:rsidP="00273D5E">
            <w:pPr>
              <w:pStyle w:val="BulletLevel1"/>
              <w:numPr>
                <w:ilvl w:val="0"/>
                <w:numId w:val="60"/>
              </w:numPr>
            </w:pPr>
            <w:r w:rsidRPr="008C5B1B">
              <w:t xml:space="preserve">Limited capacity and obsolete signalling systems. Infrastructure between Bucharest and Brasov may not be able to cope with the forecast rail traffic after rehabilitation; a pilot ERTMS test planned on this line would increase capacity and </w:t>
            </w:r>
            <w:r>
              <w:t xml:space="preserve">improve </w:t>
            </w:r>
            <w:r w:rsidRPr="008C5B1B">
              <w:t>safety.</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 and infrastructure rehabilitation of corridors either previously restored or under upgrade.</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18</w:t>
      </w:r>
      <w:r w:rsidRPr="001F5936">
        <w:rPr>
          <w:b/>
          <w:sz w:val="22"/>
          <w:szCs w:val="22"/>
        </w:rPr>
        <w:fldChar w:fldCharType="end"/>
      </w:r>
      <w:r w:rsidRPr="001F5936">
        <w:rPr>
          <w:b/>
          <w:sz w:val="22"/>
          <w:szCs w:val="22"/>
        </w:rPr>
        <w:t>:</w:t>
      </w:r>
      <w:r>
        <w:rPr>
          <w:b/>
          <w:sz w:val="22"/>
          <w:szCs w:val="22"/>
        </w:rPr>
        <w:t xml:space="preserve"> Summary of Infrastructure Costs and Operating Costs (DS01B)</w:t>
      </w:r>
    </w:p>
    <w:tbl>
      <w:tblPr>
        <w:tblW w:w="489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2599"/>
        <w:gridCol w:w="6381"/>
      </w:tblGrid>
      <w:tr w:rsidR="00660414" w:rsidRPr="000A76BD" w:rsidTr="007613DE">
        <w:trPr>
          <w:cantSplit/>
          <w:tblHeader/>
        </w:trPr>
        <w:tc>
          <w:tcPr>
            <w:tcW w:w="63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264"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10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6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2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3,578</w:t>
            </w:r>
          </w:p>
        </w:tc>
        <w:tc>
          <w:tcPr>
            <w:tcW w:w="3103"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or enhanced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6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2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962</w:t>
            </w:r>
          </w:p>
        </w:tc>
        <w:tc>
          <w:tcPr>
            <w:tcW w:w="3103"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6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2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w:t>
            </w:r>
            <w:r w:rsidRPr="00804F1B">
              <w:rPr>
                <w:rFonts w:cs="Arial"/>
                <w:sz w:val="22"/>
                <w:szCs w:val="22"/>
              </w:rPr>
              <w:t>,</w:t>
            </w:r>
            <w:r>
              <w:rPr>
                <w:rFonts w:cs="Arial"/>
                <w:sz w:val="22"/>
                <w:szCs w:val="22"/>
              </w:rPr>
              <w:t>540</w:t>
            </w:r>
          </w:p>
        </w:tc>
        <w:tc>
          <w:tcPr>
            <w:tcW w:w="3103"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Default="00660414" w:rsidP="00660414">
      <w:pPr>
        <w:rPr>
          <w:rFonts w:cs="Arial"/>
          <w:sz w:val="22"/>
          <w:szCs w:val="22"/>
        </w:rPr>
      </w:pPr>
      <w:r>
        <w:rPr>
          <w:rFonts w:cs="Arial"/>
          <w:sz w:val="22"/>
          <w:szCs w:val="22"/>
        </w:rPr>
        <w:br w:type="page"/>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low value for money (BCR = </w:t>
      </w:r>
      <w:r>
        <w:rPr>
          <w:rFonts w:cs="Arial"/>
          <w:sz w:val="22"/>
          <w:szCs w:val="22"/>
        </w:rPr>
        <w:t>0.99</w:t>
      </w:r>
      <w:r w:rsidRPr="00804F1B">
        <w:rPr>
          <w:rFonts w:cs="Arial"/>
          <w:sz w:val="22"/>
          <w:szCs w:val="22"/>
        </w:rPr>
        <w:t xml:space="preserve">), </w:t>
      </w:r>
      <w:r>
        <w:rPr>
          <w:rFonts w:cs="Arial"/>
          <w:sz w:val="22"/>
          <w:szCs w:val="22"/>
        </w:rPr>
        <w:t xml:space="preserve">in spite of </w:t>
      </w:r>
      <w:r w:rsidRPr="00804F1B">
        <w:rPr>
          <w:rFonts w:cs="Arial"/>
          <w:sz w:val="22"/>
          <w:szCs w:val="22"/>
        </w:rPr>
        <w:t>a significant overall increase in rail passenger and freight traffic</w:t>
      </w:r>
      <w:r>
        <w:rPr>
          <w:rFonts w:cs="Arial"/>
          <w:sz w:val="22"/>
          <w:szCs w:val="22"/>
        </w:rPr>
        <w:t xml:space="preserve"> of </w:t>
      </w:r>
      <w:r w:rsidRPr="00804F1B">
        <w:rPr>
          <w:rFonts w:cs="Arial"/>
          <w:sz w:val="22"/>
          <w:szCs w:val="22"/>
        </w:rPr>
        <w:t>30% and 9% respectively</w:t>
      </w:r>
      <w:r>
        <w:rPr>
          <w:rFonts w:cs="Arial"/>
          <w:sz w:val="22"/>
          <w:szCs w:val="22"/>
        </w:rPr>
        <w:t xml:space="preserve">, as shown in Table 5.19. </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19</w:t>
      </w:r>
      <w:r w:rsidRPr="001F5936">
        <w:rPr>
          <w:b/>
          <w:sz w:val="22"/>
          <w:szCs w:val="22"/>
        </w:rPr>
        <w:fldChar w:fldCharType="end"/>
      </w:r>
      <w:r w:rsidRPr="001F5936">
        <w:rPr>
          <w:b/>
          <w:sz w:val="22"/>
          <w:szCs w:val="22"/>
        </w:rPr>
        <w:t>:</w:t>
      </w:r>
      <w:r>
        <w:rPr>
          <w:b/>
          <w:sz w:val="22"/>
          <w:szCs w:val="22"/>
        </w:rPr>
        <w:t xml:space="preserve"> Summary of Results (DS01B)</w:t>
      </w:r>
    </w:p>
    <w:tbl>
      <w:tblPr>
        <w:tblW w:w="30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1951"/>
      </w:tblGrid>
      <w:tr w:rsidR="00660414" w:rsidRPr="000A76BD" w:rsidTr="007613DE">
        <w:trPr>
          <w:cantSplit/>
          <w:tblHeader/>
        </w:trPr>
        <w:tc>
          <w:tcPr>
            <w:tcW w:w="349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50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DS01B</w:t>
            </w:r>
          </w:p>
        </w:tc>
      </w:tr>
      <w:tr w:rsidR="00660414" w:rsidRPr="000A76BD" w:rsidTr="007613DE">
        <w:trPr>
          <w:cantSplit/>
        </w:trPr>
        <w:tc>
          <w:tcPr>
            <w:tcW w:w="349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+6,374 (+30%)</w:t>
            </w:r>
          </w:p>
        </w:tc>
      </w:tr>
      <w:tr w:rsidR="00660414" w:rsidRPr="000A76BD" w:rsidTr="007613DE">
        <w:trPr>
          <w:cantSplit/>
        </w:trPr>
        <w:tc>
          <w:tcPr>
            <w:tcW w:w="349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1.9%</w:t>
            </w:r>
          </w:p>
        </w:tc>
      </w:tr>
      <w:tr w:rsidR="00660414" w:rsidRPr="000A76BD" w:rsidTr="007613DE">
        <w:trPr>
          <w:cantSplit/>
        </w:trPr>
        <w:tc>
          <w:tcPr>
            <w:tcW w:w="349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+4,189 (+9%)</w:t>
            </w:r>
          </w:p>
        </w:tc>
      </w:tr>
      <w:tr w:rsidR="00660414" w:rsidRPr="000A76BD" w:rsidTr="007613DE">
        <w:trPr>
          <w:cantSplit/>
        </w:trPr>
        <w:tc>
          <w:tcPr>
            <w:tcW w:w="349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1</w:t>
            </w:r>
            <w:r w:rsidRPr="00804F1B">
              <w:rPr>
                <w:rFonts w:cs="Arial"/>
                <w:sz w:val="22"/>
                <w:szCs w:val="22"/>
              </w:rPr>
              <w:t>%</w:t>
            </w:r>
          </w:p>
        </w:tc>
      </w:tr>
      <w:tr w:rsidR="00660414" w:rsidRPr="000A76BD" w:rsidTr="007613DE">
        <w:trPr>
          <w:cantSplit/>
        </w:trPr>
        <w:tc>
          <w:tcPr>
            <w:tcW w:w="349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50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-36</w:t>
            </w:r>
          </w:p>
        </w:tc>
      </w:tr>
      <w:tr w:rsidR="00660414" w:rsidRPr="000A76BD" w:rsidTr="007613DE">
        <w:trPr>
          <w:cantSplit/>
        </w:trPr>
        <w:tc>
          <w:tcPr>
            <w:tcW w:w="349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50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0.99</w:t>
            </w:r>
          </w:p>
        </w:tc>
      </w:tr>
      <w:tr w:rsidR="00660414" w:rsidRPr="000A76BD" w:rsidTr="007613DE">
        <w:trPr>
          <w:cantSplit/>
        </w:trPr>
        <w:tc>
          <w:tcPr>
            <w:tcW w:w="349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50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4.92</w:t>
            </w:r>
            <w:r w:rsidRPr="00804F1B">
              <w:rPr>
                <w:rFonts w:cs="Arial"/>
                <w:b/>
                <w:sz w:val="22"/>
                <w:szCs w:val="22"/>
              </w:rPr>
              <w:t>%</w:t>
            </w:r>
          </w:p>
        </w:tc>
      </w:tr>
      <w:tr w:rsidR="00660414" w:rsidRPr="000A76BD" w:rsidTr="007613DE">
        <w:tc>
          <w:tcPr>
            <w:tcW w:w="349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795</w:t>
            </w:r>
          </w:p>
        </w:tc>
      </w:tr>
      <w:tr w:rsidR="00660414" w:rsidRPr="000A76BD" w:rsidTr="007613DE">
        <w:tc>
          <w:tcPr>
            <w:tcW w:w="349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50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25</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5.36 and 5.37 </w:t>
      </w:r>
      <w:r w:rsidRPr="00804F1B">
        <w:rPr>
          <w:rFonts w:cs="Arial"/>
          <w:sz w:val="22"/>
          <w:szCs w:val="22"/>
        </w:rPr>
        <w:t>illustrate the forecast changes in passenger and freight traffic for 2030 assuming that the project operat</w:t>
      </w:r>
      <w:r>
        <w:rPr>
          <w:rFonts w:cs="Arial"/>
          <w:sz w:val="22"/>
          <w:szCs w:val="22"/>
        </w:rPr>
        <w:t xml:space="preserve">es </w:t>
      </w:r>
      <w:r w:rsidRPr="00804F1B">
        <w:rPr>
          <w:rFonts w:cs="Arial"/>
          <w:sz w:val="22"/>
          <w:szCs w:val="22"/>
        </w:rPr>
        <w:t xml:space="preserve">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5C03C5BD" wp14:editId="17C5D04F">
            <wp:extent cx="5627009" cy="3960000"/>
            <wp:effectExtent l="0" t="0" r="0" b="2540"/>
            <wp:docPr id="430" name="Picture 430" descr="F:\Projects\Transport Planning - Romania UK GTMP\PUBLIC TRANSPORT\Rail\04_Plots\Rail_results\output\DS01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jects\Transport Planning - Romania UK GTMP\PUBLIC TRANSPORT\Rail\04_Plots\Rail_results\output\DS01B_2030_change_pass.jp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36</w:t>
      </w:r>
      <w:r w:rsidRPr="0075501B">
        <w:rPr>
          <w:b/>
          <w:sz w:val="22"/>
          <w:szCs w:val="22"/>
        </w:rPr>
        <w:fldChar w:fldCharType="end"/>
      </w:r>
      <w:r>
        <w:rPr>
          <w:b/>
          <w:sz w:val="22"/>
          <w:szCs w:val="22"/>
        </w:rPr>
        <w:t>: Change in Passenger Demand (DS01B)</w:t>
      </w:r>
    </w:p>
    <w:p w:rsidR="00660414" w:rsidRDefault="00660414" w:rsidP="007613DE">
      <w:pPr>
        <w:rPr>
          <w:i/>
        </w:rPr>
      </w:pPr>
      <w:r w:rsidRPr="00F9076E">
        <w:rPr>
          <w:i/>
        </w:rPr>
        <w:t>Source: AECOM forecasts</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As the image above demonstrates this project leads to an increase in passenger demand on the Bucharest – Ploiesti – Brasov – Arad line, slightly higher than for Test DS01A. Patronage between Ploiesti and Brasov is expected to grow by +130%, and by up to +155% between Deva and Arad. There is a significant element of demand attraction from the line Bucharest – Craiova – Timisoara – Arad as a result of the improved passenger services. Demand between Craiova and Drobeta – Turnu Severin has been forecast to plumb by -45%.</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AD528B7" wp14:editId="7E87A8ED">
            <wp:extent cx="5684001" cy="3960000"/>
            <wp:effectExtent l="0" t="0" r="0" b="2540"/>
            <wp:docPr id="431" name="Picture 431" descr="F:\Projects\Transport Planning - Romania UK GTMP\PUBLIC TRANSPORT\Rail\04_Plots\Rail_results\output\DS01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Rail_results\output\DS01B_2030_change_freight.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684001"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37</w:t>
      </w:r>
      <w:r w:rsidRPr="0075501B">
        <w:rPr>
          <w:b/>
          <w:sz w:val="22"/>
          <w:szCs w:val="22"/>
        </w:rPr>
        <w:fldChar w:fldCharType="end"/>
      </w:r>
      <w:r>
        <w:rPr>
          <w:b/>
          <w:sz w:val="22"/>
          <w:szCs w:val="22"/>
        </w:rPr>
        <w:t>: Change in Freight Demand (DS01B)</w:t>
      </w:r>
    </w:p>
    <w:p w:rsidR="00660414" w:rsidRDefault="00660414" w:rsidP="007613DE">
      <w:pPr>
        <w:rPr>
          <w:i/>
        </w:rPr>
      </w:pPr>
      <w:r w:rsidRPr="00F9076E">
        <w:rPr>
          <w:i/>
        </w:rPr>
        <w:t>Source: AECOM forecasts</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Freight traffic is also expected to grow overall, with a</w:t>
      </w:r>
      <w:r>
        <w:rPr>
          <w:rFonts w:cs="Arial"/>
          <w:sz w:val="22"/>
          <w:szCs w:val="22"/>
        </w:rPr>
        <w:t xml:space="preserve"> 60% </w:t>
      </w:r>
      <w:r w:rsidRPr="00804F1B">
        <w:rPr>
          <w:rFonts w:cs="Arial"/>
          <w:sz w:val="22"/>
          <w:szCs w:val="22"/>
        </w:rPr>
        <w:t xml:space="preserve">increase in the number of tonnes transported between Brasov and Sighisoara. Similarly to the forecast trend in the passenger market, some freight traffic is expected to transfer from the line </w:t>
      </w:r>
      <w:r>
        <w:rPr>
          <w:rFonts w:cs="Arial"/>
          <w:sz w:val="22"/>
          <w:szCs w:val="22"/>
        </w:rPr>
        <w:t xml:space="preserve">via </w:t>
      </w:r>
      <w:r w:rsidRPr="00804F1B">
        <w:rPr>
          <w:rFonts w:cs="Arial"/>
          <w:sz w:val="22"/>
          <w:szCs w:val="22"/>
        </w:rPr>
        <w:t>Craiova to the upgraded corridor</w:t>
      </w:r>
      <w:r>
        <w:rPr>
          <w:rFonts w:cs="Arial"/>
          <w:sz w:val="22"/>
          <w:szCs w:val="22"/>
        </w:rPr>
        <w:t xml:space="preserve"> via Brasov</w:t>
      </w:r>
      <w:r w:rsidRPr="00804F1B">
        <w:rPr>
          <w:rFonts w:cs="Arial"/>
          <w:sz w:val="22"/>
          <w:szCs w:val="22"/>
        </w:rPr>
        <w:t xml:space="preserve">. The number of transported tonnes has been estimated to fall by -50%.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273D5E">
      <w:pPr>
        <w:pStyle w:val="BulletLevel1"/>
        <w:numPr>
          <w:ilvl w:val="0"/>
          <w:numId w:val="60"/>
        </w:numPr>
      </w:pPr>
      <w:r w:rsidRPr="00804F1B">
        <w:t>Section Bucharest – Predeal completed.</w:t>
      </w:r>
    </w:p>
    <w:p w:rsidR="00660414" w:rsidRPr="000A76BD" w:rsidRDefault="00660414" w:rsidP="00273D5E">
      <w:pPr>
        <w:pStyle w:val="BulletLevel1"/>
        <w:numPr>
          <w:ilvl w:val="0"/>
          <w:numId w:val="60"/>
        </w:numPr>
      </w:pPr>
      <w:r w:rsidRPr="00804F1B">
        <w:t>Sighisoara to Deva and Hungarian border to km 614 between 2014 and 2020.</w:t>
      </w:r>
    </w:p>
    <w:p w:rsidR="00660414" w:rsidRPr="000A76BD" w:rsidRDefault="00660414" w:rsidP="00273D5E">
      <w:pPr>
        <w:pStyle w:val="BulletLevel1"/>
        <w:numPr>
          <w:ilvl w:val="0"/>
          <w:numId w:val="60"/>
        </w:numPr>
      </w:pPr>
      <w:r w:rsidRPr="00804F1B">
        <w:t>Other corridors on this test estimated 2020</w:t>
      </w:r>
    </w:p>
    <w:p w:rsidR="00660414" w:rsidRPr="000A76BD" w:rsidRDefault="00660414" w:rsidP="00660414">
      <w:pPr>
        <w:spacing w:line="276" w:lineRule="auto"/>
        <w:jc w:val="both"/>
        <w:rPr>
          <w:rFonts w:cs="Arial"/>
          <w:b/>
          <w:bCs/>
          <w:kern w:val="32"/>
          <w:sz w:val="22"/>
          <w:szCs w:val="22"/>
        </w:rPr>
      </w:pPr>
      <w:r w:rsidRPr="00804F1B">
        <w:rPr>
          <w:rFonts w:cs="Arial"/>
          <w:sz w:val="22"/>
          <w:szCs w:val="22"/>
        </w:rPr>
        <w:br w:type="page"/>
      </w:r>
    </w:p>
    <w:p w:rsidR="00660414" w:rsidRPr="00170C2E" w:rsidRDefault="00660414" w:rsidP="00170C2E">
      <w:pPr>
        <w:pStyle w:val="Hdg3"/>
        <w:ind w:left="851"/>
      </w:pPr>
      <w:r w:rsidRPr="008C5B1B">
        <w:t>Regular interval timetable on the line Bucharest to Constanta (Test DS02A)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8C5B1B" w:rsidRDefault="00660414" w:rsidP="007613DE">
            <w:pPr>
              <w:spacing w:line="276" w:lineRule="auto"/>
              <w:rPr>
                <w:rFonts w:cs="Arial"/>
                <w:sz w:val="22"/>
                <w:szCs w:val="22"/>
                <w:lang w:val="en-US"/>
              </w:rPr>
            </w:pPr>
            <w:r w:rsidRPr="008C5B1B">
              <w:rPr>
                <w:rFonts w:cs="Arial"/>
                <w:sz w:val="22"/>
                <w:szCs w:val="22"/>
                <w:lang w:val="en-US"/>
              </w:rPr>
              <w:t>Regular interval timetable on the line Bucharest to Constanta operated by new rolling stock.  Although this line has been upgraded in the last decade it has been acknowledged that minor improvement works at stations may be required.</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project includes: </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Steady state maintenance of the core network (baseline assumption for all Do Something tests).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signalling and communications systems.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station facilities at Bucharest, Lehliu, Ciulnita, Fetesti, Cernavoda, Medgidia and Constanta, some improvement works already carried out on this corridor.</w:t>
            </w:r>
          </w:p>
          <w:p w:rsidR="00660414" w:rsidRPr="008C5B1B" w:rsidRDefault="00660414" w:rsidP="00273D5E">
            <w:pPr>
              <w:pStyle w:val="BulletLevel1"/>
              <w:numPr>
                <w:ilvl w:val="0"/>
                <w:numId w:val="60"/>
              </w:numPr>
            </w:pPr>
            <w:r w:rsidRPr="008C5B1B">
              <w:t>InterRegio regular interval timetable operated by new rolling stock. The proposed regular interval service pattern is: Bucharest to Constanta (1 tph), w</w:t>
            </w:r>
            <w:r>
              <w:t xml:space="preserve">hich comprises </w:t>
            </w:r>
            <w:r w:rsidRPr="008C5B1B">
              <w:t xml:space="preserve">a </w:t>
            </w:r>
            <w:r>
              <w:t>‘</w:t>
            </w:r>
            <w:r w:rsidRPr="008C5B1B">
              <w:t>fast</w:t>
            </w:r>
            <w:r>
              <w:t>’</w:t>
            </w:r>
            <w:r w:rsidRPr="008C5B1B">
              <w:t xml:space="preserve"> and a </w:t>
            </w:r>
            <w:r>
              <w:t>‘</w:t>
            </w:r>
            <w:r w:rsidRPr="008C5B1B">
              <w:t>stopping</w:t>
            </w:r>
            <w:r>
              <w:t>’</w:t>
            </w:r>
            <w:r w:rsidRPr="008C5B1B">
              <w:t xml:space="preserve"> service every two hours.</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50EB6E62" wp14:editId="72F67E50">
            <wp:extent cx="5538487" cy="3960000"/>
            <wp:effectExtent l="0" t="0" r="5080" b="2540"/>
            <wp:docPr id="432" name="Picture 10" descr="F:\Projects\Transport Planning - Romania UK GTMP\PUBLIC TRANSPORT\Rail\04_Plots\Do_Somthing_schemes\outputs\DoSomethingSchemes_DS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Do_Somthing_schemes\outputs\DoSomethingSchemes_DS02A.jpg"/>
                    <pic:cNvPicPr>
                      <a:picLocks noChangeAspect="1" noChangeArrowheads="1"/>
                    </pic:cNvPicPr>
                  </pic:nvPicPr>
                  <pic:blipFill>
                    <a:blip r:embed="rId205" cstate="print"/>
                    <a:srcRect l="2644" t="2504" r="2446" b="2785"/>
                    <a:stretch>
                      <a:fillRect/>
                    </a:stretch>
                  </pic:blipFill>
                  <pic:spPr bwMode="auto">
                    <a:xfrm>
                      <a:off x="0" y="0"/>
                      <a:ext cx="5538487" cy="3960000"/>
                    </a:xfrm>
                    <a:prstGeom prst="rect">
                      <a:avLst/>
                    </a:prstGeom>
                    <a:noFill/>
                    <a:ln w="9525">
                      <a:noFill/>
                      <a:miter lim="800000"/>
                      <a:headEnd/>
                      <a:tailEnd/>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38</w:t>
      </w:r>
      <w:r w:rsidRPr="008C7A83">
        <w:rPr>
          <w:b/>
          <w:sz w:val="22"/>
          <w:szCs w:val="22"/>
        </w:rPr>
        <w:fldChar w:fldCharType="end"/>
      </w:r>
      <w:r w:rsidRPr="008C7A83">
        <w:rPr>
          <w:b/>
          <w:sz w:val="22"/>
          <w:szCs w:val="22"/>
        </w:rPr>
        <w:t>:</w:t>
      </w:r>
      <w:r>
        <w:rPr>
          <w:b/>
          <w:sz w:val="22"/>
          <w:szCs w:val="22"/>
        </w:rPr>
        <w:t xml:space="preserve"> Description of Service Proposals (DS02A)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p w:rsidR="00660414" w:rsidRPr="008C5B1B" w:rsidRDefault="00660414" w:rsidP="00660414">
      <w:pPr>
        <w:rPr>
          <w:b/>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intervention addresses the following issues: </w:t>
            </w:r>
          </w:p>
          <w:p w:rsidR="00660414" w:rsidRPr="000A76BD" w:rsidRDefault="00660414" w:rsidP="00273D5E">
            <w:pPr>
              <w:pStyle w:val="BulletLevel1"/>
              <w:numPr>
                <w:ilvl w:val="0"/>
                <w:numId w:val="60"/>
              </w:numPr>
            </w:pPr>
            <w:r w:rsidRPr="00804F1B">
              <w:t>Low rail market share, rail is not competitive versus road on the corridor. In principle the existing infrastructure enables faster rail than car journeys between Bucharest and Constanta.</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Operational gaps for maintenance tasks, this work should be carried out at night.</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Low frequency between Bucharest and Constanta.</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Pr>
          <w:rFonts w:cs="Arial"/>
          <w:sz w:val="22"/>
          <w:szCs w:val="22"/>
        </w:rPr>
        <w:t>T</w:t>
      </w:r>
      <w:r w:rsidRPr="00804F1B">
        <w:rPr>
          <w:rFonts w:cs="Arial"/>
          <w:sz w:val="22"/>
          <w:szCs w:val="22"/>
        </w:rPr>
        <w:t>he project will incur in the following costs, excluding steady state maintenance</w:t>
      </w:r>
      <w:r>
        <w:rPr>
          <w:rFonts w:cs="Arial"/>
          <w:sz w:val="22"/>
          <w:szCs w:val="22"/>
        </w:rPr>
        <w:t xml:space="preserve">. </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20</w:t>
      </w:r>
      <w:r w:rsidRPr="001F5936">
        <w:rPr>
          <w:b/>
          <w:sz w:val="22"/>
          <w:szCs w:val="22"/>
        </w:rPr>
        <w:fldChar w:fldCharType="end"/>
      </w:r>
      <w:r w:rsidRPr="001F5936">
        <w:rPr>
          <w:b/>
          <w:sz w:val="22"/>
          <w:szCs w:val="22"/>
        </w:rPr>
        <w:t>:</w:t>
      </w:r>
      <w:r>
        <w:rPr>
          <w:b/>
          <w:sz w:val="22"/>
          <w:szCs w:val="22"/>
        </w:rPr>
        <w:t xml:space="preserve"> Summary of Infrastructure Costs and Operating Costs (DS02A)</w:t>
      </w:r>
    </w:p>
    <w:tbl>
      <w:tblPr>
        <w:tblW w:w="491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1"/>
        <w:gridCol w:w="2669"/>
        <w:gridCol w:w="6358"/>
      </w:tblGrid>
      <w:tr w:rsidR="00660414" w:rsidRPr="000A76BD" w:rsidTr="007613DE">
        <w:trPr>
          <w:cantSplit/>
          <w:tblHeader/>
        </w:trPr>
        <w:tc>
          <w:tcPr>
            <w:tcW w:w="63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292"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07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63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29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31</w:t>
            </w:r>
          </w:p>
        </w:tc>
        <w:tc>
          <w:tcPr>
            <w:tcW w:w="307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63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29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255</w:t>
            </w:r>
          </w:p>
        </w:tc>
        <w:tc>
          <w:tcPr>
            <w:tcW w:w="307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63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29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286</w:t>
            </w:r>
          </w:p>
        </w:tc>
        <w:tc>
          <w:tcPr>
            <w:tcW w:w="307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w:t>
      </w:r>
      <w:r>
        <w:rPr>
          <w:rFonts w:cs="Arial"/>
          <w:sz w:val="22"/>
          <w:szCs w:val="22"/>
        </w:rPr>
        <w:t xml:space="preserve">very </w:t>
      </w:r>
      <w:r w:rsidRPr="00804F1B">
        <w:rPr>
          <w:rFonts w:cs="Arial"/>
          <w:sz w:val="22"/>
          <w:szCs w:val="22"/>
        </w:rPr>
        <w:t>good value for money (BCR = 1</w:t>
      </w:r>
      <w:r>
        <w:rPr>
          <w:rFonts w:cs="Arial"/>
          <w:sz w:val="22"/>
          <w:szCs w:val="22"/>
        </w:rPr>
        <w:t>3</w:t>
      </w:r>
      <w:r w:rsidRPr="00804F1B">
        <w:rPr>
          <w:rFonts w:cs="Arial"/>
          <w:sz w:val="22"/>
          <w:szCs w:val="22"/>
        </w:rPr>
        <w:t>.</w:t>
      </w:r>
      <w:r>
        <w:rPr>
          <w:rFonts w:cs="Arial"/>
          <w:sz w:val="22"/>
          <w:szCs w:val="22"/>
        </w:rPr>
        <w:t>62</w:t>
      </w:r>
      <w:r w:rsidRPr="00804F1B">
        <w:rPr>
          <w:rFonts w:cs="Arial"/>
          <w:sz w:val="22"/>
          <w:szCs w:val="22"/>
        </w:rPr>
        <w:t>)</w:t>
      </w:r>
      <w:r>
        <w:rPr>
          <w:rFonts w:cs="Arial"/>
          <w:sz w:val="22"/>
          <w:szCs w:val="22"/>
        </w:rPr>
        <w:t xml:space="preserve">. There is a 7% </w:t>
      </w:r>
      <w:r w:rsidRPr="00804F1B">
        <w:rPr>
          <w:rFonts w:cs="Arial"/>
          <w:sz w:val="22"/>
          <w:szCs w:val="22"/>
        </w:rPr>
        <w:t xml:space="preserve">increase in rail passenger traffic </w:t>
      </w:r>
      <w:r>
        <w:rPr>
          <w:rFonts w:cs="Arial"/>
          <w:sz w:val="22"/>
          <w:szCs w:val="22"/>
        </w:rPr>
        <w:t xml:space="preserve">for the network as shown in Table 5.21. </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21</w:t>
      </w:r>
      <w:r w:rsidRPr="001F5936">
        <w:rPr>
          <w:b/>
          <w:sz w:val="22"/>
          <w:szCs w:val="22"/>
        </w:rPr>
        <w:fldChar w:fldCharType="end"/>
      </w:r>
      <w:r w:rsidRPr="001F5936">
        <w:rPr>
          <w:b/>
          <w:sz w:val="22"/>
          <w:szCs w:val="22"/>
        </w:rPr>
        <w:t>:</w:t>
      </w:r>
      <w:r>
        <w:rPr>
          <w:b/>
          <w:sz w:val="22"/>
          <w:szCs w:val="22"/>
        </w:rPr>
        <w:t xml:space="preserve"> Summary of Results (DS02A)</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2"/>
        <w:gridCol w:w="2161"/>
      </w:tblGrid>
      <w:tr w:rsidR="00660414" w:rsidRPr="000A76BD" w:rsidTr="007613DE">
        <w:trPr>
          <w:cantSplit/>
          <w:tblHeader/>
        </w:trPr>
        <w:tc>
          <w:tcPr>
            <w:tcW w:w="358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41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DS02A</w:t>
            </w:r>
          </w:p>
        </w:tc>
      </w:tr>
      <w:tr w:rsidR="00660414" w:rsidRPr="000A76BD" w:rsidTr="007613DE">
        <w:trPr>
          <w:cantSplit/>
        </w:trPr>
        <w:tc>
          <w:tcPr>
            <w:tcW w:w="358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41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+1,422 (+7%)</w:t>
            </w:r>
          </w:p>
        </w:tc>
      </w:tr>
      <w:tr w:rsidR="00660414" w:rsidRPr="000A76BD" w:rsidTr="007613DE">
        <w:trPr>
          <w:cantSplit/>
        </w:trPr>
        <w:tc>
          <w:tcPr>
            <w:tcW w:w="358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41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58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41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-14 (+0%)</w:t>
            </w:r>
          </w:p>
        </w:tc>
      </w:tr>
      <w:tr w:rsidR="00660414" w:rsidRPr="000A76BD" w:rsidTr="007613DE">
        <w:trPr>
          <w:cantSplit/>
        </w:trPr>
        <w:tc>
          <w:tcPr>
            <w:tcW w:w="358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41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0.0%</w:t>
            </w:r>
          </w:p>
        </w:tc>
      </w:tr>
      <w:tr w:rsidR="00660414" w:rsidRPr="000A76BD" w:rsidTr="007613DE">
        <w:trPr>
          <w:cantSplit/>
        </w:trPr>
        <w:tc>
          <w:tcPr>
            <w:tcW w:w="358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41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255</w:t>
            </w:r>
          </w:p>
        </w:tc>
      </w:tr>
      <w:tr w:rsidR="00660414" w:rsidRPr="000A76BD" w:rsidTr="007613DE">
        <w:trPr>
          <w:cantSplit/>
        </w:trPr>
        <w:tc>
          <w:tcPr>
            <w:tcW w:w="358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41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13.62</w:t>
            </w:r>
          </w:p>
        </w:tc>
      </w:tr>
      <w:tr w:rsidR="00660414" w:rsidRPr="000A76BD" w:rsidTr="007613DE">
        <w:trPr>
          <w:cantSplit/>
        </w:trPr>
        <w:tc>
          <w:tcPr>
            <w:tcW w:w="358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41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48</w:t>
            </w:r>
            <w:r w:rsidRPr="00804F1B">
              <w:rPr>
                <w:rFonts w:cs="Arial"/>
                <w:b/>
                <w:sz w:val="22"/>
                <w:szCs w:val="22"/>
              </w:rPr>
              <w:t>.</w:t>
            </w:r>
            <w:r>
              <w:rPr>
                <w:rFonts w:cs="Arial"/>
                <w:b/>
                <w:sz w:val="22"/>
                <w:szCs w:val="22"/>
              </w:rPr>
              <w:t>92</w:t>
            </w:r>
            <w:r w:rsidRPr="00804F1B">
              <w:rPr>
                <w:rFonts w:cs="Arial"/>
                <w:b/>
                <w:sz w:val="22"/>
                <w:szCs w:val="22"/>
              </w:rPr>
              <w:t>%</w:t>
            </w:r>
          </w:p>
        </w:tc>
      </w:tr>
      <w:tr w:rsidR="00660414" w:rsidRPr="000A76BD" w:rsidTr="007613DE">
        <w:tc>
          <w:tcPr>
            <w:tcW w:w="358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41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 5.39 </w:t>
      </w:r>
      <w:r w:rsidRPr="00804F1B">
        <w:rPr>
          <w:rFonts w:cs="Arial"/>
          <w:sz w:val="22"/>
          <w:szCs w:val="22"/>
        </w:rPr>
        <w:t>illustrate</w:t>
      </w:r>
      <w:r>
        <w:rPr>
          <w:rFonts w:cs="Arial"/>
          <w:sz w:val="22"/>
          <w:szCs w:val="22"/>
        </w:rPr>
        <w:t>s</w:t>
      </w:r>
      <w:r w:rsidRPr="00804F1B">
        <w:rPr>
          <w:rFonts w:cs="Arial"/>
          <w:sz w:val="22"/>
          <w:szCs w:val="22"/>
        </w:rPr>
        <w:t xml:space="preserve"> the forecast changes in passenger and freight traffic for 2030 assuming that the project is operation</w:t>
      </w:r>
      <w:r>
        <w:rPr>
          <w:rFonts w:cs="Arial"/>
          <w:sz w:val="22"/>
          <w:szCs w:val="22"/>
        </w:rPr>
        <w:t>al</w:t>
      </w:r>
      <w:r w:rsidRPr="00804F1B">
        <w:rPr>
          <w:rFonts w:cs="Arial"/>
          <w:sz w:val="22"/>
          <w:szCs w:val="22"/>
        </w:rPr>
        <w:t xml:space="preserve">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8241323" wp14:editId="0AFEDBD1">
            <wp:extent cx="5627009" cy="3960000"/>
            <wp:effectExtent l="0" t="0" r="0" b="2540"/>
            <wp:docPr id="433" name="Picture 433" descr="F:\Projects\Transport Planning - Romania UK GTMP\PUBLIC TRANSPORT\Rail\04_Plots\Rail_results\output\DS02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jects\Transport Planning - Romania UK GTMP\PUBLIC TRANSPORT\Rail\04_Plots\Rail_results\output\DS02A_2030_change_pass.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39</w:t>
      </w:r>
      <w:r w:rsidRPr="0075501B">
        <w:rPr>
          <w:b/>
          <w:sz w:val="22"/>
          <w:szCs w:val="22"/>
        </w:rPr>
        <w:fldChar w:fldCharType="end"/>
      </w:r>
      <w:r>
        <w:rPr>
          <w:b/>
          <w:sz w:val="22"/>
          <w:szCs w:val="22"/>
        </w:rPr>
        <w:t>: Change in Passenger Demand (DS02A)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Passenger demand on the corridor grows significantly compared to the reference case, the forecast traffic increase on the Lehilu to Ciulnita section is +115%, this figure decreases to +80% on the Fetesti to Cernavoda section.It has been assumed that no significant freight travel time savings will be achieved.</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340716" w:rsidRPr="00340716" w:rsidRDefault="00660414" w:rsidP="00340716">
      <w:pPr>
        <w:spacing w:line="276" w:lineRule="auto"/>
        <w:jc w:val="both"/>
        <w:rPr>
          <w:rFonts w:cs="Arial"/>
          <w:sz w:val="22"/>
          <w:szCs w:val="22"/>
        </w:rPr>
      </w:pPr>
      <w:r w:rsidRPr="00340716">
        <w:rPr>
          <w:rFonts w:cs="Arial"/>
          <w:sz w:val="22"/>
          <w:szCs w:val="22"/>
        </w:rPr>
        <w:t>It has been estimated that the project could be implemented by 2020 if funding is secured.</w:t>
      </w:r>
    </w:p>
    <w:p w:rsidR="00660414" w:rsidRPr="00340716" w:rsidRDefault="00660414" w:rsidP="00340716">
      <w:pPr>
        <w:pStyle w:val="Hdg3"/>
        <w:ind w:left="851"/>
      </w:pPr>
      <w:r w:rsidRPr="008C5B1B">
        <w:rPr>
          <w:rFonts w:cs="Arial"/>
          <w:i w:val="0"/>
        </w:rPr>
        <w:br w:type="page"/>
      </w:r>
      <w:r w:rsidRPr="00340716">
        <w:t>Bucharest to Arad via Craiova to design speed (Test DS03A)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8C5B1B" w:rsidRDefault="00660414" w:rsidP="007613DE">
            <w:pPr>
              <w:spacing w:line="276" w:lineRule="auto"/>
              <w:rPr>
                <w:rFonts w:cs="Arial"/>
                <w:sz w:val="22"/>
                <w:szCs w:val="22"/>
                <w:lang w:val="en-US"/>
              </w:rPr>
            </w:pPr>
            <w:r w:rsidRPr="008C5B1B">
              <w:rPr>
                <w:rFonts w:cs="Arial"/>
                <w:sz w:val="22"/>
                <w:szCs w:val="22"/>
                <w:lang w:val="en-US"/>
              </w:rPr>
              <w:t>Upgrade programme for Core TEN-T corridor IV-S between Arad and Craiova and line 900 between Craiova and Bucharest</w:t>
            </w:r>
            <w:r>
              <w:rPr>
                <w:rFonts w:cs="Arial"/>
                <w:sz w:val="22"/>
                <w:szCs w:val="22"/>
                <w:lang w:val="en-US"/>
              </w:rPr>
              <w:t>. T</w:t>
            </w:r>
            <w:r w:rsidRPr="008C5B1B">
              <w:rPr>
                <w:rFonts w:cs="Arial"/>
                <w:sz w:val="22"/>
                <w:szCs w:val="22"/>
                <w:lang w:val="en-US"/>
              </w:rPr>
              <w:t>his test also contemplates a regular interval connection to Core TEN-T corridor IV-N via line 202</w:t>
            </w:r>
            <w:r>
              <w:rPr>
                <w:rFonts w:cs="Arial"/>
                <w:sz w:val="22"/>
                <w:szCs w:val="22"/>
                <w:lang w:val="en-US"/>
              </w:rPr>
              <w:t xml:space="preserve"> and includes:</w:t>
            </w:r>
            <w:r w:rsidRPr="008C5B1B">
              <w:rPr>
                <w:rFonts w:cs="Arial"/>
                <w:sz w:val="22"/>
                <w:szCs w:val="22"/>
                <w:lang w:val="en-US"/>
              </w:rPr>
              <w:t xml:space="preserve"> </w:t>
            </w:r>
          </w:p>
          <w:p w:rsidR="00660414" w:rsidRPr="000A76BD" w:rsidRDefault="00660414" w:rsidP="00273D5E">
            <w:pPr>
              <w:pStyle w:val="BulletLevel1"/>
              <w:numPr>
                <w:ilvl w:val="0"/>
                <w:numId w:val="60"/>
              </w:numPr>
            </w:pPr>
            <w:r w:rsidRPr="00804F1B">
              <w:t>Rehabilitation to design speed of corridor 900 between Bucharest and Timisoara and the section Timisoara to Arad.</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Bucharest, Videle, Rosiori de Vede, Caracal, Craiova, Filiasi, Drobeta – Turnu Severin, Caransebes, Lugoj, Timisoara and Arad.</w:t>
            </w:r>
          </w:p>
          <w:p w:rsidR="00660414" w:rsidRPr="008C5B1B" w:rsidRDefault="00660414" w:rsidP="00273D5E">
            <w:pPr>
              <w:pStyle w:val="BulletLevel1"/>
              <w:numPr>
                <w:ilvl w:val="0"/>
                <w:numId w:val="60"/>
              </w:numPr>
              <w:rPr>
                <w:lang w:val="en-US"/>
              </w:rPr>
            </w:pPr>
            <w:r w:rsidRPr="00804F1B">
              <w:t xml:space="preserve">Interregio regular interval timetable operated by new rolling stock. The proposed regular interval service pattern is: Bucharest to Arad via Timisoara (0.5 tph), Bucharest to Craiova (1 tph), Bucharest to Deva via Craiova (0.5 tph). Services to Deva could be extended to Cluj-Napoca if rail patronage increases. </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4D0B565D" wp14:editId="46FD1E7A">
            <wp:extent cx="5645583" cy="3960000"/>
            <wp:effectExtent l="0" t="0" r="0" b="2540"/>
            <wp:docPr id="436" name="Picture 436" descr="F:\Projects\Transport Planning - Romania UK GTMP\PUBLIC TRANSPORT\Rail\04_Plots\Do_Somthing_schemes\outputs\DoSomethingSchemes_DS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Do_Somthing_schemes\outputs\DoSomethingSchemes_DS03A.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40</w:t>
      </w:r>
      <w:r w:rsidRPr="008C7A83">
        <w:rPr>
          <w:b/>
          <w:sz w:val="22"/>
          <w:szCs w:val="22"/>
        </w:rPr>
        <w:fldChar w:fldCharType="end"/>
      </w:r>
      <w:r w:rsidRPr="008C7A83">
        <w:rPr>
          <w:b/>
          <w:sz w:val="22"/>
          <w:szCs w:val="22"/>
        </w:rPr>
        <w:t>:</w:t>
      </w:r>
      <w:r>
        <w:rPr>
          <w:b/>
          <w:sz w:val="22"/>
          <w:szCs w:val="22"/>
        </w:rPr>
        <w:t xml:space="preserve"> Description of Service Proposals (DS03A)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8C5B1B" w:rsidRDefault="00660414" w:rsidP="007613DE">
            <w:pPr>
              <w:spacing w:line="276" w:lineRule="auto"/>
              <w:jc w:val="both"/>
              <w:rPr>
                <w:rFonts w:cs="Arial"/>
                <w:sz w:val="22"/>
                <w:szCs w:val="22"/>
                <w:lang w:val="en-US"/>
              </w:rPr>
            </w:pPr>
            <w:r w:rsidRPr="008C5B1B">
              <w:rPr>
                <w:rFonts w:cs="Arial"/>
                <w:sz w:val="22"/>
                <w:szCs w:val="22"/>
                <w:lang w:val="en-US"/>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on Core TEN-T corridor IV-S.</w:t>
            </w:r>
          </w:p>
          <w:p w:rsidR="00660414" w:rsidRPr="000A76BD" w:rsidRDefault="00660414" w:rsidP="00273D5E">
            <w:pPr>
              <w:pStyle w:val="BulletLevel1"/>
              <w:numPr>
                <w:ilvl w:val="0"/>
                <w:numId w:val="60"/>
              </w:numPr>
            </w:pPr>
            <w:r w:rsidRPr="00804F1B">
              <w:t>Delays due to poor infrastructure condition and speed restrictions. Commercial speeds are below design parameters on many sections of the line (Bucharest to Videle, Olteni to Rosiori de Vede Nord ...)</w:t>
            </w:r>
          </w:p>
          <w:p w:rsidR="00660414" w:rsidRPr="000A76BD" w:rsidRDefault="00660414" w:rsidP="00273D5E">
            <w:pPr>
              <w:pStyle w:val="BulletLevel1"/>
              <w:numPr>
                <w:ilvl w:val="0"/>
                <w:numId w:val="60"/>
              </w:numPr>
            </w:pPr>
            <w:r w:rsidRPr="00804F1B">
              <w:t>Low rail market share on the Bucharest – Craiova section. There is</w:t>
            </w:r>
            <w:r>
              <w:t xml:space="preserve"> </w:t>
            </w:r>
            <w:r w:rsidRPr="00804F1B">
              <w:t>suppressed demand between these cities due to the poor passenger service.</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0A76BD" w:rsidRDefault="00660414" w:rsidP="00273D5E">
            <w:pPr>
              <w:pStyle w:val="BulletLevel1"/>
              <w:numPr>
                <w:ilvl w:val="0"/>
                <w:numId w:val="60"/>
              </w:numPr>
            </w:pPr>
            <w:r w:rsidRPr="00804F1B">
              <w:t>Limited capacity and obsolete signalling systems in many stations along the corridor.</w:t>
            </w:r>
          </w:p>
          <w:p w:rsidR="00660414" w:rsidRPr="007D404F" w:rsidRDefault="00660414" w:rsidP="007613DE">
            <w:pPr>
              <w:spacing w:after="120" w:line="276" w:lineRule="auto"/>
              <w:contextualSpacing/>
              <w:rPr>
                <w:sz w:val="22"/>
                <w:szCs w:val="22"/>
                <w:lang w:val="en-US"/>
              </w:rPr>
            </w:pP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22</w:t>
      </w:r>
      <w:r w:rsidRPr="001F5936">
        <w:rPr>
          <w:b/>
          <w:sz w:val="22"/>
          <w:szCs w:val="22"/>
        </w:rPr>
        <w:fldChar w:fldCharType="end"/>
      </w:r>
      <w:r w:rsidRPr="001F5936">
        <w:rPr>
          <w:b/>
          <w:sz w:val="22"/>
          <w:szCs w:val="22"/>
        </w:rPr>
        <w:t>:</w:t>
      </w:r>
      <w:r>
        <w:rPr>
          <w:b/>
          <w:sz w:val="22"/>
          <w:szCs w:val="22"/>
        </w:rPr>
        <w:t xml:space="preserve"> Summary of Infrastructure Costs and Operating Costs (DS03A)</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3385"/>
        <w:gridCol w:w="4971"/>
      </w:tblGrid>
      <w:tr w:rsidR="00660414" w:rsidRPr="000A76BD" w:rsidTr="007613DE">
        <w:trPr>
          <w:cantSplit/>
          <w:tblHeader/>
        </w:trPr>
        <w:tc>
          <w:tcPr>
            <w:tcW w:w="722"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73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Undiscounted costs (Million €, 2014 prices)</w:t>
            </w:r>
          </w:p>
        </w:tc>
        <w:tc>
          <w:tcPr>
            <w:tcW w:w="254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72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7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2,440</w:t>
            </w:r>
          </w:p>
        </w:tc>
        <w:tc>
          <w:tcPr>
            <w:tcW w:w="254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72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7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2,416</w:t>
            </w:r>
          </w:p>
        </w:tc>
        <w:tc>
          <w:tcPr>
            <w:tcW w:w="254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72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73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4,856</w:t>
            </w:r>
          </w:p>
        </w:tc>
        <w:tc>
          <w:tcPr>
            <w:tcW w:w="254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good value for money (BCR = 1.</w:t>
      </w:r>
      <w:r>
        <w:rPr>
          <w:rFonts w:cs="Arial"/>
          <w:sz w:val="22"/>
          <w:szCs w:val="22"/>
        </w:rPr>
        <w:t>06</w:t>
      </w:r>
      <w:r w:rsidRPr="00804F1B">
        <w:rPr>
          <w:rFonts w:cs="Arial"/>
          <w:sz w:val="22"/>
          <w:szCs w:val="22"/>
        </w:rPr>
        <w:t>), and a significant increase in rail passenger and freight traffic, of +23% and +9% respectively over the whole system, see table below:</w:t>
      </w:r>
    </w:p>
    <w:p w:rsidR="00660414" w:rsidRDefault="00660414" w:rsidP="00660414">
      <w:pPr>
        <w:pStyle w:val="Caption"/>
        <w:rPr>
          <w:b/>
          <w:sz w:val="22"/>
          <w:szCs w:val="22"/>
        </w:rPr>
      </w:pPr>
    </w:p>
    <w:p w:rsidR="00660414" w:rsidRDefault="00660414" w:rsidP="00660414">
      <w:pPr>
        <w:pStyle w:val="Caption"/>
        <w:rPr>
          <w:b/>
          <w:sz w:val="22"/>
          <w:szCs w:val="22"/>
        </w:rPr>
      </w:pP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23</w:t>
      </w:r>
      <w:r w:rsidRPr="001F5936">
        <w:rPr>
          <w:b/>
          <w:sz w:val="22"/>
          <w:szCs w:val="22"/>
        </w:rPr>
        <w:fldChar w:fldCharType="end"/>
      </w:r>
      <w:r w:rsidRPr="001F5936">
        <w:rPr>
          <w:b/>
          <w:sz w:val="22"/>
          <w:szCs w:val="22"/>
        </w:rPr>
        <w:t>:</w:t>
      </w:r>
      <w:r>
        <w:rPr>
          <w:b/>
          <w:sz w:val="22"/>
          <w:szCs w:val="22"/>
        </w:rPr>
        <w:t xml:space="preserve"> Summary of Results</w:t>
      </w:r>
    </w:p>
    <w:tbl>
      <w:tblPr>
        <w:tblW w:w="34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2445"/>
      </w:tblGrid>
      <w:tr w:rsidR="00660414" w:rsidRPr="000A76BD" w:rsidTr="007613DE">
        <w:trPr>
          <w:cantSplit/>
          <w:tblHeader/>
        </w:trPr>
        <w:tc>
          <w:tcPr>
            <w:tcW w:w="332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67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DS03A</w:t>
            </w:r>
          </w:p>
        </w:tc>
      </w:tr>
      <w:tr w:rsidR="00660414" w:rsidRPr="000A76BD" w:rsidTr="007613DE">
        <w:trPr>
          <w:cantSplit/>
        </w:trPr>
        <w:tc>
          <w:tcPr>
            <w:tcW w:w="332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+4,946 (+23%)</w:t>
            </w:r>
          </w:p>
        </w:tc>
      </w:tr>
      <w:tr w:rsidR="00660414" w:rsidRPr="000A76BD" w:rsidTr="007613DE">
        <w:trPr>
          <w:cantSplit/>
        </w:trPr>
        <w:tc>
          <w:tcPr>
            <w:tcW w:w="332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1.5%</w:t>
            </w:r>
          </w:p>
        </w:tc>
      </w:tr>
      <w:tr w:rsidR="00660414" w:rsidRPr="000A76BD" w:rsidTr="007613DE">
        <w:trPr>
          <w:cantSplit/>
        </w:trPr>
        <w:tc>
          <w:tcPr>
            <w:tcW w:w="332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+4,101 (+</w:t>
            </w:r>
            <w:r>
              <w:rPr>
                <w:rFonts w:cs="Arial"/>
                <w:sz w:val="22"/>
                <w:szCs w:val="22"/>
              </w:rPr>
              <w:t>6</w:t>
            </w:r>
            <w:r w:rsidRPr="00804F1B">
              <w:rPr>
                <w:rFonts w:cs="Arial"/>
                <w:sz w:val="22"/>
                <w:szCs w:val="22"/>
              </w:rPr>
              <w:t>%)</w:t>
            </w:r>
          </w:p>
        </w:tc>
      </w:tr>
      <w:tr w:rsidR="00660414" w:rsidRPr="000A76BD" w:rsidTr="007613DE">
        <w:trPr>
          <w:cantSplit/>
        </w:trPr>
        <w:tc>
          <w:tcPr>
            <w:tcW w:w="332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w:t>
            </w:r>
          </w:p>
        </w:tc>
      </w:tr>
      <w:tr w:rsidR="00660414" w:rsidRPr="000A76BD" w:rsidTr="007613DE">
        <w:trPr>
          <w:cantSplit/>
        </w:trPr>
        <w:tc>
          <w:tcPr>
            <w:tcW w:w="332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67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106</w:t>
            </w:r>
          </w:p>
        </w:tc>
      </w:tr>
      <w:tr w:rsidR="00660414" w:rsidRPr="000A76BD" w:rsidTr="007613DE">
        <w:trPr>
          <w:cantSplit/>
        </w:trPr>
        <w:tc>
          <w:tcPr>
            <w:tcW w:w="332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67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1.0</w:t>
            </w:r>
            <w:r>
              <w:rPr>
                <w:rFonts w:cs="Arial"/>
                <w:b/>
                <w:sz w:val="22"/>
                <w:szCs w:val="22"/>
              </w:rPr>
              <w:t>6</w:t>
            </w:r>
          </w:p>
        </w:tc>
      </w:tr>
      <w:tr w:rsidR="00660414" w:rsidRPr="000A76BD" w:rsidTr="007613DE">
        <w:trPr>
          <w:cantSplit/>
        </w:trPr>
        <w:tc>
          <w:tcPr>
            <w:tcW w:w="332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67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5.</w:t>
            </w:r>
            <w:r>
              <w:rPr>
                <w:rFonts w:cs="Arial"/>
                <w:b/>
                <w:sz w:val="22"/>
                <w:szCs w:val="22"/>
              </w:rPr>
              <w:t>32</w:t>
            </w:r>
            <w:r w:rsidRPr="00804F1B">
              <w:rPr>
                <w:rFonts w:cs="Arial"/>
                <w:b/>
                <w:sz w:val="22"/>
                <w:szCs w:val="22"/>
              </w:rPr>
              <w:t>%</w:t>
            </w:r>
          </w:p>
        </w:tc>
      </w:tr>
      <w:tr w:rsidR="00660414" w:rsidRPr="000A76BD" w:rsidTr="007613DE">
        <w:tc>
          <w:tcPr>
            <w:tcW w:w="332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875</w:t>
            </w:r>
          </w:p>
        </w:tc>
      </w:tr>
      <w:tr w:rsidR="00660414" w:rsidRPr="000A76BD" w:rsidTr="007613DE">
        <w:tc>
          <w:tcPr>
            <w:tcW w:w="332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67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21</w:t>
            </w:r>
          </w:p>
        </w:tc>
      </w:tr>
    </w:tbl>
    <w:p w:rsidR="00660414" w:rsidRDefault="00660414" w:rsidP="007613DE">
      <w:pPr>
        <w:rPr>
          <w:i/>
        </w:rPr>
      </w:pPr>
      <w:r>
        <w:rPr>
          <w:i/>
        </w:rPr>
        <w:t>Source: AECOM analysis of outputs from the National Transport Model</w:t>
      </w:r>
    </w:p>
    <w:p w:rsidR="00660414" w:rsidRPr="007613DE" w:rsidRDefault="00660414" w:rsidP="007613DE">
      <w:pPr>
        <w:rPr>
          <w:i/>
        </w:rPr>
      </w:pPr>
    </w:p>
    <w:p w:rsidR="00660414" w:rsidRDefault="00660414" w:rsidP="00660414">
      <w:pPr>
        <w:spacing w:line="276" w:lineRule="auto"/>
        <w:jc w:val="both"/>
        <w:rPr>
          <w:rFonts w:cs="Arial"/>
          <w:sz w:val="22"/>
          <w:szCs w:val="22"/>
        </w:rPr>
      </w:pPr>
      <w:r>
        <w:rPr>
          <w:rFonts w:cs="Arial"/>
          <w:sz w:val="22"/>
          <w:szCs w:val="22"/>
        </w:rPr>
        <w:t xml:space="preserve">Figures 5.41 and 5.42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189BD50" wp14:editId="4C30903C">
            <wp:extent cx="5645583" cy="3960000"/>
            <wp:effectExtent l="0" t="0" r="0" b="2540"/>
            <wp:docPr id="437" name="Picture 437" descr="F:\Projects\Transport Planning - Romania UK GTMP\PUBLIC TRANSPORT\Rail\04_Plots\Rail_results\output\DS03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jects\Transport Planning - Romania UK GTMP\PUBLIC TRANSPORT\Rail\04_Plots\Rail_results\output\DS03A_2030_change_pass.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41</w:t>
      </w:r>
      <w:r w:rsidRPr="0075501B">
        <w:rPr>
          <w:b/>
          <w:sz w:val="22"/>
          <w:szCs w:val="22"/>
        </w:rPr>
        <w:fldChar w:fldCharType="end"/>
      </w:r>
      <w:r>
        <w:rPr>
          <w:b/>
          <w:sz w:val="22"/>
          <w:szCs w:val="22"/>
        </w:rPr>
        <w:t>: Change in Passenger Demand (DS03A)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As the image above demonstrates this project leads to an increase in passenger demand on the Bucharest – Craiova – Timisoara – Arad line. Patronage between Rosiori de Vede and Caracal is expected to grow by +125%, and by up to +180% between Craiova and Drobeta - Turnu Severin. There is a significant element of demand attraction from the line Bucharest – Brasov - Arad as a result of the improved passenger services. Demand between Brasov and Sighisoara has been forecast to fall by -30%.</w:t>
      </w:r>
    </w:p>
    <w:p w:rsidR="00660414" w:rsidRDefault="00660414" w:rsidP="00660414">
      <w:pPr>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E1A3678" wp14:editId="4EA89048">
            <wp:extent cx="5645583" cy="3960000"/>
            <wp:effectExtent l="0" t="0" r="0" b="2540"/>
            <wp:docPr id="438" name="Picture 438" descr="F:\Projects\Transport Planning - Romania UK GTMP\PUBLIC TRANSPORT\Rail\04_Plots\Rail_results\output\DS03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jects\Transport Planning - Romania UK GTMP\PUBLIC TRANSPORT\Rail\04_Plots\Rail_results\output\DS03A_2030_change_freight.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42</w:t>
      </w:r>
      <w:r w:rsidRPr="0075501B">
        <w:rPr>
          <w:b/>
          <w:sz w:val="22"/>
          <w:szCs w:val="22"/>
        </w:rPr>
        <w:fldChar w:fldCharType="end"/>
      </w:r>
      <w:r>
        <w:rPr>
          <w:b/>
          <w:sz w:val="22"/>
          <w:szCs w:val="22"/>
        </w:rPr>
        <w:t>: Change in Passenger Demand (DS03A)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Freight traffic is also expected to grow overall, with an </w:t>
      </w:r>
      <w:r>
        <w:rPr>
          <w:rFonts w:cs="Arial"/>
          <w:sz w:val="22"/>
          <w:szCs w:val="22"/>
        </w:rPr>
        <w:t xml:space="preserve">80% </w:t>
      </w:r>
      <w:r w:rsidRPr="00804F1B">
        <w:rPr>
          <w:rFonts w:cs="Arial"/>
          <w:sz w:val="22"/>
          <w:szCs w:val="22"/>
        </w:rPr>
        <w:t>increase in the number of tonnes transported between Craiova and Filiasi. Similarly to the forecast trend for the passenger market, some freight traffic will transfer from the line Bucharest – Brasov – Arad to the upgraded corridor, freight traffic on th</w:t>
      </w:r>
      <w:r>
        <w:rPr>
          <w:rFonts w:cs="Arial"/>
          <w:sz w:val="22"/>
          <w:szCs w:val="22"/>
        </w:rPr>
        <w:t xml:space="preserve">e former </w:t>
      </w:r>
      <w:r w:rsidRPr="00804F1B">
        <w:rPr>
          <w:rFonts w:cs="Arial"/>
          <w:sz w:val="22"/>
          <w:szCs w:val="22"/>
        </w:rPr>
        <w:t xml:space="preserve">corridor </w:t>
      </w:r>
      <w:r>
        <w:rPr>
          <w:rFonts w:cs="Arial"/>
          <w:sz w:val="22"/>
          <w:szCs w:val="22"/>
        </w:rPr>
        <w:t>is e</w:t>
      </w:r>
      <w:r w:rsidRPr="00804F1B">
        <w:rPr>
          <w:rFonts w:cs="Arial"/>
          <w:sz w:val="22"/>
          <w:szCs w:val="22"/>
        </w:rPr>
        <w:t xml:space="preserve">stimated to fall by -40%.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660414">
      <w:pPr>
        <w:spacing w:line="276" w:lineRule="auto"/>
        <w:jc w:val="both"/>
        <w:rPr>
          <w:rFonts w:cs="Arial"/>
          <w:sz w:val="22"/>
          <w:szCs w:val="22"/>
        </w:rPr>
      </w:pPr>
      <w:r w:rsidRPr="00804F1B">
        <w:rPr>
          <w:rFonts w:cs="Arial"/>
          <w:sz w:val="22"/>
          <w:szCs w:val="22"/>
        </w:rPr>
        <w:t>It has been estimated that the project could be implemented between 2020 and 2030 if funding is secured.</w:t>
      </w:r>
    </w:p>
    <w:p w:rsidR="00660414" w:rsidRPr="00170C2E" w:rsidRDefault="00660414" w:rsidP="00170C2E">
      <w:pPr>
        <w:pStyle w:val="Hdg3"/>
        <w:ind w:left="851"/>
      </w:pPr>
      <w:r w:rsidRPr="00804F1B">
        <w:rPr>
          <w:rFonts w:cs="Arial"/>
        </w:rPr>
        <w:br w:type="page"/>
      </w:r>
      <w:r w:rsidRPr="008C5B1B">
        <w:t>Bucharest to Arad via Craiova to enhanced speed (Test DS03B)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Upgrade programme for Core TEN-T corridor IV-S between Arad and Craiova and line 900 between Craiova and Bucharest; this test also contemplates a regular interval connection to Core TEN-T corridor IV-N via line 202. This project includes: </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Rehabilitation to design speed of corridor 900 between Bucharest and Timisoara and the section Timisoara to Arad.</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Rehabilitation to enhanced speed of sections with design speed below 100 km/h on the Bucharest to Arad via Timisoara corridor.</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Steady state maintenance of the core network (baseline assumption for Do Something tests).</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signalling and communication systems to enhance running speeds and increase the corridor’s capacity.</w:t>
            </w:r>
          </w:p>
          <w:p w:rsidR="00660414" w:rsidRPr="008C5B1B" w:rsidRDefault="00660414" w:rsidP="0085264B">
            <w:pPr>
              <w:pStyle w:val="ListParagraph"/>
              <w:numPr>
                <w:ilvl w:val="0"/>
                <w:numId w:val="60"/>
              </w:numPr>
              <w:spacing w:after="120" w:line="276" w:lineRule="auto"/>
              <w:contextualSpacing/>
              <w:rPr>
                <w:szCs w:val="22"/>
                <w:lang w:val="en-US"/>
              </w:rPr>
            </w:pPr>
            <w:r w:rsidRPr="008C5B1B">
              <w:rPr>
                <w:sz w:val="22"/>
                <w:szCs w:val="22"/>
                <w:lang w:val="en-US"/>
              </w:rPr>
              <w:t>Improved station facilities at Bucharest, Videle, Rosiori de Vede, Caracal, Craiova, Filiasi, Drobeta – Turnu Severin, Caransebes, Lugoj, Timisoara and Arad.</w:t>
            </w:r>
          </w:p>
          <w:p w:rsidR="00660414" w:rsidRPr="008C5B1B" w:rsidRDefault="00660414" w:rsidP="00273D5E">
            <w:pPr>
              <w:pStyle w:val="BulletLevel1"/>
              <w:numPr>
                <w:ilvl w:val="0"/>
                <w:numId w:val="60"/>
              </w:numPr>
            </w:pPr>
            <w:r w:rsidRPr="008C5B1B">
              <w:t>Interregio regular interval timetable operated by new rolling stock. The proposed regular interval service pattern is: Bucharest to Arad via Timisoara (0.5 tph), Bucharest to Craiova (1 tph), Bucharest to Deva via Craiova (0.5 tph). The service to Deva could be extended to Cluj-Napoca if rail patronage increases.</w:t>
            </w:r>
            <w:r w:rsidRPr="00804F1B">
              <w:t xml:space="preserve"> </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487C1CE8" wp14:editId="5C6DDBBA">
            <wp:extent cx="5627009" cy="3960000"/>
            <wp:effectExtent l="0" t="0" r="0" b="2540"/>
            <wp:docPr id="512" name="Picture 512" descr="F:\Projects\Transport Planning - Romania UK GTMP\PUBLIC TRANSPORT\Rail\04_Plots\Do_Somthing_schemes\outputs\DoSomethingSchemes_DS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s\Transport Planning - Romania UK GTMP\PUBLIC TRANSPORT\Rail\04_Plots\Do_Somthing_schemes\outputs\DoSomethingSchemes_DS03B.jp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43</w:t>
      </w:r>
      <w:r w:rsidRPr="008C7A83">
        <w:rPr>
          <w:b/>
          <w:sz w:val="22"/>
          <w:szCs w:val="22"/>
        </w:rPr>
        <w:fldChar w:fldCharType="end"/>
      </w:r>
      <w:r w:rsidRPr="008C7A83">
        <w:rPr>
          <w:b/>
          <w:sz w:val="22"/>
          <w:szCs w:val="22"/>
        </w:rPr>
        <w:t>:</w:t>
      </w:r>
      <w:r>
        <w:rPr>
          <w:b/>
          <w:sz w:val="22"/>
          <w:szCs w:val="22"/>
        </w:rPr>
        <w:t xml:space="preserve"> Description of Service Proposals (DS03B)</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on Core TEN-T corridor IV-S.</w:t>
            </w:r>
          </w:p>
          <w:p w:rsidR="00660414" w:rsidRPr="000A76BD" w:rsidRDefault="00660414" w:rsidP="00273D5E">
            <w:pPr>
              <w:pStyle w:val="BulletLevel1"/>
              <w:numPr>
                <w:ilvl w:val="0"/>
                <w:numId w:val="60"/>
              </w:numPr>
            </w:pPr>
            <w:r w:rsidRPr="00804F1B">
              <w:t>Low design speeds of some sections on the stretch Drobeta-Turnu Severin to Caransebes.</w:t>
            </w:r>
          </w:p>
          <w:p w:rsidR="00660414" w:rsidRPr="000A76BD" w:rsidRDefault="00660414" w:rsidP="00273D5E">
            <w:pPr>
              <w:pStyle w:val="BulletLevel1"/>
              <w:numPr>
                <w:ilvl w:val="0"/>
                <w:numId w:val="60"/>
              </w:numPr>
            </w:pPr>
            <w:r w:rsidRPr="00804F1B">
              <w:t>Delays due to poor infrastructure condition and speed restrictions. Commercial speeds are below design parameters on many sections of the line (Bucharest to Videle, Olteni to Rosiori de Vede Nord ...)</w:t>
            </w:r>
          </w:p>
          <w:p w:rsidR="00660414" w:rsidRPr="000A76BD" w:rsidRDefault="00660414" w:rsidP="00273D5E">
            <w:pPr>
              <w:pStyle w:val="BulletLevel1"/>
              <w:numPr>
                <w:ilvl w:val="0"/>
                <w:numId w:val="60"/>
              </w:numPr>
            </w:pPr>
            <w:r w:rsidRPr="00804F1B">
              <w:t>Low rail market share on the Bucharest – Craiova section. There is a considerable degree of suppressed demand between these cities due to the poor passenger service.</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 in many stations along the corridor.</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24</w:t>
      </w:r>
      <w:r w:rsidRPr="001F5936">
        <w:rPr>
          <w:b/>
          <w:sz w:val="22"/>
          <w:szCs w:val="22"/>
        </w:rPr>
        <w:fldChar w:fldCharType="end"/>
      </w:r>
      <w:r w:rsidRPr="001F5936">
        <w:rPr>
          <w:b/>
          <w:sz w:val="22"/>
          <w:szCs w:val="22"/>
        </w:rPr>
        <w:t>:</w:t>
      </w:r>
      <w:r>
        <w:rPr>
          <w:b/>
          <w:sz w:val="22"/>
          <w:szCs w:val="22"/>
        </w:rPr>
        <w:t xml:space="preserve"> Summary of Infrastructure Costs and Operating Costs (DS03B)</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2866"/>
        <w:gridCol w:w="6678"/>
      </w:tblGrid>
      <w:tr w:rsidR="00660414" w:rsidRPr="000A76BD" w:rsidTr="007613DE">
        <w:trPr>
          <w:cantSplit/>
          <w:tblHeader/>
        </w:trPr>
        <w:tc>
          <w:tcPr>
            <w:tcW w:w="45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64" w:type="pct"/>
            <w:shd w:val="clear" w:color="auto" w:fill="C6D9F1"/>
            <w:vAlign w:val="center"/>
          </w:tcPr>
          <w:p w:rsidR="00660414" w:rsidRPr="000A76BD" w:rsidRDefault="00660414" w:rsidP="007613DE">
            <w:pPr>
              <w:spacing w:line="276" w:lineRule="auto"/>
              <w:ind w:left="64" w:hanging="64"/>
              <w:jc w:val="both"/>
              <w:rPr>
                <w:rFonts w:cs="Arial"/>
                <w:b/>
                <w:bCs/>
                <w:sz w:val="22"/>
                <w:szCs w:val="22"/>
              </w:rPr>
            </w:pPr>
            <w:r w:rsidRPr="00804F1B">
              <w:rPr>
                <w:rFonts w:cs="Arial"/>
                <w:b/>
                <w:bCs/>
                <w:sz w:val="22"/>
                <w:szCs w:val="22"/>
              </w:rPr>
              <w:t>Undiscounted costs (Million €, 2014 prices)</w:t>
            </w:r>
          </w:p>
        </w:tc>
        <w:tc>
          <w:tcPr>
            <w:tcW w:w="317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5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2,931</w:t>
            </w:r>
          </w:p>
        </w:tc>
        <w:tc>
          <w:tcPr>
            <w:tcW w:w="3178"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or enhanced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5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2,409</w:t>
            </w:r>
          </w:p>
        </w:tc>
        <w:tc>
          <w:tcPr>
            <w:tcW w:w="317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5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6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5,340</w:t>
            </w:r>
          </w:p>
        </w:tc>
        <w:tc>
          <w:tcPr>
            <w:tcW w:w="317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lower value for money than alternative DS03A (BCR =1.0</w:t>
      </w:r>
      <w:r>
        <w:rPr>
          <w:rFonts w:cs="Arial"/>
          <w:sz w:val="22"/>
          <w:szCs w:val="22"/>
        </w:rPr>
        <w:t>0</w:t>
      </w:r>
      <w:r w:rsidRPr="00804F1B">
        <w:rPr>
          <w:rFonts w:cs="Arial"/>
          <w:sz w:val="22"/>
          <w:szCs w:val="22"/>
        </w:rPr>
        <w:t xml:space="preserve">), </w:t>
      </w:r>
      <w:r>
        <w:rPr>
          <w:rFonts w:cs="Arial"/>
          <w:sz w:val="22"/>
          <w:szCs w:val="22"/>
        </w:rPr>
        <w:t xml:space="preserve">albeit with </w:t>
      </w:r>
      <w:r w:rsidRPr="00804F1B">
        <w:rPr>
          <w:rFonts w:cs="Arial"/>
          <w:sz w:val="22"/>
          <w:szCs w:val="22"/>
        </w:rPr>
        <w:t>a greater increase in rail passenger and freight traffic than DS03A</w:t>
      </w:r>
      <w:r>
        <w:rPr>
          <w:rFonts w:cs="Arial"/>
          <w:sz w:val="22"/>
          <w:szCs w:val="22"/>
        </w:rPr>
        <w:t xml:space="preserve"> (</w:t>
      </w:r>
      <w:r w:rsidRPr="00804F1B">
        <w:rPr>
          <w:rFonts w:cs="Arial"/>
          <w:sz w:val="22"/>
          <w:szCs w:val="22"/>
        </w:rPr>
        <w:t>27% and 9% respectively</w:t>
      </w:r>
      <w:r>
        <w:rPr>
          <w:rFonts w:cs="Arial"/>
          <w:sz w:val="22"/>
          <w:szCs w:val="22"/>
        </w:rPr>
        <w:t>)</w:t>
      </w:r>
      <w:r w:rsidRPr="00804F1B">
        <w:rPr>
          <w:rFonts w:cs="Arial"/>
          <w:sz w:val="22"/>
          <w:szCs w:val="22"/>
        </w:rPr>
        <w:t xml:space="preserve"> </w:t>
      </w:r>
      <w:r>
        <w:rPr>
          <w:rFonts w:cs="Arial"/>
          <w:sz w:val="22"/>
          <w:szCs w:val="22"/>
        </w:rPr>
        <w:t xml:space="preserve">across </w:t>
      </w:r>
      <w:r w:rsidRPr="00804F1B">
        <w:rPr>
          <w:rFonts w:cs="Arial"/>
          <w:sz w:val="22"/>
          <w:szCs w:val="22"/>
        </w:rPr>
        <w:t xml:space="preserve">the </w:t>
      </w:r>
      <w:r>
        <w:rPr>
          <w:rFonts w:cs="Arial"/>
          <w:sz w:val="22"/>
          <w:szCs w:val="22"/>
        </w:rPr>
        <w:t>network as shown in Table 5.25.</w:t>
      </w:r>
    </w:p>
    <w:p w:rsidR="00660414" w:rsidRDefault="00660414" w:rsidP="00660414">
      <w:pPr>
        <w:pStyle w:val="Caption"/>
        <w:rPr>
          <w:b/>
          <w:sz w:val="22"/>
          <w:szCs w:val="22"/>
        </w:rPr>
      </w:pP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25</w:t>
      </w:r>
      <w:r w:rsidRPr="001F5936">
        <w:rPr>
          <w:b/>
          <w:sz w:val="22"/>
          <w:szCs w:val="22"/>
        </w:rPr>
        <w:fldChar w:fldCharType="end"/>
      </w:r>
      <w:r w:rsidRPr="001F5936">
        <w:rPr>
          <w:b/>
          <w:sz w:val="22"/>
          <w:szCs w:val="22"/>
        </w:rPr>
        <w:t>:</w:t>
      </w:r>
      <w:r>
        <w:rPr>
          <w:b/>
          <w:sz w:val="22"/>
          <w:szCs w:val="22"/>
        </w:rPr>
        <w:t xml:space="preserve"> Change in Passenger Demand</w:t>
      </w:r>
    </w:p>
    <w:tbl>
      <w:tblPr>
        <w:tblW w:w="31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3"/>
        <w:gridCol w:w="2366"/>
      </w:tblGrid>
      <w:tr w:rsidR="00660414" w:rsidRPr="000A76BD" w:rsidTr="007613DE">
        <w:trPr>
          <w:cantSplit/>
          <w:tblHeader/>
        </w:trPr>
        <w:tc>
          <w:tcPr>
            <w:tcW w:w="31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80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DS03B</w:t>
            </w:r>
          </w:p>
        </w:tc>
      </w:tr>
      <w:tr w:rsidR="00660414" w:rsidRPr="000A76BD" w:rsidTr="007613DE">
        <w:trPr>
          <w:cantSplit/>
        </w:trPr>
        <w:tc>
          <w:tcPr>
            <w:tcW w:w="31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+5,721 (+27%)</w:t>
            </w:r>
          </w:p>
        </w:tc>
      </w:tr>
      <w:tr w:rsidR="00660414" w:rsidRPr="000A76BD" w:rsidTr="007613DE">
        <w:trPr>
          <w:cantSplit/>
        </w:trPr>
        <w:tc>
          <w:tcPr>
            <w:tcW w:w="31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1.7%</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+4,083 (+</w:t>
            </w:r>
            <w:r>
              <w:rPr>
                <w:rFonts w:cs="Arial"/>
                <w:sz w:val="22"/>
                <w:szCs w:val="22"/>
              </w:rPr>
              <w:t>6</w:t>
            </w:r>
            <w:r w:rsidRPr="00804F1B">
              <w:rPr>
                <w:rFonts w:cs="Arial"/>
                <w:sz w:val="22"/>
                <w:szCs w:val="22"/>
              </w:rPr>
              <w:t>%)</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8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5</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8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1.0</w:t>
            </w:r>
            <w:r>
              <w:rPr>
                <w:rFonts w:cs="Arial"/>
                <w:b/>
                <w:sz w:val="22"/>
                <w:szCs w:val="22"/>
              </w:rPr>
              <w:t>0</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8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5.</w:t>
            </w:r>
            <w:r>
              <w:rPr>
                <w:rFonts w:cs="Arial"/>
                <w:b/>
                <w:sz w:val="22"/>
                <w:szCs w:val="22"/>
              </w:rPr>
              <w:t>0</w:t>
            </w:r>
            <w:r w:rsidRPr="00804F1B">
              <w:rPr>
                <w:rFonts w:cs="Arial"/>
                <w:b/>
                <w:sz w:val="22"/>
                <w:szCs w:val="22"/>
              </w:rPr>
              <w:t>1%</w:t>
            </w:r>
          </w:p>
        </w:tc>
      </w:tr>
      <w:tr w:rsidR="00660414" w:rsidRPr="000A76BD" w:rsidTr="007613DE">
        <w:tc>
          <w:tcPr>
            <w:tcW w:w="3199"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Upgraded main line infrastructure (track-km)</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875</w:t>
            </w:r>
          </w:p>
        </w:tc>
      </w:tr>
      <w:tr w:rsidR="00660414" w:rsidRPr="000A76BD" w:rsidTr="007613DE">
        <w:tc>
          <w:tcPr>
            <w:tcW w:w="31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8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21</w:t>
            </w:r>
          </w:p>
        </w:tc>
      </w:tr>
    </w:tbl>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 5.44 </w:t>
      </w:r>
      <w:r w:rsidRPr="00804F1B">
        <w:rPr>
          <w:rFonts w:cs="Arial"/>
          <w:sz w:val="22"/>
          <w:szCs w:val="22"/>
        </w:rPr>
        <w:t>illustrate</w:t>
      </w:r>
      <w:r>
        <w:rPr>
          <w:rFonts w:cs="Arial"/>
          <w:sz w:val="22"/>
          <w:szCs w:val="22"/>
        </w:rPr>
        <w:t>s</w:t>
      </w:r>
      <w:r w:rsidRPr="00804F1B">
        <w:rPr>
          <w:rFonts w:cs="Arial"/>
          <w:sz w:val="22"/>
          <w:szCs w:val="22"/>
        </w:rPr>
        <w:t xml:space="preserve"> the forecast change in passenger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7400D35" wp14:editId="7F4777E0">
            <wp:extent cx="5627009" cy="3960000"/>
            <wp:effectExtent l="0" t="0" r="0" b="2540"/>
            <wp:docPr id="513" name="Picture 513" descr="F:\Projects\Transport Planning - Romania UK GTMP\PUBLIC TRANSPORT\Rail\04_Plots\Rail_results\output\DS03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Rail_results\output\DS03B_2030_change_pass.jpg"/>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44</w:t>
      </w:r>
      <w:r w:rsidRPr="0075501B">
        <w:rPr>
          <w:b/>
          <w:sz w:val="22"/>
          <w:szCs w:val="22"/>
        </w:rPr>
        <w:fldChar w:fldCharType="end"/>
      </w:r>
      <w:r>
        <w:rPr>
          <w:b/>
          <w:sz w:val="22"/>
          <w:szCs w:val="22"/>
        </w:rPr>
        <w:t>: Change in Passenger Demand (DS03B)</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As </w:t>
      </w:r>
      <w:r>
        <w:rPr>
          <w:rFonts w:cs="Arial"/>
          <w:sz w:val="22"/>
          <w:szCs w:val="22"/>
        </w:rPr>
        <w:t xml:space="preserve">Figure 5.44 </w:t>
      </w:r>
      <w:r w:rsidRPr="00804F1B">
        <w:rPr>
          <w:rFonts w:cs="Arial"/>
          <w:sz w:val="22"/>
          <w:szCs w:val="22"/>
        </w:rPr>
        <w:t>demonstrates</w:t>
      </w:r>
      <w:r>
        <w:rPr>
          <w:rFonts w:cs="Arial"/>
          <w:sz w:val="22"/>
          <w:szCs w:val="22"/>
        </w:rPr>
        <w:t>,</w:t>
      </w:r>
      <w:r w:rsidRPr="00804F1B">
        <w:rPr>
          <w:rFonts w:cs="Arial"/>
          <w:sz w:val="22"/>
          <w:szCs w:val="22"/>
        </w:rPr>
        <w:t xml:space="preserve"> this project leads to an increase in passenger demand on the Bucharest – Craiova – Timisoara – Arad line. Patronage between Rosiori de Vede and Caracal is expected to grow by +125%, and by up to +180% between Craiova and Drobeta - Turnu Severin. There is a significant element of </w:t>
      </w:r>
      <w:r>
        <w:rPr>
          <w:rFonts w:cs="Arial"/>
          <w:sz w:val="22"/>
          <w:szCs w:val="22"/>
        </w:rPr>
        <w:t xml:space="preserve">long distance trips between </w:t>
      </w:r>
      <w:r w:rsidRPr="00804F1B">
        <w:rPr>
          <w:rFonts w:cs="Arial"/>
          <w:sz w:val="22"/>
          <w:szCs w:val="22"/>
        </w:rPr>
        <w:t xml:space="preserve">Bucharest </w:t>
      </w:r>
      <w:r>
        <w:rPr>
          <w:rFonts w:cs="Arial"/>
          <w:sz w:val="22"/>
          <w:szCs w:val="22"/>
        </w:rPr>
        <w:t xml:space="preserve">and </w:t>
      </w:r>
      <w:r w:rsidRPr="00804F1B">
        <w:rPr>
          <w:rFonts w:cs="Arial"/>
          <w:sz w:val="22"/>
          <w:szCs w:val="22"/>
        </w:rPr>
        <w:t xml:space="preserve">Arad </w:t>
      </w:r>
      <w:r>
        <w:rPr>
          <w:rFonts w:cs="Arial"/>
          <w:sz w:val="22"/>
          <w:szCs w:val="22"/>
        </w:rPr>
        <w:t xml:space="preserve">via Brasov </w:t>
      </w:r>
      <w:r w:rsidRPr="00804F1B">
        <w:rPr>
          <w:rFonts w:cs="Arial"/>
          <w:sz w:val="22"/>
          <w:szCs w:val="22"/>
        </w:rPr>
        <w:t xml:space="preserve">as a result of the improved passenger services. Demand between Brasov and Sighisoara </w:t>
      </w:r>
      <w:r>
        <w:rPr>
          <w:rFonts w:cs="Arial"/>
          <w:sz w:val="22"/>
          <w:szCs w:val="22"/>
        </w:rPr>
        <w:t xml:space="preserve">is </w:t>
      </w:r>
      <w:r w:rsidRPr="00804F1B">
        <w:rPr>
          <w:rFonts w:cs="Arial"/>
          <w:sz w:val="22"/>
          <w:szCs w:val="22"/>
        </w:rPr>
        <w:t>forecast to fall by -35%.</w:t>
      </w:r>
      <w:r>
        <w:rPr>
          <w:rFonts w:cs="Arial"/>
          <w:sz w:val="22"/>
          <w:szCs w:val="22"/>
        </w:rPr>
        <w:t xml:space="preserve"> </w:t>
      </w:r>
      <w:r w:rsidRPr="00804F1B">
        <w:rPr>
          <w:rFonts w:cs="Arial"/>
          <w:sz w:val="22"/>
          <w:szCs w:val="22"/>
        </w:rPr>
        <w:t>Changes in freight flows on this test are similar to DS03A.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170C2E" w:rsidRDefault="00660414" w:rsidP="00660414">
      <w:pPr>
        <w:spacing w:line="276" w:lineRule="auto"/>
        <w:jc w:val="both"/>
        <w:rPr>
          <w:rFonts w:cs="Arial"/>
          <w:sz w:val="22"/>
          <w:szCs w:val="22"/>
        </w:rPr>
      </w:pPr>
      <w:r w:rsidRPr="00804F1B">
        <w:rPr>
          <w:rFonts w:cs="Arial"/>
          <w:sz w:val="22"/>
          <w:szCs w:val="22"/>
        </w:rPr>
        <w:t>It has been estimated that the project could be implemented between 2020 and 2030 if funding is secured.</w:t>
      </w:r>
    </w:p>
    <w:p w:rsidR="00660414" w:rsidRPr="00170C2E" w:rsidRDefault="00660414" w:rsidP="00170C2E">
      <w:pPr>
        <w:spacing w:line="276" w:lineRule="auto"/>
        <w:jc w:val="both"/>
        <w:rPr>
          <w:rFonts w:cs="Arial"/>
          <w:sz w:val="22"/>
          <w:szCs w:val="22"/>
        </w:rPr>
      </w:pPr>
      <w:r w:rsidRPr="00170C2E">
        <w:rPr>
          <w:rFonts w:cs="Arial"/>
          <w:sz w:val="22"/>
          <w:szCs w:val="22"/>
        </w:rPr>
        <w:br w:type="page"/>
      </w:r>
    </w:p>
    <w:p w:rsidR="00660414" w:rsidRPr="00170C2E" w:rsidRDefault="00660414" w:rsidP="00170C2E">
      <w:pPr>
        <w:pStyle w:val="Hdg3"/>
        <w:ind w:left="851"/>
      </w:pPr>
      <w:r w:rsidRPr="008C5B1B">
        <w:t>Bucharest to Arad via Craiova and Filiasi to Simeria to design speed (Test DS03C)</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rPr>
                <w:rFonts w:cs="Arial"/>
                <w:sz w:val="22"/>
                <w:szCs w:val="22"/>
              </w:rPr>
            </w:pPr>
            <w:r w:rsidRPr="00804F1B">
              <w:rPr>
                <w:rFonts w:cs="Arial"/>
                <w:sz w:val="22"/>
                <w:szCs w:val="22"/>
              </w:rPr>
              <w:t>Upgrade programme for Core TEN-T corrido</w:t>
            </w:r>
            <w:r>
              <w:rPr>
                <w:rFonts w:cs="Arial"/>
                <w:sz w:val="22"/>
                <w:szCs w:val="22"/>
              </w:rPr>
              <w:t xml:space="preserve">r IV-S between Arad and Craiova, </w:t>
            </w:r>
            <w:r w:rsidRPr="00804F1B">
              <w:rPr>
                <w:rFonts w:cs="Arial"/>
                <w:sz w:val="22"/>
                <w:szCs w:val="22"/>
              </w:rPr>
              <w:t xml:space="preserve">line 900 between Craiova and </w:t>
            </w:r>
            <w:r w:rsidRPr="008C5B1B">
              <w:rPr>
                <w:rFonts w:cs="Arial"/>
                <w:sz w:val="22"/>
                <w:szCs w:val="22"/>
                <w:lang w:val="en-US"/>
              </w:rPr>
              <w:t>Bucharest and the line Filiasi - Simeria; this test also contemplates a regular interval connection to Core TEN-T corridor IV-N via line 202. This project includes:</w:t>
            </w:r>
            <w:r w:rsidRPr="00804F1B">
              <w:rPr>
                <w:rFonts w:cs="Arial"/>
                <w:sz w:val="22"/>
                <w:szCs w:val="22"/>
              </w:rPr>
              <w:t xml:space="preserve"> </w:t>
            </w:r>
          </w:p>
          <w:p w:rsidR="00660414" w:rsidRPr="000A76BD" w:rsidRDefault="00660414" w:rsidP="00273D5E">
            <w:pPr>
              <w:pStyle w:val="BulletLevel1"/>
              <w:numPr>
                <w:ilvl w:val="0"/>
                <w:numId w:val="60"/>
              </w:numPr>
            </w:pPr>
            <w:r w:rsidRPr="00804F1B">
              <w:t xml:space="preserve">Rehabilitation to design speed of corridor 900 </w:t>
            </w:r>
            <w:r>
              <w:t xml:space="preserve">between Bucharest and Timisoara, </w:t>
            </w:r>
            <w:r w:rsidRPr="00804F1B">
              <w:t xml:space="preserve"> the section Timisoara to Arad</w:t>
            </w:r>
            <w:r>
              <w:t xml:space="preserve"> and the line Filiasi to Simeria</w:t>
            </w:r>
            <w:r w:rsidRPr="00804F1B">
              <w:t>.</w:t>
            </w:r>
          </w:p>
          <w:p w:rsidR="00660414" w:rsidRPr="000A76BD" w:rsidRDefault="00660414" w:rsidP="00273D5E">
            <w:pPr>
              <w:pStyle w:val="BulletLevel1"/>
              <w:numPr>
                <w:ilvl w:val="0"/>
                <w:numId w:val="60"/>
              </w:numPr>
            </w:pPr>
            <w:r w:rsidRPr="00804F1B">
              <w:t xml:space="preserve">Rehabilitation to </w:t>
            </w:r>
            <w:r>
              <w:t>design  speed of the lines</w:t>
            </w:r>
            <w:r w:rsidRPr="00804F1B">
              <w:t>.</w:t>
            </w:r>
          </w:p>
          <w:p w:rsidR="00660414" w:rsidRPr="000A76BD" w:rsidRDefault="00660414" w:rsidP="00273D5E">
            <w:pPr>
              <w:pStyle w:val="BulletLevel1"/>
              <w:numPr>
                <w:ilvl w:val="0"/>
                <w:numId w:val="60"/>
              </w:numPr>
            </w:pPr>
            <w:r w:rsidRPr="00804F1B">
              <w:t>Steady state maintenance of the core network (baseline assumption for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Bucharest, Videle, Rosiori de Vede, Caracal, Craiova, Filiasi, Drobeta – Turnu Severi</w:t>
            </w:r>
            <w:r>
              <w:t xml:space="preserve">n, Caransebes, Lugoj, Timisoara, </w:t>
            </w:r>
            <w:r w:rsidRPr="00804F1B">
              <w:t>Arad</w:t>
            </w:r>
            <w:r>
              <w:t>, Targu Jiu, Petrosani and Simeria</w:t>
            </w:r>
          </w:p>
          <w:p w:rsidR="00660414" w:rsidRPr="008C5B1B" w:rsidRDefault="00660414" w:rsidP="00273D5E">
            <w:pPr>
              <w:pStyle w:val="BulletLevel1"/>
              <w:numPr>
                <w:ilvl w:val="0"/>
                <w:numId w:val="60"/>
              </w:numPr>
              <w:rPr>
                <w:lang w:val="en-US"/>
              </w:rPr>
            </w:pPr>
            <w:r w:rsidRPr="00804F1B">
              <w:t xml:space="preserve">Interregio regular interval timetable operated by new rolling stock. The proposed regular interval service pattern is: Bucharest to Arad via Timisoara (0.5 tph), Bucharest to Craiova (1 tph), Bucharest to Deva via Craiova (0.5 tph). The service to Deva could be extended to Cluj-Napoca if rail patronage increases. </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129DFF93" wp14:editId="52626F1C">
            <wp:extent cx="5550319" cy="3960000"/>
            <wp:effectExtent l="0" t="0" r="0" b="2540"/>
            <wp:docPr id="514" name="Picture 1" descr="F:\Projects\Transport Planning - Romania UK GTMP\PUBLIC TRANSPORT\Rail\04_Plots\Do_Somthing_schemes\outputs\DoSomethingSchemes_DS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Do_Somthing_schemes\outputs\DoSomethingSchemes_DS03C.jpg"/>
                    <pic:cNvPicPr>
                      <a:picLocks noChangeAspect="1" noChangeArrowheads="1"/>
                    </pic:cNvPicPr>
                  </pic:nvPicPr>
                  <pic:blipFill>
                    <a:blip r:embed="rId212" cstate="print"/>
                    <a:srcRect l="2532" t="2538" r="2170" b="2770"/>
                    <a:stretch>
                      <a:fillRect/>
                    </a:stretch>
                  </pic:blipFill>
                  <pic:spPr bwMode="auto">
                    <a:xfrm>
                      <a:off x="0" y="0"/>
                      <a:ext cx="5550319" cy="3960000"/>
                    </a:xfrm>
                    <a:prstGeom prst="rect">
                      <a:avLst/>
                    </a:prstGeom>
                    <a:noFill/>
                    <a:ln w="9525">
                      <a:noFill/>
                      <a:miter lim="800000"/>
                      <a:headEnd/>
                      <a:tailEnd/>
                    </a:ln>
                  </pic:spPr>
                </pic:pic>
              </a:graphicData>
            </a:graphic>
          </wp:inline>
        </w:drawing>
      </w:r>
    </w:p>
    <w:p w:rsidR="00660414" w:rsidRPr="008C7A83" w:rsidRDefault="00660414" w:rsidP="00660414">
      <w:pPr>
        <w:pStyle w:val="Caption"/>
        <w:rPr>
          <w:b/>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45</w:t>
      </w:r>
      <w:r w:rsidRPr="008C7A83">
        <w:rPr>
          <w:b/>
          <w:sz w:val="22"/>
          <w:szCs w:val="22"/>
        </w:rPr>
        <w:fldChar w:fldCharType="end"/>
      </w:r>
      <w:r w:rsidRPr="008C7A83">
        <w:rPr>
          <w:b/>
          <w:sz w:val="22"/>
          <w:szCs w:val="22"/>
        </w:rPr>
        <w:t>:</w:t>
      </w:r>
      <w:r>
        <w:rPr>
          <w:b/>
          <w:sz w:val="22"/>
          <w:szCs w:val="22"/>
        </w:rPr>
        <w:t xml:space="preserve"> Description of Service Proposals (DS03C)</w:t>
      </w:r>
    </w:p>
    <w:p w:rsidR="00660414" w:rsidRDefault="00660414" w:rsidP="007613DE">
      <w:pPr>
        <w:rPr>
          <w:i/>
        </w:rPr>
      </w:pPr>
      <w:r>
        <w:rPr>
          <w:i/>
        </w:rPr>
        <w:t>Source: AECOM analysis of outputs from the National Transport Model</w:t>
      </w:r>
    </w:p>
    <w:p w:rsidR="00660414" w:rsidRPr="008C5B1B" w:rsidRDefault="00660414" w:rsidP="00660414">
      <w:pPr>
        <w:spacing w:before="120"/>
        <w:rPr>
          <w:b/>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8C5B1B" w:rsidRDefault="00660414" w:rsidP="007613DE">
            <w:pPr>
              <w:spacing w:line="276" w:lineRule="auto"/>
              <w:rPr>
                <w:rFonts w:cs="Arial"/>
                <w:sz w:val="22"/>
                <w:szCs w:val="22"/>
                <w:lang w:val="en-US"/>
              </w:rPr>
            </w:pPr>
            <w:r w:rsidRPr="008C5B1B">
              <w:rPr>
                <w:rFonts w:cs="Arial"/>
                <w:sz w:val="22"/>
                <w:szCs w:val="22"/>
                <w:lang w:val="en-US"/>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on Core TEN-T corridor IV-S.</w:t>
            </w:r>
          </w:p>
          <w:p w:rsidR="00660414" w:rsidRPr="000A76BD" w:rsidRDefault="00660414" w:rsidP="00273D5E">
            <w:pPr>
              <w:pStyle w:val="BulletLevel1"/>
              <w:numPr>
                <w:ilvl w:val="0"/>
                <w:numId w:val="60"/>
              </w:numPr>
            </w:pPr>
            <w:r w:rsidRPr="00804F1B">
              <w:t>Delays due to poor infrastructure condition and speed restrictions. Commercial speeds are below design parameters on many sections of the line (Bucharest to Videle, Olteni to Rosiori de Vede Nord ...)</w:t>
            </w:r>
          </w:p>
          <w:p w:rsidR="00660414" w:rsidRPr="000A76BD" w:rsidRDefault="00660414" w:rsidP="00273D5E">
            <w:pPr>
              <w:pStyle w:val="BulletLevel1"/>
              <w:numPr>
                <w:ilvl w:val="0"/>
                <w:numId w:val="60"/>
              </w:numPr>
            </w:pPr>
            <w:r w:rsidRPr="00804F1B">
              <w:t>Low rail market share on the Bucharest – Craiova section. There is a considerable degree of suppressed demand between these cities due to the poor passenger service.</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 in many stations along the corridor.</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26</w:t>
      </w:r>
      <w:r w:rsidRPr="001F5936">
        <w:rPr>
          <w:b/>
          <w:sz w:val="22"/>
          <w:szCs w:val="22"/>
        </w:rPr>
        <w:fldChar w:fldCharType="end"/>
      </w:r>
      <w:r w:rsidRPr="001F5936">
        <w:rPr>
          <w:b/>
          <w:sz w:val="22"/>
          <w:szCs w:val="22"/>
        </w:rPr>
        <w:t>:</w:t>
      </w:r>
      <w:r>
        <w:rPr>
          <w:b/>
          <w:sz w:val="22"/>
          <w:szCs w:val="22"/>
        </w:rPr>
        <w:t xml:space="preserve"> Summary of Infrastructure Costs and Operating Costs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2690"/>
        <w:gridCol w:w="6855"/>
      </w:tblGrid>
      <w:tr w:rsidR="00660414" w:rsidRPr="000A76BD" w:rsidTr="007613DE">
        <w:trPr>
          <w:cantSplit/>
          <w:tblHeader/>
        </w:trPr>
        <w:tc>
          <w:tcPr>
            <w:tcW w:w="0" w:type="auto"/>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2690" w:type="dxa"/>
            <w:shd w:val="clear" w:color="auto" w:fill="C6D9F1"/>
            <w:vAlign w:val="center"/>
          </w:tcPr>
          <w:p w:rsidR="00660414" w:rsidRPr="000A76BD" w:rsidRDefault="00660414" w:rsidP="007613DE">
            <w:pPr>
              <w:spacing w:line="276" w:lineRule="auto"/>
              <w:ind w:left="31" w:hanging="31"/>
              <w:jc w:val="both"/>
              <w:rPr>
                <w:rFonts w:cs="Arial"/>
                <w:b/>
                <w:bCs/>
                <w:sz w:val="22"/>
                <w:szCs w:val="22"/>
              </w:rPr>
            </w:pPr>
            <w:r w:rsidRPr="00804F1B">
              <w:rPr>
                <w:rFonts w:cs="Arial"/>
                <w:b/>
                <w:bCs/>
                <w:sz w:val="22"/>
                <w:szCs w:val="22"/>
              </w:rPr>
              <w:t>Undiscounted costs (Million €, 2014 prices)</w:t>
            </w:r>
          </w:p>
        </w:tc>
        <w:tc>
          <w:tcPr>
            <w:tcW w:w="6855" w:type="dxa"/>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0" w:type="auto"/>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2690" w:type="dxa"/>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3,217</w:t>
            </w:r>
          </w:p>
        </w:tc>
        <w:tc>
          <w:tcPr>
            <w:tcW w:w="6855" w:type="dxa"/>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or enhanced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0" w:type="auto"/>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2690" w:type="dxa"/>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2,662</w:t>
            </w:r>
          </w:p>
        </w:tc>
        <w:tc>
          <w:tcPr>
            <w:tcW w:w="6855" w:type="dxa"/>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0" w:type="auto"/>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2690" w:type="dxa"/>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5,879</w:t>
            </w:r>
          </w:p>
        </w:tc>
        <w:tc>
          <w:tcPr>
            <w:tcW w:w="6855" w:type="dxa"/>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lower value for money than </w:t>
      </w:r>
      <w:r>
        <w:rPr>
          <w:rFonts w:cs="Arial"/>
          <w:sz w:val="22"/>
          <w:szCs w:val="22"/>
        </w:rPr>
        <w:t xml:space="preserve">the </w:t>
      </w:r>
      <w:r w:rsidRPr="00804F1B">
        <w:rPr>
          <w:rFonts w:cs="Arial"/>
          <w:sz w:val="22"/>
          <w:szCs w:val="22"/>
        </w:rPr>
        <w:t>alternative</w:t>
      </w:r>
      <w:r>
        <w:rPr>
          <w:rFonts w:cs="Arial"/>
          <w:sz w:val="22"/>
          <w:szCs w:val="22"/>
        </w:rPr>
        <w:t xml:space="preserve"> schemes (</w:t>
      </w:r>
      <w:r w:rsidRPr="00804F1B">
        <w:rPr>
          <w:rFonts w:cs="Arial"/>
          <w:sz w:val="22"/>
          <w:szCs w:val="22"/>
        </w:rPr>
        <w:t xml:space="preserve">DS03A </w:t>
      </w:r>
      <w:r>
        <w:rPr>
          <w:rFonts w:cs="Arial"/>
          <w:sz w:val="22"/>
          <w:szCs w:val="22"/>
        </w:rPr>
        <w:t xml:space="preserve">and DS03B), since the </w:t>
      </w:r>
      <w:r w:rsidRPr="00804F1B">
        <w:rPr>
          <w:rFonts w:cs="Arial"/>
          <w:sz w:val="22"/>
          <w:szCs w:val="22"/>
        </w:rPr>
        <w:t xml:space="preserve">BCR </w:t>
      </w:r>
      <w:r>
        <w:rPr>
          <w:rFonts w:cs="Arial"/>
          <w:sz w:val="22"/>
          <w:szCs w:val="22"/>
        </w:rPr>
        <w:t xml:space="preserve">is 0.89. The results summary is presented in Table 5.27. </w:t>
      </w:r>
    </w:p>
    <w:p w:rsidR="00660414" w:rsidRDefault="00660414" w:rsidP="00660414">
      <w:pPr>
        <w:pStyle w:val="Caption"/>
        <w:rPr>
          <w:b/>
          <w:sz w:val="22"/>
          <w:szCs w:val="22"/>
        </w:rPr>
      </w:pP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27</w:t>
      </w:r>
      <w:r w:rsidRPr="001F5936">
        <w:rPr>
          <w:b/>
          <w:sz w:val="22"/>
          <w:szCs w:val="22"/>
        </w:rPr>
        <w:fldChar w:fldCharType="end"/>
      </w:r>
      <w:r w:rsidRPr="001F5936">
        <w:rPr>
          <w:b/>
          <w:sz w:val="22"/>
          <w:szCs w:val="22"/>
        </w:rPr>
        <w:t>:</w:t>
      </w:r>
      <w:r>
        <w:rPr>
          <w:b/>
          <w:sz w:val="22"/>
          <w:szCs w:val="22"/>
        </w:rPr>
        <w:t xml:space="preserve"> Summary of Results (DS03C)</w:t>
      </w:r>
    </w:p>
    <w:tbl>
      <w:tblPr>
        <w:tblW w:w="31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925"/>
      </w:tblGrid>
      <w:tr w:rsidR="00660414" w:rsidRPr="000A76BD" w:rsidTr="007613DE">
        <w:trPr>
          <w:cantSplit/>
          <w:tblHeader/>
        </w:trPr>
        <w:tc>
          <w:tcPr>
            <w:tcW w:w="353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46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DS03</w:t>
            </w:r>
            <w:r>
              <w:rPr>
                <w:rFonts w:cs="Arial"/>
                <w:b/>
                <w:bCs/>
                <w:sz w:val="22"/>
                <w:szCs w:val="22"/>
              </w:rPr>
              <w:t>C</w:t>
            </w:r>
          </w:p>
        </w:tc>
      </w:tr>
      <w:tr w:rsidR="00660414" w:rsidRPr="000A76BD" w:rsidTr="007613DE">
        <w:trPr>
          <w:cantSplit/>
        </w:trPr>
        <w:tc>
          <w:tcPr>
            <w:tcW w:w="3535"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w:t>
            </w:r>
            <w:r>
              <w:rPr>
                <w:rFonts w:cs="Arial"/>
                <w:sz w:val="22"/>
                <w:szCs w:val="22"/>
              </w:rPr>
              <w:t>526</w:t>
            </w:r>
            <w:r w:rsidRPr="00804F1B">
              <w:rPr>
                <w:rFonts w:cs="Arial"/>
                <w:sz w:val="22"/>
                <w:szCs w:val="22"/>
              </w:rPr>
              <w:t xml:space="preserve"> (+2</w:t>
            </w:r>
            <w:r>
              <w:rPr>
                <w:rFonts w:cs="Arial"/>
                <w:sz w:val="22"/>
                <w:szCs w:val="22"/>
              </w:rPr>
              <w:t>5</w:t>
            </w:r>
            <w:r w:rsidRPr="00804F1B">
              <w:rPr>
                <w:rFonts w:cs="Arial"/>
                <w:sz w:val="22"/>
                <w:szCs w:val="22"/>
              </w:rPr>
              <w:t>%)</w:t>
            </w:r>
          </w:p>
        </w:tc>
      </w:tr>
      <w:tr w:rsidR="00660414" w:rsidRPr="000A76BD" w:rsidTr="007613DE">
        <w:trPr>
          <w:cantSplit/>
        </w:trPr>
        <w:tc>
          <w:tcPr>
            <w:tcW w:w="3535"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5</w:t>
            </w:r>
            <w:r w:rsidRPr="00804F1B">
              <w:rPr>
                <w:rFonts w:cs="Arial"/>
                <w:sz w:val="22"/>
                <w:szCs w:val="22"/>
              </w:rPr>
              <w:t>%</w:t>
            </w:r>
          </w:p>
        </w:tc>
      </w:tr>
      <w:tr w:rsidR="00660414" w:rsidRPr="000A76BD" w:rsidTr="007613DE">
        <w:trPr>
          <w:cantSplit/>
        </w:trPr>
        <w:tc>
          <w:tcPr>
            <w:tcW w:w="353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w:t>
            </w:r>
            <w:r>
              <w:rPr>
                <w:rFonts w:cs="Arial"/>
                <w:sz w:val="22"/>
                <w:szCs w:val="22"/>
              </w:rPr>
              <w:t>625</w:t>
            </w:r>
            <w:r w:rsidRPr="00804F1B">
              <w:rPr>
                <w:rFonts w:cs="Arial"/>
                <w:sz w:val="22"/>
                <w:szCs w:val="22"/>
              </w:rPr>
              <w:t xml:space="preserve"> (+</w:t>
            </w:r>
            <w:r>
              <w:rPr>
                <w:rFonts w:cs="Arial"/>
                <w:sz w:val="22"/>
                <w:szCs w:val="22"/>
              </w:rPr>
              <w:t>7</w:t>
            </w:r>
            <w:r w:rsidRPr="00804F1B">
              <w:rPr>
                <w:rFonts w:cs="Arial"/>
                <w:sz w:val="22"/>
                <w:szCs w:val="22"/>
              </w:rPr>
              <w:t>%)</w:t>
            </w:r>
          </w:p>
        </w:tc>
      </w:tr>
      <w:tr w:rsidR="00660414" w:rsidRPr="000A76BD" w:rsidTr="007613DE">
        <w:trPr>
          <w:cantSplit/>
        </w:trPr>
        <w:tc>
          <w:tcPr>
            <w:tcW w:w="353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w:t>
            </w:r>
          </w:p>
        </w:tc>
      </w:tr>
      <w:tr w:rsidR="00660414" w:rsidRPr="000A76BD" w:rsidTr="007613DE">
        <w:trPr>
          <w:cantSplit/>
        </w:trPr>
        <w:tc>
          <w:tcPr>
            <w:tcW w:w="353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46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-334</w:t>
            </w:r>
          </w:p>
        </w:tc>
      </w:tr>
      <w:tr w:rsidR="00660414" w:rsidRPr="000A76BD" w:rsidTr="007613DE">
        <w:trPr>
          <w:cantSplit/>
        </w:trPr>
        <w:tc>
          <w:tcPr>
            <w:tcW w:w="353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46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0.89</w:t>
            </w:r>
          </w:p>
        </w:tc>
      </w:tr>
      <w:tr w:rsidR="00660414" w:rsidRPr="000A76BD" w:rsidTr="007613DE">
        <w:trPr>
          <w:cantSplit/>
        </w:trPr>
        <w:tc>
          <w:tcPr>
            <w:tcW w:w="353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465"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4.16</w:t>
            </w:r>
            <w:r w:rsidRPr="00804F1B">
              <w:rPr>
                <w:rFonts w:cs="Arial"/>
                <w:b/>
                <w:sz w:val="22"/>
                <w:szCs w:val="22"/>
              </w:rPr>
              <w:t>%</w:t>
            </w:r>
          </w:p>
        </w:tc>
      </w:tr>
      <w:tr w:rsidR="00660414" w:rsidRPr="000A76BD" w:rsidTr="007613DE">
        <w:tc>
          <w:tcPr>
            <w:tcW w:w="353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875</w:t>
            </w:r>
          </w:p>
        </w:tc>
      </w:tr>
      <w:tr w:rsidR="00660414" w:rsidRPr="000A76BD" w:rsidTr="007613DE">
        <w:tc>
          <w:tcPr>
            <w:tcW w:w="353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4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21</w:t>
            </w:r>
          </w:p>
        </w:tc>
      </w:tr>
    </w:tbl>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Pr>
          <w:rFonts w:cs="Arial"/>
          <w:sz w:val="22"/>
          <w:szCs w:val="22"/>
        </w:rPr>
        <w:t>Changes in freight</w:t>
      </w:r>
      <w:r w:rsidRPr="00804F1B">
        <w:rPr>
          <w:rFonts w:cs="Arial"/>
          <w:sz w:val="22"/>
          <w:szCs w:val="22"/>
        </w:rPr>
        <w:t xml:space="preserve"> </w:t>
      </w:r>
      <w:r>
        <w:rPr>
          <w:rFonts w:cs="Arial"/>
          <w:sz w:val="22"/>
          <w:szCs w:val="22"/>
        </w:rPr>
        <w:t xml:space="preserve">and passenger flows </w:t>
      </w:r>
      <w:r w:rsidRPr="00804F1B">
        <w:rPr>
          <w:rFonts w:cs="Arial"/>
          <w:sz w:val="22"/>
          <w:szCs w:val="22"/>
        </w:rPr>
        <w:t>on this test are similar to DS03A.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170C2E" w:rsidRDefault="00660414" w:rsidP="00660414">
      <w:pPr>
        <w:spacing w:line="276" w:lineRule="auto"/>
        <w:jc w:val="both"/>
        <w:rPr>
          <w:rFonts w:cs="Arial"/>
          <w:sz w:val="22"/>
          <w:szCs w:val="22"/>
        </w:rPr>
      </w:pPr>
      <w:r w:rsidRPr="00804F1B">
        <w:rPr>
          <w:rFonts w:cs="Arial"/>
          <w:sz w:val="22"/>
          <w:szCs w:val="22"/>
        </w:rPr>
        <w:t>It has been estimated that the project could be implemented between 2020 and 2030 if funding is secured.</w:t>
      </w:r>
      <w:r w:rsidRPr="00804F1B">
        <w:rPr>
          <w:rFonts w:cs="Arial"/>
          <w:sz w:val="22"/>
          <w:szCs w:val="22"/>
        </w:rPr>
        <w:br w:type="page"/>
      </w:r>
    </w:p>
    <w:p w:rsidR="00660414" w:rsidRPr="00170C2E" w:rsidRDefault="00660414" w:rsidP="00170C2E">
      <w:pPr>
        <w:pStyle w:val="Hdg3"/>
        <w:ind w:left="851"/>
      </w:pPr>
      <w:r w:rsidRPr="008C5B1B">
        <w:t>Core TEN-T corridor IX and links Buzau to Galati and Pascani to Suceava to design speed (Test DS04A)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 xml:space="preserve">Upgrade programme for Core TEN-T corridor IX between Ploiesti and Iasi, Pascani to Suceava of line 500 and Buzau to Galati of lines 702 and 700. This project includes: </w:t>
            </w:r>
          </w:p>
          <w:p w:rsidR="00660414" w:rsidRPr="000A76BD" w:rsidRDefault="00660414" w:rsidP="00273D5E">
            <w:pPr>
              <w:pStyle w:val="BulletLevel1"/>
              <w:numPr>
                <w:ilvl w:val="0"/>
                <w:numId w:val="60"/>
              </w:numPr>
            </w:pPr>
            <w:r w:rsidRPr="00804F1B">
              <w:t>Rehabilitation to design speed of: Core TEN-T corridor IX between Ploiesti and Iasi, line 500 between Pascani and Suceava and line 700 between Buzau and Galati.</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increase safety and efficiency.</w:t>
            </w:r>
          </w:p>
          <w:p w:rsidR="00660414" w:rsidRPr="000A76BD" w:rsidRDefault="00660414" w:rsidP="00273D5E">
            <w:pPr>
              <w:pStyle w:val="BulletLevel1"/>
              <w:numPr>
                <w:ilvl w:val="0"/>
                <w:numId w:val="60"/>
              </w:numPr>
            </w:pPr>
            <w:r w:rsidRPr="00804F1B">
              <w:t>Improved station facilities at Bucharest, Ploiesti, Buzau, Ramnicu Sarat, Focsani, Marasesti, Adjud, Bacau, Roman, Pascani, Dolhasca, Veresti, Suceava, Faurei, Braila, Galati, Targu Frumos and Iasi.</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Bucharest to Galati (0.5 tph), Bucharest to Iasi via Bacau (0.5 tph), Bucharest to Suceava (0.5 tph), Bucharest to Focsani (0.5 tph), Suceava to Iasi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02E7A268" wp14:editId="0B4E1626">
            <wp:extent cx="5627009" cy="3960000"/>
            <wp:effectExtent l="0" t="0" r="0" b="2540"/>
            <wp:docPr id="515" name="Picture 515" descr="F:\Projects\Transport Planning - Romania UK GTMP\PUBLIC TRANSPORT\Rail\04_Plots\Do_Somthing_schemes\outputs\DoSomethingSchemes_DS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Do_Somthing_schemes\outputs\DoSomethingSchemes_DS04A.jp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46</w:t>
      </w:r>
      <w:r w:rsidRPr="008C7A83">
        <w:rPr>
          <w:b/>
          <w:sz w:val="22"/>
          <w:szCs w:val="22"/>
        </w:rPr>
        <w:fldChar w:fldCharType="end"/>
      </w:r>
      <w:r w:rsidRPr="008C7A83">
        <w:rPr>
          <w:b/>
          <w:sz w:val="22"/>
          <w:szCs w:val="22"/>
        </w:rPr>
        <w:t>:</w:t>
      </w:r>
      <w:r>
        <w:rPr>
          <w:b/>
          <w:sz w:val="22"/>
          <w:szCs w:val="22"/>
        </w:rPr>
        <w:t xml:space="preserve"> Description of Service Proposals (DS04A)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after="60"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between Bucharest and the East / Northeast Romania.</w:t>
            </w:r>
          </w:p>
          <w:p w:rsidR="00660414" w:rsidRPr="000A76BD" w:rsidRDefault="00660414" w:rsidP="00273D5E">
            <w:pPr>
              <w:pStyle w:val="BulletLevel1"/>
              <w:numPr>
                <w:ilvl w:val="0"/>
                <w:numId w:val="60"/>
              </w:numPr>
            </w:pPr>
            <w:r w:rsidRPr="00804F1B">
              <w:t>Delays due to poor infrastructure condition, commercial speeds below design parameters along the considered corridors. For example, the maximum speed between Ploiesti and Suceava is limited to 80 km/h, 40 km/h below design parameters.</w:t>
            </w:r>
          </w:p>
          <w:p w:rsidR="00660414" w:rsidRPr="000A76BD" w:rsidRDefault="00660414" w:rsidP="00273D5E">
            <w:pPr>
              <w:pStyle w:val="BulletLevel1"/>
              <w:numPr>
                <w:ilvl w:val="0"/>
                <w:numId w:val="60"/>
              </w:numPr>
            </w:pPr>
            <w:r w:rsidRPr="00804F1B">
              <w:t>Low rail market between Bucharest and major cities on corridor 500, rail is not competitive versus road on the corridor.</w:t>
            </w:r>
          </w:p>
          <w:p w:rsidR="00660414" w:rsidRPr="000A76BD" w:rsidRDefault="00660414" w:rsidP="00273D5E">
            <w:pPr>
              <w:pStyle w:val="BulletLevel1"/>
              <w:numPr>
                <w:ilvl w:val="0"/>
                <w:numId w:val="60"/>
              </w:numPr>
            </w:pPr>
            <w:r w:rsidRPr="00804F1B">
              <w:t xml:space="preserve">Passenger trains travelling between Bucharest and Iasi need to either change traction before joining corridor 600, or run as diesel units between Bucharest and Tecuci. </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7D404F" w:rsidRDefault="00660414" w:rsidP="00273D5E">
            <w:pPr>
              <w:pStyle w:val="BulletLevel1"/>
              <w:numPr>
                <w:ilvl w:val="0"/>
                <w:numId w:val="0"/>
              </w:numPr>
              <w:ind w:left="720"/>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28</w:t>
      </w:r>
      <w:r w:rsidRPr="001F5936">
        <w:rPr>
          <w:b/>
          <w:sz w:val="22"/>
          <w:szCs w:val="22"/>
        </w:rPr>
        <w:fldChar w:fldCharType="end"/>
      </w:r>
      <w:r w:rsidRPr="001F5936">
        <w:rPr>
          <w:b/>
          <w:sz w:val="22"/>
          <w:szCs w:val="22"/>
        </w:rPr>
        <w:t>:</w:t>
      </w:r>
      <w:r>
        <w:rPr>
          <w:b/>
          <w:sz w:val="22"/>
          <w:szCs w:val="22"/>
        </w:rPr>
        <w:t xml:space="preserve"> Summary of Infrastructure Costs and Operating Costs (DS04A)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3299"/>
        <w:gridCol w:w="6191"/>
      </w:tblGrid>
      <w:tr w:rsidR="00660414" w:rsidRPr="000A76BD" w:rsidTr="007613DE">
        <w:trPr>
          <w:cantSplit/>
          <w:tblHeader/>
        </w:trPr>
        <w:tc>
          <w:tcPr>
            <w:tcW w:w="48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570"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294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8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57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3,366</w:t>
            </w:r>
          </w:p>
        </w:tc>
        <w:tc>
          <w:tcPr>
            <w:tcW w:w="2946"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8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57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839</w:t>
            </w:r>
          </w:p>
        </w:tc>
        <w:tc>
          <w:tcPr>
            <w:tcW w:w="294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8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57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4</w:t>
            </w:r>
            <w:r w:rsidRPr="00804F1B">
              <w:rPr>
                <w:rFonts w:cs="Arial"/>
                <w:sz w:val="22"/>
                <w:szCs w:val="22"/>
              </w:rPr>
              <w:t>,2</w:t>
            </w:r>
            <w:r>
              <w:rPr>
                <w:rFonts w:cs="Arial"/>
                <w:sz w:val="22"/>
                <w:szCs w:val="22"/>
              </w:rPr>
              <w:t>04</w:t>
            </w:r>
          </w:p>
        </w:tc>
        <w:tc>
          <w:tcPr>
            <w:tcW w:w="294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Default="00660414" w:rsidP="00660414">
      <w:pPr>
        <w:pStyle w:val="Heading3"/>
        <w:spacing w:line="276" w:lineRule="auto"/>
        <w:rPr>
          <w:rFonts w:cs="Arial"/>
          <w:b/>
          <w:sz w:val="22"/>
          <w:szCs w:val="22"/>
        </w:rPr>
      </w:pP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good value for money</w:t>
      </w:r>
      <w:r>
        <w:rPr>
          <w:rFonts w:cs="Arial"/>
          <w:sz w:val="22"/>
          <w:szCs w:val="22"/>
        </w:rPr>
        <w:t xml:space="preserve"> with a </w:t>
      </w:r>
      <w:r w:rsidRPr="00804F1B">
        <w:rPr>
          <w:rFonts w:cs="Arial"/>
          <w:sz w:val="22"/>
          <w:szCs w:val="22"/>
        </w:rPr>
        <w:t xml:space="preserve">BCR </w:t>
      </w:r>
      <w:r>
        <w:rPr>
          <w:rFonts w:cs="Arial"/>
          <w:sz w:val="22"/>
          <w:szCs w:val="22"/>
        </w:rPr>
        <w:t>of</w:t>
      </w:r>
      <w:r w:rsidRPr="00804F1B">
        <w:rPr>
          <w:rFonts w:cs="Arial"/>
          <w:sz w:val="22"/>
          <w:szCs w:val="22"/>
        </w:rPr>
        <w:t xml:space="preserve"> 1.2</w:t>
      </w:r>
      <w:r>
        <w:rPr>
          <w:rFonts w:cs="Arial"/>
          <w:sz w:val="22"/>
          <w:szCs w:val="22"/>
        </w:rPr>
        <w:t xml:space="preserve">3. The scheme also generates a </w:t>
      </w:r>
      <w:r w:rsidRPr="00804F1B">
        <w:rPr>
          <w:rFonts w:cs="Arial"/>
          <w:sz w:val="22"/>
          <w:szCs w:val="22"/>
        </w:rPr>
        <w:t>significant increase in rail passenger and freight traffic of 32% and 5% respectively</w:t>
      </w:r>
      <w:r>
        <w:rPr>
          <w:rFonts w:cs="Arial"/>
          <w:sz w:val="22"/>
          <w:szCs w:val="22"/>
        </w:rPr>
        <w:t xml:space="preserve">, as shown in Table 5.29. </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29</w:t>
      </w:r>
      <w:r w:rsidRPr="001F5936">
        <w:rPr>
          <w:b/>
          <w:sz w:val="22"/>
          <w:szCs w:val="22"/>
        </w:rPr>
        <w:fldChar w:fldCharType="end"/>
      </w:r>
      <w:r w:rsidRPr="001F5936">
        <w:rPr>
          <w:b/>
          <w:sz w:val="22"/>
          <w:szCs w:val="22"/>
        </w:rPr>
        <w:t>:</w:t>
      </w:r>
      <w:r>
        <w:rPr>
          <w:b/>
          <w:sz w:val="22"/>
          <w:szCs w:val="22"/>
        </w:rPr>
        <w:t xml:space="preserve"> Summary of Results (DS04A)</w:t>
      </w:r>
    </w:p>
    <w:tbl>
      <w:tblPr>
        <w:tblW w:w="31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3"/>
        <w:gridCol w:w="2366"/>
      </w:tblGrid>
      <w:tr w:rsidR="00660414" w:rsidRPr="000A76BD" w:rsidTr="007613DE">
        <w:trPr>
          <w:cantSplit/>
          <w:tblHeader/>
        </w:trPr>
        <w:tc>
          <w:tcPr>
            <w:tcW w:w="3199"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Test code</w:t>
            </w:r>
          </w:p>
        </w:tc>
        <w:tc>
          <w:tcPr>
            <w:tcW w:w="1801"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DS04A</w:t>
            </w:r>
          </w:p>
        </w:tc>
      </w:tr>
      <w:tr w:rsidR="00660414" w:rsidRPr="000A76BD" w:rsidTr="007613DE">
        <w:trPr>
          <w:cantSplit/>
        </w:trPr>
        <w:tc>
          <w:tcPr>
            <w:tcW w:w="3199"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Pass-km (1000's 2030)</w:t>
            </w:r>
          </w:p>
        </w:tc>
        <w:tc>
          <w:tcPr>
            <w:tcW w:w="1801"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+6,783 (+32%)</w:t>
            </w:r>
          </w:p>
        </w:tc>
      </w:tr>
      <w:tr w:rsidR="00660414" w:rsidRPr="000A76BD" w:rsidTr="007613DE">
        <w:trPr>
          <w:cantSplit/>
        </w:trPr>
        <w:tc>
          <w:tcPr>
            <w:tcW w:w="3199"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Pass-km share (2030)</w:t>
            </w:r>
          </w:p>
        </w:tc>
        <w:tc>
          <w:tcPr>
            <w:tcW w:w="1801"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2.0%</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Tonne-km (1000,s 2030)</w:t>
            </w:r>
          </w:p>
        </w:tc>
        <w:tc>
          <w:tcPr>
            <w:tcW w:w="1801"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+2,159 (+5%)</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Tonne-km share (2030)</w:t>
            </w:r>
          </w:p>
        </w:tc>
        <w:tc>
          <w:tcPr>
            <w:tcW w:w="1801"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0.6%</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NPV € Mill (2014 Prices)</w:t>
            </w:r>
          </w:p>
        </w:tc>
        <w:tc>
          <w:tcPr>
            <w:tcW w:w="1801" w:type="pct"/>
            <w:shd w:val="clear" w:color="auto" w:fill="auto"/>
            <w:vAlign w:val="center"/>
          </w:tcPr>
          <w:p w:rsidR="00660414" w:rsidRPr="000A76BD" w:rsidRDefault="00660414" w:rsidP="007613DE">
            <w:pPr>
              <w:spacing w:before="120" w:line="276" w:lineRule="auto"/>
              <w:jc w:val="both"/>
              <w:rPr>
                <w:rFonts w:cs="Arial"/>
                <w:b/>
                <w:sz w:val="22"/>
                <w:szCs w:val="22"/>
              </w:rPr>
            </w:pPr>
            <w:r>
              <w:rPr>
                <w:rFonts w:cs="Arial"/>
                <w:b/>
                <w:sz w:val="22"/>
                <w:szCs w:val="22"/>
              </w:rPr>
              <w:t>529</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BCR</w:t>
            </w:r>
          </w:p>
        </w:tc>
        <w:tc>
          <w:tcPr>
            <w:tcW w:w="1801"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1.2</w:t>
            </w:r>
            <w:r>
              <w:rPr>
                <w:rFonts w:cs="Arial"/>
                <w:b/>
                <w:sz w:val="22"/>
                <w:szCs w:val="22"/>
              </w:rPr>
              <w:t>3</w:t>
            </w:r>
          </w:p>
        </w:tc>
      </w:tr>
      <w:tr w:rsidR="00660414" w:rsidRPr="000A76BD" w:rsidTr="007613DE">
        <w:trPr>
          <w:cantSplit/>
        </w:trPr>
        <w:tc>
          <w:tcPr>
            <w:tcW w:w="3199"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EIRR</w:t>
            </w:r>
          </w:p>
        </w:tc>
        <w:tc>
          <w:tcPr>
            <w:tcW w:w="1801"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6.</w:t>
            </w:r>
            <w:r>
              <w:rPr>
                <w:rFonts w:cs="Arial"/>
                <w:b/>
                <w:sz w:val="22"/>
                <w:szCs w:val="22"/>
              </w:rPr>
              <w:t>15</w:t>
            </w:r>
            <w:r w:rsidRPr="00804F1B">
              <w:rPr>
                <w:rFonts w:cs="Arial"/>
                <w:b/>
                <w:sz w:val="22"/>
                <w:szCs w:val="22"/>
              </w:rPr>
              <w:t>%</w:t>
            </w:r>
          </w:p>
        </w:tc>
      </w:tr>
      <w:tr w:rsidR="00660414" w:rsidRPr="000A76BD" w:rsidTr="007613DE">
        <w:tc>
          <w:tcPr>
            <w:tcW w:w="3199"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Upgraded main line infrastructure (track-km)</w:t>
            </w:r>
          </w:p>
        </w:tc>
        <w:tc>
          <w:tcPr>
            <w:tcW w:w="1801"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1,260</w:t>
            </w:r>
          </w:p>
        </w:tc>
      </w:tr>
      <w:tr w:rsidR="00660414" w:rsidRPr="000A76BD" w:rsidTr="007613DE">
        <w:tc>
          <w:tcPr>
            <w:tcW w:w="3199"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Required rolling stock units</w:t>
            </w:r>
          </w:p>
        </w:tc>
        <w:tc>
          <w:tcPr>
            <w:tcW w:w="1801"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28</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5.47 and 5.48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8D340F6" wp14:editId="6B6FF2DC">
            <wp:extent cx="5665174" cy="3960000"/>
            <wp:effectExtent l="0" t="0" r="0" b="2540"/>
            <wp:docPr id="516" name="Picture 516" descr="F:\Projects\Transport Planning - Romania UK GTMP\PUBLIC TRANSPORT\Rail\04_Plots\Rail_results\output\DS04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jects\Transport Planning - Romania UK GTMP\PUBLIC TRANSPORT\Rail\04_Plots\Rail_results\output\DS04A_2030_change_pass.jpg"/>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665174"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47</w:t>
      </w:r>
      <w:r w:rsidRPr="0075501B">
        <w:rPr>
          <w:b/>
          <w:sz w:val="22"/>
          <w:szCs w:val="22"/>
        </w:rPr>
        <w:fldChar w:fldCharType="end"/>
      </w:r>
      <w:r>
        <w:rPr>
          <w:b/>
          <w:sz w:val="22"/>
          <w:szCs w:val="22"/>
        </w:rPr>
        <w:t>: Change in Passenger Demand (DS04A)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One of the main outputs from </w:t>
      </w:r>
      <w:r w:rsidRPr="00804F1B">
        <w:rPr>
          <w:rFonts w:cs="Arial"/>
          <w:sz w:val="22"/>
          <w:szCs w:val="22"/>
        </w:rPr>
        <w:t xml:space="preserve">this test is </w:t>
      </w:r>
      <w:r>
        <w:rPr>
          <w:rFonts w:cs="Arial"/>
          <w:sz w:val="22"/>
          <w:szCs w:val="22"/>
        </w:rPr>
        <w:t xml:space="preserve">the </w:t>
      </w:r>
      <w:r w:rsidRPr="00804F1B">
        <w:rPr>
          <w:rFonts w:cs="Arial"/>
          <w:sz w:val="22"/>
          <w:szCs w:val="22"/>
        </w:rPr>
        <w:t xml:space="preserve">significant increase in the overall passenger demand, with the upgraded corridor experiencing a </w:t>
      </w:r>
      <w:r>
        <w:rPr>
          <w:rFonts w:cs="Arial"/>
          <w:sz w:val="22"/>
          <w:szCs w:val="22"/>
        </w:rPr>
        <w:t xml:space="preserve">115% </w:t>
      </w:r>
      <w:r w:rsidRPr="00804F1B">
        <w:rPr>
          <w:rFonts w:cs="Arial"/>
          <w:sz w:val="22"/>
          <w:szCs w:val="22"/>
        </w:rPr>
        <w:t>grow</w:t>
      </w:r>
      <w:r>
        <w:rPr>
          <w:rFonts w:cs="Arial"/>
          <w:sz w:val="22"/>
          <w:szCs w:val="22"/>
        </w:rPr>
        <w:t>th</w:t>
      </w:r>
      <w:r w:rsidRPr="00804F1B">
        <w:rPr>
          <w:rFonts w:cs="Arial"/>
          <w:sz w:val="22"/>
          <w:szCs w:val="22"/>
        </w:rPr>
        <w:t xml:space="preserve"> in total demand</w:t>
      </w:r>
      <w:r>
        <w:rPr>
          <w:rFonts w:cs="Arial"/>
          <w:sz w:val="22"/>
          <w:szCs w:val="22"/>
        </w:rPr>
        <w:t xml:space="preserve"> </w:t>
      </w:r>
      <w:r w:rsidRPr="00804F1B">
        <w:rPr>
          <w:rFonts w:cs="Arial"/>
          <w:sz w:val="22"/>
          <w:szCs w:val="22"/>
        </w:rPr>
        <w:t>between Buzau and Focsani</w:t>
      </w:r>
      <w:r>
        <w:rPr>
          <w:rFonts w:cs="Arial"/>
          <w:sz w:val="22"/>
          <w:szCs w:val="22"/>
        </w:rPr>
        <w:t xml:space="preserve">, </w:t>
      </w:r>
      <w:r w:rsidRPr="00804F1B">
        <w:rPr>
          <w:rFonts w:cs="Arial"/>
          <w:sz w:val="22"/>
          <w:szCs w:val="22"/>
        </w:rPr>
        <w:t>180% between Faurei and Galati, 130% between Pascani and Iasi and 85% from Pascani to Suceava. Since the upgraded corridor becomes the faster route to the North</w:t>
      </w:r>
      <w:r>
        <w:rPr>
          <w:rFonts w:cs="Arial"/>
          <w:sz w:val="22"/>
          <w:szCs w:val="22"/>
        </w:rPr>
        <w:t xml:space="preserve"> E</w:t>
      </w:r>
      <w:r w:rsidRPr="00804F1B">
        <w:rPr>
          <w:rFonts w:cs="Arial"/>
          <w:sz w:val="22"/>
          <w:szCs w:val="22"/>
        </w:rPr>
        <w:t>ast</w:t>
      </w:r>
      <w:r>
        <w:rPr>
          <w:rFonts w:cs="Arial"/>
          <w:sz w:val="22"/>
          <w:szCs w:val="22"/>
        </w:rPr>
        <w:t xml:space="preserve"> (mainly to Iasi)</w:t>
      </w:r>
      <w:r w:rsidRPr="00804F1B">
        <w:rPr>
          <w:rFonts w:cs="Arial"/>
          <w:sz w:val="22"/>
          <w:szCs w:val="22"/>
        </w:rPr>
        <w:t xml:space="preserve">, line 600 loses about 45% of its passenger traffic </w:t>
      </w:r>
      <w:r>
        <w:rPr>
          <w:rFonts w:cs="Arial"/>
          <w:sz w:val="22"/>
          <w:szCs w:val="22"/>
        </w:rPr>
        <w:t xml:space="preserve">compared with </w:t>
      </w:r>
      <w:r w:rsidRPr="00804F1B">
        <w:rPr>
          <w:rFonts w:cs="Arial"/>
          <w:sz w:val="22"/>
          <w:szCs w:val="22"/>
        </w:rPr>
        <w:t>the reference scenario.</w:t>
      </w:r>
    </w:p>
    <w:p w:rsidR="00660414" w:rsidRDefault="00660414" w:rsidP="00660414">
      <w:pPr>
        <w:spacing w:line="276" w:lineRule="auto"/>
        <w:jc w:val="both"/>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0C4C56D" wp14:editId="57D6C8D4">
            <wp:extent cx="5607681" cy="3960000"/>
            <wp:effectExtent l="0" t="0" r="0" b="2540"/>
            <wp:docPr id="517" name="Picture 517" descr="F:\Projects\Transport Planning - Romania UK GTMP\PUBLIC TRANSPORT\Rail\04_Plots\Rail_results\output\DS04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s\Transport Planning - Romania UK GTMP\PUBLIC TRANSPORT\Rail\04_Plots\Rail_results\output\DS04A_2030_change_freight.jp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48</w:t>
      </w:r>
      <w:r w:rsidRPr="0075501B">
        <w:rPr>
          <w:b/>
          <w:sz w:val="22"/>
          <w:szCs w:val="22"/>
        </w:rPr>
        <w:fldChar w:fldCharType="end"/>
      </w:r>
      <w:r>
        <w:rPr>
          <w:b/>
          <w:sz w:val="22"/>
          <w:szCs w:val="22"/>
        </w:rPr>
        <w:t>: Change in Freight Demand (DS04A)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i/>
          <w:sz w:val="22"/>
          <w:szCs w:val="22"/>
          <w:u w:val="single"/>
        </w:rPr>
      </w:pPr>
      <w:r w:rsidRPr="00804F1B">
        <w:rPr>
          <w:rFonts w:cs="Arial"/>
          <w:sz w:val="22"/>
          <w:szCs w:val="22"/>
        </w:rPr>
        <w:t xml:space="preserve">Core Corridor Ten-T IX also attracts significant freight demand, </w:t>
      </w:r>
      <w:r>
        <w:rPr>
          <w:rFonts w:cs="Arial"/>
          <w:sz w:val="22"/>
          <w:szCs w:val="22"/>
        </w:rPr>
        <w:t xml:space="preserve">with a </w:t>
      </w:r>
      <w:r w:rsidRPr="00804F1B">
        <w:rPr>
          <w:rFonts w:cs="Arial"/>
          <w:sz w:val="22"/>
          <w:szCs w:val="22"/>
        </w:rPr>
        <w:t xml:space="preserve">175% </w:t>
      </w:r>
      <w:r>
        <w:rPr>
          <w:rFonts w:cs="Arial"/>
          <w:sz w:val="22"/>
          <w:szCs w:val="22"/>
        </w:rPr>
        <w:t xml:space="preserve">increase </w:t>
      </w:r>
      <w:r w:rsidRPr="00804F1B">
        <w:rPr>
          <w:rFonts w:cs="Arial"/>
          <w:sz w:val="22"/>
          <w:szCs w:val="22"/>
        </w:rPr>
        <w:t xml:space="preserve">between Buzau and Focsani and 165% from Bacau to Pascani. </w:t>
      </w:r>
      <w:r>
        <w:rPr>
          <w:rFonts w:cs="Arial"/>
          <w:sz w:val="22"/>
          <w:szCs w:val="22"/>
        </w:rPr>
        <w:t xml:space="preserve">Similar to the change in passenger flow, </w:t>
      </w:r>
      <w:r w:rsidRPr="00804F1B">
        <w:rPr>
          <w:rFonts w:cs="Arial"/>
          <w:sz w:val="22"/>
          <w:szCs w:val="22"/>
        </w:rPr>
        <w:t xml:space="preserve">the number of tonnes transported between Barlad and Vaslui </w:t>
      </w:r>
      <w:r>
        <w:rPr>
          <w:rFonts w:cs="Arial"/>
          <w:sz w:val="22"/>
          <w:szCs w:val="22"/>
        </w:rPr>
        <w:t xml:space="preserve">is expected to decline by </w:t>
      </w:r>
      <w:r w:rsidRPr="00804F1B">
        <w:rPr>
          <w:rFonts w:cs="Arial"/>
          <w:sz w:val="22"/>
          <w:szCs w:val="22"/>
        </w:rPr>
        <w:t>50%.</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170C2E">
      <w:pPr>
        <w:spacing w:line="276" w:lineRule="auto"/>
        <w:jc w:val="both"/>
        <w:rPr>
          <w:rFonts w:cs="Arial"/>
          <w:sz w:val="22"/>
          <w:szCs w:val="22"/>
        </w:rPr>
      </w:pPr>
      <w:r w:rsidRPr="00804F1B">
        <w:rPr>
          <w:rFonts w:cs="Arial"/>
          <w:sz w:val="22"/>
          <w:szCs w:val="22"/>
        </w:rPr>
        <w:t>It has been estimated that the project could be implemented by 2030 if funding is secured.</w:t>
      </w:r>
    </w:p>
    <w:p w:rsidR="00660414" w:rsidRPr="00170C2E" w:rsidRDefault="00660414" w:rsidP="00170C2E">
      <w:pPr>
        <w:pStyle w:val="Hdg3"/>
        <w:ind w:left="851"/>
      </w:pPr>
      <w:r w:rsidRPr="00804F1B">
        <w:rPr>
          <w:rFonts w:cs="Arial"/>
        </w:rPr>
        <w:br w:type="page"/>
      </w:r>
      <w:r w:rsidRPr="008C5B1B">
        <w:t>Line Bucharest to Pitesti to design speed and new link Videle - Ramnicu Valcea (Test DS05A)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 xml:space="preserve">Upgrade programme for the line Bucharest to Pitesti to design speed and new rail link between Videle and Ramnicu Valcea, this project includes 4 local stations on the new link. Passenger services on this test are extended to Ramincu Valcea and Sibiu. This project includes: </w:t>
            </w:r>
          </w:p>
          <w:p w:rsidR="00660414" w:rsidRPr="000A76BD" w:rsidRDefault="00660414" w:rsidP="00273D5E">
            <w:pPr>
              <w:pStyle w:val="BulletLevel1"/>
              <w:numPr>
                <w:ilvl w:val="0"/>
                <w:numId w:val="60"/>
              </w:numPr>
            </w:pPr>
            <w:r w:rsidRPr="00804F1B">
              <w:t xml:space="preserve">Rehabilitation to design speed of corridor 901 between Bucharest and Pitesti. </w:t>
            </w:r>
          </w:p>
          <w:p w:rsidR="00660414" w:rsidRPr="000A76BD" w:rsidRDefault="00660414" w:rsidP="00273D5E">
            <w:pPr>
              <w:pStyle w:val="BulletLevel1"/>
              <w:numPr>
                <w:ilvl w:val="0"/>
                <w:numId w:val="60"/>
              </w:numPr>
            </w:pPr>
            <w:r w:rsidRPr="00804F1B">
              <w:t>New rail link between Valcele and Ramnicu Valcea, some infrastructure elements already exist on the line.</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Bucharest Nord, Titu, Gaesti, Pitesti, Valcele, Ramnicu Valcea Nord, Talmaciu and Sibiu.</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Bucharest to Ramnicu Valcea (0.5 tph), Bucharest to Sibiu via Pitesti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2BC0417C" wp14:editId="099CEB98">
            <wp:extent cx="5645583" cy="3960000"/>
            <wp:effectExtent l="0" t="0" r="0" b="2540"/>
            <wp:docPr id="518" name="Picture 518" descr="F:\Projects\Transport Planning - Romania UK GTMP\PUBLIC TRANSPORT\Rail\04_Plots\Do_Somthing_schemes\outputs\DoSomethingSchemes_DS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jects\Transport Planning - Romania UK GTMP\PUBLIC TRANSPORT\Rail\04_Plots\Do_Somthing_schemes\outputs\DoSomethingSchemes_DS05A.jp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49</w:t>
      </w:r>
      <w:r w:rsidRPr="008C7A83">
        <w:rPr>
          <w:b/>
          <w:sz w:val="22"/>
          <w:szCs w:val="22"/>
        </w:rPr>
        <w:fldChar w:fldCharType="end"/>
      </w:r>
      <w:r w:rsidRPr="008C7A83">
        <w:rPr>
          <w:b/>
          <w:sz w:val="22"/>
          <w:szCs w:val="22"/>
        </w:rPr>
        <w:t>:</w:t>
      </w:r>
      <w:r>
        <w:rPr>
          <w:b/>
          <w:sz w:val="22"/>
          <w:szCs w:val="22"/>
        </w:rPr>
        <w:t xml:space="preserve"> Description of Service Proposals (DS05A)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between Bucharest and Pitesti.</w:t>
            </w:r>
          </w:p>
          <w:p w:rsidR="00660414" w:rsidRPr="000A76BD" w:rsidRDefault="00660414" w:rsidP="00273D5E">
            <w:pPr>
              <w:pStyle w:val="BulletLevel1"/>
              <w:numPr>
                <w:ilvl w:val="0"/>
                <w:numId w:val="60"/>
              </w:numPr>
            </w:pPr>
            <w:r w:rsidRPr="00804F1B">
              <w:t>Poor rail connectivity of passenger trains between Bucharest and Ramnicu Valcea / Sibiu.</w:t>
            </w:r>
          </w:p>
          <w:p w:rsidR="00660414" w:rsidRPr="000A76BD" w:rsidRDefault="00660414" w:rsidP="00273D5E">
            <w:pPr>
              <w:pStyle w:val="BulletLevel1"/>
              <w:numPr>
                <w:ilvl w:val="0"/>
                <w:numId w:val="60"/>
              </w:numPr>
            </w:pPr>
            <w:r w:rsidRPr="00804F1B">
              <w:t>No direct route available for freight trains travelling from Constanta towards the Northwest and central Europe.</w:t>
            </w:r>
          </w:p>
          <w:p w:rsidR="00660414" w:rsidRPr="000A76BD" w:rsidRDefault="00660414" w:rsidP="00273D5E">
            <w:pPr>
              <w:pStyle w:val="BulletLevel1"/>
              <w:numPr>
                <w:ilvl w:val="0"/>
                <w:numId w:val="60"/>
              </w:numPr>
            </w:pPr>
            <w:r w:rsidRPr="00804F1B">
              <w:t>Delays due to poor infrastructure condition, commercial speeds below design parameters between Chitila and Ghergani.</w:t>
            </w:r>
          </w:p>
          <w:p w:rsidR="00660414" w:rsidRPr="000A76BD" w:rsidRDefault="00660414" w:rsidP="00273D5E">
            <w:pPr>
              <w:pStyle w:val="BulletLevel1"/>
              <w:numPr>
                <w:ilvl w:val="0"/>
                <w:numId w:val="60"/>
              </w:numPr>
            </w:pPr>
            <w:r w:rsidRPr="00804F1B">
              <w:t>Low rail market share on the Bucharest to Pitesti section, rail is not competitive versus road on the corridor, there is a motorway parallel to the rail line.</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30</w:t>
      </w:r>
      <w:r w:rsidRPr="001F5936">
        <w:rPr>
          <w:b/>
          <w:sz w:val="22"/>
          <w:szCs w:val="22"/>
        </w:rPr>
        <w:fldChar w:fldCharType="end"/>
      </w:r>
      <w:r w:rsidRPr="001F5936">
        <w:rPr>
          <w:b/>
          <w:sz w:val="22"/>
          <w:szCs w:val="22"/>
        </w:rPr>
        <w:t>:</w:t>
      </w:r>
      <w:r>
        <w:rPr>
          <w:b/>
          <w:sz w:val="22"/>
          <w:szCs w:val="22"/>
        </w:rPr>
        <w:t xml:space="preserve"> Summary of Infrastructure Costs and Operating Costs (DS05A)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2776"/>
        <w:gridCol w:w="6712"/>
      </w:tblGrid>
      <w:tr w:rsidR="00660414" w:rsidRPr="000A76BD" w:rsidTr="007613DE">
        <w:trPr>
          <w:cantSplit/>
          <w:tblHeader/>
        </w:trPr>
        <w:tc>
          <w:tcPr>
            <w:tcW w:w="48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21"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19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2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854</w:t>
            </w:r>
          </w:p>
        </w:tc>
        <w:tc>
          <w:tcPr>
            <w:tcW w:w="319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rail link</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2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116</w:t>
            </w:r>
          </w:p>
        </w:tc>
        <w:tc>
          <w:tcPr>
            <w:tcW w:w="319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2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970</w:t>
            </w:r>
          </w:p>
        </w:tc>
        <w:tc>
          <w:tcPr>
            <w:tcW w:w="319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very low value for money (BCR = 0.01), and a sensible increase in rail passenger and freight traffic, of +6% and +3% respectively, see table below. It is to notice that the significant local pollution generated by diesel freight trains drives the poor results of this test.</w:t>
      </w:r>
    </w:p>
    <w:p w:rsidR="00660414" w:rsidRDefault="00660414" w:rsidP="00660414">
      <w:pPr>
        <w:pStyle w:val="Caption"/>
        <w:rPr>
          <w:b/>
          <w:sz w:val="22"/>
          <w:szCs w:val="22"/>
        </w:rPr>
      </w:pPr>
    </w:p>
    <w:p w:rsidR="00660414" w:rsidRDefault="00660414" w:rsidP="00660414">
      <w:pPr>
        <w:pStyle w:val="Caption"/>
        <w:rPr>
          <w:b/>
          <w:sz w:val="22"/>
          <w:szCs w:val="22"/>
        </w:rPr>
      </w:pPr>
    </w:p>
    <w:p w:rsidR="00660414" w:rsidRPr="008C5B1B" w:rsidRDefault="00660414" w:rsidP="00660414">
      <w:pPr>
        <w:pStyle w:val="Body"/>
      </w:pPr>
    </w:p>
    <w:p w:rsidR="00660414" w:rsidRDefault="00660414" w:rsidP="00660414">
      <w:pPr>
        <w:pStyle w:val="Caption"/>
        <w:rPr>
          <w:b/>
          <w:sz w:val="22"/>
          <w:szCs w:val="22"/>
        </w:rPr>
      </w:pP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31</w:t>
      </w:r>
      <w:r w:rsidRPr="001F5936">
        <w:rPr>
          <w:b/>
          <w:sz w:val="22"/>
          <w:szCs w:val="22"/>
        </w:rPr>
        <w:fldChar w:fldCharType="end"/>
      </w:r>
      <w:r w:rsidRPr="001F5936">
        <w:rPr>
          <w:b/>
          <w:sz w:val="22"/>
          <w:szCs w:val="22"/>
        </w:rPr>
        <w:t>:</w:t>
      </w:r>
      <w:r>
        <w:rPr>
          <w:b/>
          <w:sz w:val="22"/>
          <w:szCs w:val="22"/>
        </w:rPr>
        <w:t xml:space="preserve"> Summary of Results (DS05A)</w:t>
      </w:r>
    </w:p>
    <w:tbl>
      <w:tblPr>
        <w:tblW w:w="33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2162"/>
      </w:tblGrid>
      <w:tr w:rsidR="00660414" w:rsidRPr="000A76BD" w:rsidTr="007613DE">
        <w:trPr>
          <w:cantSplit/>
          <w:tblHeader/>
        </w:trPr>
        <w:tc>
          <w:tcPr>
            <w:tcW w:w="3482"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51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DS05A</w:t>
            </w:r>
          </w:p>
        </w:tc>
      </w:tr>
      <w:tr w:rsidR="00660414" w:rsidRPr="000A76BD" w:rsidTr="007613DE">
        <w:trPr>
          <w:cantSplit/>
        </w:trPr>
        <w:tc>
          <w:tcPr>
            <w:tcW w:w="348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+1,253 (+6%)</w:t>
            </w:r>
          </w:p>
        </w:tc>
      </w:tr>
      <w:tr w:rsidR="00660414" w:rsidRPr="000A76BD" w:rsidTr="007613DE">
        <w:trPr>
          <w:cantSplit/>
        </w:trPr>
        <w:tc>
          <w:tcPr>
            <w:tcW w:w="348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+1,435 (+3%)</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0.5%</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 xml:space="preserve">- </w:t>
            </w:r>
            <w:r>
              <w:rPr>
                <w:rFonts w:cs="Arial"/>
                <w:b/>
                <w:sz w:val="22"/>
                <w:szCs w:val="22"/>
              </w:rPr>
              <w:t>605</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0.01</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- 11.</w:t>
            </w:r>
            <w:r>
              <w:rPr>
                <w:rFonts w:cs="Arial"/>
                <w:b/>
                <w:sz w:val="22"/>
                <w:szCs w:val="22"/>
              </w:rPr>
              <w:t>32</w:t>
            </w:r>
            <w:r w:rsidRPr="00804F1B">
              <w:rPr>
                <w:rFonts w:cs="Arial"/>
                <w:b/>
                <w:sz w:val="22"/>
                <w:szCs w:val="22"/>
              </w:rPr>
              <w:t>%</w:t>
            </w:r>
          </w:p>
        </w:tc>
      </w:tr>
      <w:tr w:rsidR="00660414" w:rsidRPr="000A76BD" w:rsidTr="007613DE">
        <w:trPr>
          <w:cantSplit/>
        </w:trPr>
        <w:tc>
          <w:tcPr>
            <w:tcW w:w="348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51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320</w:t>
            </w:r>
          </w:p>
        </w:tc>
      </w:tr>
      <w:tr w:rsidR="00660414" w:rsidRPr="000A76BD" w:rsidTr="007613DE">
        <w:trPr>
          <w:cantSplit/>
        </w:trPr>
        <w:tc>
          <w:tcPr>
            <w:tcW w:w="348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51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5.50 and 5.51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5615028" wp14:editId="714CD915">
            <wp:extent cx="5645583" cy="3960000"/>
            <wp:effectExtent l="0" t="0" r="0" b="2540"/>
            <wp:docPr id="519" name="Picture 519" descr="F:\Projects\Transport Planning - Romania UK GTMP\PUBLIC TRANSPORT\Rail\04_Plots\Rail_results\output\DS05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Rail_results\output\DS05A_2030_change_pass.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50</w:t>
      </w:r>
      <w:r w:rsidRPr="0075501B">
        <w:rPr>
          <w:b/>
          <w:sz w:val="22"/>
          <w:szCs w:val="22"/>
        </w:rPr>
        <w:fldChar w:fldCharType="end"/>
      </w:r>
      <w:r>
        <w:rPr>
          <w:b/>
          <w:sz w:val="22"/>
          <w:szCs w:val="22"/>
        </w:rPr>
        <w:t>: Change in Passenger Demand (DS05A)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This project leads to a</w:t>
      </w:r>
      <w:r>
        <w:rPr>
          <w:rFonts w:cs="Arial"/>
          <w:sz w:val="22"/>
          <w:szCs w:val="22"/>
        </w:rPr>
        <w:t xml:space="preserve">n </w:t>
      </w:r>
      <w:r w:rsidRPr="00804F1B">
        <w:rPr>
          <w:rFonts w:cs="Arial"/>
          <w:sz w:val="22"/>
          <w:szCs w:val="22"/>
        </w:rPr>
        <w:t xml:space="preserve">increase in passenger traffic travelling between Bucharest and the Pitesti / Ramnicu Valcea / Sibiu area. Patronage between Bucharest and Pitesti grows by 130%, whilst traffic </w:t>
      </w:r>
      <w:r>
        <w:rPr>
          <w:rFonts w:cs="Arial"/>
          <w:sz w:val="22"/>
          <w:szCs w:val="22"/>
        </w:rPr>
        <w:t>w</w:t>
      </w:r>
      <w:r w:rsidRPr="00804F1B">
        <w:rPr>
          <w:rFonts w:cs="Arial"/>
          <w:sz w:val="22"/>
          <w:szCs w:val="22"/>
        </w:rPr>
        <w:t xml:space="preserve">est of Pitesti </w:t>
      </w:r>
      <w:r>
        <w:rPr>
          <w:rFonts w:cs="Arial"/>
          <w:sz w:val="22"/>
          <w:szCs w:val="22"/>
        </w:rPr>
        <w:t>rises by u</w:t>
      </w:r>
      <w:r w:rsidRPr="00804F1B">
        <w:rPr>
          <w:rFonts w:cs="Arial"/>
          <w:sz w:val="22"/>
          <w:szCs w:val="22"/>
        </w:rPr>
        <w:t>p to 10</w:t>
      </w:r>
      <w:r>
        <w:rPr>
          <w:rFonts w:cs="Arial"/>
          <w:sz w:val="22"/>
          <w:szCs w:val="22"/>
        </w:rPr>
        <w:t>-</w:t>
      </w:r>
      <w:r w:rsidRPr="00804F1B">
        <w:rPr>
          <w:rFonts w:cs="Arial"/>
          <w:sz w:val="22"/>
          <w:szCs w:val="22"/>
        </w:rPr>
        <w:t xml:space="preserve">15 times </w:t>
      </w:r>
      <w:r>
        <w:rPr>
          <w:rFonts w:cs="Arial"/>
          <w:sz w:val="22"/>
          <w:szCs w:val="22"/>
        </w:rPr>
        <w:t>compared with t</w:t>
      </w:r>
      <w:r w:rsidRPr="00804F1B">
        <w:rPr>
          <w:rFonts w:cs="Arial"/>
          <w:sz w:val="22"/>
          <w:szCs w:val="22"/>
        </w:rPr>
        <w:t xml:space="preserve">he Reference scenario. Traffic on routes parallel to the upgraded corridor is expected to fall slightly as </w:t>
      </w:r>
      <w:r>
        <w:rPr>
          <w:rFonts w:cs="Arial"/>
          <w:sz w:val="22"/>
          <w:szCs w:val="22"/>
        </w:rPr>
        <w:t>demand is abstracted from o</w:t>
      </w:r>
      <w:r w:rsidRPr="00804F1B">
        <w:rPr>
          <w:rFonts w:cs="Arial"/>
          <w:sz w:val="22"/>
          <w:szCs w:val="22"/>
        </w:rPr>
        <w:t>the</w:t>
      </w:r>
      <w:r>
        <w:rPr>
          <w:rFonts w:cs="Arial"/>
          <w:sz w:val="22"/>
          <w:szCs w:val="22"/>
        </w:rPr>
        <w:t xml:space="preserve">r parallel corridors. </w:t>
      </w:r>
      <w:r w:rsidRPr="00804F1B">
        <w:rPr>
          <w:rFonts w:cs="Arial"/>
          <w:sz w:val="22"/>
          <w:szCs w:val="22"/>
        </w:rPr>
        <w:t xml:space="preserve"> </w:t>
      </w:r>
    </w:p>
    <w:p w:rsidR="00660414" w:rsidRDefault="00660414" w:rsidP="00660414">
      <w:pPr>
        <w:spacing w:line="276" w:lineRule="auto"/>
        <w:jc w:val="both"/>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C30F091" wp14:editId="6C89C0C4">
            <wp:extent cx="5627009" cy="3960000"/>
            <wp:effectExtent l="0" t="0" r="0" b="2540"/>
            <wp:docPr id="520" name="Picture 520" descr="F:\Projects\Transport Planning - Romania UK GTMP\PUBLIC TRANSPORT\Rail\04_Plots\Rail_results\output\DS05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jects\Transport Planning - Romania UK GTMP\PUBLIC TRANSPORT\Rail\04_Plots\Rail_results\output\DS05A_2030_change_freight.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51</w:t>
      </w:r>
      <w:r w:rsidRPr="0075501B">
        <w:rPr>
          <w:b/>
          <w:sz w:val="22"/>
          <w:szCs w:val="22"/>
        </w:rPr>
        <w:fldChar w:fldCharType="end"/>
      </w:r>
      <w:r>
        <w:rPr>
          <w:b/>
          <w:sz w:val="22"/>
          <w:szCs w:val="22"/>
        </w:rPr>
        <w:t>: Change in Freight Demand (DS05A)</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The new link constructed attracts significant freight traffic </w:t>
      </w:r>
      <w:r>
        <w:rPr>
          <w:rFonts w:cs="Arial"/>
          <w:sz w:val="22"/>
          <w:szCs w:val="22"/>
        </w:rPr>
        <w:t xml:space="preserve">since it </w:t>
      </w:r>
      <w:r w:rsidRPr="00804F1B">
        <w:rPr>
          <w:rFonts w:cs="Arial"/>
          <w:sz w:val="22"/>
          <w:szCs w:val="22"/>
        </w:rPr>
        <w:t xml:space="preserve">becomes the more direct route between Bucharest and </w:t>
      </w:r>
      <w:r>
        <w:rPr>
          <w:rFonts w:cs="Arial"/>
          <w:sz w:val="22"/>
          <w:szCs w:val="22"/>
        </w:rPr>
        <w:t>central Romania. F</w:t>
      </w:r>
      <w:r w:rsidRPr="00804F1B">
        <w:rPr>
          <w:rFonts w:cs="Arial"/>
          <w:sz w:val="22"/>
          <w:szCs w:val="22"/>
        </w:rPr>
        <w:t>reight demand on the section Bucharest to Pitesti grows sharply by about +320%</w:t>
      </w:r>
      <w:r>
        <w:rPr>
          <w:rFonts w:cs="Arial"/>
          <w:sz w:val="22"/>
          <w:szCs w:val="22"/>
        </w:rPr>
        <w:t xml:space="preserve"> at the expense of the Brasov corridor.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170C2E">
      <w:pPr>
        <w:spacing w:line="276" w:lineRule="auto"/>
        <w:jc w:val="both"/>
        <w:rPr>
          <w:rFonts w:cs="Arial"/>
          <w:sz w:val="22"/>
          <w:szCs w:val="22"/>
        </w:rPr>
      </w:pPr>
      <w:r w:rsidRPr="00804F1B">
        <w:rPr>
          <w:rFonts w:cs="Arial"/>
          <w:sz w:val="22"/>
          <w:szCs w:val="22"/>
        </w:rPr>
        <w:t>It has been estimated that the project could be implemented by 2020 if funding is secured.</w:t>
      </w:r>
    </w:p>
    <w:p w:rsidR="00660414" w:rsidRPr="00170C2E" w:rsidRDefault="00660414" w:rsidP="00170C2E">
      <w:pPr>
        <w:pStyle w:val="Hdg3"/>
        <w:ind w:left="851"/>
      </w:pPr>
      <w:r w:rsidRPr="00804F1B">
        <w:rPr>
          <w:rFonts w:cs="Arial"/>
        </w:rPr>
        <w:br w:type="page"/>
      </w:r>
      <w:r w:rsidRPr="008C5B1B">
        <w:t>Line Bucharest – Pitesti to design speed, new link Videle - Ramnicu Valcea and line electrification (Test DS05B)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after="60" w:line="276" w:lineRule="auto"/>
              <w:jc w:val="both"/>
              <w:rPr>
                <w:rFonts w:cs="Arial"/>
                <w:sz w:val="22"/>
                <w:szCs w:val="22"/>
              </w:rPr>
            </w:pPr>
            <w:r w:rsidRPr="00804F1B">
              <w:rPr>
                <w:rFonts w:cs="Arial"/>
                <w:sz w:val="22"/>
                <w:szCs w:val="22"/>
              </w:rPr>
              <w:t>Upgrade programme for</w:t>
            </w:r>
            <w:r w:rsidRPr="00804F1B">
              <w:rPr>
                <w:rFonts w:cs="Arial"/>
                <w:sz w:val="22"/>
                <w:szCs w:val="22"/>
              </w:rPr>
              <w:tab/>
              <w:t xml:space="preserve"> the line Bucharest to Pitesti to design speed and new rail link between Videle and Ramnicu Valcea, this project includes 4 local stations on the new link. Passenger services on this test are extended to Ramnicu Valcea and Sibiu. This project includes: </w:t>
            </w:r>
          </w:p>
          <w:p w:rsidR="00660414" w:rsidRPr="000A76BD" w:rsidRDefault="00660414" w:rsidP="00273D5E">
            <w:pPr>
              <w:pStyle w:val="BulletLevel1"/>
              <w:numPr>
                <w:ilvl w:val="0"/>
                <w:numId w:val="60"/>
              </w:numPr>
            </w:pPr>
            <w:r w:rsidRPr="00804F1B">
              <w:t xml:space="preserve">Rehabilitation to design speed of corridor 901 between Bucharest and Pitesti. </w:t>
            </w:r>
          </w:p>
          <w:p w:rsidR="00660414" w:rsidRPr="000A76BD" w:rsidRDefault="00660414" w:rsidP="00273D5E">
            <w:pPr>
              <w:pStyle w:val="BulletLevel1"/>
              <w:numPr>
                <w:ilvl w:val="0"/>
                <w:numId w:val="60"/>
              </w:numPr>
            </w:pPr>
            <w:r w:rsidRPr="00804F1B">
              <w:t>New rail link between Valcele and Ramnicu Valcea, some infrastructure elements already exist on the line.</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Electrification of the lines: Bucharest to Pitesti, Pitesti to Ramnicu Valcea (via the new link), Ramnicu Valcea to Sibiu, Sibiu to Core Ten-T corridor IV-N (Southwest of Alba Iulia) and corridor 208.</w:t>
            </w:r>
          </w:p>
          <w:p w:rsidR="00660414" w:rsidRPr="000A76BD" w:rsidRDefault="00660414" w:rsidP="00273D5E">
            <w:pPr>
              <w:pStyle w:val="BulletLevel1"/>
              <w:numPr>
                <w:ilvl w:val="0"/>
                <w:numId w:val="60"/>
              </w:numPr>
            </w:pPr>
            <w:r w:rsidRPr="00804F1B">
              <w:t>Improved station facilities at Bucharest Nord, Titu, Gaesti, Pitesti, Valcele, Ramnicu Valcea Nord, Talmaciu and Sibiu.</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Bucharest to Ramnicu Valcea (0.5 tph), Bucharest to Sibiu via Pitesti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68BF5DB1" wp14:editId="107A2C97">
            <wp:extent cx="5607681" cy="3960000"/>
            <wp:effectExtent l="0" t="0" r="0" b="2540"/>
            <wp:docPr id="521" name="Picture 521" descr="F:\Projects\Transport Planning - Romania UK GTMP\PUBLIC TRANSPORT\Rail\04_Plots\Do_Somthing_schemes\outputs\DoSomethingSchemes_DS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Do_Somthing_schemes\outputs\DoSomethingSchemes_DS05B.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52</w:t>
      </w:r>
      <w:r w:rsidRPr="008C7A83">
        <w:rPr>
          <w:b/>
          <w:sz w:val="22"/>
          <w:szCs w:val="22"/>
        </w:rPr>
        <w:fldChar w:fldCharType="end"/>
      </w:r>
      <w:r w:rsidRPr="008C7A83">
        <w:rPr>
          <w:b/>
          <w:sz w:val="22"/>
          <w:szCs w:val="22"/>
        </w:rPr>
        <w:t>:</w:t>
      </w:r>
      <w:r>
        <w:rPr>
          <w:b/>
          <w:sz w:val="22"/>
          <w:szCs w:val="22"/>
        </w:rPr>
        <w:t xml:space="preserve"> Description of Service Proposals (DS05B)</w:t>
      </w:r>
    </w:p>
    <w:p w:rsidR="00660414" w:rsidRDefault="00660414" w:rsidP="007613DE">
      <w:pPr>
        <w:rPr>
          <w:i/>
        </w:rPr>
      </w:pPr>
      <w:r>
        <w:rPr>
          <w:i/>
        </w:rPr>
        <w:t>Source: AECOM analysis of outputs from the National Transport Model</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after="60"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between Bucharest and Pitesti.</w:t>
            </w:r>
          </w:p>
          <w:p w:rsidR="00660414" w:rsidRPr="000A76BD" w:rsidRDefault="00660414" w:rsidP="00273D5E">
            <w:pPr>
              <w:pStyle w:val="BulletLevel1"/>
              <w:numPr>
                <w:ilvl w:val="0"/>
                <w:numId w:val="60"/>
              </w:numPr>
            </w:pPr>
            <w:r w:rsidRPr="00804F1B">
              <w:t>Poor rail connectivity of passenger trains between Bucharest and Ramnicu Valcea / Sibiu</w:t>
            </w:r>
          </w:p>
          <w:p w:rsidR="00660414" w:rsidRPr="000A76BD" w:rsidRDefault="00660414" w:rsidP="00273D5E">
            <w:pPr>
              <w:pStyle w:val="BulletLevel1"/>
              <w:numPr>
                <w:ilvl w:val="0"/>
                <w:numId w:val="60"/>
              </w:numPr>
            </w:pPr>
            <w:r w:rsidRPr="00804F1B">
              <w:t>No direct route available for freight trains travelling from Constanta towards the Northwest and central Europe.</w:t>
            </w:r>
          </w:p>
          <w:p w:rsidR="00660414" w:rsidRPr="000A76BD" w:rsidRDefault="00660414" w:rsidP="00273D5E">
            <w:pPr>
              <w:pStyle w:val="BulletLevel1"/>
              <w:numPr>
                <w:ilvl w:val="0"/>
                <w:numId w:val="60"/>
              </w:numPr>
            </w:pPr>
            <w:r w:rsidRPr="00804F1B">
              <w:t>Delays due to poor infrastructure condition, commercial speeds below design parameters between Chitila and Ghergani.</w:t>
            </w:r>
          </w:p>
          <w:p w:rsidR="00660414" w:rsidRPr="000A76BD" w:rsidRDefault="00660414" w:rsidP="00273D5E">
            <w:pPr>
              <w:pStyle w:val="BulletLevel1"/>
              <w:numPr>
                <w:ilvl w:val="0"/>
                <w:numId w:val="60"/>
              </w:numPr>
            </w:pPr>
            <w:r w:rsidRPr="00804F1B">
              <w:t>Low rail market share on the Bucharest to Pitesti section, rail is not competitive versus road on the corridor, there is a motorway parallel to the rail line.</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0A76BD" w:rsidRDefault="00660414" w:rsidP="00273D5E">
            <w:pPr>
              <w:pStyle w:val="BulletLevel1"/>
              <w:numPr>
                <w:ilvl w:val="0"/>
                <w:numId w:val="60"/>
              </w:numPr>
            </w:pPr>
            <w:r w:rsidRPr="00804F1B">
              <w:t>Limited capacity and obsolete signalling systems.</w:t>
            </w:r>
          </w:p>
          <w:p w:rsidR="00660414" w:rsidRPr="008C5B1B" w:rsidRDefault="00660414" w:rsidP="00273D5E">
            <w:pPr>
              <w:pStyle w:val="BulletLevel1"/>
              <w:numPr>
                <w:ilvl w:val="0"/>
                <w:numId w:val="60"/>
              </w:numPr>
              <w:rPr>
                <w:lang w:val="en-US"/>
              </w:rPr>
            </w:pPr>
            <w:r w:rsidRPr="00804F1B">
              <w:t>Significant local emissions forecast in test DS05A.</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after="60"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32</w:t>
      </w:r>
      <w:r w:rsidRPr="001F5936">
        <w:rPr>
          <w:b/>
          <w:sz w:val="22"/>
          <w:szCs w:val="22"/>
        </w:rPr>
        <w:fldChar w:fldCharType="end"/>
      </w:r>
      <w:r w:rsidRPr="001F5936">
        <w:rPr>
          <w:b/>
          <w:sz w:val="22"/>
          <w:szCs w:val="22"/>
        </w:rPr>
        <w:t>:</w:t>
      </w:r>
      <w:r>
        <w:rPr>
          <w:b/>
          <w:sz w:val="22"/>
          <w:szCs w:val="22"/>
        </w:rPr>
        <w:t xml:space="preserve"> Summary of Infrastructure Costs and Operating Costs (DS05B)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2646"/>
        <w:gridCol w:w="6571"/>
      </w:tblGrid>
      <w:tr w:rsidR="00660414" w:rsidRPr="000A76BD" w:rsidTr="007613DE">
        <w:trPr>
          <w:cantSplit/>
          <w:tblHeader/>
        </w:trPr>
        <w:tc>
          <w:tcPr>
            <w:tcW w:w="61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259"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12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25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1,262</w:t>
            </w:r>
          </w:p>
        </w:tc>
        <w:tc>
          <w:tcPr>
            <w:tcW w:w="3127"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rail link</w:t>
            </w:r>
          </w:p>
          <w:p w:rsidR="00660414" w:rsidRPr="000A76BD" w:rsidRDefault="00660414" w:rsidP="007613DE">
            <w:pPr>
              <w:spacing w:before="120" w:line="276" w:lineRule="auto"/>
              <w:jc w:val="both"/>
              <w:rPr>
                <w:rFonts w:cs="Arial"/>
                <w:sz w:val="22"/>
                <w:szCs w:val="22"/>
              </w:rPr>
            </w:pPr>
            <w:r w:rsidRPr="00804F1B">
              <w:rPr>
                <w:rFonts w:cs="Arial"/>
                <w:sz w:val="22"/>
                <w:szCs w:val="22"/>
              </w:rPr>
              <w:t>Line electrification</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25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622</w:t>
            </w:r>
          </w:p>
        </w:tc>
        <w:tc>
          <w:tcPr>
            <w:tcW w:w="312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jc w:val="both"/>
              <w:rPr>
                <w:rFonts w:cs="Arial"/>
                <w:sz w:val="22"/>
                <w:szCs w:val="22"/>
              </w:rPr>
            </w:pPr>
            <w:r w:rsidRPr="00804F1B">
              <w:rPr>
                <w:rFonts w:cs="Arial"/>
                <w:sz w:val="22"/>
                <w:szCs w:val="22"/>
              </w:rPr>
              <w:t xml:space="preserve">Total </w:t>
            </w:r>
          </w:p>
        </w:tc>
        <w:tc>
          <w:tcPr>
            <w:tcW w:w="125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884</w:t>
            </w:r>
          </w:p>
        </w:tc>
        <w:tc>
          <w:tcPr>
            <w:tcW w:w="312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a good 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w:t>
      </w:r>
      <w:r w:rsidRPr="00804F1B">
        <w:rPr>
          <w:rFonts w:cs="Arial"/>
          <w:sz w:val="22"/>
          <w:szCs w:val="22"/>
        </w:rPr>
        <w:t>1.6</w:t>
      </w:r>
      <w:r>
        <w:rPr>
          <w:rFonts w:cs="Arial"/>
          <w:sz w:val="22"/>
          <w:szCs w:val="22"/>
        </w:rPr>
        <w:t>1. Rail p</w:t>
      </w:r>
      <w:r w:rsidRPr="00804F1B">
        <w:rPr>
          <w:rFonts w:cs="Arial"/>
          <w:sz w:val="22"/>
          <w:szCs w:val="22"/>
        </w:rPr>
        <w:t>assenger and freight traffic</w:t>
      </w:r>
      <w:r>
        <w:rPr>
          <w:rFonts w:cs="Arial"/>
          <w:sz w:val="22"/>
          <w:szCs w:val="22"/>
        </w:rPr>
        <w:t xml:space="preserve"> increases by </w:t>
      </w:r>
      <w:r w:rsidRPr="00804F1B">
        <w:rPr>
          <w:rFonts w:cs="Arial"/>
          <w:sz w:val="22"/>
          <w:szCs w:val="22"/>
        </w:rPr>
        <w:t>6% and 2% respectively over the whole system</w:t>
      </w:r>
      <w:r>
        <w:rPr>
          <w:rFonts w:cs="Arial"/>
          <w:sz w:val="22"/>
          <w:szCs w:val="22"/>
        </w:rPr>
        <w:t xml:space="preserve">. The change in passenger kilometres is comparable to the results shown for Test DS05A. </w:t>
      </w:r>
    </w:p>
    <w:p w:rsidR="00660414" w:rsidRDefault="00660414" w:rsidP="00660414">
      <w: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33</w:t>
      </w:r>
      <w:r w:rsidRPr="001F5936">
        <w:rPr>
          <w:b/>
          <w:sz w:val="22"/>
          <w:szCs w:val="22"/>
        </w:rPr>
        <w:fldChar w:fldCharType="end"/>
      </w:r>
      <w:r w:rsidRPr="001F5936">
        <w:rPr>
          <w:b/>
          <w:sz w:val="22"/>
          <w:szCs w:val="22"/>
        </w:rPr>
        <w:t>:</w:t>
      </w:r>
      <w:r>
        <w:rPr>
          <w:b/>
          <w:sz w:val="22"/>
          <w:szCs w:val="22"/>
        </w:rPr>
        <w:t xml:space="preserve"> Summary of Results</w:t>
      </w:r>
    </w:p>
    <w:tbl>
      <w:tblPr>
        <w:tblW w:w="3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4"/>
        <w:gridCol w:w="2923"/>
      </w:tblGrid>
      <w:tr w:rsidR="00660414" w:rsidRPr="000A76BD" w:rsidTr="007613DE">
        <w:trPr>
          <w:cantSplit/>
          <w:tblHeader/>
        </w:trPr>
        <w:tc>
          <w:tcPr>
            <w:tcW w:w="310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8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DS05B</w:t>
            </w:r>
          </w:p>
        </w:tc>
      </w:tr>
      <w:tr w:rsidR="00660414" w:rsidRPr="000A76BD" w:rsidTr="007613DE">
        <w:trPr>
          <w:cantSplit/>
        </w:trPr>
        <w:tc>
          <w:tcPr>
            <w:tcW w:w="310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+1,238 (+6%)</w:t>
            </w:r>
          </w:p>
        </w:tc>
      </w:tr>
      <w:tr w:rsidR="00660414" w:rsidRPr="000A76BD" w:rsidTr="007613DE">
        <w:trPr>
          <w:cantSplit/>
        </w:trPr>
        <w:tc>
          <w:tcPr>
            <w:tcW w:w="310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+1,358 (+2%)</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659</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1.6</w:t>
            </w:r>
            <w:r>
              <w:rPr>
                <w:rFonts w:cs="Arial"/>
                <w:b/>
                <w:sz w:val="22"/>
                <w:szCs w:val="22"/>
              </w:rPr>
              <w:t>1</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8.</w:t>
            </w:r>
            <w:r>
              <w:rPr>
                <w:rFonts w:cs="Arial"/>
                <w:b/>
                <w:sz w:val="22"/>
                <w:szCs w:val="22"/>
              </w:rPr>
              <w:t>13</w:t>
            </w:r>
            <w:r w:rsidRPr="00804F1B">
              <w:rPr>
                <w:rFonts w:cs="Arial"/>
                <w:b/>
                <w:sz w:val="22"/>
                <w:szCs w:val="22"/>
              </w:rPr>
              <w:t>%</w:t>
            </w:r>
          </w:p>
        </w:tc>
      </w:tr>
      <w:tr w:rsidR="00660414" w:rsidRPr="000A76BD" w:rsidTr="007613DE">
        <w:tc>
          <w:tcPr>
            <w:tcW w:w="31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8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320 (line upgrade)</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520 (electrification)</w:t>
            </w:r>
          </w:p>
        </w:tc>
      </w:tr>
      <w:tr w:rsidR="00660414" w:rsidRPr="000A76BD" w:rsidTr="007613DE">
        <w:tc>
          <w:tcPr>
            <w:tcW w:w="31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8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Figures 5.53 and 5.54</w:t>
      </w:r>
      <w:r w:rsidRPr="00804F1B">
        <w:rPr>
          <w:rFonts w:cs="Arial"/>
          <w:sz w:val="22"/>
          <w:szCs w:val="22"/>
        </w:rPr>
        <w:t xml:space="preserve"> illustrate the forecast changes in passenger and freight traffic for 2030 assuming that the project is in operation from 2020. This project leads to a marked increase in passenger traffic travelling between Bucharest and the Pitesti / Ramnicu Valcea / Sibiu area. Patronage between Bucharest and Pitesti grows by 130%, whilst traffic </w:t>
      </w:r>
      <w:r>
        <w:rPr>
          <w:rFonts w:cs="Arial"/>
          <w:sz w:val="22"/>
          <w:szCs w:val="22"/>
        </w:rPr>
        <w:t>w</w:t>
      </w:r>
      <w:r w:rsidRPr="00804F1B">
        <w:rPr>
          <w:rFonts w:cs="Arial"/>
          <w:sz w:val="22"/>
          <w:szCs w:val="22"/>
        </w:rPr>
        <w:t xml:space="preserve">est of Pitesti </w:t>
      </w:r>
      <w:r>
        <w:rPr>
          <w:rFonts w:cs="Arial"/>
          <w:sz w:val="22"/>
          <w:szCs w:val="22"/>
        </w:rPr>
        <w:t xml:space="preserve">is comparable to the results in test DS05A. Flows via Brasov are </w:t>
      </w:r>
      <w:r w:rsidRPr="00804F1B">
        <w:rPr>
          <w:rFonts w:cs="Arial"/>
          <w:sz w:val="22"/>
          <w:szCs w:val="22"/>
        </w:rPr>
        <w:t xml:space="preserve">expected to </w:t>
      </w:r>
      <w:r>
        <w:rPr>
          <w:rFonts w:cs="Arial"/>
          <w:sz w:val="22"/>
          <w:szCs w:val="22"/>
        </w:rPr>
        <w:t>reduce in response to the more convenient travel opportunities via Pitesti.</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A17B763" wp14:editId="2AE3519E">
            <wp:extent cx="5627009" cy="3960000"/>
            <wp:effectExtent l="0" t="0" r="0" b="2540"/>
            <wp:docPr id="522" name="Picture 522" descr="F:\Projects\Transport Planning - Romania UK GTMP\PUBLIC TRANSPORT\Rail\04_Plots\Rail_results\output\DS05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jects\Transport Planning - Romania UK GTMP\PUBLIC TRANSPORT\Rail\04_Plots\Rail_results\output\DS05B_2030_change_pass.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53</w:t>
      </w:r>
      <w:r w:rsidRPr="0075501B">
        <w:rPr>
          <w:b/>
          <w:sz w:val="22"/>
          <w:szCs w:val="22"/>
        </w:rPr>
        <w:fldChar w:fldCharType="end"/>
      </w:r>
      <w:r>
        <w:rPr>
          <w:b/>
          <w:sz w:val="22"/>
          <w:szCs w:val="22"/>
        </w:rPr>
        <w:t>: Change in Passenger Demand (DS05B)</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DBEEF84" wp14:editId="50F781FB">
            <wp:extent cx="5627009" cy="3960000"/>
            <wp:effectExtent l="0" t="0" r="0" b="2540"/>
            <wp:docPr id="523" name="Picture 523" descr="F:\Projects\Transport Planning - Romania UK GTMP\PUBLIC TRANSPORT\Rail\04_Plots\Rail_results\output\DS05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jects\Transport Planning - Romania UK GTMP\PUBLIC TRANSPORT\Rail\04_Plots\Rail_results\output\DS05B_2030_change_freight.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54</w:t>
      </w:r>
      <w:r w:rsidRPr="0075501B">
        <w:rPr>
          <w:b/>
          <w:sz w:val="22"/>
          <w:szCs w:val="22"/>
        </w:rPr>
        <w:fldChar w:fldCharType="end"/>
      </w:r>
      <w:r>
        <w:rPr>
          <w:b/>
          <w:sz w:val="22"/>
          <w:szCs w:val="22"/>
        </w:rPr>
        <w:t>: Change in Freight Demand (DS05B)</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The new link constructed on this test attracts significant freight traffic to the </w:t>
      </w:r>
      <w:r>
        <w:rPr>
          <w:rFonts w:cs="Arial"/>
          <w:sz w:val="22"/>
          <w:szCs w:val="22"/>
        </w:rPr>
        <w:t xml:space="preserve">new </w:t>
      </w:r>
      <w:r w:rsidRPr="00804F1B">
        <w:rPr>
          <w:rFonts w:cs="Arial"/>
          <w:sz w:val="22"/>
          <w:szCs w:val="22"/>
        </w:rPr>
        <w:t>corridor</w:t>
      </w:r>
      <w:r>
        <w:rPr>
          <w:rFonts w:cs="Arial"/>
          <w:sz w:val="22"/>
          <w:szCs w:val="22"/>
        </w:rPr>
        <w:t xml:space="preserve">. This new link will then </w:t>
      </w:r>
      <w:r w:rsidRPr="00804F1B">
        <w:rPr>
          <w:rFonts w:cs="Arial"/>
          <w:sz w:val="22"/>
          <w:szCs w:val="22"/>
        </w:rPr>
        <w:t xml:space="preserve">become the more direct link between Bucharest and </w:t>
      </w:r>
      <w:r>
        <w:rPr>
          <w:rFonts w:cs="Arial"/>
          <w:sz w:val="22"/>
          <w:szCs w:val="22"/>
        </w:rPr>
        <w:t xml:space="preserve">central Romaia, and this is reflected by the 320% increase in demand between </w:t>
      </w:r>
      <w:r w:rsidRPr="00804F1B">
        <w:rPr>
          <w:rFonts w:cs="Arial"/>
          <w:sz w:val="22"/>
          <w:szCs w:val="22"/>
        </w:rPr>
        <w:t xml:space="preserve">Bucharest </w:t>
      </w:r>
      <w:r>
        <w:rPr>
          <w:rFonts w:cs="Arial"/>
          <w:sz w:val="22"/>
          <w:szCs w:val="22"/>
        </w:rPr>
        <w:t xml:space="preserve">and </w:t>
      </w:r>
      <w:r w:rsidRPr="00804F1B">
        <w:rPr>
          <w:rFonts w:cs="Arial"/>
          <w:sz w:val="22"/>
          <w:szCs w:val="22"/>
        </w:rPr>
        <w:t>Pitesti</w:t>
      </w:r>
      <w:r>
        <w:rPr>
          <w:rFonts w:cs="Arial"/>
          <w:sz w:val="22"/>
          <w:szCs w:val="22"/>
        </w:rPr>
        <w:t xml:space="preserve">.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170C2E">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170C2E">
      <w:pPr>
        <w:spacing w:line="276" w:lineRule="auto"/>
        <w:jc w:val="both"/>
        <w:rPr>
          <w:rFonts w:cs="Arial"/>
          <w:sz w:val="22"/>
          <w:szCs w:val="22"/>
        </w:rPr>
      </w:pPr>
      <w:r w:rsidRPr="00804F1B">
        <w:rPr>
          <w:rFonts w:cs="Arial"/>
          <w:sz w:val="22"/>
          <w:szCs w:val="22"/>
        </w:rPr>
        <w:t>It has been estimated that the project could be implemented by 2020 if funding is secured.</w:t>
      </w:r>
    </w:p>
    <w:p w:rsidR="00660414" w:rsidRDefault="00660414" w:rsidP="00660414">
      <w:pPr>
        <w:rPr>
          <w:rFonts w:cs="Arial"/>
          <w:sz w:val="22"/>
          <w:szCs w:val="22"/>
        </w:rPr>
      </w:pPr>
      <w:r>
        <w:rPr>
          <w:rFonts w:cs="Arial"/>
          <w:sz w:val="22"/>
          <w:szCs w:val="22"/>
        </w:rPr>
        <w:br w:type="page"/>
      </w:r>
    </w:p>
    <w:p w:rsidR="00660414" w:rsidRPr="00170C2E" w:rsidRDefault="00660414" w:rsidP="00170C2E">
      <w:pPr>
        <w:pStyle w:val="Hdg3"/>
        <w:ind w:left="851"/>
      </w:pPr>
      <w:r w:rsidRPr="008C5B1B">
        <w:t>Line Bucharest – Pitesti and Pitesti to Craiova to design speed, new link Videle - Ramnicu Valcea and line electrification (Test DS05C)</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after="60" w:line="276" w:lineRule="auto"/>
              <w:jc w:val="both"/>
              <w:rPr>
                <w:rFonts w:cs="Arial"/>
                <w:sz w:val="22"/>
                <w:szCs w:val="22"/>
              </w:rPr>
            </w:pPr>
            <w:r>
              <w:rPr>
                <w:rFonts w:cs="Arial"/>
                <w:sz w:val="22"/>
                <w:szCs w:val="22"/>
              </w:rPr>
              <w:t>Upgrade programme for t</w:t>
            </w:r>
            <w:r w:rsidRPr="006E166C">
              <w:rPr>
                <w:rFonts w:cs="Arial"/>
                <w:sz w:val="22"/>
                <w:szCs w:val="22"/>
              </w:rPr>
              <w:t xml:space="preserve">the line Bucharest to Pitesti to design speed and new rail link between Videle and Ramnicu Valcea, this project includes </w:t>
            </w:r>
            <w:r>
              <w:rPr>
                <w:rFonts w:cs="Arial"/>
                <w:sz w:val="22"/>
                <w:szCs w:val="22"/>
              </w:rPr>
              <w:t xml:space="preserve">four </w:t>
            </w:r>
            <w:r w:rsidRPr="006E166C">
              <w:rPr>
                <w:rFonts w:cs="Arial"/>
                <w:sz w:val="22"/>
                <w:szCs w:val="22"/>
              </w:rPr>
              <w:t xml:space="preserve">local stations on the new link. Passenger services on this test </w:t>
            </w:r>
            <w:r>
              <w:rPr>
                <w:rFonts w:cs="Arial"/>
                <w:sz w:val="22"/>
                <w:szCs w:val="22"/>
              </w:rPr>
              <w:t xml:space="preserve">will be </w:t>
            </w:r>
            <w:r w:rsidRPr="006E166C">
              <w:rPr>
                <w:rFonts w:cs="Arial"/>
                <w:sz w:val="22"/>
                <w:szCs w:val="22"/>
              </w:rPr>
              <w:t xml:space="preserve">extended to Ramnicu Valcea and Sibiu. This project includes: </w:t>
            </w:r>
          </w:p>
          <w:p w:rsidR="00660414" w:rsidRPr="000A76BD" w:rsidRDefault="00660414" w:rsidP="00273D5E">
            <w:pPr>
              <w:pStyle w:val="BulletLevel1"/>
              <w:numPr>
                <w:ilvl w:val="0"/>
                <w:numId w:val="60"/>
              </w:numPr>
            </w:pPr>
            <w:r w:rsidRPr="006E166C">
              <w:t>Rehabilitation to design speed of corridor 9</w:t>
            </w:r>
            <w:r>
              <w:t>01</w:t>
            </w:r>
            <w:r w:rsidRPr="006E166C">
              <w:t xml:space="preserve">. </w:t>
            </w:r>
          </w:p>
          <w:p w:rsidR="00660414" w:rsidRPr="000A76BD" w:rsidRDefault="00660414" w:rsidP="00273D5E">
            <w:pPr>
              <w:pStyle w:val="BulletLevel1"/>
              <w:numPr>
                <w:ilvl w:val="0"/>
                <w:numId w:val="60"/>
              </w:numPr>
            </w:pPr>
            <w:r w:rsidRPr="006E166C">
              <w:t xml:space="preserve">New rail link between Valcele and Ramnicu Valcea, </w:t>
            </w:r>
            <w:r>
              <w:t xml:space="preserve">although </w:t>
            </w:r>
            <w:r w:rsidRPr="006E166C">
              <w:t>some infrastructure elements already exist on the line.</w:t>
            </w:r>
          </w:p>
          <w:p w:rsidR="00660414" w:rsidRPr="000A76BD" w:rsidRDefault="00660414" w:rsidP="00273D5E">
            <w:pPr>
              <w:pStyle w:val="BulletLevel1"/>
              <w:numPr>
                <w:ilvl w:val="0"/>
                <w:numId w:val="60"/>
              </w:numPr>
            </w:pPr>
            <w:r w:rsidRPr="006E166C">
              <w:t>Steady state maintenance of the core network (baseline assumption for all Do Something tests).</w:t>
            </w:r>
          </w:p>
          <w:p w:rsidR="00660414" w:rsidRPr="000A76BD" w:rsidRDefault="00660414" w:rsidP="00273D5E">
            <w:pPr>
              <w:pStyle w:val="BulletLevel1"/>
              <w:numPr>
                <w:ilvl w:val="0"/>
                <w:numId w:val="60"/>
              </w:numPr>
            </w:pPr>
            <w:r w:rsidRPr="006E166C">
              <w:t>Improved signalling and communication systems to enhance running speeds and increase the corridor’s capacity.</w:t>
            </w:r>
          </w:p>
          <w:p w:rsidR="00660414" w:rsidRPr="000A76BD" w:rsidRDefault="00660414" w:rsidP="00273D5E">
            <w:pPr>
              <w:pStyle w:val="BulletLevel1"/>
              <w:numPr>
                <w:ilvl w:val="0"/>
                <w:numId w:val="60"/>
              </w:numPr>
            </w:pPr>
            <w:r w:rsidRPr="006E166C">
              <w:t>Electrification of the lines</w:t>
            </w:r>
            <w:r>
              <w:t xml:space="preserve"> between B</w:t>
            </w:r>
            <w:r w:rsidRPr="006E166C">
              <w:t xml:space="preserve">ucharest </w:t>
            </w:r>
            <w:r>
              <w:t xml:space="preserve">and </w:t>
            </w:r>
            <w:r w:rsidRPr="006E166C">
              <w:t xml:space="preserve">Pitesti, </w:t>
            </w:r>
            <w:r>
              <w:t xml:space="preserve">plus </w:t>
            </w:r>
            <w:r w:rsidRPr="006E166C">
              <w:t>Pitesti to Ramnicu Valcea (via the new link), Ramnicu Valcea to Sibiu, Sibiu to Core Ten-T corridor IV-N (Southwest of Alba Iulia) and corridor 208.</w:t>
            </w:r>
          </w:p>
          <w:p w:rsidR="00660414" w:rsidRPr="000A76BD" w:rsidRDefault="00660414" w:rsidP="00273D5E">
            <w:pPr>
              <w:pStyle w:val="BulletLevel1"/>
              <w:numPr>
                <w:ilvl w:val="0"/>
                <w:numId w:val="60"/>
              </w:numPr>
            </w:pPr>
            <w:r w:rsidRPr="006E166C">
              <w:t>Improved station facilities at Bucharest Nord, Titu, Gaesti, Pitesti, Valcele, Ramnicu Valcea Nord, Talmaciu and Sibiu.</w:t>
            </w:r>
          </w:p>
          <w:p w:rsidR="00660414" w:rsidRPr="008C5B1B" w:rsidRDefault="00660414" w:rsidP="00273D5E">
            <w:pPr>
              <w:pStyle w:val="BulletLevel1"/>
              <w:numPr>
                <w:ilvl w:val="0"/>
                <w:numId w:val="60"/>
              </w:numPr>
              <w:rPr>
                <w:lang w:val="en-US"/>
              </w:rPr>
            </w:pPr>
            <w:r w:rsidRPr="006E166C">
              <w:t>InterRegio regular interval timetable operated by new rolling stock. The proposed regular interval service pattern is: Bucharest to Ramnicu Valcea (0.5 tph), Bucharest to Sibiu via Pitesti (0.5 tph)</w:t>
            </w:r>
            <w:r>
              <w:t>, Pitesti to Craiova (0.5tph)</w:t>
            </w:r>
            <w:r w:rsidRPr="006E166C">
              <w:t>.</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51E4E9E8" wp14:editId="55EE4A3D">
            <wp:extent cx="5607681" cy="3960000"/>
            <wp:effectExtent l="0" t="0" r="0" b="2540"/>
            <wp:docPr id="524" name="Picture 350" descr="F:\Projects\Transport Planning - Romania UK GTMP\PUBLIC TRANSPORT\Rail\04_Plots\Do_Somthing_schemes\outputs\DoSomethingSchemes_DS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Do_Somthing_schemes\outputs\DoSomethingSchemes_DS05B.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55</w:t>
      </w:r>
      <w:r w:rsidRPr="008C7A83">
        <w:rPr>
          <w:b/>
          <w:sz w:val="22"/>
          <w:szCs w:val="22"/>
        </w:rPr>
        <w:fldChar w:fldCharType="end"/>
      </w:r>
      <w:r w:rsidRPr="008C7A83">
        <w:rPr>
          <w:b/>
          <w:sz w:val="22"/>
          <w:szCs w:val="22"/>
        </w:rPr>
        <w:t>:</w:t>
      </w:r>
      <w:r>
        <w:rPr>
          <w:b/>
          <w:sz w:val="22"/>
          <w:szCs w:val="22"/>
        </w:rPr>
        <w:t xml:space="preserve"> Description of Service Proposals (DS05C)</w:t>
      </w:r>
    </w:p>
    <w:p w:rsidR="00660414" w:rsidRDefault="00660414" w:rsidP="007613DE">
      <w:pPr>
        <w:rPr>
          <w:i/>
        </w:rPr>
      </w:pPr>
      <w:r>
        <w:rPr>
          <w:i/>
        </w:rPr>
        <w:t>Source: AECOM analysis of outputs from the National Transport Model</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after="60" w:line="276" w:lineRule="auto"/>
              <w:jc w:val="both"/>
              <w:rPr>
                <w:rFonts w:cs="Arial"/>
                <w:sz w:val="22"/>
                <w:szCs w:val="22"/>
              </w:rPr>
            </w:pPr>
            <w:r w:rsidRPr="006E166C">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6E166C">
              <w:t>Deteriorated track condition due to underspend in maintenance and renewals. Slow running speeds between Bucharest and Pitesti.</w:t>
            </w:r>
          </w:p>
          <w:p w:rsidR="00660414" w:rsidRPr="000A76BD" w:rsidRDefault="00660414" w:rsidP="00273D5E">
            <w:pPr>
              <w:pStyle w:val="BulletLevel1"/>
              <w:numPr>
                <w:ilvl w:val="0"/>
                <w:numId w:val="60"/>
              </w:numPr>
            </w:pPr>
            <w:r w:rsidRPr="006E166C">
              <w:t>Poor rail connectivity of passenger trains between Bucharest and Ramnicu Valcea / Sibiu</w:t>
            </w:r>
            <w:r>
              <w:t>.</w:t>
            </w:r>
          </w:p>
          <w:p w:rsidR="00660414" w:rsidRPr="000A76BD" w:rsidRDefault="00660414" w:rsidP="00273D5E">
            <w:pPr>
              <w:pStyle w:val="BulletLevel1"/>
              <w:numPr>
                <w:ilvl w:val="0"/>
                <w:numId w:val="60"/>
              </w:numPr>
            </w:pPr>
            <w:r w:rsidRPr="006E166C">
              <w:t>No direct route available for freight trains travelling from Constanta towards the Northwest and central Europe.</w:t>
            </w:r>
          </w:p>
          <w:p w:rsidR="00660414" w:rsidRPr="000A76BD" w:rsidRDefault="00660414" w:rsidP="00273D5E">
            <w:pPr>
              <w:pStyle w:val="BulletLevel1"/>
              <w:numPr>
                <w:ilvl w:val="0"/>
                <w:numId w:val="60"/>
              </w:numPr>
            </w:pPr>
            <w:r w:rsidRPr="006E166C">
              <w:t>Delays due to poor infrastructure condition, commercial speeds below design parameters between Chitila and Ghergani.</w:t>
            </w:r>
          </w:p>
          <w:p w:rsidR="00660414" w:rsidRPr="000A76BD" w:rsidRDefault="00660414" w:rsidP="00273D5E">
            <w:pPr>
              <w:pStyle w:val="BulletLevel1"/>
              <w:numPr>
                <w:ilvl w:val="0"/>
                <w:numId w:val="60"/>
              </w:numPr>
            </w:pPr>
            <w:r w:rsidRPr="006E166C">
              <w:t>Low rail market share on the Bucharest to Pitesti section, rail is not competitive versus road on the corridor, there is a motorway parallel to the rail line.</w:t>
            </w:r>
          </w:p>
          <w:p w:rsidR="00660414" w:rsidRPr="000A76BD" w:rsidRDefault="00660414" w:rsidP="00273D5E">
            <w:pPr>
              <w:pStyle w:val="BulletLevel1"/>
              <w:numPr>
                <w:ilvl w:val="0"/>
                <w:numId w:val="60"/>
              </w:numPr>
            </w:pPr>
            <w:r w:rsidRPr="006E166C">
              <w:t>Poor rolling stock and station facilities condition, country wide issue.</w:t>
            </w:r>
          </w:p>
          <w:p w:rsidR="00660414" w:rsidRPr="000A76BD" w:rsidRDefault="00660414" w:rsidP="00273D5E">
            <w:pPr>
              <w:pStyle w:val="BulletLevel1"/>
              <w:numPr>
                <w:ilvl w:val="0"/>
                <w:numId w:val="60"/>
              </w:numPr>
            </w:pPr>
            <w:r w:rsidRPr="006E166C">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6E166C">
              <w:t>Poor reliability record and inefficient signalling systems, network wide issues.</w:t>
            </w:r>
          </w:p>
          <w:p w:rsidR="00660414" w:rsidRPr="000A76BD" w:rsidRDefault="00660414" w:rsidP="00273D5E">
            <w:pPr>
              <w:pStyle w:val="BulletLevel1"/>
              <w:numPr>
                <w:ilvl w:val="0"/>
                <w:numId w:val="60"/>
              </w:numPr>
            </w:pPr>
            <w:r w:rsidRPr="006E166C">
              <w:t>Limited capacity and obsolete signalling systems.</w:t>
            </w:r>
          </w:p>
          <w:p w:rsidR="00660414" w:rsidRPr="000A76BD" w:rsidRDefault="00660414" w:rsidP="00273D5E">
            <w:pPr>
              <w:pStyle w:val="BulletLevel1"/>
              <w:numPr>
                <w:ilvl w:val="0"/>
                <w:numId w:val="60"/>
              </w:numPr>
            </w:pPr>
            <w:r w:rsidRPr="006E166C">
              <w:t>Significant local emissions forecast in test DS05A.</w:t>
            </w:r>
          </w:p>
          <w:p w:rsidR="00660414" w:rsidRPr="007D404F" w:rsidRDefault="00660414" w:rsidP="007613DE">
            <w:pPr>
              <w:spacing w:after="120" w:line="276" w:lineRule="auto"/>
              <w:contextualSpacing/>
              <w:rPr>
                <w:sz w:val="22"/>
                <w:szCs w:val="22"/>
                <w:lang w:val="en-US"/>
              </w:rPr>
            </w:pP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after="60" w:line="276" w:lineRule="auto"/>
        <w:jc w:val="both"/>
        <w:rPr>
          <w:rFonts w:cs="Arial"/>
          <w:sz w:val="22"/>
          <w:szCs w:val="22"/>
        </w:rPr>
      </w:pPr>
      <w:r w:rsidRPr="006E166C">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34</w:t>
      </w:r>
      <w:r w:rsidRPr="001F5936">
        <w:rPr>
          <w:b/>
          <w:sz w:val="22"/>
          <w:szCs w:val="22"/>
        </w:rPr>
        <w:fldChar w:fldCharType="end"/>
      </w:r>
      <w:r w:rsidRPr="001F5936">
        <w:rPr>
          <w:b/>
          <w:sz w:val="22"/>
          <w:szCs w:val="22"/>
        </w:rPr>
        <w:t>:</w:t>
      </w:r>
      <w:r>
        <w:rPr>
          <w:b/>
          <w:sz w:val="22"/>
          <w:szCs w:val="22"/>
        </w:rPr>
        <w:t xml:space="preserve"> Summary of Infrastructure Costs and Operating Costs (DS05C)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2786"/>
        <w:gridCol w:w="6430"/>
      </w:tblGrid>
      <w:tr w:rsidR="00660414" w:rsidRPr="000A76BD" w:rsidTr="007613DE">
        <w:trPr>
          <w:cantSplit/>
          <w:tblHeader/>
        </w:trPr>
        <w:tc>
          <w:tcPr>
            <w:tcW w:w="61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Item</w:t>
            </w:r>
          </w:p>
        </w:tc>
        <w:tc>
          <w:tcPr>
            <w:tcW w:w="1326" w:type="pct"/>
            <w:shd w:val="clear" w:color="auto" w:fill="C6D9F1"/>
            <w:vAlign w:val="center"/>
          </w:tcPr>
          <w:p w:rsidR="00660414" w:rsidRPr="000A76BD" w:rsidRDefault="00660414" w:rsidP="007613DE">
            <w:pPr>
              <w:spacing w:line="276" w:lineRule="auto"/>
              <w:jc w:val="both"/>
              <w:rPr>
                <w:rFonts w:cs="Arial"/>
                <w:b/>
                <w:bCs/>
                <w:sz w:val="22"/>
                <w:szCs w:val="22"/>
              </w:rPr>
            </w:pPr>
            <w:r w:rsidRPr="006E166C">
              <w:rPr>
                <w:rFonts w:cs="Arial"/>
                <w:b/>
                <w:bCs/>
                <w:sz w:val="22"/>
                <w:szCs w:val="22"/>
              </w:rPr>
              <w:t>Undiscounted costs (Million €, 2014 prices)</w:t>
            </w:r>
          </w:p>
        </w:tc>
        <w:tc>
          <w:tcPr>
            <w:tcW w:w="306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Description of improvements included</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CAPEX </w:t>
            </w:r>
          </w:p>
        </w:tc>
        <w:tc>
          <w:tcPr>
            <w:tcW w:w="132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1,542</w:t>
            </w:r>
          </w:p>
        </w:tc>
        <w:tc>
          <w:tcPr>
            <w:tcW w:w="3060" w:type="pct"/>
            <w:shd w:val="clear" w:color="auto" w:fill="auto"/>
          </w:tcPr>
          <w:p w:rsidR="00660414" w:rsidRPr="000A76BD" w:rsidRDefault="00660414" w:rsidP="007613DE">
            <w:pPr>
              <w:spacing w:before="120" w:line="276" w:lineRule="auto"/>
              <w:jc w:val="both"/>
              <w:rPr>
                <w:rFonts w:cs="Arial"/>
                <w:sz w:val="22"/>
                <w:szCs w:val="22"/>
              </w:rPr>
            </w:pPr>
            <w:r w:rsidRPr="006E166C">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6E166C">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6E166C">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6E166C">
              <w:rPr>
                <w:rFonts w:cs="Arial"/>
                <w:sz w:val="22"/>
                <w:szCs w:val="22"/>
              </w:rPr>
              <w:t>New rail link</w:t>
            </w:r>
          </w:p>
          <w:p w:rsidR="00660414" w:rsidRPr="000A76BD" w:rsidRDefault="00660414" w:rsidP="007613DE">
            <w:pPr>
              <w:spacing w:before="120" w:line="276" w:lineRule="auto"/>
              <w:jc w:val="both"/>
              <w:rPr>
                <w:rFonts w:cs="Arial"/>
                <w:sz w:val="22"/>
                <w:szCs w:val="22"/>
              </w:rPr>
            </w:pPr>
            <w:r w:rsidRPr="006E166C">
              <w:rPr>
                <w:rFonts w:cs="Arial"/>
                <w:sz w:val="22"/>
                <w:szCs w:val="22"/>
              </w:rPr>
              <w:t>Line electrification</w:t>
            </w:r>
          </w:p>
          <w:p w:rsidR="00660414" w:rsidRPr="000A76BD" w:rsidRDefault="00660414" w:rsidP="007613DE">
            <w:pPr>
              <w:spacing w:before="120" w:line="276" w:lineRule="auto"/>
              <w:jc w:val="both"/>
              <w:rPr>
                <w:rFonts w:cs="Arial"/>
                <w:sz w:val="22"/>
                <w:szCs w:val="22"/>
              </w:rPr>
            </w:pPr>
            <w:r w:rsidRPr="006E166C">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6E166C">
              <w:rPr>
                <w:rFonts w:cs="Arial"/>
                <w:sz w:val="22"/>
                <w:szCs w:val="22"/>
              </w:rPr>
              <w:t>Improved station facilities</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OPEX </w:t>
            </w:r>
          </w:p>
        </w:tc>
        <w:tc>
          <w:tcPr>
            <w:tcW w:w="132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1,710</w:t>
            </w:r>
          </w:p>
        </w:tc>
        <w:tc>
          <w:tcPr>
            <w:tcW w:w="306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Additional train operating costs </w:t>
            </w:r>
          </w:p>
        </w:tc>
      </w:tr>
      <w:tr w:rsidR="00660414" w:rsidRPr="000A76BD" w:rsidTr="007613DE">
        <w:trPr>
          <w:cantSplit/>
        </w:trPr>
        <w:tc>
          <w:tcPr>
            <w:tcW w:w="6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Total </w:t>
            </w:r>
          </w:p>
        </w:tc>
        <w:tc>
          <w:tcPr>
            <w:tcW w:w="132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3,252</w:t>
            </w:r>
          </w:p>
        </w:tc>
        <w:tc>
          <w:tcPr>
            <w:tcW w:w="306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6E166C">
        <w:rPr>
          <w:rFonts w:cs="Arial"/>
          <w:sz w:val="22"/>
          <w:szCs w:val="22"/>
        </w:rPr>
        <w:t>This intervention returns a good value for money</w:t>
      </w:r>
      <w:r>
        <w:rPr>
          <w:rFonts w:cs="Arial"/>
          <w:sz w:val="22"/>
          <w:szCs w:val="22"/>
        </w:rPr>
        <w:t xml:space="preserve"> with a </w:t>
      </w:r>
      <w:r w:rsidRPr="006E166C">
        <w:rPr>
          <w:rFonts w:cs="Arial"/>
          <w:sz w:val="22"/>
          <w:szCs w:val="22"/>
        </w:rPr>
        <w:t xml:space="preserve">BCR </w:t>
      </w:r>
      <w:r>
        <w:rPr>
          <w:rFonts w:cs="Arial"/>
          <w:sz w:val="22"/>
          <w:szCs w:val="22"/>
        </w:rPr>
        <w:t xml:space="preserve">of </w:t>
      </w:r>
      <w:r w:rsidRPr="006E166C">
        <w:rPr>
          <w:rFonts w:cs="Arial"/>
          <w:sz w:val="22"/>
          <w:szCs w:val="22"/>
        </w:rPr>
        <w:t>1.</w:t>
      </w:r>
      <w:r>
        <w:rPr>
          <w:rFonts w:cs="Arial"/>
          <w:sz w:val="22"/>
          <w:szCs w:val="22"/>
        </w:rPr>
        <w:t>23</w:t>
      </w:r>
      <w:r w:rsidRPr="006E166C">
        <w:rPr>
          <w:rFonts w:cs="Arial"/>
          <w:sz w:val="22"/>
          <w:szCs w:val="22"/>
        </w:rPr>
        <w:t xml:space="preserve">, </w:t>
      </w:r>
      <w:r>
        <w:rPr>
          <w:rFonts w:cs="Arial"/>
          <w:sz w:val="22"/>
          <w:szCs w:val="22"/>
        </w:rPr>
        <w:t xml:space="preserve">with </w:t>
      </w:r>
      <w:r w:rsidRPr="006E166C">
        <w:rPr>
          <w:rFonts w:cs="Arial"/>
          <w:sz w:val="22"/>
          <w:szCs w:val="22"/>
        </w:rPr>
        <w:t xml:space="preserve">a </w:t>
      </w:r>
      <w:r>
        <w:rPr>
          <w:rFonts w:cs="Arial"/>
          <w:sz w:val="22"/>
          <w:szCs w:val="22"/>
        </w:rPr>
        <w:t xml:space="preserve">7% and 4% </w:t>
      </w:r>
      <w:r w:rsidRPr="006E166C">
        <w:rPr>
          <w:rFonts w:cs="Arial"/>
          <w:sz w:val="22"/>
          <w:szCs w:val="22"/>
        </w:rPr>
        <w:t>increase in rail passenger and freight traffic</w:t>
      </w:r>
      <w:r>
        <w:rPr>
          <w:rFonts w:cs="Arial"/>
          <w:sz w:val="22"/>
          <w:szCs w:val="22"/>
        </w:rPr>
        <w:t xml:space="preserve"> </w:t>
      </w:r>
      <w:r w:rsidRPr="006E166C">
        <w:rPr>
          <w:rFonts w:cs="Arial"/>
          <w:sz w:val="22"/>
          <w:szCs w:val="22"/>
        </w:rPr>
        <w:t>respectively</w:t>
      </w:r>
      <w:r>
        <w:rPr>
          <w:rFonts w:cs="Arial"/>
          <w:sz w:val="22"/>
          <w:szCs w:val="22"/>
        </w:rPr>
        <w:t xml:space="preserve">, as shown in Table 5.35. </w:t>
      </w:r>
    </w:p>
    <w:p w:rsidR="00660414" w:rsidRDefault="00660414" w:rsidP="00660414">
      <w:pPr>
        <w:pStyle w:val="Caption"/>
        <w:rPr>
          <w:b/>
          <w:sz w:val="22"/>
          <w:szCs w:val="22"/>
        </w:rPr>
      </w:pPr>
    </w:p>
    <w:p w:rsidR="00660414" w:rsidRDefault="00660414" w:rsidP="00660414">
      <w:pPr>
        <w:pStyle w:val="Caption"/>
        <w:rPr>
          <w:b/>
          <w:sz w:val="22"/>
          <w:szCs w:val="22"/>
        </w:rPr>
      </w:pP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35</w:t>
      </w:r>
      <w:r w:rsidRPr="001F5936">
        <w:rPr>
          <w:b/>
          <w:sz w:val="22"/>
          <w:szCs w:val="22"/>
        </w:rPr>
        <w:fldChar w:fldCharType="end"/>
      </w:r>
      <w:r w:rsidRPr="001F5936">
        <w:rPr>
          <w:b/>
          <w:sz w:val="22"/>
          <w:szCs w:val="22"/>
        </w:rPr>
        <w:t>:</w:t>
      </w:r>
      <w:r>
        <w:rPr>
          <w:b/>
          <w:sz w:val="22"/>
          <w:szCs w:val="22"/>
        </w:rPr>
        <w:t xml:space="preserve"> Summary of Results (DS05C)</w:t>
      </w:r>
    </w:p>
    <w:tbl>
      <w:tblPr>
        <w:tblW w:w="3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4"/>
        <w:gridCol w:w="2923"/>
      </w:tblGrid>
      <w:tr w:rsidR="00660414" w:rsidRPr="000A76BD" w:rsidTr="007613DE">
        <w:trPr>
          <w:cantSplit/>
          <w:tblHeader/>
        </w:trPr>
        <w:tc>
          <w:tcPr>
            <w:tcW w:w="310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Test code</w:t>
            </w:r>
          </w:p>
        </w:tc>
        <w:tc>
          <w:tcPr>
            <w:tcW w:w="18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DS05</w:t>
            </w:r>
            <w:r>
              <w:rPr>
                <w:rFonts w:cs="Arial"/>
                <w:b/>
                <w:bCs/>
                <w:sz w:val="22"/>
                <w:szCs w:val="22"/>
              </w:rPr>
              <w:t>C</w:t>
            </w:r>
          </w:p>
        </w:tc>
      </w:tr>
      <w:tr w:rsidR="00660414" w:rsidRPr="000A76BD" w:rsidTr="007613DE">
        <w:trPr>
          <w:cantSplit/>
        </w:trPr>
        <w:tc>
          <w:tcPr>
            <w:tcW w:w="310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(1000's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+1,</w:t>
            </w:r>
            <w:r>
              <w:rPr>
                <w:rFonts w:cs="Arial"/>
                <w:sz w:val="22"/>
                <w:szCs w:val="22"/>
              </w:rPr>
              <w:t>580</w:t>
            </w:r>
            <w:r w:rsidRPr="006E166C">
              <w:rPr>
                <w:rFonts w:cs="Arial"/>
                <w:sz w:val="22"/>
                <w:szCs w:val="22"/>
              </w:rPr>
              <w:t xml:space="preserve"> (+</w:t>
            </w:r>
            <w:r>
              <w:rPr>
                <w:rFonts w:cs="Arial"/>
                <w:sz w:val="22"/>
                <w:szCs w:val="22"/>
              </w:rPr>
              <w:t>7</w:t>
            </w:r>
            <w:r w:rsidRPr="006E166C">
              <w:rPr>
                <w:rFonts w:cs="Arial"/>
                <w:sz w:val="22"/>
                <w:szCs w:val="22"/>
              </w:rPr>
              <w:t>%)</w:t>
            </w:r>
          </w:p>
        </w:tc>
      </w:tr>
      <w:tr w:rsidR="00660414" w:rsidRPr="000A76BD" w:rsidTr="007613DE">
        <w:trPr>
          <w:cantSplit/>
        </w:trPr>
        <w:tc>
          <w:tcPr>
            <w:tcW w:w="310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share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Pr>
                <w:rFonts w:cs="Arial"/>
                <w:sz w:val="22"/>
                <w:szCs w:val="22"/>
              </w:rPr>
              <w:t>+</w:t>
            </w:r>
            <w:r w:rsidRPr="006E166C">
              <w:rPr>
                <w:rFonts w:cs="Arial"/>
                <w:sz w:val="22"/>
                <w:szCs w:val="22"/>
              </w:rPr>
              <w:t>0.4%</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Tonne-km (1000,s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+1,358 (+</w:t>
            </w:r>
            <w:r>
              <w:rPr>
                <w:rFonts w:cs="Arial"/>
                <w:sz w:val="22"/>
                <w:szCs w:val="22"/>
              </w:rPr>
              <w:t>4</w:t>
            </w:r>
            <w:r w:rsidRPr="006E166C">
              <w:rPr>
                <w:rFonts w:cs="Arial"/>
                <w:sz w:val="22"/>
                <w:szCs w:val="22"/>
              </w:rPr>
              <w:t>%)</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Tonne-km share (2030)</w:t>
            </w:r>
          </w:p>
        </w:tc>
        <w:tc>
          <w:tcPr>
            <w:tcW w:w="189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Pr>
                <w:rFonts w:cs="Arial"/>
                <w:sz w:val="22"/>
                <w:szCs w:val="22"/>
              </w:rPr>
              <w:t>+</w:t>
            </w:r>
            <w:r w:rsidRPr="006E166C">
              <w:rPr>
                <w:rFonts w:cs="Arial"/>
                <w:sz w:val="22"/>
                <w:szCs w:val="22"/>
              </w:rPr>
              <w:t>0.4%</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NPV € Mill (2014 Prices)</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291</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BCR</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1.</w:t>
            </w:r>
            <w:r>
              <w:rPr>
                <w:rFonts w:cs="Arial"/>
                <w:b/>
                <w:sz w:val="22"/>
                <w:szCs w:val="22"/>
              </w:rPr>
              <w:t>23</w:t>
            </w:r>
          </w:p>
        </w:tc>
      </w:tr>
      <w:tr w:rsidR="00660414" w:rsidRPr="000A76BD" w:rsidTr="007613DE">
        <w:trPr>
          <w:cantSplit/>
        </w:trPr>
        <w:tc>
          <w:tcPr>
            <w:tcW w:w="310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EIRR</w:t>
            </w:r>
          </w:p>
        </w:tc>
        <w:tc>
          <w:tcPr>
            <w:tcW w:w="189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6</w:t>
            </w:r>
            <w:r w:rsidRPr="006E166C">
              <w:rPr>
                <w:rFonts w:cs="Arial"/>
                <w:b/>
                <w:sz w:val="22"/>
                <w:szCs w:val="22"/>
              </w:rPr>
              <w:t>.</w:t>
            </w:r>
            <w:r>
              <w:rPr>
                <w:rFonts w:cs="Arial"/>
                <w:b/>
                <w:sz w:val="22"/>
                <w:szCs w:val="22"/>
              </w:rPr>
              <w:t>29</w:t>
            </w:r>
            <w:r w:rsidRPr="006E166C">
              <w:rPr>
                <w:rFonts w:cs="Arial"/>
                <w:b/>
                <w:sz w:val="22"/>
                <w:szCs w:val="22"/>
              </w:rPr>
              <w:t>%</w:t>
            </w:r>
          </w:p>
        </w:tc>
      </w:tr>
      <w:tr w:rsidR="00660414" w:rsidRPr="000A76BD" w:rsidTr="007613DE">
        <w:tc>
          <w:tcPr>
            <w:tcW w:w="31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Upgraded main line infrastructure (track-km)</w:t>
            </w:r>
          </w:p>
        </w:tc>
        <w:tc>
          <w:tcPr>
            <w:tcW w:w="1899" w:type="pct"/>
            <w:shd w:val="clear" w:color="auto" w:fill="auto"/>
          </w:tcPr>
          <w:p w:rsidR="00660414" w:rsidRPr="000A76BD" w:rsidRDefault="00660414" w:rsidP="007613DE">
            <w:pPr>
              <w:spacing w:before="120" w:line="276" w:lineRule="auto"/>
              <w:ind w:left="720" w:hanging="720"/>
              <w:jc w:val="both"/>
              <w:rPr>
                <w:rFonts w:cs="Arial"/>
                <w:sz w:val="22"/>
                <w:szCs w:val="22"/>
              </w:rPr>
            </w:pPr>
            <w:r>
              <w:rPr>
                <w:rFonts w:cs="Arial"/>
                <w:sz w:val="22"/>
                <w:szCs w:val="22"/>
              </w:rPr>
              <w:t>469</w:t>
            </w:r>
            <w:r w:rsidRPr="006E166C">
              <w:rPr>
                <w:rFonts w:cs="Arial"/>
                <w:sz w:val="22"/>
                <w:szCs w:val="22"/>
              </w:rPr>
              <w:t xml:space="preserve"> (line upgrade)</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520 (electrification)</w:t>
            </w:r>
          </w:p>
        </w:tc>
      </w:tr>
      <w:tr w:rsidR="00660414" w:rsidRPr="000A76BD" w:rsidTr="007613DE">
        <w:tc>
          <w:tcPr>
            <w:tcW w:w="310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Required rolling stock units</w:t>
            </w:r>
          </w:p>
        </w:tc>
        <w:tc>
          <w:tcPr>
            <w:tcW w:w="18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8</w:t>
            </w:r>
          </w:p>
        </w:tc>
      </w:tr>
    </w:tbl>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B722B">
        <w:rPr>
          <w:rFonts w:cs="Arial"/>
          <w:sz w:val="22"/>
          <w:szCs w:val="22"/>
        </w:rPr>
        <w:t>Changes in freight and passenger flows on this test are similar to DS0</w:t>
      </w:r>
      <w:r>
        <w:rPr>
          <w:rFonts w:cs="Arial"/>
          <w:sz w:val="22"/>
          <w:szCs w:val="22"/>
        </w:rPr>
        <w:t>5B</w:t>
      </w:r>
      <w:r w:rsidRPr="008B722B">
        <w:rPr>
          <w:rFonts w:cs="Arial"/>
          <w:sz w:val="22"/>
          <w:szCs w:val="22"/>
        </w:rPr>
        <w:t>.</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6E166C">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340716">
      <w:pPr>
        <w:spacing w:line="276" w:lineRule="auto"/>
        <w:jc w:val="both"/>
        <w:rPr>
          <w:rFonts w:cs="Arial"/>
          <w:sz w:val="22"/>
          <w:szCs w:val="22"/>
        </w:rPr>
      </w:pPr>
      <w:r w:rsidRPr="006E166C">
        <w:rPr>
          <w:rFonts w:cs="Arial"/>
          <w:sz w:val="22"/>
          <w:szCs w:val="22"/>
        </w:rPr>
        <w:t>It has been estimated that the project could be implemented by 2020 if funding is secured.</w:t>
      </w:r>
    </w:p>
    <w:p w:rsidR="00660414" w:rsidRPr="000A76BD" w:rsidRDefault="00660414" w:rsidP="00660414">
      <w:pPr>
        <w:spacing w:line="276" w:lineRule="auto"/>
        <w:jc w:val="both"/>
        <w:rPr>
          <w:rFonts w:cs="Arial"/>
          <w:b/>
          <w:bCs/>
          <w:kern w:val="32"/>
          <w:sz w:val="22"/>
          <w:szCs w:val="22"/>
        </w:rPr>
      </w:pPr>
      <w:r w:rsidRPr="00804F1B">
        <w:rPr>
          <w:rFonts w:cs="Arial"/>
          <w:sz w:val="22"/>
          <w:szCs w:val="22"/>
        </w:rPr>
        <w:br w:type="page"/>
      </w:r>
    </w:p>
    <w:p w:rsidR="00660414" w:rsidRPr="00170C2E" w:rsidRDefault="00660414" w:rsidP="00170C2E">
      <w:pPr>
        <w:pStyle w:val="Hdg3"/>
        <w:ind w:left="851"/>
      </w:pPr>
      <w:r w:rsidRPr="008C5B1B">
        <w:t>Line Cluj-Napoca to Iasi to design speed (Test DS06A)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Upgrade programme for</w:t>
            </w:r>
            <w:r>
              <w:rPr>
                <w:rFonts w:cs="Arial"/>
                <w:sz w:val="22"/>
                <w:szCs w:val="22"/>
              </w:rPr>
              <w:t xml:space="preserve"> </w:t>
            </w:r>
            <w:r w:rsidRPr="00804F1B">
              <w:rPr>
                <w:rFonts w:cs="Arial"/>
                <w:sz w:val="22"/>
                <w:szCs w:val="22"/>
              </w:rPr>
              <w:t xml:space="preserve">the rail line between Cluj-Napoca and Iasi, via Beclean and Suceava. This project includes: </w:t>
            </w:r>
          </w:p>
          <w:p w:rsidR="00660414" w:rsidRPr="000A76BD" w:rsidRDefault="00660414" w:rsidP="00273D5E">
            <w:pPr>
              <w:pStyle w:val="BulletLevel1"/>
              <w:numPr>
                <w:ilvl w:val="0"/>
                <w:numId w:val="60"/>
              </w:numPr>
            </w:pPr>
            <w:r w:rsidRPr="00804F1B">
              <w:t>Rehabilitation to design speed of: line 300 between Cluj-Napoca and Apahida, line 401 between Apahida and Dej, line 400 between Dej and Beclean, line 401 between Beclean and Ilva Mica, line 502 between Ilva Mica and Suceava, line 500 between Suceava and Pascani and line 606 between Pascani and Iasi.</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Cluj-Napoca, Gherla, Dej Calatori, Beclean pe Somes, Salva, Ilva Mica, Vatra Dornei, Campulung Moldovenesc, Suceava, Veresti, Dolhasca, Pascani, Targu Frumos and Iasi.</w:t>
            </w:r>
          </w:p>
          <w:p w:rsidR="00660414" w:rsidRDefault="00660414" w:rsidP="00273D5E">
            <w:pPr>
              <w:pStyle w:val="BulletLevel1"/>
              <w:numPr>
                <w:ilvl w:val="0"/>
                <w:numId w:val="60"/>
              </w:numPr>
            </w:pPr>
            <w:r w:rsidRPr="00804F1B">
              <w:t>Interregio regular interval timetable operated by new rolling stock. The proposed regular interval service pattern is: Cluj-Napoca to Iasi (0.5 tph).</w:t>
            </w:r>
          </w:p>
          <w:p w:rsidR="00660414" w:rsidRPr="007D404F" w:rsidRDefault="00660414" w:rsidP="007613DE">
            <w:pPr>
              <w:spacing w:after="120" w:line="276" w:lineRule="auto"/>
              <w:contextualSpacing/>
              <w:rPr>
                <w:sz w:val="22"/>
                <w:szCs w:val="22"/>
                <w:lang w:val="en-US"/>
              </w:rPr>
            </w:pP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5EF7B53B" wp14:editId="5FF07D83">
            <wp:extent cx="5645583" cy="3960000"/>
            <wp:effectExtent l="0" t="0" r="0" b="2540"/>
            <wp:docPr id="525" name="Picture 525" descr="F:\Projects\Transport Planning - Romania UK GTMP\PUBLIC TRANSPORT\Rail\04_Plots\Do_Somthing_schemes\outputs\DoSomethingSchemes_DS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jects\Transport Planning - Romania UK GTMP\PUBLIC TRANSPORT\Rail\04_Plots\Do_Somthing_schemes\outputs\DoSomethingSchemes_DS06A.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56</w:t>
      </w:r>
      <w:r w:rsidRPr="008C7A83">
        <w:rPr>
          <w:b/>
          <w:sz w:val="22"/>
          <w:szCs w:val="22"/>
        </w:rPr>
        <w:fldChar w:fldCharType="end"/>
      </w:r>
      <w:r w:rsidRPr="008C7A83">
        <w:rPr>
          <w:b/>
          <w:sz w:val="22"/>
          <w:szCs w:val="22"/>
        </w:rPr>
        <w:t>:</w:t>
      </w:r>
      <w:r>
        <w:rPr>
          <w:b/>
          <w:sz w:val="22"/>
          <w:szCs w:val="22"/>
        </w:rPr>
        <w:t xml:space="preserve"> Summary of Service Proposals (DS06A)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between Cluj-Napoca and Iasi.</w:t>
            </w:r>
          </w:p>
          <w:p w:rsidR="00660414" w:rsidRPr="000A76BD" w:rsidRDefault="00660414" w:rsidP="00273D5E">
            <w:pPr>
              <w:pStyle w:val="BulletLevel1"/>
              <w:numPr>
                <w:ilvl w:val="0"/>
                <w:numId w:val="60"/>
              </w:numPr>
            </w:pPr>
            <w:r w:rsidRPr="00804F1B">
              <w:t>Delays due to poor infrastructure condition and existing speed restrictions, commercial speeds below design parameters on several corridors, for example between Dej Calatori and Beclean.</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36</w:t>
      </w:r>
      <w:r w:rsidRPr="001F5936">
        <w:rPr>
          <w:b/>
          <w:sz w:val="22"/>
          <w:szCs w:val="22"/>
        </w:rPr>
        <w:fldChar w:fldCharType="end"/>
      </w:r>
      <w:r w:rsidRPr="001F5936">
        <w:rPr>
          <w:b/>
          <w:sz w:val="22"/>
          <w:szCs w:val="22"/>
        </w:rPr>
        <w:t>:</w:t>
      </w:r>
      <w:r>
        <w:rPr>
          <w:b/>
          <w:sz w:val="22"/>
          <w:szCs w:val="22"/>
        </w:rPr>
        <w:t xml:space="preserve"> Summary of Infrastructure Costs and Operating Costs (DS06A)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2900"/>
        <w:gridCol w:w="6571"/>
      </w:tblGrid>
      <w:tr w:rsidR="00660414" w:rsidRPr="000A76BD" w:rsidTr="007613DE">
        <w:trPr>
          <w:cantSplit/>
          <w:tblHeader/>
        </w:trPr>
        <w:tc>
          <w:tcPr>
            <w:tcW w:w="49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80"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12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8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w:t>
            </w:r>
            <w:r>
              <w:rPr>
                <w:rFonts w:cs="Arial"/>
                <w:sz w:val="22"/>
                <w:szCs w:val="22"/>
              </w:rPr>
              <w:t>808</w:t>
            </w:r>
          </w:p>
        </w:tc>
        <w:tc>
          <w:tcPr>
            <w:tcW w:w="3127"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8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70</w:t>
            </w:r>
          </w:p>
        </w:tc>
        <w:tc>
          <w:tcPr>
            <w:tcW w:w="312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8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w:t>
            </w:r>
            <w:r>
              <w:rPr>
                <w:rFonts w:cs="Arial"/>
                <w:sz w:val="22"/>
                <w:szCs w:val="22"/>
              </w:rPr>
              <w:t>878</w:t>
            </w:r>
          </w:p>
        </w:tc>
        <w:tc>
          <w:tcPr>
            <w:tcW w:w="312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poor 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just </w:t>
      </w:r>
      <w:r w:rsidRPr="00804F1B">
        <w:rPr>
          <w:rFonts w:cs="Arial"/>
          <w:sz w:val="22"/>
          <w:szCs w:val="22"/>
        </w:rPr>
        <w:t>0.</w:t>
      </w:r>
      <w:r>
        <w:rPr>
          <w:rFonts w:cs="Arial"/>
          <w:sz w:val="22"/>
          <w:szCs w:val="22"/>
        </w:rPr>
        <w:t xml:space="preserve">39. There is a 7% and 5% </w:t>
      </w:r>
      <w:r w:rsidRPr="00804F1B">
        <w:rPr>
          <w:rFonts w:cs="Arial"/>
          <w:sz w:val="22"/>
          <w:szCs w:val="22"/>
        </w:rPr>
        <w:t>increase in rail passenger and freight traffic</w:t>
      </w:r>
      <w:r>
        <w:rPr>
          <w:rFonts w:cs="Arial"/>
          <w:sz w:val="22"/>
          <w:szCs w:val="22"/>
        </w:rPr>
        <w:t xml:space="preserve"> </w:t>
      </w:r>
      <w:r w:rsidRPr="00804F1B">
        <w:rPr>
          <w:rFonts w:cs="Arial"/>
          <w:sz w:val="22"/>
          <w:szCs w:val="22"/>
        </w:rPr>
        <w:t xml:space="preserve">respectively </w:t>
      </w:r>
      <w:r>
        <w:rPr>
          <w:rFonts w:cs="Arial"/>
          <w:sz w:val="22"/>
          <w:szCs w:val="22"/>
        </w:rPr>
        <w:t xml:space="preserve">as shown in Table 5.37. </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37</w:t>
      </w:r>
      <w:r w:rsidRPr="001F5936">
        <w:rPr>
          <w:b/>
          <w:sz w:val="22"/>
          <w:szCs w:val="22"/>
        </w:rPr>
        <w:fldChar w:fldCharType="end"/>
      </w:r>
      <w:r w:rsidRPr="001F5936">
        <w:rPr>
          <w:b/>
          <w:sz w:val="22"/>
          <w:szCs w:val="22"/>
        </w:rPr>
        <w:t>:</w:t>
      </w:r>
      <w:r>
        <w:rPr>
          <w:b/>
          <w:sz w:val="22"/>
          <w:szCs w:val="22"/>
        </w:rPr>
        <w:t xml:space="preserve"> Summary of Results (DS06A)</w:t>
      </w:r>
    </w:p>
    <w:tbl>
      <w:tblPr>
        <w:tblW w:w="34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7"/>
        <w:gridCol w:w="2371"/>
      </w:tblGrid>
      <w:tr w:rsidR="00660414" w:rsidRPr="000A76BD" w:rsidTr="007613DE">
        <w:trPr>
          <w:cantSplit/>
          <w:tblHeader/>
        </w:trPr>
        <w:tc>
          <w:tcPr>
            <w:tcW w:w="334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65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DS06A</w:t>
            </w:r>
          </w:p>
        </w:tc>
      </w:tr>
      <w:tr w:rsidR="00660414" w:rsidRPr="000A76BD" w:rsidTr="007613DE">
        <w:trPr>
          <w:cantSplit/>
        </w:trPr>
        <w:tc>
          <w:tcPr>
            <w:tcW w:w="334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65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+1,390 (+7%)</w:t>
            </w:r>
          </w:p>
        </w:tc>
      </w:tr>
      <w:tr w:rsidR="00660414" w:rsidRPr="000A76BD" w:rsidTr="007613DE">
        <w:trPr>
          <w:cantSplit/>
        </w:trPr>
        <w:tc>
          <w:tcPr>
            <w:tcW w:w="3346"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65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34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65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+1,220 (+3%)</w:t>
            </w:r>
          </w:p>
        </w:tc>
      </w:tr>
      <w:tr w:rsidR="00660414" w:rsidRPr="000A76BD" w:rsidTr="007613DE">
        <w:trPr>
          <w:cantSplit/>
        </w:trPr>
        <w:tc>
          <w:tcPr>
            <w:tcW w:w="334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654"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0.3%</w:t>
            </w:r>
          </w:p>
        </w:tc>
      </w:tr>
      <w:tr w:rsidR="00660414" w:rsidRPr="000A76BD" w:rsidTr="007613DE">
        <w:trPr>
          <w:cantSplit/>
        </w:trPr>
        <w:tc>
          <w:tcPr>
            <w:tcW w:w="334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65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1,183</w:t>
            </w:r>
          </w:p>
        </w:tc>
      </w:tr>
      <w:tr w:rsidR="00660414" w:rsidRPr="000A76BD" w:rsidTr="007613DE">
        <w:trPr>
          <w:cantSplit/>
        </w:trPr>
        <w:tc>
          <w:tcPr>
            <w:tcW w:w="334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65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39</w:t>
            </w:r>
          </w:p>
        </w:tc>
      </w:tr>
      <w:tr w:rsidR="00660414" w:rsidRPr="000A76BD" w:rsidTr="007613DE">
        <w:trPr>
          <w:cantSplit/>
        </w:trPr>
        <w:tc>
          <w:tcPr>
            <w:tcW w:w="3346"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654"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2</w:t>
            </w:r>
            <w:r w:rsidRPr="00804F1B">
              <w:rPr>
                <w:rFonts w:cs="Arial"/>
                <w:b/>
                <w:sz w:val="22"/>
                <w:szCs w:val="22"/>
              </w:rPr>
              <w:t>9%</w:t>
            </w:r>
          </w:p>
        </w:tc>
      </w:tr>
      <w:tr w:rsidR="00660414" w:rsidRPr="000A76BD" w:rsidTr="007613DE">
        <w:tc>
          <w:tcPr>
            <w:tcW w:w="334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65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740</w:t>
            </w:r>
          </w:p>
        </w:tc>
      </w:tr>
      <w:tr w:rsidR="00660414" w:rsidRPr="000A76BD" w:rsidTr="007613DE">
        <w:tc>
          <w:tcPr>
            <w:tcW w:w="334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654"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5.57 and 5.58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8C3DB5F" wp14:editId="1CC3A607">
            <wp:extent cx="5665174" cy="3960000"/>
            <wp:effectExtent l="0" t="0" r="0" b="2540"/>
            <wp:docPr id="543" name="Picture 543" descr="F:\Projects\Transport Planning - Romania UK GTMP\PUBLIC TRANSPORT\Rail\04_Plots\Rail_results\output\DS06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rojects\Transport Planning - Romania UK GTMP\PUBLIC TRANSPORT\Rail\04_Plots\Rail_results\output\DS06A_2030_change_pass.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5665174"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613DE">
        <w:rPr>
          <w:b/>
          <w:sz w:val="22"/>
          <w:szCs w:val="22"/>
          <w:highlight w:val="yellow"/>
        </w:rPr>
        <w:t>Figure 5.</w:t>
      </w:r>
      <w:r w:rsidRPr="007613DE">
        <w:rPr>
          <w:b/>
          <w:sz w:val="22"/>
          <w:szCs w:val="22"/>
          <w:highlight w:val="yellow"/>
        </w:rPr>
        <w:fldChar w:fldCharType="begin"/>
      </w:r>
      <w:r w:rsidRPr="007613DE">
        <w:rPr>
          <w:b/>
          <w:sz w:val="22"/>
          <w:szCs w:val="22"/>
          <w:highlight w:val="yellow"/>
        </w:rPr>
        <w:instrText xml:space="preserve"> SEQ Figure \* ARABIC </w:instrText>
      </w:r>
      <w:r w:rsidRPr="007613DE">
        <w:rPr>
          <w:b/>
          <w:sz w:val="22"/>
          <w:szCs w:val="22"/>
          <w:highlight w:val="yellow"/>
        </w:rPr>
        <w:fldChar w:fldCharType="separate"/>
      </w:r>
      <w:r w:rsidR="00C168ED">
        <w:rPr>
          <w:b/>
          <w:noProof/>
          <w:sz w:val="22"/>
          <w:szCs w:val="22"/>
          <w:highlight w:val="yellow"/>
        </w:rPr>
        <w:t>57</w:t>
      </w:r>
      <w:r w:rsidRPr="007613DE">
        <w:rPr>
          <w:b/>
          <w:sz w:val="22"/>
          <w:szCs w:val="22"/>
          <w:highlight w:val="yellow"/>
        </w:rPr>
        <w:fldChar w:fldCharType="end"/>
      </w:r>
      <w:r w:rsidRPr="007613DE">
        <w:rPr>
          <w:b/>
          <w:sz w:val="22"/>
          <w:szCs w:val="22"/>
          <w:highlight w:val="yellow"/>
        </w:rPr>
        <w:t>:</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Passenger traffic on the upgraded corridor </w:t>
      </w:r>
      <w:r>
        <w:rPr>
          <w:rFonts w:cs="Arial"/>
          <w:sz w:val="22"/>
          <w:szCs w:val="22"/>
        </w:rPr>
        <w:t xml:space="preserve">is </w:t>
      </w:r>
      <w:r w:rsidRPr="00804F1B">
        <w:rPr>
          <w:rFonts w:cs="Arial"/>
          <w:sz w:val="22"/>
          <w:szCs w:val="22"/>
        </w:rPr>
        <w:t xml:space="preserve">forecast to grow significantly, with an average demand increase between Apahida and Dej of 60%, </w:t>
      </w:r>
      <w:r>
        <w:rPr>
          <w:rFonts w:cs="Arial"/>
          <w:sz w:val="22"/>
          <w:szCs w:val="22"/>
        </w:rPr>
        <w:t>7</w:t>
      </w:r>
      <w:r w:rsidRPr="00804F1B">
        <w:rPr>
          <w:rFonts w:cs="Arial"/>
          <w:sz w:val="22"/>
          <w:szCs w:val="22"/>
        </w:rPr>
        <w:t>0% between Ilva Mica and Suceava</w:t>
      </w:r>
      <w:r>
        <w:rPr>
          <w:rFonts w:cs="Arial"/>
          <w:sz w:val="22"/>
          <w:szCs w:val="22"/>
        </w:rPr>
        <w:t xml:space="preserve"> and </w:t>
      </w:r>
      <w:r w:rsidRPr="00804F1B">
        <w:rPr>
          <w:rFonts w:cs="Arial"/>
          <w:sz w:val="22"/>
          <w:szCs w:val="22"/>
        </w:rPr>
        <w:t xml:space="preserve">50% between Suceava and Pascani. Corridors 400 and 501 will see a slight reduction in passenger traffic </w:t>
      </w:r>
      <w:r>
        <w:rPr>
          <w:rFonts w:cs="Arial"/>
          <w:sz w:val="22"/>
          <w:szCs w:val="22"/>
        </w:rPr>
        <w:t xml:space="preserve">with some longer distance passengers abstracted to the more attractive route. </w:t>
      </w:r>
    </w:p>
    <w:p w:rsidR="00660414" w:rsidRDefault="00660414" w:rsidP="00660414">
      <w:pPr>
        <w:rPr>
          <w:rFonts w:cs="Arial"/>
          <w:sz w:val="22"/>
          <w:szCs w:val="22"/>
        </w:rPr>
      </w:pPr>
      <w:r>
        <w:rPr>
          <w:rFonts w:cs="Arial"/>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8C51E35" wp14:editId="5D248B8D">
            <wp:extent cx="5627009" cy="3960000"/>
            <wp:effectExtent l="0" t="0" r="0" b="2540"/>
            <wp:docPr id="544" name="Picture 544" descr="F:\Projects\Transport Planning - Romania UK GTMP\PUBLIC TRANSPORT\Rail\04_Plots\Rail_results\output\DS06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jects\Transport Planning - Romania UK GTMP\PUBLIC TRANSPORT\Rail\04_Plots\Rail_results\output\DS06A_2030_change_freight.jpg"/>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58</w:t>
      </w:r>
      <w:r w:rsidRPr="0075501B">
        <w:rPr>
          <w:b/>
          <w:sz w:val="22"/>
          <w:szCs w:val="22"/>
        </w:rPr>
        <w:fldChar w:fldCharType="end"/>
      </w:r>
      <w:r>
        <w:rPr>
          <w:b/>
          <w:sz w:val="22"/>
          <w:szCs w:val="22"/>
        </w:rPr>
        <w:t>: Change in Passenger Demand (DS06A)</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The most noticeable increase in freight demand </w:t>
      </w:r>
      <w:r>
        <w:rPr>
          <w:rFonts w:cs="Arial"/>
          <w:sz w:val="22"/>
          <w:szCs w:val="22"/>
        </w:rPr>
        <w:t xml:space="preserve">is </w:t>
      </w:r>
      <w:r w:rsidRPr="00804F1B">
        <w:rPr>
          <w:rFonts w:cs="Arial"/>
          <w:sz w:val="22"/>
          <w:szCs w:val="22"/>
        </w:rPr>
        <w:t>between Apahida and Beclean</w:t>
      </w:r>
      <w:r>
        <w:rPr>
          <w:rFonts w:cs="Arial"/>
          <w:sz w:val="22"/>
          <w:szCs w:val="22"/>
        </w:rPr>
        <w:t>. T</w:t>
      </w:r>
      <w:r w:rsidRPr="00804F1B">
        <w:rPr>
          <w:rFonts w:cs="Arial"/>
          <w:sz w:val="22"/>
          <w:szCs w:val="22"/>
        </w:rPr>
        <w:t xml:space="preserve">raffic </w:t>
      </w:r>
      <w:r>
        <w:rPr>
          <w:rFonts w:cs="Arial"/>
          <w:sz w:val="22"/>
          <w:szCs w:val="22"/>
        </w:rPr>
        <w:t xml:space="preserve">via </w:t>
      </w:r>
      <w:r w:rsidRPr="00804F1B">
        <w:rPr>
          <w:rFonts w:cs="Arial"/>
          <w:sz w:val="22"/>
          <w:szCs w:val="22"/>
        </w:rPr>
        <w:t>Gherla rises by almost 5,000 tonnes per day (+115%). Freight traffic also increases sharply on the rest of the upgraded corridor</w:t>
      </w:r>
      <w:r>
        <w:rPr>
          <w:rFonts w:cs="Arial"/>
          <w:sz w:val="22"/>
          <w:szCs w:val="22"/>
        </w:rPr>
        <w:t xml:space="preserve"> with a </w:t>
      </w:r>
      <w:r w:rsidRPr="00804F1B">
        <w:rPr>
          <w:rFonts w:cs="Arial"/>
          <w:sz w:val="22"/>
          <w:szCs w:val="22"/>
        </w:rPr>
        <w:t xml:space="preserve">45% </w:t>
      </w:r>
      <w:r>
        <w:rPr>
          <w:rFonts w:cs="Arial"/>
          <w:sz w:val="22"/>
          <w:szCs w:val="22"/>
        </w:rPr>
        <w:t xml:space="preserve">rise </w:t>
      </w:r>
      <w:r w:rsidRPr="00804F1B">
        <w:rPr>
          <w:rFonts w:cs="Arial"/>
          <w:sz w:val="22"/>
          <w:szCs w:val="22"/>
        </w:rPr>
        <w:t xml:space="preserve">between Floreni and Vatra Dornei, and </w:t>
      </w:r>
      <w:r>
        <w:rPr>
          <w:rFonts w:cs="Arial"/>
          <w:sz w:val="22"/>
          <w:szCs w:val="22"/>
        </w:rPr>
        <w:t xml:space="preserve">a </w:t>
      </w:r>
      <w:r w:rsidRPr="00804F1B">
        <w:rPr>
          <w:rFonts w:cs="Arial"/>
          <w:sz w:val="22"/>
          <w:szCs w:val="22"/>
        </w:rPr>
        <w:t>15% between Veresti and Dolhasca.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2030 if funding is secured.</w:t>
      </w:r>
      <w:r w:rsidRPr="00804F1B">
        <w:rPr>
          <w:rFonts w:cs="Arial"/>
          <w:sz w:val="22"/>
          <w:szCs w:val="22"/>
        </w:rPr>
        <w:br w:type="page"/>
      </w:r>
    </w:p>
    <w:p w:rsidR="00660414" w:rsidRPr="00170C2E" w:rsidRDefault="00660414" w:rsidP="00170C2E">
      <w:pPr>
        <w:pStyle w:val="Hdg3"/>
        <w:ind w:left="851"/>
      </w:pPr>
      <w:r w:rsidRPr="008C5B1B">
        <w:t>Line Cluj-Napoca to Iasi to enhanced speed (Test DS06B)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Upgrade programme fo</w:t>
            </w:r>
            <w:r>
              <w:rPr>
                <w:rFonts w:cs="Arial"/>
                <w:sz w:val="22"/>
                <w:szCs w:val="22"/>
              </w:rPr>
              <w:t>r</w:t>
            </w:r>
            <w:r w:rsidRPr="00804F1B">
              <w:rPr>
                <w:rFonts w:cs="Arial"/>
                <w:sz w:val="22"/>
                <w:szCs w:val="22"/>
              </w:rPr>
              <w:t xml:space="preserve"> the rail line between Cluj-Napoca and Iasi, via Beclean and Suceava. This project includes: </w:t>
            </w:r>
          </w:p>
          <w:p w:rsidR="00660414" w:rsidRPr="000A76BD" w:rsidRDefault="00660414" w:rsidP="00273D5E">
            <w:pPr>
              <w:pStyle w:val="BulletLevel1"/>
              <w:numPr>
                <w:ilvl w:val="0"/>
                <w:numId w:val="60"/>
              </w:numPr>
            </w:pPr>
            <w:r w:rsidRPr="00804F1B">
              <w:t>Rehabilitation to design speed of: line 300 between Cluj-Napoca and Apahida, line 401 between Apahida and Dej, line 400 between Dej and Beclean, line 401 between Beclean and Ilva Mica, line 502 between Ilva Mica and Suceava, line 500 between Suceava and Pascani and line 606 between Pascani and Iasi.</w:t>
            </w:r>
          </w:p>
          <w:p w:rsidR="00660414" w:rsidRPr="000A76BD" w:rsidRDefault="00660414" w:rsidP="00273D5E">
            <w:pPr>
              <w:pStyle w:val="BulletLevel1"/>
              <w:numPr>
                <w:ilvl w:val="0"/>
                <w:numId w:val="60"/>
              </w:numPr>
            </w:pPr>
            <w:r w:rsidRPr="00804F1B">
              <w:t>Rehabilitation to enhanced speed of sections with design speed below 100 km/h on the Cluj-Napoca to Iasi corridor.</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Cluj-Napoca, Gherla, Dej Calatori, Beclean pe Somes, Salva, Ilva Mica, Vatra Dornei, Campulung Moldovenesc, Suceava, Veresti, Dolhasca, Pascani, Targu Frumos and Iasi.</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Cluj-Napoca to Iasi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3DCA55A6" wp14:editId="16449022">
            <wp:extent cx="5627009" cy="3960000"/>
            <wp:effectExtent l="0" t="0" r="0" b="2540"/>
            <wp:docPr id="545" name="Picture 545" descr="F:\Projects\Transport Planning - Romania UK GTMP\PUBLIC TRANSPORT\Rail\04_Plots\Do_Somthing_schemes\outputs\DoSomethingSchemes_DS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jects\Transport Planning - Romania UK GTMP\PUBLIC TRANSPORT\Rail\04_Plots\Do_Somthing_schemes\outputs\DoSomethingSchemes_DS06B.jpg"/>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tabs>
          <w:tab w:val="center" w:pos="5145"/>
        </w:tabs>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59</w:t>
      </w:r>
      <w:r w:rsidRPr="008C7A83">
        <w:rPr>
          <w:b/>
          <w:sz w:val="22"/>
          <w:szCs w:val="22"/>
        </w:rPr>
        <w:fldChar w:fldCharType="end"/>
      </w:r>
      <w:r w:rsidRPr="008C7A83">
        <w:rPr>
          <w:b/>
          <w:sz w:val="22"/>
          <w:szCs w:val="22"/>
        </w:rPr>
        <w:t>:</w:t>
      </w:r>
      <w:r>
        <w:rPr>
          <w:b/>
          <w:sz w:val="22"/>
          <w:szCs w:val="22"/>
        </w:rPr>
        <w:t xml:space="preserve"> Summary of Service Proposals (DS06B)</w:t>
      </w:r>
      <w:r>
        <w:rPr>
          <w:b/>
          <w:sz w:val="22"/>
          <w:szCs w:val="22"/>
        </w:rPr>
        <w:tab/>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between Cluj-Napoca and Iasi.</w:t>
            </w:r>
          </w:p>
          <w:p w:rsidR="00660414" w:rsidRPr="000A76BD" w:rsidRDefault="00660414" w:rsidP="00273D5E">
            <w:pPr>
              <w:pStyle w:val="BulletLevel1"/>
              <w:numPr>
                <w:ilvl w:val="0"/>
                <w:numId w:val="60"/>
              </w:numPr>
            </w:pPr>
            <w:r w:rsidRPr="00804F1B">
              <w:t>Delays due to poor infrastructure condition and existing speed restrictions, commercial speeds below design parameters on several corridors, for example between Dej Calatori and Beclean.</w:t>
            </w:r>
          </w:p>
          <w:p w:rsidR="00660414" w:rsidRPr="000A76BD" w:rsidRDefault="00660414" w:rsidP="00273D5E">
            <w:pPr>
              <w:pStyle w:val="BulletLevel1"/>
              <w:numPr>
                <w:ilvl w:val="0"/>
                <w:numId w:val="60"/>
              </w:numPr>
            </w:pPr>
            <w:r w:rsidRPr="00804F1B">
              <w:t>Low design speeds of some sections on the Cluj-Napoca to Iasi corridor.</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38</w:t>
      </w:r>
      <w:r w:rsidRPr="001F5936">
        <w:rPr>
          <w:b/>
          <w:sz w:val="22"/>
          <w:szCs w:val="22"/>
        </w:rPr>
        <w:fldChar w:fldCharType="end"/>
      </w:r>
      <w:r w:rsidRPr="001F5936">
        <w:rPr>
          <w:b/>
          <w:sz w:val="22"/>
          <w:szCs w:val="22"/>
        </w:rPr>
        <w:t>:</w:t>
      </w:r>
      <w:r>
        <w:rPr>
          <w:b/>
          <w:sz w:val="22"/>
          <w:szCs w:val="22"/>
        </w:rPr>
        <w:t xml:space="preserve"> Summary of Infrastructure Costs and Operating Costs (DS06B)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927"/>
        <w:gridCol w:w="6590"/>
      </w:tblGrid>
      <w:tr w:rsidR="00660414" w:rsidRPr="000A76BD" w:rsidTr="007613DE">
        <w:trPr>
          <w:cantSplit/>
          <w:tblHeader/>
        </w:trPr>
        <w:tc>
          <w:tcPr>
            <w:tcW w:w="47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93" w:type="pct"/>
            <w:shd w:val="clear" w:color="auto" w:fill="C6D9F1"/>
            <w:vAlign w:val="center"/>
          </w:tcPr>
          <w:p w:rsidR="00660414" w:rsidRPr="000A76BD" w:rsidRDefault="00660414" w:rsidP="007613DE">
            <w:pPr>
              <w:spacing w:line="276" w:lineRule="auto"/>
              <w:ind w:left="175"/>
              <w:jc w:val="both"/>
              <w:rPr>
                <w:rFonts w:cs="Arial"/>
                <w:b/>
                <w:bCs/>
                <w:sz w:val="22"/>
                <w:szCs w:val="22"/>
              </w:rPr>
            </w:pPr>
            <w:r w:rsidRPr="00804F1B">
              <w:rPr>
                <w:rFonts w:cs="Arial"/>
                <w:b/>
                <w:bCs/>
                <w:sz w:val="22"/>
                <w:szCs w:val="22"/>
              </w:rPr>
              <w:t>Undiscounted costs (Million €, 2014 prices)</w:t>
            </w:r>
          </w:p>
        </w:tc>
        <w:tc>
          <w:tcPr>
            <w:tcW w:w="3136"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7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3,832</w:t>
            </w:r>
          </w:p>
        </w:tc>
        <w:tc>
          <w:tcPr>
            <w:tcW w:w="3136"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or enhanced design speeds</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7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78</w:t>
            </w:r>
          </w:p>
        </w:tc>
        <w:tc>
          <w:tcPr>
            <w:tcW w:w="313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7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9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3,910</w:t>
            </w:r>
          </w:p>
        </w:tc>
        <w:tc>
          <w:tcPr>
            <w:tcW w:w="3136"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b/>
          <w:sz w:val="22"/>
          <w:szCs w:val="22"/>
        </w:rPr>
      </w:pPr>
      <w:r w:rsidRPr="00804F1B">
        <w:rPr>
          <w:rFonts w:cs="Arial"/>
          <w:sz w:val="22"/>
          <w:szCs w:val="22"/>
        </w:rPr>
        <w:t xml:space="preserve">This intervention returns poor value for money </w:t>
      </w:r>
      <w:r>
        <w:rPr>
          <w:rFonts w:cs="Arial"/>
          <w:sz w:val="22"/>
          <w:szCs w:val="22"/>
        </w:rPr>
        <w:t xml:space="preserve">with a </w:t>
      </w:r>
      <w:r w:rsidRPr="00804F1B">
        <w:rPr>
          <w:rFonts w:cs="Arial"/>
          <w:sz w:val="22"/>
          <w:szCs w:val="22"/>
        </w:rPr>
        <w:t xml:space="preserve">BCR </w:t>
      </w:r>
      <w:r>
        <w:rPr>
          <w:rFonts w:cs="Arial"/>
          <w:sz w:val="22"/>
          <w:szCs w:val="22"/>
        </w:rPr>
        <w:t>of</w:t>
      </w:r>
      <w:r w:rsidRPr="00804F1B">
        <w:rPr>
          <w:rFonts w:cs="Arial"/>
          <w:sz w:val="22"/>
          <w:szCs w:val="22"/>
        </w:rPr>
        <w:t xml:space="preserve"> 0.36</w:t>
      </w:r>
      <w:r>
        <w:rPr>
          <w:rFonts w:cs="Arial"/>
          <w:sz w:val="22"/>
          <w:szCs w:val="22"/>
        </w:rPr>
        <w:t xml:space="preserve">. The proposals would generate a 10% and 3% </w:t>
      </w:r>
      <w:r w:rsidRPr="00804F1B">
        <w:rPr>
          <w:rFonts w:cs="Arial"/>
          <w:sz w:val="22"/>
          <w:szCs w:val="22"/>
        </w:rPr>
        <w:t xml:space="preserve">increase in rail passenger </w:t>
      </w:r>
      <w:r>
        <w:rPr>
          <w:rFonts w:cs="Arial"/>
          <w:sz w:val="22"/>
          <w:szCs w:val="22"/>
        </w:rPr>
        <w:t>a</w:t>
      </w:r>
      <w:r w:rsidRPr="00804F1B">
        <w:rPr>
          <w:rFonts w:cs="Arial"/>
          <w:sz w:val="22"/>
          <w:szCs w:val="22"/>
        </w:rPr>
        <w:t>nd freight traffic</w:t>
      </w:r>
      <w:r>
        <w:rPr>
          <w:rFonts w:cs="Arial"/>
          <w:sz w:val="22"/>
          <w:szCs w:val="22"/>
        </w:rPr>
        <w:t xml:space="preserve"> </w:t>
      </w:r>
      <w:r w:rsidRPr="00804F1B">
        <w:rPr>
          <w:rFonts w:cs="Arial"/>
          <w:sz w:val="22"/>
          <w:szCs w:val="22"/>
        </w:rPr>
        <w:t>respectively</w:t>
      </w:r>
      <w:r>
        <w:rPr>
          <w:rFonts w:cs="Arial"/>
          <w:sz w:val="22"/>
          <w:szCs w:val="22"/>
        </w:rPr>
        <w:t xml:space="preserve"> as shown in Table 5.39.</w:t>
      </w:r>
    </w:p>
    <w:p w:rsidR="00660414" w:rsidRDefault="00660414" w:rsidP="00660414">
      <w:pPr>
        <w:rPr>
          <w:b/>
          <w:sz w:val="22"/>
          <w:szCs w:val="22"/>
        </w:rPr>
      </w:pPr>
      <w:r>
        <w:rPr>
          <w:b/>
          <w:sz w:val="22"/>
          <w:szCs w:val="22"/>
        </w:rPr>
        <w:br w:type="page"/>
      </w:r>
    </w:p>
    <w:p w:rsidR="00660414" w:rsidRPr="008C5B1B" w:rsidRDefault="00660414" w:rsidP="00660414">
      <w:pPr>
        <w:spacing w:line="276" w:lineRule="auto"/>
        <w:jc w:val="both"/>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39</w:t>
      </w:r>
      <w:r w:rsidRPr="001F5936">
        <w:rPr>
          <w:b/>
          <w:sz w:val="22"/>
          <w:szCs w:val="22"/>
        </w:rPr>
        <w:fldChar w:fldCharType="end"/>
      </w:r>
      <w:r w:rsidRPr="001F5936">
        <w:rPr>
          <w:b/>
          <w:sz w:val="22"/>
          <w:szCs w:val="22"/>
        </w:rPr>
        <w:t>:</w:t>
      </w:r>
      <w:r>
        <w:rPr>
          <w:b/>
          <w:sz w:val="22"/>
          <w:szCs w:val="22"/>
        </w:rPr>
        <w:t xml:space="preserve"> Summary of Results (DS06B)</w:t>
      </w:r>
    </w:p>
    <w:tbl>
      <w:tblPr>
        <w:tblW w:w="32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5"/>
        <w:gridCol w:w="2566"/>
      </w:tblGrid>
      <w:tr w:rsidR="00660414" w:rsidRPr="000A76BD" w:rsidTr="007613DE">
        <w:trPr>
          <w:cantSplit/>
          <w:tblHeader/>
        </w:trPr>
        <w:tc>
          <w:tcPr>
            <w:tcW w:w="3105"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Test code</w:t>
            </w:r>
          </w:p>
        </w:tc>
        <w:tc>
          <w:tcPr>
            <w:tcW w:w="1895"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DS06B</w:t>
            </w:r>
          </w:p>
        </w:tc>
      </w:tr>
      <w:tr w:rsidR="00660414" w:rsidRPr="000A76BD" w:rsidTr="007613DE">
        <w:trPr>
          <w:cantSplit/>
        </w:trPr>
        <w:tc>
          <w:tcPr>
            <w:tcW w:w="310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Pass-km (1000's 2030)</w:t>
            </w:r>
          </w:p>
        </w:tc>
        <w:tc>
          <w:tcPr>
            <w:tcW w:w="189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+2,156 (+10%)</w:t>
            </w:r>
          </w:p>
        </w:tc>
      </w:tr>
      <w:tr w:rsidR="00660414" w:rsidRPr="000A76BD" w:rsidTr="007613DE">
        <w:trPr>
          <w:cantSplit/>
        </w:trPr>
        <w:tc>
          <w:tcPr>
            <w:tcW w:w="310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Pass-km share (2030)</w:t>
            </w:r>
          </w:p>
        </w:tc>
        <w:tc>
          <w:tcPr>
            <w:tcW w:w="189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0.6%</w:t>
            </w:r>
          </w:p>
        </w:tc>
      </w:tr>
      <w:tr w:rsidR="00660414" w:rsidRPr="000A76BD" w:rsidTr="007613DE">
        <w:trPr>
          <w:cantSplit/>
        </w:trPr>
        <w:tc>
          <w:tcPr>
            <w:tcW w:w="3105" w:type="pct"/>
            <w:shd w:val="clear" w:color="auto" w:fill="auto"/>
            <w:vAlign w:val="center"/>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in Tonne-km (1000,s 2030)</w:t>
            </w:r>
          </w:p>
        </w:tc>
        <w:tc>
          <w:tcPr>
            <w:tcW w:w="189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+1,22</w:t>
            </w:r>
            <w:r>
              <w:rPr>
                <w:rFonts w:cs="Arial"/>
                <w:sz w:val="22"/>
                <w:szCs w:val="22"/>
              </w:rPr>
              <w:t>0</w:t>
            </w:r>
            <w:r w:rsidRPr="00804F1B">
              <w:rPr>
                <w:rFonts w:cs="Arial"/>
                <w:sz w:val="22"/>
                <w:szCs w:val="22"/>
              </w:rPr>
              <w:t xml:space="preserve"> (+3%)</w:t>
            </w:r>
          </w:p>
        </w:tc>
      </w:tr>
      <w:tr w:rsidR="00660414" w:rsidRPr="000A76BD" w:rsidTr="007613DE">
        <w:trPr>
          <w:cantSplit/>
        </w:trPr>
        <w:tc>
          <w:tcPr>
            <w:tcW w:w="3105" w:type="pct"/>
            <w:shd w:val="clear" w:color="auto" w:fill="auto"/>
            <w:vAlign w:val="center"/>
          </w:tcPr>
          <w:p w:rsidR="00660414" w:rsidRPr="000A76BD" w:rsidRDefault="00660414" w:rsidP="007613DE">
            <w:pPr>
              <w:spacing w:before="120" w:line="276" w:lineRule="auto"/>
              <w:jc w:val="both"/>
              <w:rPr>
                <w:rFonts w:cs="Arial"/>
                <w:sz w:val="22"/>
                <w:szCs w:val="22"/>
              </w:rPr>
            </w:pPr>
            <w:r w:rsidRPr="00804F1B">
              <w:rPr>
                <w:rFonts w:cs="Arial"/>
                <w:sz w:val="22"/>
                <w:szCs w:val="22"/>
              </w:rPr>
              <w:t>Overall inc. Tonne-km share (2030)</w:t>
            </w:r>
          </w:p>
        </w:tc>
        <w:tc>
          <w:tcPr>
            <w:tcW w:w="1895" w:type="pct"/>
            <w:shd w:val="clear" w:color="auto" w:fill="auto"/>
            <w:vAlign w:val="bottom"/>
          </w:tcPr>
          <w:p w:rsidR="00660414" w:rsidRPr="000A76BD" w:rsidRDefault="00660414" w:rsidP="007613DE">
            <w:pPr>
              <w:spacing w:before="120" w:line="276" w:lineRule="auto"/>
              <w:jc w:val="both"/>
              <w:rPr>
                <w:rFonts w:cs="Arial"/>
                <w:sz w:val="22"/>
                <w:szCs w:val="22"/>
              </w:rPr>
            </w:pPr>
            <w:r w:rsidRPr="00804F1B">
              <w:rPr>
                <w:rFonts w:cs="Arial"/>
                <w:sz w:val="22"/>
                <w:szCs w:val="22"/>
              </w:rPr>
              <w:t>0.3%</w:t>
            </w:r>
          </w:p>
        </w:tc>
      </w:tr>
      <w:tr w:rsidR="00660414" w:rsidRPr="000A76BD" w:rsidTr="007613DE">
        <w:trPr>
          <w:cantSplit/>
        </w:trPr>
        <w:tc>
          <w:tcPr>
            <w:tcW w:w="310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NPV € Mill (2014 Prices)</w:t>
            </w:r>
          </w:p>
        </w:tc>
        <w:tc>
          <w:tcPr>
            <w:tcW w:w="189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-1,</w:t>
            </w:r>
            <w:r>
              <w:rPr>
                <w:rFonts w:cs="Arial"/>
                <w:b/>
                <w:sz w:val="22"/>
                <w:szCs w:val="22"/>
              </w:rPr>
              <w:t>740</w:t>
            </w:r>
          </w:p>
        </w:tc>
      </w:tr>
      <w:tr w:rsidR="00660414" w:rsidRPr="000A76BD" w:rsidTr="007613DE">
        <w:trPr>
          <w:cantSplit/>
        </w:trPr>
        <w:tc>
          <w:tcPr>
            <w:tcW w:w="310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BCR</w:t>
            </w:r>
          </w:p>
        </w:tc>
        <w:tc>
          <w:tcPr>
            <w:tcW w:w="189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0.3</w:t>
            </w:r>
            <w:r>
              <w:rPr>
                <w:rFonts w:cs="Arial"/>
                <w:b/>
                <w:sz w:val="22"/>
                <w:szCs w:val="22"/>
              </w:rPr>
              <w:t>5</w:t>
            </w:r>
          </w:p>
        </w:tc>
      </w:tr>
      <w:tr w:rsidR="00660414" w:rsidRPr="000A76BD" w:rsidTr="007613DE">
        <w:trPr>
          <w:cantSplit/>
        </w:trPr>
        <w:tc>
          <w:tcPr>
            <w:tcW w:w="310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EIRR</w:t>
            </w:r>
          </w:p>
        </w:tc>
        <w:tc>
          <w:tcPr>
            <w:tcW w:w="1895" w:type="pct"/>
            <w:shd w:val="clear" w:color="auto" w:fill="auto"/>
            <w:vAlign w:val="center"/>
          </w:tcPr>
          <w:p w:rsidR="00660414" w:rsidRPr="000A76BD" w:rsidRDefault="00660414" w:rsidP="007613DE">
            <w:pPr>
              <w:spacing w:before="120" w:line="276" w:lineRule="auto"/>
              <w:jc w:val="both"/>
              <w:rPr>
                <w:rFonts w:cs="Arial"/>
                <w:b/>
                <w:sz w:val="22"/>
                <w:szCs w:val="22"/>
              </w:rPr>
            </w:pPr>
            <w:r w:rsidRPr="00804F1B">
              <w:rPr>
                <w:rFonts w:cs="Arial"/>
                <w:b/>
                <w:sz w:val="22"/>
                <w:szCs w:val="22"/>
              </w:rPr>
              <w:t>-0.</w:t>
            </w:r>
            <w:r>
              <w:rPr>
                <w:rFonts w:cs="Arial"/>
                <w:b/>
                <w:sz w:val="22"/>
                <w:szCs w:val="22"/>
              </w:rPr>
              <w:t>32</w:t>
            </w:r>
            <w:r w:rsidRPr="00804F1B">
              <w:rPr>
                <w:rFonts w:cs="Arial"/>
                <w:b/>
                <w:sz w:val="22"/>
                <w:szCs w:val="22"/>
              </w:rPr>
              <w:t>%</w:t>
            </w:r>
          </w:p>
        </w:tc>
      </w:tr>
      <w:tr w:rsidR="00660414" w:rsidRPr="000A76BD" w:rsidTr="007613DE">
        <w:tc>
          <w:tcPr>
            <w:tcW w:w="310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Upgraded main line infrastructure (track-km)</w:t>
            </w:r>
          </w:p>
        </w:tc>
        <w:tc>
          <w:tcPr>
            <w:tcW w:w="189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740</w:t>
            </w:r>
          </w:p>
        </w:tc>
      </w:tr>
      <w:tr w:rsidR="00660414" w:rsidRPr="000A76BD" w:rsidTr="007613DE">
        <w:tc>
          <w:tcPr>
            <w:tcW w:w="310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Required rolling stock units</w:t>
            </w:r>
          </w:p>
        </w:tc>
        <w:tc>
          <w:tcPr>
            <w:tcW w:w="189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8</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i/>
          <w:sz w:val="22"/>
          <w:szCs w:val="22"/>
          <w:u w:val="single"/>
        </w:rPr>
      </w:pPr>
      <w:r>
        <w:rPr>
          <w:rFonts w:cs="Arial"/>
          <w:sz w:val="22"/>
          <w:szCs w:val="22"/>
        </w:rPr>
        <w:t xml:space="preserve">Figures 5.61 and 5.62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295F993" wp14:editId="3E945C9C">
            <wp:extent cx="5627009" cy="3960000"/>
            <wp:effectExtent l="0" t="0" r="0" b="2540"/>
            <wp:docPr id="546" name="Picture 546" descr="F:\Projects\Transport Planning - Romania UK GTMP\PUBLIC TRANSPORT\Rail\04_Plots\Rail_results\output\DS06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jects\Transport Planning - Romania UK GTMP\PUBLIC TRANSPORT\Rail\04_Plots\Rail_results\output\DS06B_2030_change_pass.jpg"/>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60</w:t>
      </w:r>
      <w:r w:rsidRPr="0075501B">
        <w:rPr>
          <w:b/>
          <w:sz w:val="22"/>
          <w:szCs w:val="22"/>
        </w:rPr>
        <w:fldChar w:fldCharType="end"/>
      </w:r>
      <w:r>
        <w:rPr>
          <w:b/>
          <w:sz w:val="22"/>
          <w:szCs w:val="22"/>
        </w:rPr>
        <w:t xml:space="preserve">: Change in Passenger Demand (DS06B) </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Passenger traffic on the upgraded corridor </w:t>
      </w:r>
      <w:r>
        <w:rPr>
          <w:rFonts w:cs="Arial"/>
          <w:sz w:val="22"/>
          <w:szCs w:val="22"/>
        </w:rPr>
        <w:t xml:space="preserve">is </w:t>
      </w:r>
      <w:r w:rsidRPr="00804F1B">
        <w:rPr>
          <w:rFonts w:cs="Arial"/>
          <w:sz w:val="22"/>
          <w:szCs w:val="22"/>
        </w:rPr>
        <w:t xml:space="preserve">forecast to grow significantly, with an </w:t>
      </w:r>
      <w:r>
        <w:rPr>
          <w:rFonts w:cs="Arial"/>
          <w:sz w:val="22"/>
          <w:szCs w:val="22"/>
        </w:rPr>
        <w:t>i</w:t>
      </w:r>
      <w:r w:rsidRPr="00804F1B">
        <w:rPr>
          <w:rFonts w:cs="Arial"/>
          <w:sz w:val="22"/>
          <w:szCs w:val="22"/>
        </w:rPr>
        <w:t xml:space="preserve">ncrease between Apahida and Dej of 85%, and </w:t>
      </w:r>
      <w:r>
        <w:rPr>
          <w:rFonts w:cs="Arial"/>
          <w:sz w:val="22"/>
          <w:szCs w:val="22"/>
        </w:rPr>
        <w:t>1</w:t>
      </w:r>
      <w:r w:rsidRPr="00804F1B">
        <w:rPr>
          <w:rFonts w:cs="Arial"/>
          <w:sz w:val="22"/>
          <w:szCs w:val="22"/>
        </w:rPr>
        <w:t>35% between Ilva Mica and Suceava. Th</w:t>
      </w:r>
      <w:r>
        <w:rPr>
          <w:rFonts w:cs="Arial"/>
          <w:sz w:val="22"/>
          <w:szCs w:val="22"/>
        </w:rPr>
        <w:t xml:space="preserve">ere is also a </w:t>
      </w:r>
      <w:r w:rsidRPr="00804F1B">
        <w:rPr>
          <w:rFonts w:cs="Arial"/>
          <w:sz w:val="22"/>
          <w:szCs w:val="22"/>
        </w:rPr>
        <w:t xml:space="preserve">70% </w:t>
      </w:r>
      <w:r>
        <w:rPr>
          <w:rFonts w:cs="Arial"/>
          <w:sz w:val="22"/>
          <w:szCs w:val="22"/>
        </w:rPr>
        <w:t xml:space="preserve">increase </w:t>
      </w:r>
      <w:r w:rsidRPr="00804F1B">
        <w:rPr>
          <w:rFonts w:cs="Arial"/>
          <w:sz w:val="22"/>
          <w:szCs w:val="22"/>
        </w:rPr>
        <w:t xml:space="preserve">between Suceava and Pascani. </w:t>
      </w:r>
      <w:r>
        <w:rPr>
          <w:rFonts w:cs="Arial"/>
          <w:sz w:val="22"/>
          <w:szCs w:val="22"/>
        </w:rPr>
        <w:t xml:space="preserve">In response to the improved services between Cluj Napoca and Iasi, there is abstraction from corridors 400 and 501 with passengers diverting to a more convenient route. </w:t>
      </w:r>
    </w:p>
    <w:p w:rsidR="00660414" w:rsidRDefault="00660414" w:rsidP="00660414">
      <w:pPr>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5CB1AF33" wp14:editId="279B3243">
            <wp:extent cx="5552203" cy="3960000"/>
            <wp:effectExtent l="0" t="0" r="0" b="2540"/>
            <wp:docPr id="577" name="Picture 577" descr="F:\Projects\Transport Planning - Romania UK GTMP\PUBLIC TRANSPORT\Rail\04_Plots\Rail_results\output\DS06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rojects\Transport Planning - Romania UK GTMP\PUBLIC TRANSPORT\Rail\04_Plots\Rail_results\output\DS06B_2030_change_freight.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5552203"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61</w:t>
      </w:r>
      <w:r w:rsidRPr="0075501B">
        <w:rPr>
          <w:b/>
          <w:sz w:val="22"/>
          <w:szCs w:val="22"/>
        </w:rPr>
        <w:fldChar w:fldCharType="end"/>
      </w:r>
      <w:r>
        <w:rPr>
          <w:b/>
          <w:sz w:val="22"/>
          <w:szCs w:val="22"/>
        </w:rPr>
        <w:t>: Change in Freight Demand (DS06B)</w:t>
      </w:r>
    </w:p>
    <w:p w:rsidR="00660414" w:rsidRDefault="00660414" w:rsidP="007613DE">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The most noticeable increase in freight demand in this scenario is expected between Apahida and Beclean</w:t>
      </w:r>
      <w:r>
        <w:rPr>
          <w:rFonts w:cs="Arial"/>
          <w:sz w:val="22"/>
          <w:szCs w:val="22"/>
        </w:rPr>
        <w:t xml:space="preserve"> whilst there is a </w:t>
      </w:r>
      <w:r w:rsidRPr="00804F1B">
        <w:rPr>
          <w:rFonts w:cs="Arial"/>
          <w:sz w:val="22"/>
          <w:szCs w:val="22"/>
        </w:rPr>
        <w:t xml:space="preserve">rise </w:t>
      </w:r>
      <w:r>
        <w:rPr>
          <w:rFonts w:cs="Arial"/>
          <w:sz w:val="22"/>
          <w:szCs w:val="22"/>
        </w:rPr>
        <w:t xml:space="preserve">of </w:t>
      </w:r>
      <w:r w:rsidRPr="00804F1B">
        <w:rPr>
          <w:rFonts w:cs="Arial"/>
          <w:sz w:val="22"/>
          <w:szCs w:val="22"/>
        </w:rPr>
        <w:t xml:space="preserve">almost 5,000 tonnes per day </w:t>
      </w:r>
      <w:r>
        <w:rPr>
          <w:rFonts w:cs="Arial"/>
          <w:sz w:val="22"/>
          <w:szCs w:val="22"/>
        </w:rPr>
        <w:t xml:space="preserve">via </w:t>
      </w:r>
      <w:r w:rsidRPr="00804F1B">
        <w:rPr>
          <w:rFonts w:cs="Arial"/>
          <w:sz w:val="22"/>
          <w:szCs w:val="22"/>
        </w:rPr>
        <w:t xml:space="preserve">Gherla. Freight traffic also increases </w:t>
      </w:r>
      <w:r>
        <w:rPr>
          <w:rFonts w:cs="Arial"/>
          <w:sz w:val="22"/>
          <w:szCs w:val="22"/>
        </w:rPr>
        <w:t xml:space="preserve">by 45% </w:t>
      </w:r>
      <w:r w:rsidRPr="00804F1B">
        <w:rPr>
          <w:rFonts w:cs="Arial"/>
          <w:sz w:val="22"/>
          <w:szCs w:val="22"/>
        </w:rPr>
        <w:t>between Floreni and Vatra Dornei and 15% between Veresti and Dolhasca.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2030 if funding is secured.</w:t>
      </w:r>
    </w:p>
    <w:p w:rsidR="00660414" w:rsidRPr="000A76BD" w:rsidRDefault="00660414" w:rsidP="00660414">
      <w:pPr>
        <w:spacing w:line="276" w:lineRule="auto"/>
        <w:jc w:val="both"/>
        <w:rPr>
          <w:rFonts w:cs="Arial"/>
          <w:b/>
          <w:bCs/>
          <w:kern w:val="32"/>
          <w:sz w:val="22"/>
          <w:szCs w:val="22"/>
        </w:rPr>
      </w:pPr>
      <w:r w:rsidRPr="00804F1B">
        <w:rPr>
          <w:rFonts w:cs="Arial"/>
          <w:sz w:val="22"/>
          <w:szCs w:val="22"/>
        </w:rPr>
        <w:br w:type="page"/>
      </w:r>
    </w:p>
    <w:p w:rsidR="00660414" w:rsidRPr="00170C2E" w:rsidRDefault="00660414" w:rsidP="00170C2E">
      <w:pPr>
        <w:pStyle w:val="Hdg3"/>
        <w:ind w:left="851"/>
      </w:pPr>
      <w:r w:rsidRPr="008C5B1B">
        <w:t>Line Cluj-Napoca to Oradea to design speed (Test DS07A)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Upgrade programme fo</w:t>
            </w:r>
            <w:r>
              <w:rPr>
                <w:rFonts w:cs="Arial"/>
                <w:sz w:val="22"/>
                <w:szCs w:val="22"/>
              </w:rPr>
              <w:t xml:space="preserve">r </w:t>
            </w:r>
            <w:r w:rsidRPr="00804F1B">
              <w:rPr>
                <w:rFonts w:cs="Arial"/>
                <w:sz w:val="22"/>
                <w:szCs w:val="22"/>
              </w:rPr>
              <w:t xml:space="preserve">corridor 300 between Cluj-Napoca and Oradea. This project includes: </w:t>
            </w:r>
          </w:p>
          <w:p w:rsidR="00660414" w:rsidRPr="000A76BD" w:rsidRDefault="00660414" w:rsidP="00273D5E">
            <w:pPr>
              <w:pStyle w:val="BulletLevel1"/>
              <w:numPr>
                <w:ilvl w:val="0"/>
                <w:numId w:val="60"/>
              </w:numPr>
            </w:pPr>
            <w:r w:rsidRPr="00804F1B">
              <w:t>Rehabilitation to design speed of corridor 300 between Cluj-Napoca and Oradea.</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Oradea, Alesd, Huedin and Cluj-Napoca.</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Cluj-Napoca to Oradea (1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1FCF4B1F" wp14:editId="6E81ADB0">
            <wp:extent cx="5645583" cy="3960000"/>
            <wp:effectExtent l="0" t="0" r="0" b="2540"/>
            <wp:docPr id="578" name="Picture 578" descr="F:\Projects\Transport Planning - Romania UK GTMP\PUBLIC TRANSPORT\Rail\04_Plots\Do_Somthing_schemes\outputs\DoSomethingSchemes_DS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jects\Transport Planning - Romania UK GTMP\PUBLIC TRANSPORT\Rail\04_Plots\Do_Somthing_schemes\outputs\DoSomethingSchemes_DS07A.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62</w:t>
      </w:r>
      <w:r w:rsidRPr="008C7A83">
        <w:rPr>
          <w:b/>
          <w:sz w:val="22"/>
          <w:szCs w:val="22"/>
        </w:rPr>
        <w:fldChar w:fldCharType="end"/>
      </w:r>
      <w:r w:rsidRPr="008C7A83">
        <w:rPr>
          <w:b/>
          <w:sz w:val="22"/>
          <w:szCs w:val="22"/>
        </w:rPr>
        <w:t>:</w:t>
      </w:r>
      <w:r>
        <w:rPr>
          <w:b/>
          <w:sz w:val="22"/>
          <w:szCs w:val="22"/>
        </w:rPr>
        <w:t xml:space="preserve"> Description of Service Proposals (DS07A)</w:t>
      </w:r>
    </w:p>
    <w:p w:rsidR="00660414" w:rsidRDefault="00660414" w:rsidP="007613DE">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between Cluj-Napoca and Oradea.</w:t>
            </w:r>
          </w:p>
          <w:p w:rsidR="00660414" w:rsidRPr="000A76BD" w:rsidRDefault="00660414" w:rsidP="00273D5E">
            <w:pPr>
              <w:pStyle w:val="BulletLevel1"/>
              <w:numPr>
                <w:ilvl w:val="0"/>
                <w:numId w:val="60"/>
              </w:numPr>
            </w:pPr>
            <w:r w:rsidRPr="00804F1B">
              <w:t>Delays due to poor infrastructure condition and speed restrictions. Commercial speeds below design parameters between Vadu Crisului and Oradea.</w:t>
            </w:r>
          </w:p>
          <w:p w:rsidR="00660414" w:rsidRPr="000A76BD" w:rsidRDefault="00660414" w:rsidP="00273D5E">
            <w:pPr>
              <w:pStyle w:val="BulletLevel1"/>
              <w:numPr>
                <w:ilvl w:val="0"/>
                <w:numId w:val="60"/>
              </w:numPr>
            </w:pPr>
            <w:r w:rsidRPr="00804F1B">
              <w:t>Low rail market share on the Cluj-Napoca and Oradea section, potential to increase rail patronage on the corridor significantly.</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 single track sections between Cluj-Napoca and Oradea limit the network’s capacity.</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40</w:t>
      </w:r>
      <w:r w:rsidRPr="001F5936">
        <w:rPr>
          <w:b/>
          <w:sz w:val="22"/>
          <w:szCs w:val="22"/>
        </w:rPr>
        <w:fldChar w:fldCharType="end"/>
      </w:r>
      <w:r w:rsidRPr="001F5936">
        <w:rPr>
          <w:b/>
          <w:sz w:val="22"/>
          <w:szCs w:val="22"/>
        </w:rPr>
        <w:t>:</w:t>
      </w:r>
      <w:r>
        <w:rPr>
          <w:b/>
          <w:sz w:val="22"/>
          <w:szCs w:val="22"/>
        </w:rPr>
        <w:t xml:space="preserve"> Summary of Infrastructure Costs and Operating Costs (DS07A)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3182"/>
        <w:gridCol w:w="6302"/>
      </w:tblGrid>
      <w:tr w:rsidR="00660414" w:rsidRPr="000A76BD" w:rsidTr="007613DE">
        <w:trPr>
          <w:cantSplit/>
          <w:tblHeader/>
        </w:trPr>
        <w:tc>
          <w:tcPr>
            <w:tcW w:w="48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514"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29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8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658</w:t>
            </w:r>
          </w:p>
        </w:tc>
        <w:tc>
          <w:tcPr>
            <w:tcW w:w="29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8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220</w:t>
            </w:r>
          </w:p>
        </w:tc>
        <w:tc>
          <w:tcPr>
            <w:tcW w:w="29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8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878</w:t>
            </w:r>
          </w:p>
        </w:tc>
        <w:tc>
          <w:tcPr>
            <w:tcW w:w="299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7613DE">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poor value for money (BCR = 0.3</w:t>
      </w:r>
      <w:r>
        <w:rPr>
          <w:rFonts w:cs="Arial"/>
          <w:sz w:val="22"/>
          <w:szCs w:val="22"/>
        </w:rPr>
        <w:t>0</w:t>
      </w:r>
      <w:r w:rsidRPr="00804F1B">
        <w:rPr>
          <w:rFonts w:cs="Arial"/>
          <w:sz w:val="22"/>
          <w:szCs w:val="22"/>
        </w:rPr>
        <w:t>), and a minimal increase in rail passenger and freight traffic, of +1% and +1% respectively over the whole system, see table below:</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41</w:t>
      </w:r>
      <w:r w:rsidRPr="001F5936">
        <w:rPr>
          <w:b/>
          <w:sz w:val="22"/>
          <w:szCs w:val="22"/>
        </w:rPr>
        <w:fldChar w:fldCharType="end"/>
      </w:r>
      <w:r w:rsidRPr="001F5936">
        <w:rPr>
          <w:b/>
          <w:sz w:val="22"/>
          <w:szCs w:val="22"/>
        </w:rPr>
        <w:t>:</w:t>
      </w:r>
      <w:r>
        <w:rPr>
          <w:b/>
          <w:sz w:val="22"/>
          <w:szCs w:val="22"/>
        </w:rPr>
        <w:t xml:space="preserve"> Summary of Results (DS07A)</w:t>
      </w:r>
    </w:p>
    <w:tbl>
      <w:tblPr>
        <w:tblW w:w="32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4"/>
        <w:gridCol w:w="1747"/>
      </w:tblGrid>
      <w:tr w:rsidR="00660414" w:rsidRPr="000A76BD" w:rsidTr="007613DE">
        <w:trPr>
          <w:cantSplit/>
          <w:tblHeader/>
        </w:trPr>
        <w:tc>
          <w:tcPr>
            <w:tcW w:w="371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29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DS07A</w:t>
            </w:r>
          </w:p>
        </w:tc>
      </w:tr>
      <w:tr w:rsidR="00660414" w:rsidRPr="000A76BD" w:rsidTr="007613DE">
        <w:trPr>
          <w:cantSplit/>
        </w:trPr>
        <w:tc>
          <w:tcPr>
            <w:tcW w:w="371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29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+180 (+1%)</w:t>
            </w:r>
          </w:p>
        </w:tc>
      </w:tr>
      <w:tr w:rsidR="00660414" w:rsidRPr="000A76BD" w:rsidTr="007613DE">
        <w:trPr>
          <w:cantSplit/>
        </w:trPr>
        <w:tc>
          <w:tcPr>
            <w:tcW w:w="371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29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7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29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+456 (+1%)</w:t>
            </w:r>
          </w:p>
        </w:tc>
      </w:tr>
      <w:tr w:rsidR="00660414" w:rsidRPr="000A76BD" w:rsidTr="007613DE">
        <w:trPr>
          <w:cantSplit/>
        </w:trPr>
        <w:tc>
          <w:tcPr>
            <w:tcW w:w="37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29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71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316</w:t>
            </w:r>
          </w:p>
        </w:tc>
      </w:tr>
      <w:tr w:rsidR="00660414" w:rsidRPr="000A76BD" w:rsidTr="007613DE">
        <w:trPr>
          <w:cantSplit/>
        </w:trPr>
        <w:tc>
          <w:tcPr>
            <w:tcW w:w="371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0.3</w:t>
            </w:r>
            <w:r>
              <w:rPr>
                <w:rFonts w:cs="Arial"/>
                <w:b/>
                <w:sz w:val="22"/>
                <w:szCs w:val="22"/>
              </w:rPr>
              <w:t>0</w:t>
            </w:r>
          </w:p>
        </w:tc>
      </w:tr>
      <w:tr w:rsidR="00660414" w:rsidRPr="000A76BD" w:rsidTr="007613DE">
        <w:trPr>
          <w:cantSplit/>
        </w:trPr>
        <w:tc>
          <w:tcPr>
            <w:tcW w:w="371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2</w:t>
            </w:r>
            <w:r w:rsidRPr="00804F1B">
              <w:rPr>
                <w:rFonts w:cs="Arial"/>
                <w:b/>
                <w:sz w:val="22"/>
                <w:szCs w:val="22"/>
              </w:rPr>
              <w:t>1%</w:t>
            </w:r>
          </w:p>
        </w:tc>
      </w:tr>
      <w:tr w:rsidR="00660414" w:rsidRPr="000A76BD" w:rsidTr="007613DE">
        <w:tc>
          <w:tcPr>
            <w:tcW w:w="371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29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270</w:t>
            </w:r>
          </w:p>
        </w:tc>
      </w:tr>
      <w:tr w:rsidR="00660414" w:rsidRPr="000A76BD" w:rsidTr="007613DE">
        <w:tc>
          <w:tcPr>
            <w:tcW w:w="371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29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w:t>
            </w:r>
          </w:p>
        </w:tc>
      </w:tr>
    </w:tbl>
    <w:p w:rsidR="00660414" w:rsidRDefault="00660414" w:rsidP="007613DE">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804F1B">
        <w:rPr>
          <w:rFonts w:cs="Arial"/>
          <w:sz w:val="22"/>
          <w:szCs w:val="22"/>
        </w:rPr>
        <w:t xml:space="preserve">The drawings below 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1061B2C" wp14:editId="124D6C5C">
            <wp:extent cx="5627009" cy="3960000"/>
            <wp:effectExtent l="0" t="0" r="0" b="2540"/>
            <wp:docPr id="579" name="Picture 579" descr="F:\Projects\Transport Planning - Romania UK GTMP\PUBLIC TRANSPORT\Rail\04_Plots\Rail_results\output\DS07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jects\Transport Planning - Romania UK GTMP\PUBLIC TRANSPORT\Rail\04_Plots\Rail_results\output\DS07A_2030_change_pass.jp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63</w:t>
      </w:r>
      <w:r w:rsidRPr="0075501B">
        <w:rPr>
          <w:b/>
          <w:sz w:val="22"/>
          <w:szCs w:val="22"/>
        </w:rPr>
        <w:fldChar w:fldCharType="end"/>
      </w:r>
      <w:r>
        <w:rPr>
          <w:b/>
          <w:sz w:val="22"/>
          <w:szCs w:val="22"/>
        </w:rPr>
        <w:t>: Change in Passenger Demand (DS07A)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804F1B">
        <w:rPr>
          <w:rFonts w:cs="Arial"/>
          <w:sz w:val="22"/>
          <w:szCs w:val="22"/>
        </w:rPr>
        <w:t xml:space="preserve">Passenger traffic on the Oradea to Cluj-Napoca corridor increases in this scenario by about 60%, </w:t>
      </w:r>
      <w:r>
        <w:rPr>
          <w:rFonts w:cs="Arial"/>
          <w:sz w:val="22"/>
          <w:szCs w:val="22"/>
        </w:rPr>
        <w:t xml:space="preserve">with some longer distance </w:t>
      </w:r>
      <w:r w:rsidRPr="00804F1B">
        <w:rPr>
          <w:rFonts w:cs="Arial"/>
          <w:sz w:val="22"/>
          <w:szCs w:val="22"/>
        </w:rPr>
        <w:t>passengers from the Arad / Timisoara area</w:t>
      </w:r>
      <w:r>
        <w:rPr>
          <w:rFonts w:cs="Arial"/>
          <w:sz w:val="22"/>
          <w:szCs w:val="22"/>
        </w:rPr>
        <w:t xml:space="preserve"> towards Cluj</w:t>
      </w:r>
      <w:r w:rsidRPr="00804F1B">
        <w:rPr>
          <w:rFonts w:cs="Arial"/>
          <w:sz w:val="22"/>
          <w:szCs w:val="22"/>
        </w:rPr>
        <w:t xml:space="preserve"> switch</w:t>
      </w:r>
      <w:r>
        <w:rPr>
          <w:rFonts w:cs="Arial"/>
          <w:sz w:val="22"/>
          <w:szCs w:val="22"/>
        </w:rPr>
        <w:t>ing</w:t>
      </w:r>
      <w:r w:rsidRPr="00804F1B">
        <w:rPr>
          <w:rFonts w:cs="Arial"/>
          <w:sz w:val="22"/>
          <w:szCs w:val="22"/>
        </w:rPr>
        <w:t xml:space="preserve"> to the upgraded corridor</w:t>
      </w:r>
      <w:r>
        <w:rPr>
          <w:rFonts w:cs="Arial"/>
          <w:sz w:val="22"/>
          <w:szCs w:val="22"/>
        </w:rPr>
        <w:t xml:space="preserve"> rather than the route via Deva</w:t>
      </w:r>
      <w:r w:rsidRPr="00804F1B">
        <w:rPr>
          <w:rFonts w:cs="Arial"/>
          <w:sz w:val="22"/>
          <w:szCs w:val="22"/>
        </w:rPr>
        <w:t>.</w:t>
      </w:r>
    </w:p>
    <w:p w:rsidR="00660414" w:rsidRDefault="00660414" w:rsidP="00660414">
      <w:pPr>
        <w:rPr>
          <w:b/>
          <w:bCs/>
          <w:sz w:val="22"/>
          <w:szCs w:val="22"/>
        </w:rPr>
      </w:pPr>
      <w:r>
        <w:rPr>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F42C530" wp14:editId="7F938C03">
            <wp:extent cx="5645583" cy="3960000"/>
            <wp:effectExtent l="0" t="0" r="0" b="2540"/>
            <wp:docPr id="580" name="Picture 580" descr="F:\Projects\Transport Planning - Romania UK GTMP\PUBLIC TRANSPORT\Rail\04_Plots\Rail_results\output\DS07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jects\Transport Planning - Romania UK GTMP\PUBLIC TRANSPORT\Rail\04_Plots\Rail_results\output\DS07A_2030_change_freight.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64</w:t>
      </w:r>
      <w:r w:rsidRPr="0075501B">
        <w:rPr>
          <w:b/>
          <w:sz w:val="22"/>
          <w:szCs w:val="22"/>
        </w:rPr>
        <w:fldChar w:fldCharType="end"/>
      </w:r>
      <w:r>
        <w:rPr>
          <w:b/>
          <w:sz w:val="22"/>
          <w:szCs w:val="22"/>
        </w:rPr>
        <w:t>: Change in Freight Demand (DS07A)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Freight traffic between Cluj-Napoca and Oradea </w:t>
      </w:r>
      <w:r>
        <w:rPr>
          <w:rFonts w:cs="Arial"/>
          <w:sz w:val="22"/>
          <w:szCs w:val="22"/>
        </w:rPr>
        <w:t xml:space="preserve">is </w:t>
      </w:r>
      <w:r w:rsidRPr="00804F1B">
        <w:rPr>
          <w:rFonts w:cs="Arial"/>
          <w:sz w:val="22"/>
          <w:szCs w:val="22"/>
        </w:rPr>
        <w:t>forecast to increase by about 50%</w:t>
      </w:r>
      <w:r>
        <w:rPr>
          <w:rFonts w:cs="Arial"/>
          <w:sz w:val="22"/>
          <w:szCs w:val="22"/>
        </w:rPr>
        <w:t xml:space="preserve">, although this is offset by the abstraction from </w:t>
      </w:r>
      <w:r w:rsidRPr="00804F1B">
        <w:rPr>
          <w:rFonts w:cs="Arial"/>
          <w:sz w:val="22"/>
          <w:szCs w:val="22"/>
        </w:rPr>
        <w:t xml:space="preserve">lines 200 and 413. The number of freight tonnes </w:t>
      </w:r>
      <w:r>
        <w:rPr>
          <w:rFonts w:cs="Arial"/>
          <w:sz w:val="22"/>
          <w:szCs w:val="22"/>
        </w:rPr>
        <w:t xml:space="preserve">via </w:t>
      </w:r>
      <w:r w:rsidRPr="00804F1B">
        <w:rPr>
          <w:rFonts w:cs="Arial"/>
          <w:sz w:val="22"/>
          <w:szCs w:val="22"/>
        </w:rPr>
        <w:t>Orastie falls by -10%, whilst traffic on corridor 413 falls by -5%.</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2030 if funding is secured.</w:t>
      </w:r>
      <w:r w:rsidRPr="00804F1B">
        <w:rPr>
          <w:rFonts w:cs="Arial"/>
          <w:sz w:val="22"/>
          <w:szCs w:val="22"/>
        </w:rPr>
        <w:br w:type="page"/>
      </w:r>
    </w:p>
    <w:p w:rsidR="00660414" w:rsidRPr="00170C2E" w:rsidRDefault="00660414" w:rsidP="00170C2E">
      <w:pPr>
        <w:pStyle w:val="Hdg3"/>
        <w:ind w:left="851"/>
      </w:pPr>
      <w:r w:rsidRPr="008C5B1B">
        <w:t>Line Cluj-Napoca to Oradea to design speed plus electrification and line doubling (Test DS07B)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after="60" w:line="276" w:lineRule="auto"/>
              <w:jc w:val="both"/>
              <w:rPr>
                <w:rFonts w:cs="Arial"/>
                <w:sz w:val="22"/>
                <w:szCs w:val="22"/>
              </w:rPr>
            </w:pPr>
            <w:r w:rsidRPr="00804F1B">
              <w:rPr>
                <w:rFonts w:cs="Arial"/>
                <w:sz w:val="22"/>
                <w:szCs w:val="22"/>
              </w:rPr>
              <w:t>Upgrade programme for</w:t>
            </w:r>
            <w:r w:rsidRPr="00804F1B">
              <w:rPr>
                <w:rFonts w:cs="Arial"/>
                <w:sz w:val="22"/>
                <w:szCs w:val="22"/>
              </w:rPr>
              <w:tab/>
              <w:t xml:space="preserve"> corridor 300 between Cluj-Napoca and Oradea. This project includes: </w:t>
            </w:r>
          </w:p>
          <w:p w:rsidR="00660414" w:rsidRPr="000A76BD" w:rsidRDefault="00660414" w:rsidP="00273D5E">
            <w:pPr>
              <w:pStyle w:val="BulletLevel1"/>
              <w:numPr>
                <w:ilvl w:val="0"/>
                <w:numId w:val="60"/>
              </w:numPr>
            </w:pPr>
            <w:r w:rsidRPr="00804F1B">
              <w:t>Rehabilitation to design speed of corridor 300 between Cluj-Napoca and Oradea.</w:t>
            </w:r>
          </w:p>
          <w:p w:rsidR="00660414" w:rsidRPr="000A76BD" w:rsidRDefault="00660414" w:rsidP="00273D5E">
            <w:pPr>
              <w:pStyle w:val="BulletLevel1"/>
              <w:numPr>
                <w:ilvl w:val="0"/>
                <w:numId w:val="60"/>
              </w:numPr>
            </w:pPr>
            <w:r w:rsidRPr="00804F1B">
              <w:t>Rehabilitation to enhanced speed of sections with design speed below 100 km/h on line 300 between Cluj-Napoca and Oradea.</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Line doubling of single track sections.</w:t>
            </w:r>
          </w:p>
          <w:p w:rsidR="00660414" w:rsidRPr="000A76BD" w:rsidRDefault="00660414" w:rsidP="00273D5E">
            <w:pPr>
              <w:pStyle w:val="BulletLevel1"/>
              <w:numPr>
                <w:ilvl w:val="0"/>
                <w:numId w:val="60"/>
              </w:numPr>
            </w:pPr>
            <w:r w:rsidRPr="00804F1B">
              <w:t>Corridor electrification.</w:t>
            </w:r>
          </w:p>
          <w:p w:rsidR="00660414" w:rsidRPr="000A76BD" w:rsidRDefault="00660414" w:rsidP="00273D5E">
            <w:pPr>
              <w:pStyle w:val="BulletLevel1"/>
              <w:numPr>
                <w:ilvl w:val="0"/>
                <w:numId w:val="60"/>
              </w:numPr>
            </w:pPr>
            <w:r w:rsidRPr="00804F1B">
              <w:t>Improved station facilities at Oradea, Alesd, Huedin and Cluj-Napoca.</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Cluj-Napoca to Oradea (1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62F7F9DE" wp14:editId="5E399DC0">
            <wp:extent cx="5627009" cy="3960000"/>
            <wp:effectExtent l="0" t="0" r="0" b="2540"/>
            <wp:docPr id="581" name="Picture 581" descr="F:\Projects\Transport Planning - Romania UK GTMP\PUBLIC TRANSPORT\Rail\04_Plots\Do_Somthing_schemes\outputs\DoSomethingSchemes_DS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Do_Somthing_schemes\outputs\DoSomethingSchemes_DS07B.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65</w:t>
      </w:r>
      <w:r w:rsidRPr="008C7A83">
        <w:rPr>
          <w:b/>
          <w:sz w:val="22"/>
          <w:szCs w:val="22"/>
        </w:rPr>
        <w:fldChar w:fldCharType="end"/>
      </w:r>
      <w:r w:rsidRPr="008C7A83">
        <w:rPr>
          <w:b/>
          <w:sz w:val="22"/>
          <w:szCs w:val="22"/>
        </w:rPr>
        <w:t>:</w:t>
      </w:r>
      <w:r>
        <w:rPr>
          <w:b/>
          <w:sz w:val="22"/>
          <w:szCs w:val="22"/>
        </w:rPr>
        <w:t xml:space="preserve"> Description of Service Proposals (DS07B)</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between Cluj-Napoca and Oradea.</w:t>
            </w:r>
          </w:p>
          <w:p w:rsidR="00660414" w:rsidRPr="000A76BD" w:rsidRDefault="00660414" w:rsidP="00273D5E">
            <w:pPr>
              <w:pStyle w:val="BulletLevel1"/>
              <w:numPr>
                <w:ilvl w:val="0"/>
                <w:numId w:val="60"/>
              </w:numPr>
            </w:pPr>
            <w:r w:rsidRPr="00804F1B">
              <w:t>Delays due to poor infrastructure condition and speed restrictions. Commercial speeds below design parameters between Vadu Crisului and Oradea.</w:t>
            </w:r>
          </w:p>
          <w:p w:rsidR="00660414" w:rsidRPr="000A76BD" w:rsidRDefault="00660414" w:rsidP="00273D5E">
            <w:pPr>
              <w:pStyle w:val="BulletLevel1"/>
              <w:numPr>
                <w:ilvl w:val="0"/>
                <w:numId w:val="60"/>
              </w:numPr>
            </w:pPr>
            <w:r w:rsidRPr="00804F1B">
              <w:t>Low design speeds of some sections of the Cluj-Napoca to Oradea line.</w:t>
            </w:r>
          </w:p>
          <w:p w:rsidR="00660414" w:rsidRPr="000A76BD" w:rsidRDefault="00660414" w:rsidP="00273D5E">
            <w:pPr>
              <w:pStyle w:val="BulletLevel1"/>
              <w:numPr>
                <w:ilvl w:val="0"/>
                <w:numId w:val="60"/>
              </w:numPr>
            </w:pPr>
            <w:r w:rsidRPr="00804F1B">
              <w:t>Low rail market share on the Cluj-Napoca and Oradea section, potential to increase rail patronage on the corridor significantly.</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0A76BD" w:rsidRDefault="00660414" w:rsidP="00273D5E">
            <w:pPr>
              <w:pStyle w:val="BulletLevel1"/>
              <w:numPr>
                <w:ilvl w:val="0"/>
                <w:numId w:val="60"/>
              </w:numPr>
            </w:pPr>
            <w:r w:rsidRPr="00804F1B">
              <w:t>Limited capacity and obsolete signalling systems, single track sections between Cluj-Napoca and Oradea limit to be upgraded to double track.</w:t>
            </w:r>
          </w:p>
          <w:p w:rsidR="00660414" w:rsidRPr="008C5B1B" w:rsidRDefault="00660414" w:rsidP="00273D5E">
            <w:pPr>
              <w:pStyle w:val="BulletLevel1"/>
              <w:numPr>
                <w:ilvl w:val="0"/>
                <w:numId w:val="60"/>
              </w:numPr>
              <w:rPr>
                <w:lang w:val="en-US"/>
              </w:rPr>
            </w:pPr>
            <w:r w:rsidRPr="00804F1B">
              <w:t>Line electrification to increase interoperability and reduce delays caused by traction changes.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42</w:t>
      </w:r>
      <w:r w:rsidRPr="001F5936">
        <w:rPr>
          <w:b/>
          <w:sz w:val="22"/>
          <w:szCs w:val="22"/>
        </w:rPr>
        <w:fldChar w:fldCharType="end"/>
      </w:r>
      <w:r w:rsidRPr="001F5936">
        <w:rPr>
          <w:b/>
          <w:sz w:val="22"/>
          <w:szCs w:val="22"/>
        </w:rPr>
        <w:t>:</w:t>
      </w:r>
      <w:r>
        <w:rPr>
          <w:b/>
          <w:sz w:val="22"/>
          <w:szCs w:val="22"/>
        </w:rPr>
        <w:t xml:space="preserve"> Summary of Infrastructure Costs and Operating Costs (DS07B)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2711"/>
        <w:gridCol w:w="6777"/>
      </w:tblGrid>
      <w:tr w:rsidR="00660414" w:rsidRPr="000A76BD" w:rsidTr="007613DE">
        <w:trPr>
          <w:cantSplit/>
          <w:tblHeader/>
        </w:trPr>
        <w:tc>
          <w:tcPr>
            <w:tcW w:w="48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290" w:type="pct"/>
            <w:shd w:val="clear" w:color="auto" w:fill="C6D9F1"/>
            <w:vAlign w:val="center"/>
          </w:tcPr>
          <w:p w:rsidR="00660414" w:rsidRPr="000A76BD" w:rsidRDefault="00660414" w:rsidP="007613DE">
            <w:pPr>
              <w:spacing w:line="276" w:lineRule="auto"/>
              <w:ind w:left="36" w:hanging="36"/>
              <w:jc w:val="both"/>
              <w:rPr>
                <w:rFonts w:cs="Arial"/>
                <w:b/>
                <w:bCs/>
                <w:sz w:val="22"/>
                <w:szCs w:val="22"/>
              </w:rPr>
            </w:pPr>
            <w:r w:rsidRPr="00804F1B">
              <w:rPr>
                <w:rFonts w:cs="Arial"/>
                <w:b/>
                <w:bCs/>
                <w:sz w:val="22"/>
                <w:szCs w:val="22"/>
              </w:rPr>
              <w:t>Undiscounted costs (Million €, 2014 prices)</w:t>
            </w:r>
          </w:p>
        </w:tc>
        <w:tc>
          <w:tcPr>
            <w:tcW w:w="322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603</w:t>
            </w:r>
          </w:p>
        </w:tc>
        <w:tc>
          <w:tcPr>
            <w:tcW w:w="3225" w:type="pct"/>
            <w:shd w:val="clear" w:color="auto" w:fill="auto"/>
          </w:tcPr>
          <w:p w:rsidR="00660414" w:rsidRPr="000A76BD" w:rsidRDefault="00660414" w:rsidP="007613DE">
            <w:pPr>
              <w:spacing w:before="120" w:line="276" w:lineRule="auto"/>
              <w:jc w:val="both"/>
              <w:rPr>
                <w:rFonts w:cs="Arial"/>
                <w:sz w:val="22"/>
                <w:szCs w:val="22"/>
              </w:rPr>
            </w:pPr>
            <w:r w:rsidRPr="00804F1B">
              <w:rPr>
                <w:rFonts w:cs="Arial"/>
                <w:sz w:val="22"/>
                <w:szCs w:val="22"/>
              </w:rPr>
              <w:t>Rehabilitation of track to provide current or enhanced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Line doubling and electrification</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w:t>
            </w:r>
            <w:r>
              <w:rPr>
                <w:rFonts w:cs="Arial"/>
                <w:sz w:val="22"/>
                <w:szCs w:val="22"/>
              </w:rPr>
              <w:t>94</w:t>
            </w:r>
          </w:p>
        </w:tc>
        <w:tc>
          <w:tcPr>
            <w:tcW w:w="322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85"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29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997</w:t>
            </w:r>
          </w:p>
        </w:tc>
        <w:tc>
          <w:tcPr>
            <w:tcW w:w="322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poor 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w:t>
      </w:r>
      <w:r w:rsidRPr="00804F1B">
        <w:rPr>
          <w:rFonts w:cs="Arial"/>
          <w:sz w:val="22"/>
          <w:szCs w:val="22"/>
        </w:rPr>
        <w:t>0.</w:t>
      </w:r>
      <w:r>
        <w:rPr>
          <w:rFonts w:cs="Arial"/>
          <w:sz w:val="22"/>
          <w:szCs w:val="22"/>
        </w:rPr>
        <w:t>39</w:t>
      </w:r>
      <w:r w:rsidRPr="00804F1B">
        <w:rPr>
          <w:rFonts w:cs="Arial"/>
          <w:sz w:val="22"/>
          <w:szCs w:val="22"/>
        </w:rPr>
        <w:t xml:space="preserve">, and a minimal increase in rail passenger and freight traffic of </w:t>
      </w:r>
      <w:r>
        <w:rPr>
          <w:rFonts w:cs="Arial"/>
          <w:sz w:val="22"/>
          <w:szCs w:val="22"/>
        </w:rPr>
        <w:t xml:space="preserve">just </w:t>
      </w:r>
      <w:r w:rsidRPr="00804F1B">
        <w:rPr>
          <w:rFonts w:cs="Arial"/>
          <w:sz w:val="22"/>
          <w:szCs w:val="22"/>
        </w:rPr>
        <w:t>2% and 1% respectively</w:t>
      </w:r>
      <w:r>
        <w:rPr>
          <w:rFonts w:cs="Arial"/>
          <w:sz w:val="22"/>
          <w:szCs w:val="22"/>
        </w:rPr>
        <w:t xml:space="preserve"> as shown in Table 5.43 below. </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43</w:t>
      </w:r>
      <w:r w:rsidRPr="001F5936">
        <w:rPr>
          <w:b/>
          <w:sz w:val="22"/>
          <w:szCs w:val="22"/>
        </w:rPr>
        <w:fldChar w:fldCharType="end"/>
      </w:r>
      <w:r w:rsidRPr="001F5936">
        <w:rPr>
          <w:b/>
          <w:sz w:val="22"/>
          <w:szCs w:val="22"/>
        </w:rPr>
        <w:t>:</w:t>
      </w:r>
      <w:r>
        <w:rPr>
          <w:b/>
          <w:sz w:val="22"/>
          <w:szCs w:val="22"/>
        </w:rPr>
        <w:t xml:space="preserve"> Summary of Results (DS07B)</w:t>
      </w:r>
    </w:p>
    <w:tbl>
      <w:tblPr>
        <w:tblW w:w="32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0"/>
        <w:gridCol w:w="1933"/>
      </w:tblGrid>
      <w:tr w:rsidR="00660414" w:rsidRPr="000A76BD" w:rsidTr="007613DE">
        <w:trPr>
          <w:cantSplit/>
          <w:tblHeader/>
        </w:trPr>
        <w:tc>
          <w:tcPr>
            <w:tcW w:w="359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402"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DS07B</w:t>
            </w:r>
          </w:p>
        </w:tc>
      </w:tr>
      <w:tr w:rsidR="00660414" w:rsidRPr="000A76BD" w:rsidTr="007613DE">
        <w:trPr>
          <w:cantSplit/>
        </w:trPr>
        <w:tc>
          <w:tcPr>
            <w:tcW w:w="359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40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+389 (+2%)</w:t>
            </w:r>
          </w:p>
        </w:tc>
      </w:tr>
      <w:tr w:rsidR="00660414" w:rsidRPr="000A76BD" w:rsidTr="007613DE">
        <w:trPr>
          <w:cantSplit/>
        </w:trPr>
        <w:tc>
          <w:tcPr>
            <w:tcW w:w="359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40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59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40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+456 (+1%)</w:t>
            </w:r>
          </w:p>
        </w:tc>
      </w:tr>
      <w:tr w:rsidR="00660414" w:rsidRPr="000A76BD" w:rsidTr="007613DE">
        <w:trPr>
          <w:cantSplit/>
        </w:trPr>
        <w:tc>
          <w:tcPr>
            <w:tcW w:w="359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40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59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40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740</w:t>
            </w:r>
          </w:p>
        </w:tc>
      </w:tr>
      <w:tr w:rsidR="00660414" w:rsidRPr="000A76BD" w:rsidTr="007613DE">
        <w:trPr>
          <w:cantSplit/>
        </w:trPr>
        <w:tc>
          <w:tcPr>
            <w:tcW w:w="359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40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39</w:t>
            </w:r>
          </w:p>
        </w:tc>
      </w:tr>
      <w:tr w:rsidR="00660414" w:rsidRPr="000A76BD" w:rsidTr="007613DE">
        <w:trPr>
          <w:cantSplit/>
        </w:trPr>
        <w:tc>
          <w:tcPr>
            <w:tcW w:w="359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40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12</w:t>
            </w:r>
            <w:r w:rsidRPr="00804F1B">
              <w:rPr>
                <w:rFonts w:cs="Arial"/>
                <w:b/>
                <w:sz w:val="22"/>
                <w:szCs w:val="22"/>
              </w:rPr>
              <w:t>%</w:t>
            </w:r>
          </w:p>
        </w:tc>
      </w:tr>
      <w:tr w:rsidR="00660414" w:rsidRPr="000A76BD" w:rsidTr="007613DE">
        <w:tc>
          <w:tcPr>
            <w:tcW w:w="359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40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330</w:t>
            </w:r>
            <w:r>
              <w:rPr>
                <w:rFonts w:cs="Arial"/>
                <w:sz w:val="22"/>
                <w:szCs w:val="22"/>
                <w:vertAlign w:val="superscript"/>
              </w:rPr>
              <w:t>1</w:t>
            </w:r>
          </w:p>
        </w:tc>
      </w:tr>
      <w:tr w:rsidR="00660414" w:rsidRPr="000A76BD" w:rsidTr="007613DE">
        <w:tc>
          <w:tcPr>
            <w:tcW w:w="359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40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w:t>
            </w:r>
          </w:p>
        </w:tc>
      </w:tr>
      <w:tr w:rsidR="00660414" w:rsidRPr="000A76BD" w:rsidTr="007613DE">
        <w:tc>
          <w:tcPr>
            <w:tcW w:w="5000" w:type="pct"/>
            <w:gridSpan w:val="2"/>
            <w:shd w:val="clear" w:color="auto" w:fill="auto"/>
          </w:tcPr>
          <w:p w:rsidR="00660414" w:rsidRPr="000A76BD" w:rsidRDefault="00660414" w:rsidP="007613DE">
            <w:pPr>
              <w:spacing w:before="120" w:line="276" w:lineRule="auto"/>
              <w:ind w:left="720" w:hanging="720"/>
              <w:jc w:val="both"/>
              <w:rPr>
                <w:rFonts w:cs="Arial"/>
                <w:sz w:val="22"/>
                <w:szCs w:val="22"/>
              </w:rPr>
            </w:pPr>
            <w:r>
              <w:rPr>
                <w:rFonts w:cs="Arial"/>
                <w:sz w:val="22"/>
                <w:szCs w:val="22"/>
                <w:vertAlign w:val="superscript"/>
              </w:rPr>
              <w:t>1</w:t>
            </w:r>
            <w:r w:rsidRPr="00804F1B">
              <w:rPr>
                <w:rFonts w:cs="Arial"/>
                <w:sz w:val="22"/>
                <w:szCs w:val="22"/>
              </w:rPr>
              <w:t xml:space="preserve"> Including line doubling and electrification</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5.66 and 5.67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403AB8A7" wp14:editId="27CAC09A">
            <wp:extent cx="5627009" cy="3960000"/>
            <wp:effectExtent l="0" t="0" r="0" b="2540"/>
            <wp:docPr id="582" name="Picture 582" descr="F:\Projects\Transport Planning - Romania UK GTMP\PUBLIC TRANSPORT\Rail\04_Plots\Rail_results\output\DS07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rojects\Transport Planning - Romania UK GTMP\PUBLIC TRANSPORT\Rail\04_Plots\Rail_results\output\DS07B_2030_change_pass.jpg"/>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66</w:t>
      </w:r>
      <w:r w:rsidRPr="0075501B">
        <w:rPr>
          <w:b/>
          <w:sz w:val="22"/>
          <w:szCs w:val="22"/>
        </w:rPr>
        <w:fldChar w:fldCharType="end"/>
      </w:r>
      <w:r>
        <w:rPr>
          <w:b/>
          <w:sz w:val="22"/>
          <w:szCs w:val="22"/>
        </w:rPr>
        <w:t>: Change in Passenger Demand (DS07B)</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804F1B">
        <w:rPr>
          <w:rFonts w:cs="Arial"/>
          <w:sz w:val="22"/>
          <w:szCs w:val="22"/>
        </w:rPr>
        <w:t>Passenger traffic travelling on the Oradea to Cluj-Napoca corridor increases in this scenario by about +90%, passengers from the Arad / Timisoara area switch to the upgraded corridor to travel to Cluj-Napoca and the Northeast.</w:t>
      </w:r>
    </w:p>
    <w:p w:rsidR="00660414" w:rsidRDefault="00660414" w:rsidP="00660414">
      <w:pPr>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84B96EF" wp14:editId="76EA1122">
            <wp:extent cx="5607681" cy="3960000"/>
            <wp:effectExtent l="0" t="0" r="0" b="2540"/>
            <wp:docPr id="583" name="Picture 583" descr="F:\Projects\Transport Planning - Romania UK GTMP\PUBLIC TRANSPORT\Rail\04_Plots\Rail_results\output\DS07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jects\Transport Planning - Romania UK GTMP\PUBLIC TRANSPORT\Rail\04_Plots\Rail_results\output\DS07B_2030_change_freight.jpg"/>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67</w:t>
      </w:r>
      <w:r w:rsidRPr="0075501B">
        <w:rPr>
          <w:b/>
          <w:sz w:val="22"/>
          <w:szCs w:val="22"/>
        </w:rPr>
        <w:fldChar w:fldCharType="end"/>
      </w:r>
      <w:r>
        <w:rPr>
          <w:b/>
          <w:sz w:val="22"/>
          <w:szCs w:val="22"/>
        </w:rPr>
        <w:t>: Change in Freight Demand (DS07B)</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Freight traffic between Cluj-Napoca and Oradea </w:t>
      </w:r>
      <w:r>
        <w:rPr>
          <w:rFonts w:cs="Arial"/>
          <w:sz w:val="22"/>
          <w:szCs w:val="22"/>
        </w:rPr>
        <w:t xml:space="preserve">is </w:t>
      </w:r>
      <w:r w:rsidRPr="00804F1B">
        <w:rPr>
          <w:rFonts w:cs="Arial"/>
          <w:sz w:val="22"/>
          <w:szCs w:val="22"/>
        </w:rPr>
        <w:t>forecast to increase by about 50%</w:t>
      </w:r>
      <w:r>
        <w:rPr>
          <w:rFonts w:cs="Arial"/>
          <w:sz w:val="22"/>
          <w:szCs w:val="22"/>
        </w:rPr>
        <w:t xml:space="preserve">, although this increase can be partially offset by the abstraction </w:t>
      </w:r>
      <w:r w:rsidRPr="00804F1B">
        <w:rPr>
          <w:rFonts w:cs="Arial"/>
          <w:sz w:val="22"/>
          <w:szCs w:val="22"/>
        </w:rPr>
        <w:t>from lines 200 and 413. The number of freight tonnes transported through Orastie falls by -10%, whilst traffic on corridor 413 falls by 5%.</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660414">
      <w:pPr>
        <w:spacing w:line="276" w:lineRule="auto"/>
        <w:jc w:val="both"/>
        <w:rPr>
          <w:rFonts w:cs="Arial"/>
          <w:sz w:val="22"/>
          <w:szCs w:val="22"/>
        </w:rPr>
      </w:pPr>
      <w:r w:rsidRPr="00804F1B">
        <w:rPr>
          <w:rFonts w:cs="Arial"/>
          <w:sz w:val="22"/>
          <w:szCs w:val="22"/>
        </w:rPr>
        <w:t>It has been estimated that the project could be implemented by 2030 if funding is secured.</w:t>
      </w:r>
      <w:r w:rsidRPr="00804F1B">
        <w:rPr>
          <w:rFonts w:cs="Arial"/>
          <w:sz w:val="22"/>
          <w:szCs w:val="22"/>
        </w:rPr>
        <w:br w:type="page"/>
      </w:r>
    </w:p>
    <w:p w:rsidR="00660414" w:rsidRPr="00170C2E" w:rsidRDefault="00660414" w:rsidP="00170C2E">
      <w:pPr>
        <w:pStyle w:val="Hdg3"/>
        <w:ind w:left="851"/>
      </w:pPr>
      <w:r w:rsidRPr="008C5B1B">
        <w:t>Line Timisoara – Oradea to design speed (Test DS08A)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 xml:space="preserve">Upgrade programme for Core TEN-T corridor IV-S between Timisoara and Arad and line 310 from Arad to Timisoara. This project includes: </w:t>
            </w:r>
          </w:p>
          <w:p w:rsidR="00660414" w:rsidRPr="000A76BD" w:rsidRDefault="00660414" w:rsidP="00273D5E">
            <w:pPr>
              <w:pStyle w:val="BulletLevel1"/>
              <w:numPr>
                <w:ilvl w:val="0"/>
                <w:numId w:val="60"/>
              </w:numPr>
            </w:pPr>
            <w:r w:rsidRPr="00804F1B">
              <w:t>Rehabilitation to design speed of corridors: 310 between Oradea and Arad and the section Arad to Timisoara of Core TEN-T corridor IV-S.</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Timisoara, Arad, Chisineu-Cris, Salonta and Oradea.</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Timisoara to Oradea (0.5 tph).</w:t>
            </w:r>
          </w:p>
        </w:tc>
      </w:tr>
    </w:tbl>
    <w:p w:rsidR="00660414" w:rsidRDefault="00660414" w:rsidP="00660414">
      <w:pPr>
        <w:spacing w:after="120"/>
        <w:rPr>
          <w:b/>
          <w:noProof/>
          <w:sz w:val="22"/>
          <w:szCs w:val="22"/>
          <w:lang w:eastAsia="en-GB"/>
        </w:rPr>
      </w:pPr>
      <w:r w:rsidRPr="008C5B1B">
        <w:rPr>
          <w:b/>
          <w:noProof/>
          <w:sz w:val="22"/>
          <w:szCs w:val="22"/>
          <w:lang w:val="ro-RO" w:eastAsia="ro-RO"/>
        </w:rPr>
        <w:drawing>
          <wp:inline distT="0" distB="0" distL="0" distR="0" wp14:anchorId="576610B5" wp14:editId="019BCBEB">
            <wp:extent cx="5645583" cy="3960000"/>
            <wp:effectExtent l="0" t="0" r="0" b="2540"/>
            <wp:docPr id="584" name="Picture 584" descr="F:\Projects\Transport Planning - Romania UK GTMP\PUBLIC TRANSPORT\Rail\04_Plots\Do_Somthing_schemes\outputs\DoSomethingSchemes_DS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jects\Transport Planning - Romania UK GTMP\PUBLIC TRANSPORT\Rail\04_Plots\Do_Somthing_schemes\outputs\DoSomethingSchemes_DS08A.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645583"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68</w:t>
      </w:r>
      <w:r w:rsidRPr="008C7A83">
        <w:rPr>
          <w:b/>
          <w:sz w:val="22"/>
          <w:szCs w:val="22"/>
        </w:rPr>
        <w:fldChar w:fldCharType="end"/>
      </w:r>
      <w:r w:rsidRPr="008C7A83">
        <w:rPr>
          <w:b/>
          <w:sz w:val="22"/>
          <w:szCs w:val="22"/>
        </w:rPr>
        <w:t>:</w:t>
      </w:r>
      <w:r>
        <w:rPr>
          <w:b/>
          <w:sz w:val="22"/>
          <w:szCs w:val="22"/>
        </w:rPr>
        <w:t xml:space="preserve"> Description of Service Proposals (DS08A)</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p w:rsidR="00660414" w:rsidRPr="008C5B1B" w:rsidRDefault="00660414" w:rsidP="00660414">
      <w:pPr>
        <w:spacing w:after="120"/>
        <w:rPr>
          <w:b/>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and speed restrictions due to underspend in maintenance and renewals. Slow running speeds of passenger and freight trains between Timisoara and Oradea.</w:t>
            </w:r>
          </w:p>
          <w:p w:rsidR="00660414" w:rsidRPr="000A76BD" w:rsidRDefault="00660414" w:rsidP="00273D5E">
            <w:pPr>
              <w:pStyle w:val="BulletLevel1"/>
              <w:numPr>
                <w:ilvl w:val="0"/>
                <w:numId w:val="60"/>
              </w:numPr>
            </w:pPr>
            <w:r w:rsidRPr="00804F1B">
              <w:t xml:space="preserve">Delays due to poor infrastructure condition. Commercial speeds below design parameters over the whole length of the corridor (between Timisoara and Arad and Oradea and Arad). Significant time savings could be achieved. </w:t>
            </w:r>
          </w:p>
          <w:p w:rsidR="00660414" w:rsidRPr="000A76BD" w:rsidRDefault="00660414" w:rsidP="00273D5E">
            <w:pPr>
              <w:pStyle w:val="BulletLevel1"/>
              <w:numPr>
                <w:ilvl w:val="0"/>
                <w:numId w:val="60"/>
              </w:numPr>
            </w:pPr>
            <w:r w:rsidRPr="00804F1B">
              <w:t>Low rail market share of rail trips between Arad and Timisoara, potential to increase rail patronage on this section significantly.</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44</w:t>
      </w:r>
      <w:r w:rsidRPr="001F5936">
        <w:rPr>
          <w:b/>
          <w:sz w:val="22"/>
          <w:szCs w:val="22"/>
        </w:rPr>
        <w:fldChar w:fldCharType="end"/>
      </w:r>
      <w:r w:rsidRPr="001F5936">
        <w:rPr>
          <w:b/>
          <w:sz w:val="22"/>
          <w:szCs w:val="22"/>
        </w:rPr>
        <w:t>:</w:t>
      </w:r>
      <w:r>
        <w:rPr>
          <w:b/>
          <w:sz w:val="22"/>
          <w:szCs w:val="22"/>
        </w:rPr>
        <w:t xml:space="preserve"> Summary of Infrastructure Costs and Operating Costs (DS08A)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2963"/>
        <w:gridCol w:w="6453"/>
      </w:tblGrid>
      <w:tr w:rsidR="00660414" w:rsidRPr="000A76BD" w:rsidTr="007613DE">
        <w:trPr>
          <w:cantSplit/>
          <w:tblHeader/>
        </w:trPr>
        <w:tc>
          <w:tcPr>
            <w:tcW w:w="51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410" w:type="pct"/>
            <w:shd w:val="clear" w:color="auto" w:fill="C6D9F1"/>
            <w:vAlign w:val="center"/>
          </w:tcPr>
          <w:p w:rsidR="00660414" w:rsidRPr="000A76BD" w:rsidRDefault="00660414" w:rsidP="007613DE">
            <w:pPr>
              <w:spacing w:line="276" w:lineRule="auto"/>
              <w:ind w:left="35" w:hanging="35"/>
              <w:jc w:val="both"/>
              <w:rPr>
                <w:rFonts w:cs="Arial"/>
                <w:b/>
                <w:bCs/>
                <w:sz w:val="22"/>
                <w:szCs w:val="22"/>
              </w:rPr>
            </w:pPr>
            <w:r w:rsidRPr="00804F1B">
              <w:rPr>
                <w:rFonts w:cs="Arial"/>
                <w:b/>
                <w:bCs/>
                <w:sz w:val="22"/>
                <w:szCs w:val="22"/>
              </w:rPr>
              <w:t>Undiscounted costs (Million €, 2014 prices)</w:t>
            </w:r>
          </w:p>
        </w:tc>
        <w:tc>
          <w:tcPr>
            <w:tcW w:w="307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390</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543</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933</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poor 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w:t>
      </w:r>
      <w:r w:rsidRPr="00804F1B">
        <w:rPr>
          <w:rFonts w:cs="Arial"/>
          <w:sz w:val="22"/>
          <w:szCs w:val="22"/>
        </w:rPr>
        <w:t>0.70</w:t>
      </w:r>
      <w:r>
        <w:rPr>
          <w:rFonts w:cs="Arial"/>
          <w:sz w:val="22"/>
          <w:szCs w:val="22"/>
        </w:rPr>
        <w:t xml:space="preserve">. There is a </w:t>
      </w:r>
      <w:r w:rsidRPr="00804F1B">
        <w:rPr>
          <w:rFonts w:cs="Arial"/>
          <w:sz w:val="22"/>
          <w:szCs w:val="22"/>
        </w:rPr>
        <w:t>small increase in rail passenger and freight traffic of 6% and 1% respectively</w:t>
      </w:r>
      <w:r>
        <w:rPr>
          <w:rFonts w:cs="Arial"/>
          <w:sz w:val="22"/>
          <w:szCs w:val="22"/>
        </w:rPr>
        <w:t>, as shown in Table 5.45.</w:t>
      </w:r>
    </w:p>
    <w:p w:rsidR="00660414" w:rsidRDefault="00660414" w:rsidP="00660414">
      <w:pPr>
        <w:pStyle w:val="Caption"/>
        <w:rPr>
          <w:b/>
          <w:sz w:val="22"/>
          <w:szCs w:val="22"/>
        </w:rPr>
      </w:pP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45</w:t>
      </w:r>
      <w:r w:rsidRPr="001F5936">
        <w:rPr>
          <w:b/>
          <w:sz w:val="22"/>
          <w:szCs w:val="22"/>
        </w:rPr>
        <w:fldChar w:fldCharType="end"/>
      </w:r>
      <w:r w:rsidRPr="001F5936">
        <w:rPr>
          <w:b/>
          <w:sz w:val="22"/>
          <w:szCs w:val="22"/>
        </w:rPr>
        <w:t>:</w:t>
      </w:r>
      <w:r>
        <w:rPr>
          <w:b/>
          <w:sz w:val="22"/>
          <w:szCs w:val="22"/>
        </w:rPr>
        <w:t xml:space="preserve"> Summary of Results</w:t>
      </w:r>
    </w:p>
    <w:tbl>
      <w:tblPr>
        <w:tblW w:w="33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2162"/>
      </w:tblGrid>
      <w:tr w:rsidR="00660414" w:rsidRPr="000A76BD" w:rsidTr="007613DE">
        <w:trPr>
          <w:cantSplit/>
          <w:tblHeader/>
        </w:trPr>
        <w:tc>
          <w:tcPr>
            <w:tcW w:w="3482"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51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DS08A</w:t>
            </w:r>
          </w:p>
        </w:tc>
      </w:tr>
      <w:tr w:rsidR="00660414" w:rsidRPr="000A76BD" w:rsidTr="007613DE">
        <w:trPr>
          <w:cantSplit/>
        </w:trPr>
        <w:tc>
          <w:tcPr>
            <w:tcW w:w="348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+1,212 (+6%)</w:t>
            </w:r>
          </w:p>
        </w:tc>
      </w:tr>
      <w:tr w:rsidR="00660414" w:rsidRPr="000A76BD" w:rsidTr="007613DE">
        <w:trPr>
          <w:cantSplit/>
        </w:trPr>
        <w:tc>
          <w:tcPr>
            <w:tcW w:w="3482"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+0,4%</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+281 (+1%)</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518"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98</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w:t>
            </w:r>
            <w:r>
              <w:rPr>
                <w:rFonts w:cs="Arial"/>
                <w:b/>
                <w:sz w:val="22"/>
                <w:szCs w:val="22"/>
              </w:rPr>
              <w:t>63</w:t>
            </w:r>
          </w:p>
        </w:tc>
      </w:tr>
      <w:tr w:rsidR="00660414" w:rsidRPr="000A76BD" w:rsidTr="007613DE">
        <w:trPr>
          <w:cantSplit/>
        </w:trPr>
        <w:tc>
          <w:tcPr>
            <w:tcW w:w="3482"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518"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w:t>
            </w:r>
            <w:r w:rsidRPr="00804F1B">
              <w:rPr>
                <w:rFonts w:cs="Arial"/>
                <w:b/>
                <w:sz w:val="22"/>
                <w:szCs w:val="22"/>
              </w:rPr>
              <w:t>.</w:t>
            </w:r>
            <w:r>
              <w:rPr>
                <w:rFonts w:cs="Arial"/>
                <w:b/>
                <w:sz w:val="22"/>
                <w:szCs w:val="22"/>
              </w:rPr>
              <w:t>8</w:t>
            </w:r>
            <w:r w:rsidRPr="00804F1B">
              <w:rPr>
                <w:rFonts w:cs="Arial"/>
                <w:b/>
                <w:sz w:val="22"/>
                <w:szCs w:val="22"/>
              </w:rPr>
              <w:t>2%</w:t>
            </w:r>
          </w:p>
        </w:tc>
      </w:tr>
      <w:tr w:rsidR="00660414" w:rsidRPr="000A76BD" w:rsidTr="007613DE">
        <w:tc>
          <w:tcPr>
            <w:tcW w:w="348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51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200</w:t>
            </w:r>
          </w:p>
        </w:tc>
      </w:tr>
      <w:tr w:rsidR="00660414" w:rsidRPr="000A76BD" w:rsidTr="007613DE">
        <w:tc>
          <w:tcPr>
            <w:tcW w:w="348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518"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6</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i/>
          <w:sz w:val="22"/>
          <w:szCs w:val="22"/>
          <w:u w:val="single"/>
        </w:rPr>
      </w:pPr>
      <w:r>
        <w:rPr>
          <w:rFonts w:cs="Arial"/>
          <w:sz w:val="22"/>
          <w:szCs w:val="22"/>
        </w:rPr>
        <w:t xml:space="preserve">Figures 5.69 and 5.70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27DA1296" wp14:editId="7407C47A">
            <wp:extent cx="5627009" cy="3960000"/>
            <wp:effectExtent l="0" t="0" r="0" b="2540"/>
            <wp:docPr id="585" name="Picture 585" descr="F:\Projects\Transport Planning - Romania UK GTMP\PUBLIC TRANSPORT\Rail\04_Plots\Rail_results\output\DS08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rojects\Transport Planning - Romania UK GTMP\PUBLIC TRANSPORT\Rail\04_Plots\Rail_results\output\DS08A_2030_change_pass.jpg"/>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69</w:t>
      </w:r>
      <w:r w:rsidRPr="0075501B">
        <w:rPr>
          <w:b/>
          <w:sz w:val="22"/>
          <w:szCs w:val="22"/>
        </w:rPr>
        <w:fldChar w:fldCharType="end"/>
      </w:r>
      <w:r>
        <w:rPr>
          <w:b/>
          <w:sz w:val="22"/>
          <w:szCs w:val="22"/>
        </w:rPr>
        <w:t>: Change in Passenger Demand (DS08A)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This project is expected to generate significant passenger demand on the upgraded infrastructure, with demand more than doubling</w:t>
      </w:r>
      <w:r>
        <w:rPr>
          <w:rFonts w:cs="Arial"/>
          <w:sz w:val="22"/>
          <w:szCs w:val="22"/>
        </w:rPr>
        <w:t xml:space="preserve">. </w:t>
      </w:r>
      <w:r w:rsidRPr="00804F1B">
        <w:rPr>
          <w:rFonts w:cs="Arial"/>
          <w:sz w:val="22"/>
          <w:szCs w:val="22"/>
        </w:rPr>
        <w:t xml:space="preserve">The </w:t>
      </w:r>
      <w:r>
        <w:rPr>
          <w:rFonts w:cs="Arial"/>
          <w:sz w:val="22"/>
          <w:szCs w:val="22"/>
        </w:rPr>
        <w:t xml:space="preserve">increased </w:t>
      </w:r>
      <w:r w:rsidRPr="00804F1B">
        <w:rPr>
          <w:rFonts w:cs="Arial"/>
          <w:sz w:val="22"/>
          <w:szCs w:val="22"/>
        </w:rPr>
        <w:t>traffic forecast</w:t>
      </w:r>
      <w:r>
        <w:rPr>
          <w:rFonts w:cs="Arial"/>
          <w:sz w:val="22"/>
          <w:szCs w:val="22"/>
        </w:rPr>
        <w:t xml:space="preserve"> includes a 350% between </w:t>
      </w:r>
      <w:r w:rsidRPr="00804F1B">
        <w:rPr>
          <w:rFonts w:cs="Arial"/>
          <w:sz w:val="22"/>
          <w:szCs w:val="22"/>
        </w:rPr>
        <w:t xml:space="preserve">Timisoara </w:t>
      </w:r>
      <w:r>
        <w:rPr>
          <w:rFonts w:cs="Arial"/>
          <w:sz w:val="22"/>
          <w:szCs w:val="22"/>
        </w:rPr>
        <w:t xml:space="preserve">and </w:t>
      </w:r>
      <w:r w:rsidRPr="00804F1B">
        <w:rPr>
          <w:rFonts w:cs="Arial"/>
          <w:sz w:val="22"/>
          <w:szCs w:val="22"/>
        </w:rPr>
        <w:t>Arad</w:t>
      </w:r>
      <w:r>
        <w:rPr>
          <w:rFonts w:cs="Arial"/>
          <w:sz w:val="22"/>
          <w:szCs w:val="22"/>
        </w:rPr>
        <w:t>, A</w:t>
      </w:r>
      <w:r w:rsidRPr="00804F1B">
        <w:rPr>
          <w:rFonts w:cs="Arial"/>
          <w:sz w:val="22"/>
          <w:szCs w:val="22"/>
        </w:rPr>
        <w:t xml:space="preserve">rad to Salonta </w:t>
      </w:r>
      <w:r>
        <w:rPr>
          <w:rFonts w:cs="Arial"/>
          <w:sz w:val="22"/>
          <w:szCs w:val="22"/>
        </w:rPr>
        <w:t>(</w:t>
      </w:r>
      <w:r w:rsidRPr="00804F1B">
        <w:rPr>
          <w:rFonts w:cs="Arial"/>
          <w:sz w:val="22"/>
          <w:szCs w:val="22"/>
        </w:rPr>
        <w:t>195%</w:t>
      </w:r>
      <w:r>
        <w:rPr>
          <w:rFonts w:cs="Arial"/>
          <w:sz w:val="22"/>
          <w:szCs w:val="22"/>
        </w:rPr>
        <w:t>)</w:t>
      </w:r>
      <w:r w:rsidRPr="00804F1B">
        <w:rPr>
          <w:rFonts w:cs="Arial"/>
          <w:sz w:val="22"/>
          <w:szCs w:val="22"/>
        </w:rPr>
        <w:t xml:space="preserve"> </w:t>
      </w:r>
      <w:r>
        <w:rPr>
          <w:rFonts w:cs="Arial"/>
          <w:sz w:val="22"/>
          <w:szCs w:val="22"/>
        </w:rPr>
        <w:t xml:space="preserve">with a 110% rise between </w:t>
      </w:r>
      <w:r w:rsidRPr="00804F1B">
        <w:rPr>
          <w:rFonts w:cs="Arial"/>
          <w:sz w:val="22"/>
          <w:szCs w:val="22"/>
        </w:rPr>
        <w:t xml:space="preserve">Salonta </w:t>
      </w:r>
      <w:r>
        <w:rPr>
          <w:rFonts w:cs="Arial"/>
          <w:sz w:val="22"/>
          <w:szCs w:val="22"/>
        </w:rPr>
        <w:t xml:space="preserve">and </w:t>
      </w:r>
      <w:r w:rsidRPr="00804F1B">
        <w:rPr>
          <w:rFonts w:cs="Arial"/>
          <w:sz w:val="22"/>
          <w:szCs w:val="22"/>
        </w:rPr>
        <w:t>Oradea</w:t>
      </w:r>
      <w:r>
        <w:rPr>
          <w:rFonts w:cs="Arial"/>
          <w:sz w:val="22"/>
          <w:szCs w:val="22"/>
        </w:rPr>
        <w:t xml:space="preserve">. </w:t>
      </w:r>
      <w:r w:rsidRPr="00804F1B">
        <w:rPr>
          <w:rFonts w:cs="Arial"/>
          <w:sz w:val="22"/>
          <w:szCs w:val="22"/>
        </w:rPr>
        <w:t xml:space="preserve">Other routes also benefit </w:t>
      </w:r>
      <w:r>
        <w:rPr>
          <w:rFonts w:cs="Arial"/>
          <w:sz w:val="22"/>
          <w:szCs w:val="22"/>
        </w:rPr>
        <w:t>T</w:t>
      </w:r>
      <w:r w:rsidRPr="00804F1B">
        <w:rPr>
          <w:rFonts w:cs="Arial"/>
          <w:sz w:val="22"/>
          <w:szCs w:val="22"/>
        </w:rPr>
        <w:t>raffic between Caransebes and Lugoj is expected to increase by 30%. The</w:t>
      </w:r>
      <w:r>
        <w:rPr>
          <w:rFonts w:cs="Arial"/>
          <w:sz w:val="22"/>
          <w:szCs w:val="22"/>
        </w:rPr>
        <w:t xml:space="preserve"> model outputs indicate there will be some abstraction of longer distance trips between </w:t>
      </w:r>
      <w:r w:rsidRPr="00804F1B">
        <w:rPr>
          <w:rFonts w:cs="Arial"/>
          <w:sz w:val="22"/>
          <w:szCs w:val="22"/>
        </w:rPr>
        <w:t xml:space="preserve">Arad – Deva – Cluj-Napoca </w:t>
      </w:r>
      <w:r>
        <w:rPr>
          <w:rFonts w:cs="Arial"/>
          <w:sz w:val="22"/>
          <w:szCs w:val="22"/>
        </w:rPr>
        <w:t>to the enhanced route in response to the faster journey times.</w:t>
      </w:r>
    </w:p>
    <w:p w:rsidR="00660414" w:rsidRDefault="00660414" w:rsidP="00660414">
      <w:pPr>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909812A" wp14:editId="2CAD2A69">
            <wp:extent cx="5627009" cy="3960000"/>
            <wp:effectExtent l="0" t="0" r="0" b="2540"/>
            <wp:docPr id="586" name="Picture 586" descr="F:\Projects\Transport Planning - Romania UK GTMP\PUBLIC TRANSPORT\Rail\04_Plots\Rail_results\output\DS08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rojects\Transport Planning - Romania UK GTMP\PUBLIC TRANSPORT\Rail\04_Plots\Rail_results\output\DS08A_2030_change_freight.jpg"/>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70</w:t>
      </w:r>
      <w:r w:rsidRPr="0075501B">
        <w:rPr>
          <w:b/>
          <w:sz w:val="22"/>
          <w:szCs w:val="22"/>
        </w:rPr>
        <w:fldChar w:fldCharType="end"/>
      </w:r>
      <w:r>
        <w:rPr>
          <w:b/>
          <w:sz w:val="22"/>
          <w:szCs w:val="22"/>
        </w:rPr>
        <w:t>: Change in Freight Demand</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Freight demand has been forecast to increase</w:t>
      </w:r>
      <w:r>
        <w:rPr>
          <w:rFonts w:cs="Arial"/>
          <w:sz w:val="22"/>
          <w:szCs w:val="22"/>
        </w:rPr>
        <w:t>. I</w:t>
      </w:r>
      <w:r w:rsidRPr="00804F1B">
        <w:rPr>
          <w:rFonts w:cs="Arial"/>
          <w:sz w:val="22"/>
          <w:szCs w:val="22"/>
        </w:rPr>
        <w:t>n particular</w:t>
      </w:r>
      <w:r>
        <w:rPr>
          <w:rFonts w:cs="Arial"/>
          <w:sz w:val="22"/>
          <w:szCs w:val="22"/>
        </w:rPr>
        <w:t xml:space="preserve">, </w:t>
      </w:r>
      <w:r w:rsidRPr="00804F1B">
        <w:rPr>
          <w:rFonts w:cs="Arial"/>
          <w:sz w:val="22"/>
          <w:szCs w:val="22"/>
        </w:rPr>
        <w:t xml:space="preserve">it has been estimated that freight traffic will grow by about 40% on the section </w:t>
      </w:r>
      <w:r>
        <w:rPr>
          <w:rFonts w:cs="Arial"/>
          <w:sz w:val="22"/>
          <w:szCs w:val="22"/>
        </w:rPr>
        <w:t xml:space="preserve">between </w:t>
      </w:r>
      <w:r w:rsidRPr="00804F1B">
        <w:rPr>
          <w:rFonts w:cs="Arial"/>
          <w:sz w:val="22"/>
          <w:szCs w:val="22"/>
        </w:rPr>
        <w:t xml:space="preserve">Arad </w:t>
      </w:r>
      <w:r>
        <w:rPr>
          <w:rFonts w:cs="Arial"/>
          <w:sz w:val="22"/>
          <w:szCs w:val="22"/>
        </w:rPr>
        <w:t xml:space="preserve">and </w:t>
      </w:r>
      <w:r w:rsidRPr="00804F1B">
        <w:rPr>
          <w:rFonts w:cs="Arial"/>
          <w:sz w:val="22"/>
          <w:szCs w:val="22"/>
        </w:rPr>
        <w:t xml:space="preserve">Timisoara and by 100% between Arad and Cluj-Napoca.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2030 if funding is secured</w:t>
      </w:r>
    </w:p>
    <w:p w:rsidR="00660414" w:rsidRDefault="00660414" w:rsidP="00660414">
      <w:pPr>
        <w:rPr>
          <w:rFonts w:cs="Arial"/>
          <w:sz w:val="22"/>
          <w:szCs w:val="22"/>
        </w:rPr>
      </w:pPr>
      <w:r>
        <w:rPr>
          <w:rFonts w:cs="Arial"/>
          <w:sz w:val="22"/>
          <w:szCs w:val="22"/>
        </w:rPr>
        <w:br w:type="page"/>
      </w:r>
    </w:p>
    <w:p w:rsidR="00660414" w:rsidRPr="00170C2E" w:rsidRDefault="00660414" w:rsidP="00170C2E">
      <w:pPr>
        <w:pStyle w:val="Hdg3"/>
        <w:ind w:left="851"/>
      </w:pPr>
      <w:r w:rsidRPr="008C5B1B">
        <w:t>Line Timisoara – Oradea to design speed (Test DS08B)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6E166C">
              <w:rPr>
                <w:rFonts w:cs="Arial"/>
                <w:sz w:val="22"/>
                <w:szCs w:val="22"/>
              </w:rPr>
              <w:t xml:space="preserve">Upgrade programme for Core TEN-T corridor </w:t>
            </w:r>
            <w:r>
              <w:rPr>
                <w:rFonts w:cs="Arial"/>
                <w:sz w:val="22"/>
                <w:szCs w:val="22"/>
              </w:rPr>
              <w:t>IV-S between Timisoara and Arad,</w:t>
            </w:r>
            <w:r w:rsidRPr="006E166C">
              <w:rPr>
                <w:rFonts w:cs="Arial"/>
                <w:sz w:val="22"/>
                <w:szCs w:val="22"/>
              </w:rPr>
              <w:t xml:space="preserve"> line 310 from Arad to Timisoara</w:t>
            </w:r>
            <w:r>
              <w:rPr>
                <w:rFonts w:cs="Arial"/>
                <w:sz w:val="22"/>
                <w:szCs w:val="22"/>
              </w:rPr>
              <w:t>, and line 922</w:t>
            </w:r>
            <w:r w:rsidRPr="006E166C">
              <w:rPr>
                <w:rFonts w:cs="Arial"/>
                <w:sz w:val="22"/>
                <w:szCs w:val="22"/>
              </w:rPr>
              <w:t xml:space="preserve">. This project includes: </w:t>
            </w:r>
          </w:p>
          <w:p w:rsidR="00660414" w:rsidRPr="000A76BD" w:rsidRDefault="00660414" w:rsidP="00273D5E">
            <w:pPr>
              <w:pStyle w:val="BulletLevel1"/>
              <w:numPr>
                <w:ilvl w:val="0"/>
                <w:numId w:val="60"/>
              </w:numPr>
            </w:pPr>
            <w:r w:rsidRPr="006E166C">
              <w:t>Rehabilitation to design speed of corrido</w:t>
            </w:r>
            <w:r>
              <w:t xml:space="preserve">rs: 310 between Oradea and Arad, </w:t>
            </w:r>
            <w:r w:rsidRPr="006E166C">
              <w:t>the section Arad to Timisoara of Core TEN-T corridor IV-S</w:t>
            </w:r>
            <w:r>
              <w:t xml:space="preserve"> and line 922.</w:t>
            </w:r>
            <w:r w:rsidRPr="006E166C">
              <w:t>.</w:t>
            </w:r>
          </w:p>
          <w:p w:rsidR="00660414" w:rsidRPr="000A76BD" w:rsidRDefault="00660414" w:rsidP="00273D5E">
            <w:pPr>
              <w:pStyle w:val="BulletLevel1"/>
              <w:numPr>
                <w:ilvl w:val="0"/>
                <w:numId w:val="60"/>
              </w:numPr>
            </w:pPr>
            <w:r w:rsidRPr="006E166C">
              <w:t>Steady state maintenance of the core network (baseline assumption for all Do Something tests).</w:t>
            </w:r>
          </w:p>
          <w:p w:rsidR="00660414" w:rsidRPr="000A76BD" w:rsidRDefault="00660414" w:rsidP="00273D5E">
            <w:pPr>
              <w:pStyle w:val="BulletLevel1"/>
              <w:numPr>
                <w:ilvl w:val="0"/>
                <w:numId w:val="60"/>
              </w:numPr>
            </w:pPr>
            <w:r w:rsidRPr="006E166C">
              <w:t>Improved signalling and communication systems to enhance running speeds and increase the corridor’s capacity.</w:t>
            </w:r>
          </w:p>
          <w:p w:rsidR="00660414" w:rsidRPr="000A76BD" w:rsidRDefault="00660414" w:rsidP="00273D5E">
            <w:pPr>
              <w:pStyle w:val="BulletLevel1"/>
              <w:numPr>
                <w:ilvl w:val="0"/>
                <w:numId w:val="60"/>
              </w:numPr>
            </w:pPr>
            <w:r w:rsidRPr="006E166C">
              <w:t>Improved station facilities at Timisoara, Arad, Chisineu-Cris, Salonta and Oradea.</w:t>
            </w:r>
          </w:p>
          <w:p w:rsidR="00660414" w:rsidRPr="008C5B1B" w:rsidRDefault="00660414" w:rsidP="00273D5E">
            <w:pPr>
              <w:pStyle w:val="BulletLevel1"/>
              <w:numPr>
                <w:ilvl w:val="0"/>
                <w:numId w:val="60"/>
              </w:numPr>
              <w:rPr>
                <w:lang w:val="en-US"/>
              </w:rPr>
            </w:pPr>
            <w:r w:rsidRPr="006E166C">
              <w:t xml:space="preserve">InterRegio regular interval timetable operated by new rolling stock. The proposed regular interval service pattern is: Timisoara to Oradea </w:t>
            </w:r>
            <w:r>
              <w:t xml:space="preserve">and Timisoara to Serbian border </w:t>
            </w:r>
            <w:r w:rsidRPr="006E166C">
              <w:t>(0.5 tph).</w:t>
            </w:r>
          </w:p>
        </w:tc>
      </w:tr>
    </w:tbl>
    <w:p w:rsidR="00660414" w:rsidRDefault="00660414" w:rsidP="00660414">
      <w:pPr>
        <w:rPr>
          <w:b/>
          <w:noProof/>
          <w:sz w:val="22"/>
          <w:szCs w:val="22"/>
          <w:lang w:eastAsia="en-GB"/>
        </w:rPr>
      </w:pPr>
      <w:r w:rsidRPr="008C5B1B">
        <w:rPr>
          <w:b/>
          <w:noProof/>
          <w:sz w:val="22"/>
          <w:szCs w:val="22"/>
          <w:lang w:val="ro-RO" w:eastAsia="ro-RO"/>
        </w:rPr>
        <w:drawing>
          <wp:inline distT="0" distB="0" distL="0" distR="0" wp14:anchorId="09461B05" wp14:editId="61873C4C">
            <wp:extent cx="5584343" cy="3960000"/>
            <wp:effectExtent l="0" t="0" r="0" b="2540"/>
            <wp:docPr id="587" name="Picture 2" descr="F:\Projects\Transport Planning - Romania UK GTMP\PUBLIC TRANSPORT\Rail\04_Plots\Do_Somthing_schemes\outputs\DoSomethingSchemes_DS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Do_Somthing_schemes\outputs\DoSomethingSchemes_DS08B.jpg"/>
                    <pic:cNvPicPr>
                      <a:picLocks noChangeAspect="1" noChangeArrowheads="1"/>
                    </pic:cNvPicPr>
                  </pic:nvPicPr>
                  <pic:blipFill>
                    <a:blip r:embed="rId237" cstate="print"/>
                    <a:srcRect l="2351" t="2284" r="2532" b="3778"/>
                    <a:stretch>
                      <a:fillRect/>
                    </a:stretch>
                  </pic:blipFill>
                  <pic:spPr bwMode="auto">
                    <a:xfrm>
                      <a:off x="0" y="0"/>
                      <a:ext cx="5584343" cy="3960000"/>
                    </a:xfrm>
                    <a:prstGeom prst="rect">
                      <a:avLst/>
                    </a:prstGeom>
                    <a:noFill/>
                    <a:ln w="9525">
                      <a:noFill/>
                      <a:miter lim="800000"/>
                      <a:headEnd/>
                      <a:tailEnd/>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71</w:t>
      </w:r>
      <w:r w:rsidRPr="008C7A83">
        <w:rPr>
          <w:b/>
          <w:sz w:val="22"/>
          <w:szCs w:val="22"/>
        </w:rPr>
        <w:fldChar w:fldCharType="end"/>
      </w:r>
      <w:r w:rsidRPr="008C7A83">
        <w:rPr>
          <w:b/>
          <w:sz w:val="22"/>
          <w:szCs w:val="22"/>
        </w:rPr>
        <w:t>:</w:t>
      </w:r>
      <w:r>
        <w:rPr>
          <w:b/>
          <w:sz w:val="22"/>
          <w:szCs w:val="22"/>
        </w:rPr>
        <w:t xml:space="preserve"> Description of Service Proposals (DS08B)</w:t>
      </w:r>
    </w:p>
    <w:p w:rsidR="00660414" w:rsidRDefault="00660414" w:rsidP="00340716">
      <w:pPr>
        <w:rPr>
          <w:i/>
        </w:rPr>
      </w:pPr>
      <w:r>
        <w:rPr>
          <w:i/>
        </w:rPr>
        <w:t>Source: AECOM analysis of outputs from the National Transport Model</w:t>
      </w:r>
    </w:p>
    <w:p w:rsidR="00660414" w:rsidRPr="00170C2E" w:rsidRDefault="00660414" w:rsidP="00170C2E">
      <w:pPr>
        <w:outlineLvl w:val="0"/>
        <w:rPr>
          <w:i/>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6E166C">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6E166C">
              <w:t>Deteriorated track condition and speed restrictions due to underspend in maintenance and renewals. Slow running speeds of passenger and freight trains between Timisoara and Oradea.</w:t>
            </w:r>
          </w:p>
          <w:p w:rsidR="00660414" w:rsidRPr="000A76BD" w:rsidRDefault="00660414" w:rsidP="00273D5E">
            <w:pPr>
              <w:pStyle w:val="BulletLevel1"/>
              <w:numPr>
                <w:ilvl w:val="0"/>
                <w:numId w:val="60"/>
              </w:numPr>
            </w:pPr>
            <w:r w:rsidRPr="006E166C">
              <w:t xml:space="preserve">Delays due to poor infrastructure condition. Commercial speeds below design parameters over the whole length of the corridor (between Timisoara and Arad and Oradea and Arad). Significant time savings could be achieved. </w:t>
            </w:r>
          </w:p>
          <w:p w:rsidR="00660414" w:rsidRPr="000A76BD" w:rsidRDefault="00660414" w:rsidP="00273D5E">
            <w:pPr>
              <w:pStyle w:val="BulletLevel1"/>
              <w:numPr>
                <w:ilvl w:val="0"/>
                <w:numId w:val="60"/>
              </w:numPr>
            </w:pPr>
            <w:r w:rsidRPr="006E166C">
              <w:t>Low rail market share of rail trips between Arad and Timisoara, potential to increase rail patronage on this section significantly.</w:t>
            </w:r>
          </w:p>
          <w:p w:rsidR="00660414" w:rsidRPr="000A76BD" w:rsidRDefault="00660414" w:rsidP="00273D5E">
            <w:pPr>
              <w:pStyle w:val="BulletLevel1"/>
              <w:numPr>
                <w:ilvl w:val="0"/>
                <w:numId w:val="60"/>
              </w:numPr>
            </w:pPr>
            <w:r w:rsidRPr="006E166C">
              <w:t>Poor rolling stock and station facilities condition, country wide issue.</w:t>
            </w:r>
          </w:p>
          <w:p w:rsidR="00660414" w:rsidRPr="000A76BD" w:rsidRDefault="00660414" w:rsidP="00273D5E">
            <w:pPr>
              <w:pStyle w:val="BulletLevel1"/>
              <w:numPr>
                <w:ilvl w:val="0"/>
                <w:numId w:val="60"/>
              </w:numPr>
            </w:pPr>
            <w:r w:rsidRPr="006E166C">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6E166C">
              <w:t>Poor reliability record and inefficient signalling systems, network wide issues.</w:t>
            </w:r>
          </w:p>
          <w:p w:rsidR="00660414" w:rsidRDefault="00660414" w:rsidP="00273D5E">
            <w:pPr>
              <w:pStyle w:val="BulletLevel1"/>
              <w:numPr>
                <w:ilvl w:val="0"/>
                <w:numId w:val="60"/>
              </w:numPr>
            </w:pPr>
            <w:r w:rsidRPr="006E166C">
              <w:t>Limited capacity and obsolete signalling systems.</w:t>
            </w:r>
          </w:p>
          <w:p w:rsidR="00660414" w:rsidRPr="008C5B1B" w:rsidRDefault="00660414" w:rsidP="00273D5E">
            <w:pPr>
              <w:pStyle w:val="BulletLevel1"/>
              <w:numPr>
                <w:ilvl w:val="0"/>
                <w:numId w:val="60"/>
              </w:numPr>
              <w:rPr>
                <w:lang w:val="en-US"/>
              </w:rPr>
            </w:pPr>
            <w:r>
              <w:t>Poor conectivity rail with Serbia.</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6E166C">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46</w:t>
      </w:r>
      <w:r w:rsidRPr="001F5936">
        <w:rPr>
          <w:b/>
          <w:sz w:val="22"/>
          <w:szCs w:val="22"/>
        </w:rPr>
        <w:fldChar w:fldCharType="end"/>
      </w:r>
      <w:r w:rsidRPr="001F5936">
        <w:rPr>
          <w:b/>
          <w:sz w:val="22"/>
          <w:szCs w:val="22"/>
        </w:rPr>
        <w:t>:</w:t>
      </w:r>
      <w:r>
        <w:rPr>
          <w:b/>
          <w:sz w:val="22"/>
          <w:szCs w:val="22"/>
        </w:rPr>
        <w:t xml:space="preserve"> Summary of Infrastructure Costs and Operating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2963"/>
        <w:gridCol w:w="6453"/>
      </w:tblGrid>
      <w:tr w:rsidR="00660414" w:rsidRPr="000A76BD" w:rsidTr="007613DE">
        <w:trPr>
          <w:cantSplit/>
          <w:tblHeader/>
        </w:trPr>
        <w:tc>
          <w:tcPr>
            <w:tcW w:w="51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Item</w:t>
            </w:r>
          </w:p>
        </w:tc>
        <w:tc>
          <w:tcPr>
            <w:tcW w:w="1410" w:type="pct"/>
            <w:shd w:val="clear" w:color="auto" w:fill="C6D9F1"/>
            <w:vAlign w:val="center"/>
          </w:tcPr>
          <w:p w:rsidR="00660414" w:rsidRPr="000A76BD" w:rsidRDefault="00660414" w:rsidP="007613DE">
            <w:pPr>
              <w:spacing w:line="276" w:lineRule="auto"/>
              <w:ind w:left="35" w:hanging="35"/>
              <w:jc w:val="both"/>
              <w:rPr>
                <w:rFonts w:cs="Arial"/>
                <w:b/>
                <w:bCs/>
                <w:sz w:val="22"/>
                <w:szCs w:val="22"/>
              </w:rPr>
            </w:pPr>
            <w:r w:rsidRPr="006E166C">
              <w:rPr>
                <w:rFonts w:cs="Arial"/>
                <w:b/>
                <w:bCs/>
                <w:sz w:val="22"/>
                <w:szCs w:val="22"/>
              </w:rPr>
              <w:t>Undiscounted costs (Million €, 2014 prices)</w:t>
            </w:r>
          </w:p>
        </w:tc>
        <w:tc>
          <w:tcPr>
            <w:tcW w:w="307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Description of improvements included</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CAPEX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531</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Improved station facilities</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OPEX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687</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Additional train operating costs </w:t>
            </w:r>
          </w:p>
        </w:tc>
      </w:tr>
      <w:tr w:rsidR="00660414" w:rsidRPr="000A76BD" w:rsidTr="007613DE">
        <w:trPr>
          <w:cantSplit/>
        </w:trPr>
        <w:tc>
          <w:tcPr>
            <w:tcW w:w="51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Total </w:t>
            </w:r>
          </w:p>
        </w:tc>
        <w:tc>
          <w:tcPr>
            <w:tcW w:w="141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1,217</w:t>
            </w:r>
          </w:p>
        </w:tc>
        <w:tc>
          <w:tcPr>
            <w:tcW w:w="307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6E166C">
        <w:rPr>
          <w:rFonts w:cs="Arial"/>
          <w:sz w:val="22"/>
          <w:szCs w:val="22"/>
        </w:rPr>
        <w:t xml:space="preserve">This intervention returns poor value for money </w:t>
      </w:r>
      <w:r>
        <w:rPr>
          <w:rFonts w:cs="Arial"/>
          <w:sz w:val="22"/>
          <w:szCs w:val="22"/>
        </w:rPr>
        <w:t xml:space="preserve">with a </w:t>
      </w:r>
      <w:r w:rsidRPr="006E166C">
        <w:rPr>
          <w:rFonts w:cs="Arial"/>
          <w:sz w:val="22"/>
          <w:szCs w:val="22"/>
        </w:rPr>
        <w:t xml:space="preserve">BCR </w:t>
      </w:r>
      <w:r>
        <w:rPr>
          <w:rFonts w:cs="Arial"/>
          <w:sz w:val="22"/>
          <w:szCs w:val="22"/>
        </w:rPr>
        <w:t xml:space="preserve">of </w:t>
      </w:r>
      <w:r w:rsidRPr="006E166C">
        <w:rPr>
          <w:rFonts w:cs="Arial"/>
          <w:sz w:val="22"/>
          <w:szCs w:val="22"/>
        </w:rPr>
        <w:t>0.</w:t>
      </w:r>
      <w:r>
        <w:rPr>
          <w:rFonts w:cs="Arial"/>
          <w:sz w:val="22"/>
          <w:szCs w:val="22"/>
        </w:rPr>
        <w:t>46. There is a 6%</w:t>
      </w:r>
      <w:r w:rsidRPr="006E166C">
        <w:rPr>
          <w:rFonts w:cs="Arial"/>
          <w:sz w:val="22"/>
          <w:szCs w:val="22"/>
        </w:rPr>
        <w:t xml:space="preserve"> increase in rail passenger traffic</w:t>
      </w:r>
      <w:r>
        <w:rPr>
          <w:rFonts w:cs="Arial"/>
          <w:sz w:val="22"/>
          <w:szCs w:val="22"/>
        </w:rPr>
        <w:t xml:space="preserve"> as shown in Table 5.47.</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47</w:t>
      </w:r>
      <w:r w:rsidRPr="001F5936">
        <w:rPr>
          <w:b/>
          <w:sz w:val="22"/>
          <w:szCs w:val="22"/>
        </w:rPr>
        <w:fldChar w:fldCharType="end"/>
      </w:r>
      <w:r w:rsidRPr="001F5936">
        <w:rPr>
          <w:b/>
          <w:sz w:val="22"/>
          <w:szCs w:val="22"/>
        </w:rPr>
        <w:t>:</w:t>
      </w:r>
      <w:r>
        <w:rPr>
          <w:b/>
          <w:sz w:val="22"/>
          <w:szCs w:val="22"/>
        </w:rPr>
        <w:t xml:space="preserve"> Summary of Results (DS08B)</w:t>
      </w:r>
    </w:p>
    <w:tbl>
      <w:tblPr>
        <w:tblW w:w="33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988"/>
      </w:tblGrid>
      <w:tr w:rsidR="00660414" w:rsidRPr="000A76BD" w:rsidTr="007613DE">
        <w:trPr>
          <w:cantSplit/>
          <w:tblHeader/>
        </w:trPr>
        <w:tc>
          <w:tcPr>
            <w:tcW w:w="356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Test code</w:t>
            </w:r>
          </w:p>
        </w:tc>
        <w:tc>
          <w:tcPr>
            <w:tcW w:w="143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DS08</w:t>
            </w:r>
            <w:r>
              <w:rPr>
                <w:rFonts w:cs="Arial"/>
                <w:b/>
                <w:bCs/>
                <w:sz w:val="22"/>
                <w:szCs w:val="22"/>
              </w:rPr>
              <w:t>B</w:t>
            </w:r>
          </w:p>
        </w:tc>
      </w:tr>
      <w:tr w:rsidR="00660414" w:rsidRPr="000A76BD" w:rsidTr="007613DE">
        <w:trPr>
          <w:cantSplit/>
        </w:trPr>
        <w:tc>
          <w:tcPr>
            <w:tcW w:w="356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(1000's 2030)</w:t>
            </w:r>
          </w:p>
        </w:tc>
        <w:tc>
          <w:tcPr>
            <w:tcW w:w="143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+1,2</w:t>
            </w:r>
            <w:r>
              <w:rPr>
                <w:rFonts w:cs="Arial"/>
                <w:sz w:val="22"/>
                <w:szCs w:val="22"/>
              </w:rPr>
              <w:t>51</w:t>
            </w:r>
            <w:r w:rsidRPr="006E166C">
              <w:rPr>
                <w:rFonts w:cs="Arial"/>
                <w:sz w:val="22"/>
                <w:szCs w:val="22"/>
              </w:rPr>
              <w:t xml:space="preserve"> (+6%)</w:t>
            </w:r>
          </w:p>
        </w:tc>
      </w:tr>
      <w:tr w:rsidR="00660414" w:rsidRPr="000A76BD" w:rsidTr="007613DE">
        <w:trPr>
          <w:cantSplit/>
        </w:trPr>
        <w:tc>
          <w:tcPr>
            <w:tcW w:w="3569"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share (2030)</w:t>
            </w:r>
          </w:p>
        </w:tc>
        <w:tc>
          <w:tcPr>
            <w:tcW w:w="143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+0,4%</w:t>
            </w:r>
          </w:p>
        </w:tc>
      </w:tr>
      <w:tr w:rsidR="00660414" w:rsidRPr="000A76BD" w:rsidTr="007613DE">
        <w:trPr>
          <w:cantSplit/>
        </w:trPr>
        <w:tc>
          <w:tcPr>
            <w:tcW w:w="356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Tonne-km (1000,s 2030)</w:t>
            </w:r>
          </w:p>
        </w:tc>
        <w:tc>
          <w:tcPr>
            <w:tcW w:w="143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w:t>
            </w:r>
            <w:r>
              <w:rPr>
                <w:rFonts w:cs="Arial"/>
                <w:sz w:val="22"/>
                <w:szCs w:val="22"/>
              </w:rPr>
              <w:t>382</w:t>
            </w:r>
            <w:r w:rsidRPr="006E166C">
              <w:rPr>
                <w:rFonts w:cs="Arial"/>
                <w:sz w:val="22"/>
                <w:szCs w:val="22"/>
              </w:rPr>
              <w:t xml:space="preserve"> (+1%)</w:t>
            </w:r>
          </w:p>
        </w:tc>
      </w:tr>
      <w:tr w:rsidR="00660414" w:rsidRPr="000A76BD" w:rsidTr="007613DE">
        <w:trPr>
          <w:cantSplit/>
        </w:trPr>
        <w:tc>
          <w:tcPr>
            <w:tcW w:w="356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Tonne-km share (2030)</w:t>
            </w:r>
          </w:p>
        </w:tc>
        <w:tc>
          <w:tcPr>
            <w:tcW w:w="1431"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0.1%</w:t>
            </w:r>
          </w:p>
        </w:tc>
      </w:tr>
      <w:tr w:rsidR="00660414" w:rsidRPr="000A76BD" w:rsidTr="007613DE">
        <w:trPr>
          <w:cantSplit/>
        </w:trPr>
        <w:tc>
          <w:tcPr>
            <w:tcW w:w="356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NPV € Mill (2014 Prices)</w:t>
            </w:r>
          </w:p>
        </w:tc>
        <w:tc>
          <w:tcPr>
            <w:tcW w:w="143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w:t>
            </w:r>
            <w:r>
              <w:rPr>
                <w:rFonts w:cs="Arial"/>
                <w:b/>
                <w:sz w:val="22"/>
                <w:szCs w:val="22"/>
              </w:rPr>
              <w:t>213</w:t>
            </w:r>
          </w:p>
        </w:tc>
      </w:tr>
      <w:tr w:rsidR="00660414" w:rsidRPr="000A76BD" w:rsidTr="007613DE">
        <w:trPr>
          <w:cantSplit/>
        </w:trPr>
        <w:tc>
          <w:tcPr>
            <w:tcW w:w="356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BCR</w:t>
            </w:r>
          </w:p>
        </w:tc>
        <w:tc>
          <w:tcPr>
            <w:tcW w:w="143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0.</w:t>
            </w:r>
            <w:r>
              <w:rPr>
                <w:rFonts w:cs="Arial"/>
                <w:b/>
                <w:sz w:val="22"/>
                <w:szCs w:val="22"/>
              </w:rPr>
              <w:t>46</w:t>
            </w:r>
          </w:p>
        </w:tc>
      </w:tr>
      <w:tr w:rsidR="00660414" w:rsidRPr="000A76BD" w:rsidTr="007613DE">
        <w:trPr>
          <w:cantSplit/>
        </w:trPr>
        <w:tc>
          <w:tcPr>
            <w:tcW w:w="3569"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EIRR</w:t>
            </w:r>
          </w:p>
        </w:tc>
        <w:tc>
          <w:tcPr>
            <w:tcW w:w="1431"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1</w:t>
            </w:r>
            <w:r w:rsidRPr="006E166C">
              <w:rPr>
                <w:rFonts w:cs="Arial"/>
                <w:b/>
                <w:sz w:val="22"/>
                <w:szCs w:val="22"/>
              </w:rPr>
              <w:t>.</w:t>
            </w:r>
            <w:r>
              <w:rPr>
                <w:rFonts w:cs="Arial"/>
                <w:b/>
                <w:sz w:val="22"/>
                <w:szCs w:val="22"/>
              </w:rPr>
              <w:t>03</w:t>
            </w:r>
            <w:r w:rsidRPr="006E166C">
              <w:rPr>
                <w:rFonts w:cs="Arial"/>
                <w:b/>
                <w:sz w:val="22"/>
                <w:szCs w:val="22"/>
              </w:rPr>
              <w:t>%</w:t>
            </w:r>
          </w:p>
        </w:tc>
      </w:tr>
      <w:tr w:rsidR="00660414" w:rsidRPr="000A76BD" w:rsidTr="007613DE">
        <w:tc>
          <w:tcPr>
            <w:tcW w:w="356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Upgraded main line infrastructure (track-km)</w:t>
            </w:r>
          </w:p>
        </w:tc>
        <w:tc>
          <w:tcPr>
            <w:tcW w:w="143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2</w:t>
            </w:r>
            <w:r>
              <w:rPr>
                <w:rFonts w:cs="Arial"/>
                <w:sz w:val="22"/>
                <w:szCs w:val="22"/>
              </w:rPr>
              <w:t>58</w:t>
            </w:r>
          </w:p>
        </w:tc>
      </w:tr>
      <w:tr w:rsidR="00660414" w:rsidRPr="000A76BD" w:rsidTr="007613DE">
        <w:tc>
          <w:tcPr>
            <w:tcW w:w="356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Required rolling stock units</w:t>
            </w:r>
          </w:p>
        </w:tc>
        <w:tc>
          <w:tcPr>
            <w:tcW w:w="143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6</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Pr="00804F1B" w:rsidRDefault="00660414" w:rsidP="00340716">
      <w:pPr>
        <w:spacing w:line="276" w:lineRule="auto"/>
        <w:jc w:val="both"/>
        <w:rPr>
          <w:rFonts w:cs="Arial"/>
          <w:sz w:val="22"/>
          <w:szCs w:val="22"/>
        </w:rPr>
      </w:pPr>
      <w:r w:rsidRPr="00804F1B">
        <w:rPr>
          <w:rFonts w:cs="Arial"/>
          <w:sz w:val="22"/>
          <w:szCs w:val="22"/>
        </w:rPr>
        <w:t>Changes in freight and passenger flows on this test are similar to DS08A.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6E166C">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F17B06" w:rsidRDefault="00660414" w:rsidP="00340716">
      <w:pPr>
        <w:spacing w:line="276" w:lineRule="auto"/>
        <w:jc w:val="both"/>
        <w:rPr>
          <w:rFonts w:cs="Arial"/>
          <w:sz w:val="22"/>
          <w:szCs w:val="22"/>
        </w:rPr>
      </w:pPr>
      <w:r w:rsidRPr="006E166C">
        <w:rPr>
          <w:rFonts w:cs="Arial"/>
          <w:sz w:val="22"/>
          <w:szCs w:val="22"/>
        </w:rPr>
        <w:t>It has been estimated that the project could be implemented by 2030 if funding is secured.</w:t>
      </w:r>
    </w:p>
    <w:p w:rsidR="00660414" w:rsidRPr="00340716" w:rsidRDefault="00660414" w:rsidP="00340716">
      <w:pPr>
        <w:spacing w:line="276" w:lineRule="auto"/>
        <w:jc w:val="both"/>
        <w:rPr>
          <w:rFonts w:cs="Arial"/>
          <w:sz w:val="22"/>
          <w:szCs w:val="22"/>
        </w:rPr>
      </w:pPr>
      <w:r w:rsidRPr="006E166C">
        <w:rPr>
          <w:rFonts w:cs="Arial"/>
          <w:sz w:val="22"/>
          <w:szCs w:val="22"/>
        </w:rPr>
        <w:br w:type="page"/>
      </w:r>
    </w:p>
    <w:p w:rsidR="00660414" w:rsidRPr="00170C2E" w:rsidRDefault="00660414" w:rsidP="00170C2E">
      <w:pPr>
        <w:pStyle w:val="Hdg3"/>
        <w:ind w:left="851"/>
      </w:pPr>
      <w:r w:rsidRPr="008C5B1B">
        <w:t>Line Oradea to Satu Mare and Satu Mare to Cluj-Napoca to design speed (Test DS09A)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 xml:space="preserve">Upgrade programme for the rail line between Oradea and Baia Mare via Satu Mare, and Baia Mare to Cluj-Napoca via Dej. This project includes: </w:t>
            </w:r>
          </w:p>
          <w:p w:rsidR="00660414" w:rsidRPr="000A76BD" w:rsidRDefault="00660414" w:rsidP="00273D5E">
            <w:pPr>
              <w:pStyle w:val="BulletLevel1"/>
              <w:numPr>
                <w:ilvl w:val="0"/>
                <w:numId w:val="60"/>
              </w:numPr>
            </w:pPr>
            <w:r w:rsidRPr="00804F1B">
              <w:t>Rehabilitation to design speed of corridors: 300 between Oradea and Episcopia Bihor, 402 between Episcopia Bihor and Satu Mare, 400 from Satu Mare to Dej, 401 from Dej to Apahida and Corridor 300 between Apahida and Cluj-Napoca.</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Improved station facilities at Oradea, Sacuieni, Valea lui Mihai, Carei, Satu Mare, Baia Mare, Jibou, Dej and Cluj-Napoca.</w:t>
            </w:r>
          </w:p>
          <w:p w:rsidR="00660414" w:rsidRPr="008C5B1B" w:rsidRDefault="00660414" w:rsidP="00273D5E">
            <w:pPr>
              <w:pStyle w:val="BulletLevel1"/>
              <w:numPr>
                <w:ilvl w:val="0"/>
                <w:numId w:val="60"/>
              </w:numPr>
              <w:rPr>
                <w:lang w:val="en-US"/>
              </w:rPr>
            </w:pPr>
            <w:r w:rsidRPr="00804F1B">
              <w:t>InterRegio regular interval timetable operated by new rolling stock. The proposed regular interval service pattern is: Baia Mare to Oradea via Satu Mare (0.5 tph) and Satu Mare to Cluj-Napoca via Baia Mare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261B1559" wp14:editId="780EC494">
            <wp:extent cx="5684001" cy="3960000"/>
            <wp:effectExtent l="0" t="0" r="0" b="2540"/>
            <wp:docPr id="588" name="Picture 588" descr="F:\Projects\Transport Planning - Romania UK GTMP\PUBLIC TRANSPORT\Rail\04_Plots\Do_Somthing_schemes\outputs\DoSomethingSchemes_DS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jects\Transport Planning - Romania UK GTMP\PUBLIC TRANSPORT\Rail\04_Plots\Do_Somthing_schemes\outputs\DoSomethingSchemes_DS09A.jpg"/>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5684001"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72</w:t>
      </w:r>
      <w:r w:rsidRPr="008C7A83">
        <w:rPr>
          <w:b/>
          <w:sz w:val="22"/>
          <w:szCs w:val="22"/>
        </w:rPr>
        <w:fldChar w:fldCharType="end"/>
      </w:r>
      <w:r w:rsidRPr="008C7A83">
        <w:rPr>
          <w:b/>
          <w:sz w:val="22"/>
          <w:szCs w:val="22"/>
        </w:rPr>
        <w:t>:</w:t>
      </w:r>
      <w:r>
        <w:rPr>
          <w:b/>
          <w:sz w:val="22"/>
          <w:szCs w:val="22"/>
        </w:rPr>
        <w:t xml:space="preserve"> Description of Service Proposals (DS09A)</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and speed restrictions due to underspend in maintenance and renewals. Slow running speeds of passenger and freight trains between Satu Mare and Cluj-Napoca.</w:t>
            </w:r>
          </w:p>
          <w:p w:rsidR="00660414" w:rsidRPr="000A76BD" w:rsidRDefault="00660414" w:rsidP="00273D5E">
            <w:pPr>
              <w:pStyle w:val="BulletLevel1"/>
              <w:numPr>
                <w:ilvl w:val="0"/>
                <w:numId w:val="60"/>
              </w:numPr>
            </w:pPr>
            <w:r w:rsidRPr="00804F1B">
              <w:t>Delays due to poor infrastructure condition and speed restrictions. Commercial speeds below design parameters between Apa and Baia Mare and Apahida to Dej Calatori.</w:t>
            </w:r>
          </w:p>
          <w:p w:rsidR="00660414" w:rsidRPr="000A76BD" w:rsidRDefault="00660414" w:rsidP="00273D5E">
            <w:pPr>
              <w:pStyle w:val="BulletLevel1"/>
              <w:numPr>
                <w:ilvl w:val="0"/>
                <w:numId w:val="60"/>
              </w:numPr>
            </w:pPr>
            <w:r w:rsidRPr="00804F1B">
              <w:t>Low rail market share of rail trips between Satu Mare and Baia Mare, significant potential to increase rail patronage on this section.</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48</w:t>
      </w:r>
      <w:r w:rsidRPr="001F5936">
        <w:rPr>
          <w:b/>
          <w:sz w:val="22"/>
          <w:szCs w:val="22"/>
        </w:rPr>
        <w:fldChar w:fldCharType="end"/>
      </w:r>
      <w:r w:rsidRPr="001F5936">
        <w:rPr>
          <w:b/>
          <w:sz w:val="22"/>
          <w:szCs w:val="22"/>
        </w:rPr>
        <w:t>:</w:t>
      </w:r>
      <w:r>
        <w:rPr>
          <w:b/>
          <w:sz w:val="22"/>
          <w:szCs w:val="22"/>
        </w:rPr>
        <w:t xml:space="preserve"> Summary of Infrastructure Costs and Operating Costs (DS09A)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
        <w:gridCol w:w="2807"/>
        <w:gridCol w:w="6651"/>
      </w:tblGrid>
      <w:tr w:rsidR="00660414" w:rsidRPr="000A76BD" w:rsidTr="007613DE">
        <w:trPr>
          <w:cantSplit/>
          <w:tblHeader/>
        </w:trPr>
        <w:tc>
          <w:tcPr>
            <w:tcW w:w="4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36" w:type="pct"/>
            <w:shd w:val="clear" w:color="auto" w:fill="C6D9F1"/>
            <w:vAlign w:val="center"/>
          </w:tcPr>
          <w:p w:rsidR="00660414" w:rsidRPr="000A76BD" w:rsidRDefault="00660414" w:rsidP="007613DE">
            <w:pPr>
              <w:spacing w:line="276" w:lineRule="auto"/>
              <w:ind w:left="35" w:hanging="35"/>
              <w:jc w:val="both"/>
              <w:rPr>
                <w:rFonts w:cs="Arial"/>
                <w:b/>
                <w:bCs/>
                <w:sz w:val="22"/>
                <w:szCs w:val="22"/>
              </w:rPr>
            </w:pPr>
            <w:r w:rsidRPr="00804F1B">
              <w:rPr>
                <w:rFonts w:cs="Arial"/>
                <w:b/>
                <w:bCs/>
                <w:sz w:val="22"/>
                <w:szCs w:val="22"/>
              </w:rPr>
              <w:t>Undiscounted costs (Million €, 2014 prices)</w:t>
            </w:r>
          </w:p>
        </w:tc>
        <w:tc>
          <w:tcPr>
            <w:tcW w:w="3165"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3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1,208</w:t>
            </w:r>
          </w:p>
        </w:tc>
        <w:tc>
          <w:tcPr>
            <w:tcW w:w="31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3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501</w:t>
            </w:r>
          </w:p>
        </w:tc>
        <w:tc>
          <w:tcPr>
            <w:tcW w:w="31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36"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710</w:t>
            </w:r>
          </w:p>
        </w:tc>
        <w:tc>
          <w:tcPr>
            <w:tcW w:w="3165"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This intervention returns poor value for money (BCR = 0.2</w:t>
      </w:r>
      <w:r>
        <w:rPr>
          <w:rFonts w:cs="Arial"/>
          <w:sz w:val="22"/>
          <w:szCs w:val="22"/>
        </w:rPr>
        <w:t>5</w:t>
      </w:r>
      <w:r w:rsidRPr="00804F1B">
        <w:rPr>
          <w:rFonts w:cs="Arial"/>
          <w:sz w:val="22"/>
          <w:szCs w:val="22"/>
        </w:rPr>
        <w:t>), and a small increase in rail passenger and freight traffic, of +6% and +1% respectively over the whole system, see table below</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49</w:t>
      </w:r>
      <w:r w:rsidRPr="001F5936">
        <w:rPr>
          <w:b/>
          <w:sz w:val="22"/>
          <w:szCs w:val="22"/>
        </w:rPr>
        <w:fldChar w:fldCharType="end"/>
      </w:r>
      <w:r w:rsidRPr="001F5936">
        <w:rPr>
          <w:b/>
          <w:sz w:val="22"/>
          <w:szCs w:val="22"/>
        </w:rPr>
        <w:t>:</w:t>
      </w:r>
      <w:r>
        <w:rPr>
          <w:b/>
          <w:sz w:val="22"/>
          <w:szCs w:val="22"/>
        </w:rPr>
        <w:t xml:space="preserve"> Summary of Results (DS09A)</w:t>
      </w:r>
    </w:p>
    <w:tbl>
      <w:tblPr>
        <w:tblW w:w="32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8"/>
        <w:gridCol w:w="2095"/>
      </w:tblGrid>
      <w:tr w:rsidR="00660414" w:rsidRPr="000A76BD" w:rsidTr="007613DE">
        <w:trPr>
          <w:cantSplit/>
          <w:tblHeader/>
        </w:trPr>
        <w:tc>
          <w:tcPr>
            <w:tcW w:w="348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52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DS09A</w:t>
            </w:r>
          </w:p>
        </w:tc>
      </w:tr>
      <w:tr w:rsidR="00660414" w:rsidRPr="000A76BD" w:rsidTr="007613DE">
        <w:trPr>
          <w:cantSplit/>
        </w:trPr>
        <w:tc>
          <w:tcPr>
            <w:tcW w:w="34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5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+1,085 (+5%)</w:t>
            </w:r>
          </w:p>
        </w:tc>
      </w:tr>
      <w:tr w:rsidR="00660414" w:rsidRPr="000A76BD" w:rsidTr="007613DE">
        <w:trPr>
          <w:cantSplit/>
        </w:trPr>
        <w:tc>
          <w:tcPr>
            <w:tcW w:w="34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5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0.3%</w:t>
            </w:r>
          </w:p>
        </w:tc>
      </w:tr>
      <w:tr w:rsidR="00660414" w:rsidRPr="000A76BD" w:rsidTr="007613DE">
        <w:trPr>
          <w:cantSplit/>
        </w:trPr>
        <w:tc>
          <w:tcPr>
            <w:tcW w:w="348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5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+414 (+1%)</w:t>
            </w:r>
          </w:p>
        </w:tc>
      </w:tr>
      <w:tr w:rsidR="00660414" w:rsidRPr="000A76BD" w:rsidTr="007613DE">
        <w:trPr>
          <w:cantSplit/>
        </w:trPr>
        <w:tc>
          <w:tcPr>
            <w:tcW w:w="348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5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4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5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633</w:t>
            </w:r>
          </w:p>
        </w:tc>
      </w:tr>
      <w:tr w:rsidR="00660414" w:rsidRPr="000A76BD" w:rsidTr="007613DE">
        <w:trPr>
          <w:cantSplit/>
        </w:trPr>
        <w:tc>
          <w:tcPr>
            <w:tcW w:w="34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5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0.2</w:t>
            </w:r>
            <w:r>
              <w:rPr>
                <w:rFonts w:cs="Arial"/>
                <w:b/>
                <w:sz w:val="22"/>
                <w:szCs w:val="22"/>
              </w:rPr>
              <w:t>5</w:t>
            </w:r>
          </w:p>
        </w:tc>
      </w:tr>
      <w:tr w:rsidR="00660414" w:rsidRPr="000A76BD" w:rsidTr="007613DE">
        <w:trPr>
          <w:cantSplit/>
        </w:trPr>
        <w:tc>
          <w:tcPr>
            <w:tcW w:w="34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5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w:t>
            </w:r>
            <w:r>
              <w:rPr>
                <w:rFonts w:cs="Arial"/>
                <w:b/>
                <w:sz w:val="22"/>
                <w:szCs w:val="22"/>
              </w:rPr>
              <w:t>37</w:t>
            </w:r>
            <w:r w:rsidRPr="00804F1B">
              <w:rPr>
                <w:rFonts w:cs="Arial"/>
                <w:b/>
                <w:sz w:val="22"/>
                <w:szCs w:val="22"/>
              </w:rPr>
              <w:t>%</w:t>
            </w:r>
          </w:p>
        </w:tc>
      </w:tr>
      <w:tr w:rsidR="00660414" w:rsidRPr="000A76BD" w:rsidTr="007613DE">
        <w:tc>
          <w:tcPr>
            <w:tcW w:w="348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52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475</w:t>
            </w:r>
          </w:p>
        </w:tc>
      </w:tr>
      <w:tr w:rsidR="00660414" w:rsidRPr="000A76BD" w:rsidTr="007613DE">
        <w:tc>
          <w:tcPr>
            <w:tcW w:w="348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52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7</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5.73 and 5.74 </w:t>
      </w:r>
      <w:r w:rsidRPr="00804F1B">
        <w:rPr>
          <w:rFonts w:cs="Arial"/>
          <w:sz w:val="22"/>
          <w:szCs w:val="22"/>
        </w:rPr>
        <w:t xml:space="preserve">illustrate the forecast changes in passenger and freight traffic for 2030 assuming that the project is in operation from 2020. </w:t>
      </w:r>
    </w:p>
    <w:p w:rsidR="00660414" w:rsidRDefault="00660414" w:rsidP="00660414">
      <w:pPr>
        <w:rPr>
          <w:b/>
          <w:noProof/>
          <w:sz w:val="22"/>
          <w:szCs w:val="22"/>
          <w:lang w:eastAsia="en-GB"/>
        </w:rPr>
      </w:pPr>
      <w:r w:rsidRPr="008C5B1B">
        <w:rPr>
          <w:b/>
          <w:noProof/>
          <w:sz w:val="22"/>
          <w:szCs w:val="22"/>
          <w:lang w:val="ro-RO" w:eastAsia="ro-RO"/>
        </w:rPr>
        <w:drawing>
          <wp:inline distT="0" distB="0" distL="0" distR="0" wp14:anchorId="103D5AB5" wp14:editId="1CCD921F">
            <wp:extent cx="5627009" cy="3960000"/>
            <wp:effectExtent l="0" t="0" r="0" b="2540"/>
            <wp:docPr id="589" name="Picture 589" descr="F:\Projects\Transport Planning - Romania UK GTMP\PUBLIC TRANSPORT\Rail\04_Plots\Rail_results\output\DS09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Projects\Transport Planning - Romania UK GTMP\PUBLIC TRANSPORT\Rail\04_Plots\Rail_results\output\DS09A_2030_change_pass.jpg"/>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73</w:t>
      </w:r>
      <w:r w:rsidRPr="0075501B">
        <w:rPr>
          <w:b/>
          <w:sz w:val="22"/>
          <w:szCs w:val="22"/>
        </w:rPr>
        <w:fldChar w:fldCharType="end"/>
      </w:r>
      <w:r>
        <w:rPr>
          <w:b/>
          <w:sz w:val="22"/>
          <w:szCs w:val="22"/>
        </w:rPr>
        <w:t>: Change in Passenger Demand (DS09A)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804F1B">
        <w:rPr>
          <w:rFonts w:cs="Arial"/>
          <w:sz w:val="22"/>
          <w:szCs w:val="22"/>
        </w:rPr>
        <w:t xml:space="preserve">Patronage between Baia Mare and Satu Mare is expected to </w:t>
      </w:r>
      <w:r>
        <w:rPr>
          <w:rFonts w:cs="Arial"/>
          <w:sz w:val="22"/>
          <w:szCs w:val="22"/>
        </w:rPr>
        <w:t xml:space="preserve">increase substantially </w:t>
      </w:r>
      <w:r w:rsidRPr="00804F1B">
        <w:rPr>
          <w:rFonts w:cs="Arial"/>
          <w:sz w:val="22"/>
          <w:szCs w:val="22"/>
        </w:rPr>
        <w:t xml:space="preserve">in this </w:t>
      </w:r>
      <w:r>
        <w:rPr>
          <w:rFonts w:cs="Arial"/>
          <w:sz w:val="22"/>
          <w:szCs w:val="22"/>
        </w:rPr>
        <w:t xml:space="preserve">proposal </w:t>
      </w:r>
      <w:r w:rsidRPr="00804F1B">
        <w:rPr>
          <w:rFonts w:cs="Arial"/>
          <w:sz w:val="22"/>
          <w:szCs w:val="22"/>
        </w:rPr>
        <w:t xml:space="preserve">with </w:t>
      </w:r>
      <w:r>
        <w:rPr>
          <w:rFonts w:cs="Arial"/>
          <w:sz w:val="22"/>
          <w:szCs w:val="22"/>
        </w:rPr>
        <w:t xml:space="preserve">some flows expected to treble. Other notable changes include </w:t>
      </w:r>
      <w:r w:rsidRPr="00804F1B">
        <w:rPr>
          <w:rFonts w:cs="Arial"/>
          <w:sz w:val="22"/>
          <w:szCs w:val="22"/>
        </w:rPr>
        <w:t xml:space="preserve">Satu Mare </w:t>
      </w:r>
      <w:r>
        <w:rPr>
          <w:rFonts w:cs="Arial"/>
          <w:sz w:val="22"/>
          <w:szCs w:val="22"/>
        </w:rPr>
        <w:t xml:space="preserve">to </w:t>
      </w:r>
      <w:r w:rsidRPr="00804F1B">
        <w:rPr>
          <w:rFonts w:cs="Arial"/>
          <w:sz w:val="22"/>
          <w:szCs w:val="22"/>
        </w:rPr>
        <w:t xml:space="preserve">Oradea </w:t>
      </w:r>
      <w:r>
        <w:rPr>
          <w:rFonts w:cs="Arial"/>
          <w:sz w:val="22"/>
          <w:szCs w:val="22"/>
        </w:rPr>
        <w:t>(</w:t>
      </w:r>
      <w:r w:rsidRPr="00804F1B">
        <w:rPr>
          <w:rFonts w:cs="Arial"/>
          <w:sz w:val="22"/>
          <w:szCs w:val="22"/>
        </w:rPr>
        <w:t>150%</w:t>
      </w:r>
      <w:r>
        <w:rPr>
          <w:rFonts w:cs="Arial"/>
          <w:sz w:val="22"/>
          <w:szCs w:val="22"/>
        </w:rPr>
        <w:t>)</w:t>
      </w:r>
      <w:r w:rsidRPr="00804F1B">
        <w:rPr>
          <w:rFonts w:cs="Arial"/>
          <w:sz w:val="22"/>
          <w:szCs w:val="22"/>
        </w:rPr>
        <w:t xml:space="preserve">, Baia Mare </w:t>
      </w:r>
      <w:r>
        <w:rPr>
          <w:rFonts w:cs="Arial"/>
          <w:sz w:val="22"/>
          <w:szCs w:val="22"/>
        </w:rPr>
        <w:t xml:space="preserve">to </w:t>
      </w:r>
      <w:r w:rsidRPr="00804F1B">
        <w:rPr>
          <w:rFonts w:cs="Arial"/>
          <w:sz w:val="22"/>
          <w:szCs w:val="22"/>
        </w:rPr>
        <w:t xml:space="preserve">Dej </w:t>
      </w:r>
      <w:r>
        <w:rPr>
          <w:rFonts w:cs="Arial"/>
          <w:sz w:val="22"/>
          <w:szCs w:val="22"/>
        </w:rPr>
        <w:t>(</w:t>
      </w:r>
      <w:r w:rsidRPr="00804F1B">
        <w:rPr>
          <w:rFonts w:cs="Arial"/>
          <w:sz w:val="22"/>
          <w:szCs w:val="22"/>
        </w:rPr>
        <w:t>130%</w:t>
      </w:r>
      <w:r>
        <w:rPr>
          <w:rFonts w:cs="Arial"/>
          <w:sz w:val="22"/>
          <w:szCs w:val="22"/>
        </w:rPr>
        <w:t>)</w:t>
      </w:r>
      <w:r w:rsidRPr="00804F1B">
        <w:rPr>
          <w:rFonts w:cs="Arial"/>
          <w:sz w:val="22"/>
          <w:szCs w:val="22"/>
        </w:rPr>
        <w:t xml:space="preserve">, and Dej to Cluj-Napoca </w:t>
      </w:r>
      <w:r>
        <w:rPr>
          <w:rFonts w:cs="Arial"/>
          <w:sz w:val="22"/>
          <w:szCs w:val="22"/>
        </w:rPr>
        <w:t>(</w:t>
      </w:r>
      <w:r w:rsidRPr="00804F1B">
        <w:rPr>
          <w:rFonts w:cs="Arial"/>
          <w:sz w:val="22"/>
          <w:szCs w:val="22"/>
        </w:rPr>
        <w:t>45%</w:t>
      </w:r>
      <w:r>
        <w:rPr>
          <w:rFonts w:cs="Arial"/>
          <w:sz w:val="22"/>
          <w:szCs w:val="22"/>
        </w:rPr>
        <w:t>)</w:t>
      </w:r>
      <w:r w:rsidRPr="00804F1B">
        <w:rPr>
          <w:rFonts w:cs="Arial"/>
          <w:sz w:val="22"/>
          <w:szCs w:val="22"/>
        </w:rPr>
        <w:t xml:space="preserve">.   </w:t>
      </w:r>
    </w:p>
    <w:p w:rsidR="00660414" w:rsidRDefault="00660414" w:rsidP="00660414">
      <w:pPr>
        <w:rPr>
          <w:b/>
          <w:bCs/>
          <w:sz w:val="22"/>
          <w:szCs w:val="22"/>
        </w:rPr>
      </w:pPr>
      <w:r>
        <w:rPr>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56B63DD" wp14:editId="53E2DC64">
            <wp:extent cx="5627009" cy="3960000"/>
            <wp:effectExtent l="0" t="0" r="0" b="2540"/>
            <wp:docPr id="590" name="Picture 590" descr="F:\Projects\Transport Planning - Romania UK GTMP\PUBLIC TRANSPORT\Rail\04_Plots\Rail_results\output\DS0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rojects\Transport Planning - Romania UK GTMP\PUBLIC TRANSPORT\Rail\04_Plots\Rail_results\output\DS09A_2030_change_freight.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74</w:t>
      </w:r>
      <w:r w:rsidRPr="0075501B">
        <w:rPr>
          <w:b/>
          <w:sz w:val="22"/>
          <w:szCs w:val="22"/>
        </w:rPr>
        <w:fldChar w:fldCharType="end"/>
      </w:r>
      <w:r>
        <w:rPr>
          <w:b/>
          <w:sz w:val="22"/>
          <w:szCs w:val="22"/>
        </w:rPr>
        <w:t>: Change in Freight Demand (DS09A)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Freight traffic </w:t>
      </w:r>
      <w:r>
        <w:rPr>
          <w:rFonts w:cs="Arial"/>
          <w:sz w:val="22"/>
          <w:szCs w:val="22"/>
        </w:rPr>
        <w:t xml:space="preserve">mainly </w:t>
      </w:r>
      <w:r w:rsidRPr="00804F1B">
        <w:rPr>
          <w:rFonts w:cs="Arial"/>
          <w:sz w:val="22"/>
          <w:szCs w:val="22"/>
        </w:rPr>
        <w:t>increases on the Alba Iulia to Dej section, particular</w:t>
      </w:r>
      <w:r>
        <w:rPr>
          <w:rFonts w:cs="Arial"/>
          <w:sz w:val="22"/>
          <w:szCs w:val="22"/>
        </w:rPr>
        <w:t>ly</w:t>
      </w:r>
      <w:r w:rsidRPr="00804F1B">
        <w:rPr>
          <w:rFonts w:cs="Arial"/>
          <w:sz w:val="22"/>
          <w:szCs w:val="22"/>
        </w:rPr>
        <w:t xml:space="preserve"> between Apahida and Dej </w:t>
      </w:r>
      <w:r>
        <w:rPr>
          <w:rFonts w:cs="Arial"/>
          <w:sz w:val="22"/>
          <w:szCs w:val="22"/>
        </w:rPr>
        <w:t xml:space="preserve">which is </w:t>
      </w:r>
      <w:r w:rsidRPr="00804F1B">
        <w:rPr>
          <w:rFonts w:cs="Arial"/>
          <w:sz w:val="22"/>
          <w:szCs w:val="22"/>
        </w:rPr>
        <w:t xml:space="preserve">expected to rise by 130%. An overall growth in rail freight traffic has been forecast as a result of the proposed network improvement. </w:t>
      </w:r>
      <w:r>
        <w:rPr>
          <w:rFonts w:cs="Arial"/>
          <w:sz w:val="22"/>
          <w:szCs w:val="22"/>
        </w:rPr>
        <w:t xml:space="preserve">Some of the benefits affect a relatively wide geographic area. </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2030 if funding is secured.</w:t>
      </w:r>
      <w:r w:rsidRPr="00804F1B">
        <w:rPr>
          <w:rFonts w:cs="Arial"/>
          <w:sz w:val="22"/>
          <w:szCs w:val="22"/>
        </w:rPr>
        <w:br w:type="page"/>
      </w:r>
    </w:p>
    <w:p w:rsidR="00660414" w:rsidRPr="00170C2E" w:rsidRDefault="00660414" w:rsidP="00170C2E">
      <w:pPr>
        <w:pStyle w:val="Hdg3"/>
        <w:ind w:left="851"/>
      </w:pPr>
      <w:r w:rsidRPr="008C5B1B">
        <w:t>Line Bucharest to Giurgiu via Gradistea to design speed (Test DS10A)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 xml:space="preserve">Upgrade programme for the line between Bucharest Nord and Giurgiu via Gradistea. This project includes: </w:t>
            </w:r>
          </w:p>
          <w:p w:rsidR="00660414" w:rsidRPr="000A76BD" w:rsidRDefault="00660414" w:rsidP="00273D5E">
            <w:pPr>
              <w:pStyle w:val="BulletLevel1"/>
              <w:numPr>
                <w:ilvl w:val="0"/>
                <w:numId w:val="60"/>
              </w:numPr>
            </w:pPr>
            <w:r w:rsidRPr="00804F1B">
              <w:t>Rehabilitation to design speed of corridor 902 between Bucharest and Giurgiu.</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0A76BD" w:rsidRDefault="00660414" w:rsidP="00273D5E">
            <w:pPr>
              <w:pStyle w:val="BulletLevel1"/>
              <w:numPr>
                <w:ilvl w:val="0"/>
                <w:numId w:val="60"/>
              </w:numPr>
            </w:pPr>
            <w:r w:rsidRPr="00804F1B">
              <w:t>It has been considered that the Arges River bridge reconstruction is part of the Reference case scenario, a Do Minimum project.</w:t>
            </w:r>
          </w:p>
          <w:p w:rsidR="00660414" w:rsidRPr="008C5B1B" w:rsidRDefault="00660414" w:rsidP="00273D5E">
            <w:pPr>
              <w:pStyle w:val="BulletLevel1"/>
              <w:numPr>
                <w:ilvl w:val="0"/>
                <w:numId w:val="60"/>
              </w:numPr>
              <w:rPr>
                <w:lang w:val="en-US"/>
              </w:rPr>
            </w:pPr>
            <w:r w:rsidRPr="00804F1B">
              <w:t>Regio regular interval timetable operated by existing rolling stock. The proposed regular interval service pattern is: Bucharest to Giurgiu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359E6482" wp14:editId="18829D01">
            <wp:extent cx="5665174" cy="3960000"/>
            <wp:effectExtent l="0" t="0" r="0" b="2540"/>
            <wp:docPr id="591" name="Picture 591" descr="F:\Projects\Transport Planning - Romania UK GTMP\PUBLIC TRANSPORT\Rail\04_Plots\Do_Somthing_schemes\outputs\DoSomethingSchemes_DS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s\Transport Planning - Romania UK GTMP\PUBLIC TRANSPORT\Rail\04_Plots\Do_Somthing_schemes\outputs\DoSomethingSchemes_DS10A.jpg"/>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665174"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75</w:t>
      </w:r>
      <w:r w:rsidRPr="008C7A83">
        <w:rPr>
          <w:b/>
          <w:sz w:val="22"/>
          <w:szCs w:val="22"/>
        </w:rPr>
        <w:fldChar w:fldCharType="end"/>
      </w:r>
      <w:r w:rsidRPr="008C7A83">
        <w:rPr>
          <w:b/>
          <w:sz w:val="22"/>
          <w:szCs w:val="22"/>
        </w:rPr>
        <w:t>:</w:t>
      </w:r>
      <w:r>
        <w:rPr>
          <w:b/>
          <w:sz w:val="22"/>
          <w:szCs w:val="22"/>
        </w:rPr>
        <w:t xml:space="preserve"> Description of Service Proposals (DS10A)</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p w:rsidR="00660414" w:rsidRPr="008C5B1B" w:rsidRDefault="00660414" w:rsidP="00660414">
      <w:pPr>
        <w:spacing w:before="120"/>
        <w:rPr>
          <w:b/>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Passenger services currently diverted via Videle.</w:t>
            </w:r>
          </w:p>
          <w:p w:rsidR="00660414" w:rsidRPr="000A76BD" w:rsidRDefault="00660414" w:rsidP="00273D5E">
            <w:pPr>
              <w:pStyle w:val="BulletLevel1"/>
              <w:numPr>
                <w:ilvl w:val="0"/>
                <w:numId w:val="60"/>
              </w:numPr>
            </w:pPr>
            <w:r w:rsidRPr="00804F1B">
              <w:t xml:space="preserve">Halts on corridor 902 have currently no direct rail connection to Bucharest. Travel times from Giurgiu to Bucharest are markedly higher on the route via Videle. </w:t>
            </w:r>
          </w:p>
          <w:p w:rsidR="00660414" w:rsidRPr="000A76BD" w:rsidRDefault="00660414" w:rsidP="00273D5E">
            <w:pPr>
              <w:pStyle w:val="BulletLevel1"/>
              <w:numPr>
                <w:ilvl w:val="0"/>
                <w:numId w:val="60"/>
              </w:numPr>
            </w:pPr>
            <w:r w:rsidRPr="00804F1B">
              <w:t>Low rail market share between Giurgiu and Bucharest, potential to increase rail patronage on the corridor significantly.</w:t>
            </w:r>
          </w:p>
          <w:p w:rsidR="00660414" w:rsidRPr="000A76BD" w:rsidRDefault="00660414" w:rsidP="00273D5E">
            <w:pPr>
              <w:pStyle w:val="BulletLevel1"/>
              <w:numPr>
                <w:ilvl w:val="0"/>
                <w:numId w:val="60"/>
              </w:numPr>
            </w:pPr>
            <w:r w:rsidRPr="00804F1B">
              <w:t>Poor rolling stock condition and frequency on the services between Gradistea and Giurgiu, country wide issue.</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50</w:t>
      </w:r>
      <w:r w:rsidRPr="001F5936">
        <w:rPr>
          <w:b/>
          <w:sz w:val="22"/>
          <w:szCs w:val="22"/>
        </w:rPr>
        <w:fldChar w:fldCharType="end"/>
      </w:r>
      <w:r w:rsidRPr="001F5936">
        <w:rPr>
          <w:b/>
          <w:sz w:val="22"/>
          <w:szCs w:val="22"/>
        </w:rPr>
        <w:t>:</w:t>
      </w:r>
      <w:r>
        <w:rPr>
          <w:b/>
          <w:sz w:val="22"/>
          <w:szCs w:val="22"/>
        </w:rPr>
        <w:t xml:space="preserve"> Summary of Infrastructure Costs and Operating Costs (DS10A)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3211"/>
        <w:gridCol w:w="6264"/>
      </w:tblGrid>
      <w:tr w:rsidR="00660414" w:rsidRPr="000A76BD" w:rsidTr="007613DE">
        <w:trPr>
          <w:cantSplit/>
          <w:tblHeader/>
        </w:trPr>
        <w:tc>
          <w:tcPr>
            <w:tcW w:w="49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52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Undiscounted costs (Million €, 2014 prices)</w:t>
            </w:r>
          </w:p>
        </w:tc>
        <w:tc>
          <w:tcPr>
            <w:tcW w:w="298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w:t>
            </w:r>
            <w:r>
              <w:rPr>
                <w:rFonts w:cs="Arial"/>
                <w:sz w:val="22"/>
                <w:szCs w:val="22"/>
              </w:rPr>
              <w:t>44</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168</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311</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returns very good 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w:t>
      </w:r>
      <w:r w:rsidRPr="00804F1B">
        <w:rPr>
          <w:rFonts w:cs="Arial"/>
          <w:sz w:val="22"/>
          <w:szCs w:val="22"/>
        </w:rPr>
        <w:t>4.20</w:t>
      </w:r>
      <w:r>
        <w:rPr>
          <w:rFonts w:cs="Arial"/>
          <w:sz w:val="22"/>
          <w:szCs w:val="22"/>
        </w:rPr>
        <w:t xml:space="preserve">. However, the changes in </w:t>
      </w:r>
      <w:r w:rsidRPr="00804F1B">
        <w:rPr>
          <w:rFonts w:cs="Arial"/>
          <w:sz w:val="22"/>
          <w:szCs w:val="22"/>
        </w:rPr>
        <w:t>rail passenger and freight traffic</w:t>
      </w:r>
      <w:r>
        <w:rPr>
          <w:rFonts w:cs="Arial"/>
          <w:sz w:val="22"/>
          <w:szCs w:val="22"/>
        </w:rPr>
        <w:t xml:space="preserve"> are </w:t>
      </w:r>
      <w:r w:rsidRPr="00804F1B">
        <w:rPr>
          <w:rFonts w:cs="Arial"/>
          <w:sz w:val="22"/>
          <w:szCs w:val="22"/>
        </w:rPr>
        <w:t>3% and 1% respectively</w:t>
      </w:r>
      <w:r>
        <w:rPr>
          <w:rFonts w:cs="Arial"/>
          <w:sz w:val="22"/>
          <w:szCs w:val="22"/>
        </w:rPr>
        <w:t xml:space="preserve">, as shown in Table 5.51. </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51</w:t>
      </w:r>
      <w:r w:rsidRPr="001F5936">
        <w:rPr>
          <w:b/>
          <w:sz w:val="22"/>
          <w:szCs w:val="22"/>
        </w:rPr>
        <w:fldChar w:fldCharType="end"/>
      </w:r>
      <w:r w:rsidRPr="001F5936">
        <w:rPr>
          <w:b/>
          <w:sz w:val="22"/>
          <w:szCs w:val="22"/>
        </w:rPr>
        <w:t>:</w:t>
      </w:r>
      <w:r>
        <w:rPr>
          <w:b/>
          <w:sz w:val="22"/>
          <w:szCs w:val="22"/>
        </w:rPr>
        <w:t xml:space="preserve"> Change in Passenger Demand (DS10A)</w:t>
      </w:r>
    </w:p>
    <w:tbl>
      <w:tblPr>
        <w:tblW w:w="3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1773"/>
      </w:tblGrid>
      <w:tr w:rsidR="00660414" w:rsidRPr="000A76BD" w:rsidTr="007613DE">
        <w:trPr>
          <w:cantSplit/>
          <w:tblHeader/>
        </w:trPr>
        <w:tc>
          <w:tcPr>
            <w:tcW w:w="368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31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DS10A</w:t>
            </w:r>
          </w:p>
        </w:tc>
      </w:tr>
      <w:tr w:rsidR="00660414" w:rsidRPr="000A76BD" w:rsidTr="007613DE">
        <w:trPr>
          <w:cantSplit/>
        </w:trPr>
        <w:tc>
          <w:tcPr>
            <w:tcW w:w="368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+545 (+3%)</w:t>
            </w:r>
          </w:p>
        </w:tc>
      </w:tr>
      <w:tr w:rsidR="00660414" w:rsidRPr="000A76BD" w:rsidTr="007613DE">
        <w:trPr>
          <w:cantSplit/>
        </w:trPr>
        <w:tc>
          <w:tcPr>
            <w:tcW w:w="368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0.2%</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+123 (+0%)</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0.0%</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335</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4.20</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14.67%</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95</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5.76 and 5.77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680C2A74" wp14:editId="35C581E0">
            <wp:extent cx="5627009" cy="3960000"/>
            <wp:effectExtent l="0" t="0" r="0" b="2540"/>
            <wp:docPr id="593" name="Picture 593" descr="F:\Projects\Transport Planning - Romania UK GTMP\PUBLIC TRANSPORT\Rail\04_Plots\Rail_results\output\DS10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jects\Transport Planning - Romania UK GTMP\PUBLIC TRANSPORT\Rail\04_Plots\Rail_results\output\DS10A_2030_change_pass.jpg"/>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76</w:t>
      </w:r>
      <w:r w:rsidRPr="0075501B">
        <w:rPr>
          <w:b/>
          <w:sz w:val="22"/>
          <w:szCs w:val="22"/>
        </w:rPr>
        <w:fldChar w:fldCharType="end"/>
      </w:r>
      <w:r>
        <w:rPr>
          <w:b/>
          <w:sz w:val="22"/>
          <w:szCs w:val="22"/>
        </w:rPr>
        <w:t>: Change in Passenger Demand (DS10A)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804F1B">
        <w:rPr>
          <w:rFonts w:cs="Arial"/>
          <w:sz w:val="22"/>
          <w:szCs w:val="22"/>
        </w:rPr>
        <w:t xml:space="preserve">The results of this test </w:t>
      </w:r>
      <w:r>
        <w:rPr>
          <w:rFonts w:cs="Arial"/>
          <w:sz w:val="22"/>
          <w:szCs w:val="22"/>
        </w:rPr>
        <w:t xml:space="preserve">highlight </w:t>
      </w:r>
      <w:r w:rsidRPr="00804F1B">
        <w:rPr>
          <w:rFonts w:cs="Arial"/>
          <w:sz w:val="22"/>
          <w:szCs w:val="22"/>
        </w:rPr>
        <w:t xml:space="preserve">the significant level of suppressed demand on the Bucharest to Giurgiu line. A frequent regular interval timetable will generate </w:t>
      </w:r>
      <w:r>
        <w:rPr>
          <w:rFonts w:cs="Arial"/>
          <w:sz w:val="22"/>
          <w:szCs w:val="22"/>
        </w:rPr>
        <w:t xml:space="preserve">much </w:t>
      </w:r>
      <w:r w:rsidRPr="00804F1B">
        <w:rPr>
          <w:rFonts w:cs="Arial"/>
          <w:sz w:val="22"/>
          <w:szCs w:val="22"/>
        </w:rPr>
        <w:t xml:space="preserve">higher patronage (185%) compared </w:t>
      </w:r>
      <w:r>
        <w:rPr>
          <w:rFonts w:cs="Arial"/>
          <w:sz w:val="22"/>
          <w:szCs w:val="22"/>
        </w:rPr>
        <w:t xml:space="preserve">with </w:t>
      </w:r>
      <w:r w:rsidRPr="00804F1B">
        <w:rPr>
          <w:rFonts w:cs="Arial"/>
          <w:sz w:val="22"/>
          <w:szCs w:val="22"/>
        </w:rPr>
        <w:t xml:space="preserve">the reference case. </w:t>
      </w:r>
    </w:p>
    <w:p w:rsidR="00660414" w:rsidRDefault="00660414" w:rsidP="00660414">
      <w:pPr>
        <w:rPr>
          <w:b/>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Upgrading corridor 902 also leads to a </w:t>
      </w:r>
      <w:r>
        <w:rPr>
          <w:rFonts w:cs="Arial"/>
          <w:sz w:val="22"/>
          <w:szCs w:val="22"/>
        </w:rPr>
        <w:t xml:space="preserve">small increase in freight tonnes with a 5-10% </w:t>
      </w:r>
      <w:r w:rsidRPr="00804F1B">
        <w:rPr>
          <w:rFonts w:cs="Arial"/>
          <w:sz w:val="22"/>
          <w:szCs w:val="22"/>
        </w:rPr>
        <w:t>increase</w:t>
      </w:r>
      <w:r>
        <w:rPr>
          <w:rFonts w:cs="Arial"/>
          <w:sz w:val="22"/>
          <w:szCs w:val="22"/>
        </w:rPr>
        <w:t xml:space="preserve">. </w:t>
      </w:r>
    </w:p>
    <w:p w:rsidR="00660414" w:rsidRDefault="00660414" w:rsidP="00660414">
      <w:pPr>
        <w:rPr>
          <w:b/>
          <w:bCs/>
          <w:sz w:val="22"/>
          <w:szCs w:val="22"/>
        </w:rPr>
      </w:pPr>
      <w:r>
        <w:rPr>
          <w:b/>
          <w:sz w:val="22"/>
          <w:szCs w:val="22"/>
        </w:rPr>
        <w:br w:type="page"/>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75145121" wp14:editId="27794844">
            <wp:extent cx="5589356" cy="3960000"/>
            <wp:effectExtent l="0" t="0" r="0" b="2540"/>
            <wp:docPr id="594" name="Picture 594" descr="F:\Projects\Transport Planning - Romania UK GTMP\PUBLIC TRANSPORT\Rail\04_Plots\Rail_results\output\DS10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Projects\Transport Planning - Romania UK GTMP\PUBLIC TRANSPORT\Rail\04_Plots\Rail_results\output\DS10A_2030_change_freight.jpg"/>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589356"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77</w:t>
      </w:r>
      <w:r w:rsidRPr="0075501B">
        <w:rPr>
          <w:b/>
          <w:sz w:val="22"/>
          <w:szCs w:val="22"/>
        </w:rPr>
        <w:fldChar w:fldCharType="end"/>
      </w:r>
      <w:r>
        <w:rPr>
          <w:b/>
          <w:sz w:val="22"/>
          <w:szCs w:val="22"/>
        </w:rPr>
        <w:t>: Change in Freight Demand (DS10A)</w:t>
      </w:r>
    </w:p>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2020 if funding is secured.</w:t>
      </w:r>
      <w:r w:rsidRPr="00804F1B">
        <w:rPr>
          <w:rFonts w:cs="Arial"/>
          <w:sz w:val="22"/>
          <w:szCs w:val="22"/>
        </w:rPr>
        <w:br w:type="page"/>
      </w:r>
    </w:p>
    <w:p w:rsidR="00660414" w:rsidRPr="00170C2E" w:rsidRDefault="00660414" w:rsidP="00170C2E">
      <w:pPr>
        <w:pStyle w:val="Hdg3"/>
        <w:ind w:left="851"/>
      </w:pPr>
      <w:r w:rsidRPr="008C5B1B">
        <w:t>Line Bucharest to Giurgiu via Gradistea to design speed and line electrification (Test DS10B)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6E166C">
              <w:rPr>
                <w:rFonts w:cs="Arial"/>
                <w:sz w:val="22"/>
                <w:szCs w:val="22"/>
              </w:rPr>
              <w:t xml:space="preserve">Upgrade programme for the line between Bucharest Nord and Giurgiu via Gradistea. This project includes: </w:t>
            </w:r>
          </w:p>
          <w:p w:rsidR="00660414" w:rsidRPr="000A76BD" w:rsidRDefault="00660414" w:rsidP="00273D5E">
            <w:pPr>
              <w:pStyle w:val="BulletLevel1"/>
              <w:numPr>
                <w:ilvl w:val="0"/>
                <w:numId w:val="60"/>
              </w:numPr>
            </w:pPr>
            <w:r w:rsidRPr="006E166C">
              <w:t>Rehabilitation to design speed of corridor 902 between Bucharest and Giurgiu.</w:t>
            </w:r>
          </w:p>
          <w:p w:rsidR="00660414" w:rsidRDefault="00660414" w:rsidP="00273D5E">
            <w:pPr>
              <w:pStyle w:val="BulletLevel1"/>
              <w:numPr>
                <w:ilvl w:val="0"/>
                <w:numId w:val="60"/>
              </w:numPr>
            </w:pPr>
            <w:r w:rsidRPr="006E166C">
              <w:t>Steady state maintenance of the core network (baseline assumption for all Do Something tests).</w:t>
            </w:r>
          </w:p>
          <w:p w:rsidR="00660414" w:rsidRPr="000A76BD" w:rsidRDefault="00660414" w:rsidP="00273D5E">
            <w:pPr>
              <w:pStyle w:val="BulletLevel1"/>
              <w:numPr>
                <w:ilvl w:val="0"/>
                <w:numId w:val="60"/>
              </w:numPr>
            </w:pPr>
            <w:r>
              <w:t>Electrifaction of the corridor.</w:t>
            </w:r>
          </w:p>
          <w:p w:rsidR="00660414" w:rsidRPr="000A76BD" w:rsidRDefault="00660414" w:rsidP="00273D5E">
            <w:pPr>
              <w:pStyle w:val="BulletLevel1"/>
              <w:numPr>
                <w:ilvl w:val="0"/>
                <w:numId w:val="60"/>
              </w:numPr>
            </w:pPr>
            <w:r w:rsidRPr="006E166C">
              <w:t>Improved signalling and communication systems to enhance running speeds and increase the corridor’s capacity.</w:t>
            </w:r>
          </w:p>
          <w:p w:rsidR="00660414" w:rsidRPr="000A76BD" w:rsidRDefault="00660414" w:rsidP="00273D5E">
            <w:pPr>
              <w:pStyle w:val="BulletLevel1"/>
              <w:numPr>
                <w:ilvl w:val="0"/>
                <w:numId w:val="60"/>
              </w:numPr>
            </w:pPr>
            <w:r w:rsidRPr="006E166C">
              <w:t>It has been considered that the Arges River bridge reconstruction is part of the Reference case scenario, a Do Minimum project.</w:t>
            </w:r>
          </w:p>
          <w:p w:rsidR="00660414" w:rsidRPr="008C5B1B" w:rsidRDefault="00660414" w:rsidP="00273D5E">
            <w:pPr>
              <w:pStyle w:val="BulletLevel1"/>
              <w:numPr>
                <w:ilvl w:val="0"/>
                <w:numId w:val="60"/>
              </w:numPr>
              <w:rPr>
                <w:lang w:val="en-US"/>
              </w:rPr>
            </w:pPr>
            <w:r w:rsidRPr="006E166C">
              <w:t>Regio regular interval timetable operated by existing rolling stock. The proposed regular interval service pattern is: Bucharest to Giurgiu (0.5 tph).</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48E73FC5" wp14:editId="6A865210">
            <wp:extent cx="5535597" cy="3960000"/>
            <wp:effectExtent l="0" t="0" r="8255" b="2540"/>
            <wp:docPr id="595" name="Picture 3" descr="F:\Projects\Transport Planning - Romania UK GTMP\PUBLIC TRANSPORT\Rail\04_Plots\Do_Somthing_schemes\outputs\DoSomethingSchemes_DS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s\Transport Planning - Romania UK GTMP\PUBLIC TRANSPORT\Rail\04_Plots\Do_Somthing_schemes\outputs\DoSomethingSchemes_DS10B.jpg"/>
                    <pic:cNvPicPr>
                      <a:picLocks noChangeAspect="1" noChangeArrowheads="1"/>
                    </pic:cNvPicPr>
                  </pic:nvPicPr>
                  <pic:blipFill>
                    <a:blip r:embed="rId244" cstate="print"/>
                    <a:srcRect l="2351" t="2284" r="2351" b="2770"/>
                    <a:stretch>
                      <a:fillRect/>
                    </a:stretch>
                  </pic:blipFill>
                  <pic:spPr bwMode="auto">
                    <a:xfrm>
                      <a:off x="0" y="0"/>
                      <a:ext cx="5535597" cy="3960000"/>
                    </a:xfrm>
                    <a:prstGeom prst="rect">
                      <a:avLst/>
                    </a:prstGeom>
                    <a:noFill/>
                    <a:ln w="9525">
                      <a:noFill/>
                      <a:miter lim="800000"/>
                      <a:headEnd/>
                      <a:tailEnd/>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78</w:t>
      </w:r>
      <w:r w:rsidRPr="008C7A83">
        <w:rPr>
          <w:b/>
          <w:sz w:val="22"/>
          <w:szCs w:val="22"/>
        </w:rPr>
        <w:fldChar w:fldCharType="end"/>
      </w:r>
      <w:r w:rsidRPr="008C7A83">
        <w:rPr>
          <w:b/>
          <w:sz w:val="22"/>
          <w:szCs w:val="22"/>
        </w:rPr>
        <w:t>:</w:t>
      </w:r>
      <w:r>
        <w:rPr>
          <w:b/>
          <w:sz w:val="22"/>
          <w:szCs w:val="22"/>
        </w:rPr>
        <w:t xml:space="preserve"> Description of Service Proposals (DS10B)</w:t>
      </w:r>
    </w:p>
    <w:p w:rsidR="00660414" w:rsidRDefault="00660414" w:rsidP="00340716">
      <w:pPr>
        <w:rPr>
          <w:i/>
        </w:rPr>
      </w:pPr>
      <w:r>
        <w:rPr>
          <w:i/>
        </w:rPr>
        <w:t>Source: AECOM analysis of outputs from the National Transport Model</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6E166C">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6E166C">
              <w:t>Deteriorated track condition due to underspend in maintenance and renewals. Passenger services currently diverted via Videle.</w:t>
            </w:r>
          </w:p>
          <w:p w:rsidR="00660414" w:rsidRPr="000A76BD" w:rsidRDefault="00660414" w:rsidP="00273D5E">
            <w:pPr>
              <w:pStyle w:val="BulletLevel1"/>
              <w:numPr>
                <w:ilvl w:val="0"/>
                <w:numId w:val="60"/>
              </w:numPr>
            </w:pPr>
            <w:r w:rsidRPr="006E166C">
              <w:t xml:space="preserve">Halts on corridor 902 have currently no direct rail connection to Bucharest. Travel times from Giurgiu to Bucharest are markedly higher on the route via Videle. </w:t>
            </w:r>
          </w:p>
          <w:p w:rsidR="00660414" w:rsidRPr="000A76BD" w:rsidRDefault="00660414" w:rsidP="00273D5E">
            <w:pPr>
              <w:pStyle w:val="BulletLevel1"/>
              <w:numPr>
                <w:ilvl w:val="0"/>
                <w:numId w:val="60"/>
              </w:numPr>
            </w:pPr>
            <w:r w:rsidRPr="006E166C">
              <w:t>Low rail market share between Giurgiu and Bucharest, potential to increase rail patronage on the corridor significantly.</w:t>
            </w:r>
          </w:p>
          <w:p w:rsidR="00660414" w:rsidRPr="000A76BD" w:rsidRDefault="00660414" w:rsidP="00273D5E">
            <w:pPr>
              <w:pStyle w:val="BulletLevel1"/>
              <w:numPr>
                <w:ilvl w:val="0"/>
                <w:numId w:val="60"/>
              </w:numPr>
            </w:pPr>
            <w:r w:rsidRPr="006E166C">
              <w:t>Poor rolling stock condition and frequency on the services between Gradistea and Giurgiu, country wide issue.</w:t>
            </w:r>
          </w:p>
          <w:p w:rsidR="00660414" w:rsidRPr="008C5B1B" w:rsidRDefault="00660414" w:rsidP="00273D5E">
            <w:pPr>
              <w:pStyle w:val="BulletLevel1"/>
              <w:numPr>
                <w:ilvl w:val="0"/>
                <w:numId w:val="60"/>
              </w:numPr>
              <w:rPr>
                <w:lang w:val="en-US"/>
              </w:rPr>
            </w:pPr>
            <w:r w:rsidRPr="006E166C">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6E166C">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52</w:t>
      </w:r>
      <w:r w:rsidRPr="001F5936">
        <w:rPr>
          <w:b/>
          <w:sz w:val="22"/>
          <w:szCs w:val="22"/>
        </w:rPr>
        <w:fldChar w:fldCharType="end"/>
      </w:r>
      <w:r w:rsidRPr="001F5936">
        <w:rPr>
          <w:b/>
          <w:sz w:val="22"/>
          <w:szCs w:val="22"/>
        </w:rPr>
        <w:t>:</w:t>
      </w:r>
      <w:r>
        <w:rPr>
          <w:b/>
          <w:sz w:val="22"/>
          <w:szCs w:val="22"/>
        </w:rPr>
        <w:t xml:space="preserve"> Summary of Infrastructure Costs and Operating Costs (DS10B)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3211"/>
        <w:gridCol w:w="6264"/>
      </w:tblGrid>
      <w:tr w:rsidR="00660414" w:rsidRPr="000A76BD" w:rsidTr="007613DE">
        <w:trPr>
          <w:cantSplit/>
          <w:tblHeader/>
        </w:trPr>
        <w:tc>
          <w:tcPr>
            <w:tcW w:w="49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Item</w:t>
            </w:r>
          </w:p>
        </w:tc>
        <w:tc>
          <w:tcPr>
            <w:tcW w:w="1528"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Undiscounted costs (Million €, 2014 prices)</w:t>
            </w:r>
          </w:p>
        </w:tc>
        <w:tc>
          <w:tcPr>
            <w:tcW w:w="2981"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Description of improvements included</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CAPEX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226</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signalling equipment</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OPEX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301</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Additional train operating costs </w:t>
            </w:r>
          </w:p>
        </w:tc>
      </w:tr>
      <w:tr w:rsidR="00660414" w:rsidRPr="000A76BD" w:rsidTr="007613DE">
        <w:trPr>
          <w:cantSplit/>
        </w:trPr>
        <w:tc>
          <w:tcPr>
            <w:tcW w:w="491"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Total </w:t>
            </w:r>
          </w:p>
        </w:tc>
        <w:tc>
          <w:tcPr>
            <w:tcW w:w="1528"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526</w:t>
            </w:r>
          </w:p>
        </w:tc>
        <w:tc>
          <w:tcPr>
            <w:tcW w:w="2981"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6E166C">
        <w:rPr>
          <w:rFonts w:cs="Arial"/>
          <w:sz w:val="22"/>
          <w:szCs w:val="22"/>
        </w:rPr>
        <w:t xml:space="preserve">This intervention returns very good value for money </w:t>
      </w:r>
      <w:r>
        <w:rPr>
          <w:rFonts w:cs="Arial"/>
          <w:sz w:val="22"/>
          <w:szCs w:val="22"/>
        </w:rPr>
        <w:t xml:space="preserve">with a </w:t>
      </w:r>
      <w:r w:rsidRPr="006E166C">
        <w:rPr>
          <w:rFonts w:cs="Arial"/>
          <w:sz w:val="22"/>
          <w:szCs w:val="22"/>
        </w:rPr>
        <w:t xml:space="preserve">BCR </w:t>
      </w:r>
      <w:r>
        <w:rPr>
          <w:rFonts w:cs="Arial"/>
          <w:sz w:val="22"/>
          <w:szCs w:val="22"/>
        </w:rPr>
        <w:t xml:space="preserve">of 2.68 in spite of the </w:t>
      </w:r>
      <w:r w:rsidRPr="006E166C">
        <w:rPr>
          <w:rFonts w:cs="Arial"/>
          <w:sz w:val="22"/>
          <w:szCs w:val="22"/>
        </w:rPr>
        <w:t>minimal increase in rail passenger and freight traffic</w:t>
      </w:r>
      <w:r>
        <w:rPr>
          <w:rFonts w:cs="Arial"/>
          <w:sz w:val="22"/>
          <w:szCs w:val="22"/>
        </w:rPr>
        <w:t xml:space="preserve"> comprising 3</w:t>
      </w:r>
      <w:r w:rsidRPr="006E166C">
        <w:rPr>
          <w:rFonts w:cs="Arial"/>
          <w:sz w:val="22"/>
          <w:szCs w:val="22"/>
        </w:rPr>
        <w:t xml:space="preserve">% and 1% respectively </w:t>
      </w:r>
      <w:r>
        <w:rPr>
          <w:rFonts w:cs="Arial"/>
          <w:sz w:val="22"/>
          <w:szCs w:val="22"/>
        </w:rPr>
        <w:t xml:space="preserve">as shown in Table 5.53. </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53</w:t>
      </w:r>
      <w:r w:rsidRPr="001F5936">
        <w:rPr>
          <w:b/>
          <w:sz w:val="22"/>
          <w:szCs w:val="22"/>
        </w:rPr>
        <w:fldChar w:fldCharType="end"/>
      </w:r>
      <w:r w:rsidRPr="001F5936">
        <w:rPr>
          <w:b/>
          <w:sz w:val="22"/>
          <w:szCs w:val="22"/>
        </w:rPr>
        <w:t>:</w:t>
      </w:r>
      <w:r>
        <w:rPr>
          <w:b/>
          <w:sz w:val="22"/>
          <w:szCs w:val="22"/>
        </w:rPr>
        <w:t xml:space="preserve"> Summary of Results (DS10B)</w:t>
      </w:r>
    </w:p>
    <w:tbl>
      <w:tblPr>
        <w:tblW w:w="3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1773"/>
      </w:tblGrid>
      <w:tr w:rsidR="00660414" w:rsidRPr="000A76BD" w:rsidTr="007613DE">
        <w:trPr>
          <w:cantSplit/>
          <w:tblHeader/>
        </w:trPr>
        <w:tc>
          <w:tcPr>
            <w:tcW w:w="368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Test code</w:t>
            </w:r>
          </w:p>
        </w:tc>
        <w:tc>
          <w:tcPr>
            <w:tcW w:w="131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DS10</w:t>
            </w:r>
            <w:r>
              <w:rPr>
                <w:rFonts w:cs="Arial"/>
                <w:b/>
                <w:bCs/>
                <w:sz w:val="22"/>
                <w:szCs w:val="22"/>
              </w:rPr>
              <w:t>B</w:t>
            </w:r>
          </w:p>
        </w:tc>
      </w:tr>
      <w:tr w:rsidR="00660414" w:rsidRPr="000A76BD" w:rsidTr="007613DE">
        <w:trPr>
          <w:cantSplit/>
        </w:trPr>
        <w:tc>
          <w:tcPr>
            <w:tcW w:w="368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(1000's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+545 (+3%)</w:t>
            </w:r>
          </w:p>
        </w:tc>
      </w:tr>
      <w:tr w:rsidR="00660414" w:rsidRPr="000A76BD" w:rsidTr="007613DE">
        <w:trPr>
          <w:cantSplit/>
        </w:trPr>
        <w:tc>
          <w:tcPr>
            <w:tcW w:w="368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share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0.2%</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Tonne-km (1000,s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+123 (+0%)</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Tonne-km share (2030)</w:t>
            </w:r>
          </w:p>
        </w:tc>
        <w:tc>
          <w:tcPr>
            <w:tcW w:w="131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0.0%</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NPV € Mill (2014 Prices)</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347</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BCR</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2.68</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EIRR</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1</w:t>
            </w:r>
            <w:r>
              <w:rPr>
                <w:rFonts w:cs="Arial"/>
                <w:b/>
                <w:sz w:val="22"/>
                <w:szCs w:val="22"/>
              </w:rPr>
              <w:t>1</w:t>
            </w:r>
            <w:r w:rsidRPr="006E166C">
              <w:rPr>
                <w:rFonts w:cs="Arial"/>
                <w:b/>
                <w:sz w:val="22"/>
                <w:szCs w:val="22"/>
              </w:rPr>
              <w:t>.</w:t>
            </w:r>
            <w:r>
              <w:rPr>
                <w:rFonts w:cs="Arial"/>
                <w:b/>
                <w:sz w:val="22"/>
                <w:szCs w:val="22"/>
              </w:rPr>
              <w:t>96</w:t>
            </w:r>
            <w:r w:rsidRPr="006E166C">
              <w:rPr>
                <w:rFonts w:cs="Arial"/>
                <w:b/>
                <w:sz w:val="22"/>
                <w:szCs w:val="22"/>
              </w:rPr>
              <w:t>%</w:t>
            </w:r>
          </w:p>
        </w:tc>
      </w:tr>
      <w:tr w:rsidR="00660414" w:rsidRPr="000A76BD" w:rsidTr="007613DE">
        <w:trPr>
          <w:cantSplit/>
        </w:trPr>
        <w:tc>
          <w:tcPr>
            <w:tcW w:w="368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Upgraded main line infrastructure (track-km)</w:t>
            </w:r>
          </w:p>
        </w:tc>
        <w:tc>
          <w:tcPr>
            <w:tcW w:w="131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95</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sidRPr="00CB2999">
        <w:rPr>
          <w:rFonts w:cs="Arial"/>
          <w:sz w:val="22"/>
          <w:szCs w:val="22"/>
        </w:rPr>
        <w:t>Changes in freight and passenger flows on this test are similar to DS</w:t>
      </w:r>
      <w:r>
        <w:rPr>
          <w:rFonts w:cs="Arial"/>
          <w:sz w:val="22"/>
          <w:szCs w:val="22"/>
        </w:rPr>
        <w:t>10</w:t>
      </w:r>
      <w:r w:rsidRPr="00CB2999">
        <w:rPr>
          <w:rFonts w:cs="Arial"/>
          <w:sz w:val="22"/>
          <w:szCs w:val="22"/>
        </w:rPr>
        <w:t>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6E166C">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6E166C">
        <w:rPr>
          <w:rFonts w:cs="Arial"/>
          <w:sz w:val="22"/>
          <w:szCs w:val="22"/>
        </w:rPr>
        <w:t>It has been estimated that the project could be implemented by 2020 if funding is secured.</w:t>
      </w:r>
      <w:r w:rsidRPr="00340716">
        <w:rPr>
          <w:rFonts w:cs="Arial"/>
          <w:sz w:val="22"/>
          <w:szCs w:val="22"/>
        </w:rPr>
        <w:br w:type="page"/>
      </w:r>
    </w:p>
    <w:p w:rsidR="00660414" w:rsidRPr="00170C2E" w:rsidRDefault="00660414" w:rsidP="00170C2E">
      <w:pPr>
        <w:pStyle w:val="Hdg3"/>
        <w:ind w:left="851"/>
      </w:pPr>
      <w:r w:rsidRPr="008C5B1B">
        <w:t>Core TEN-T corridor IV-N section Craiova to Calafat to design speed (Test DS11A)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804F1B">
              <w:rPr>
                <w:rFonts w:cs="Arial"/>
                <w:sz w:val="22"/>
                <w:szCs w:val="22"/>
              </w:rPr>
              <w:t>Upgrade programme for</w:t>
            </w:r>
            <w:r>
              <w:rPr>
                <w:rFonts w:cs="Arial"/>
                <w:sz w:val="22"/>
                <w:szCs w:val="22"/>
              </w:rPr>
              <w:t xml:space="preserve"> </w:t>
            </w:r>
            <w:r w:rsidRPr="00804F1B">
              <w:rPr>
                <w:rFonts w:cs="Arial"/>
                <w:sz w:val="22"/>
                <w:szCs w:val="22"/>
              </w:rPr>
              <w:t xml:space="preserve">the line between Craiova and Calafat. This project includes: </w:t>
            </w:r>
          </w:p>
          <w:p w:rsidR="00660414" w:rsidRPr="000A76BD" w:rsidRDefault="00660414" w:rsidP="00273D5E">
            <w:pPr>
              <w:pStyle w:val="BulletLevel1"/>
              <w:numPr>
                <w:ilvl w:val="0"/>
                <w:numId w:val="60"/>
              </w:numPr>
            </w:pPr>
            <w:r w:rsidRPr="00804F1B">
              <w:t>Rehabilitation to design speed of corridor 912 between Craiova and Calafat.</w:t>
            </w:r>
          </w:p>
          <w:p w:rsidR="00660414" w:rsidRPr="000A76BD" w:rsidRDefault="00660414" w:rsidP="00273D5E">
            <w:pPr>
              <w:pStyle w:val="BulletLevel1"/>
              <w:numPr>
                <w:ilvl w:val="0"/>
                <w:numId w:val="60"/>
              </w:numPr>
            </w:pPr>
            <w:r w:rsidRPr="00804F1B">
              <w:t>Steady state maintenance of the core network (baseline assumption for all Do Something tests).</w:t>
            </w:r>
          </w:p>
          <w:p w:rsidR="00660414" w:rsidRPr="000A76BD" w:rsidRDefault="00660414" w:rsidP="00273D5E">
            <w:pPr>
              <w:pStyle w:val="BulletLevel1"/>
              <w:numPr>
                <w:ilvl w:val="0"/>
                <w:numId w:val="60"/>
              </w:numPr>
            </w:pPr>
            <w:r w:rsidRPr="00804F1B">
              <w:t>Improved signalling and communication systems to enhance running speeds and increase the corridor’s capacity.</w:t>
            </w:r>
          </w:p>
          <w:p w:rsidR="00660414" w:rsidRPr="008C5B1B" w:rsidRDefault="00660414" w:rsidP="00273D5E">
            <w:pPr>
              <w:pStyle w:val="BulletLevel1"/>
              <w:numPr>
                <w:ilvl w:val="0"/>
                <w:numId w:val="60"/>
              </w:numPr>
              <w:rPr>
                <w:lang w:val="en-US"/>
              </w:rPr>
            </w:pPr>
            <w:r w:rsidRPr="00804F1B">
              <w:t>Regio regular interval timetable operated by existing rolling stock. The proposed regular interval service pattern is: Craiova to Calafat (0.5 tph)</w:t>
            </w:r>
            <w:r w:rsidRPr="00804F1B">
              <w:rPr>
                <w:rFonts w:cs="Arial"/>
              </w:rPr>
              <w:t>.</w:t>
            </w:r>
          </w:p>
        </w:tc>
      </w:tr>
    </w:tbl>
    <w:p w:rsidR="00660414" w:rsidRDefault="00660414" w:rsidP="00660414">
      <w:pPr>
        <w:spacing w:before="120"/>
        <w:rPr>
          <w:b/>
          <w:noProof/>
          <w:sz w:val="22"/>
          <w:szCs w:val="22"/>
          <w:lang w:eastAsia="en-GB"/>
        </w:rPr>
      </w:pPr>
      <w:r w:rsidRPr="008C5B1B">
        <w:rPr>
          <w:b/>
          <w:noProof/>
          <w:sz w:val="22"/>
          <w:szCs w:val="22"/>
          <w:lang w:val="ro-RO" w:eastAsia="ro-RO"/>
        </w:rPr>
        <w:drawing>
          <wp:inline distT="0" distB="0" distL="0" distR="0" wp14:anchorId="4465C490" wp14:editId="0F32A334">
            <wp:extent cx="5607681" cy="3960000"/>
            <wp:effectExtent l="0" t="0" r="0" b="2540"/>
            <wp:docPr id="596" name="Picture 596" descr="F:\Projects\Transport Planning - Romania UK GTMP\PUBLIC TRANSPORT\Rail\04_Plots\Do_Somthing_schemes\outputs\DoSomethingSchemes_D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Do_Somthing_schemes\outputs\DoSomethingSchemes_DS11A.jpg"/>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79</w:t>
      </w:r>
      <w:r w:rsidRPr="008C7A83">
        <w:rPr>
          <w:b/>
          <w:sz w:val="22"/>
          <w:szCs w:val="22"/>
        </w:rPr>
        <w:fldChar w:fldCharType="end"/>
      </w:r>
      <w:r w:rsidRPr="008C7A83">
        <w:rPr>
          <w:b/>
          <w:sz w:val="22"/>
          <w:szCs w:val="22"/>
        </w:rPr>
        <w:t>:</w:t>
      </w:r>
      <w:r>
        <w:rPr>
          <w:b/>
          <w:sz w:val="22"/>
          <w:szCs w:val="22"/>
        </w:rPr>
        <w:t xml:space="preserve"> Description of Service Proposals (DS11)</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p w:rsidR="00660414" w:rsidRPr="008C5B1B" w:rsidRDefault="00660414" w:rsidP="00660414">
      <w:pPr>
        <w:spacing w:before="120"/>
        <w:rPr>
          <w:b/>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and speed restrictions due to underspend in maintenance and renewals. Travel times by rail markedly higher than by car.</w:t>
            </w:r>
          </w:p>
          <w:p w:rsidR="00660414" w:rsidRPr="000A76BD" w:rsidRDefault="00660414" w:rsidP="00273D5E">
            <w:pPr>
              <w:pStyle w:val="BulletLevel1"/>
              <w:numPr>
                <w:ilvl w:val="0"/>
                <w:numId w:val="60"/>
              </w:numPr>
            </w:pPr>
            <w:r w:rsidRPr="00804F1B">
              <w:t xml:space="preserve">Delays due to poor infrastructure condition. Commercial speeds below design parameters between Segarcea and Calafat. Although the design speed of that section is 80 km/h, passenger services between Segrarcea and Calafat are limited to 40 km/h. </w:t>
            </w:r>
          </w:p>
          <w:p w:rsidR="00660414" w:rsidRPr="000A76BD" w:rsidRDefault="00660414" w:rsidP="00273D5E">
            <w:pPr>
              <w:pStyle w:val="BulletLevel1"/>
              <w:numPr>
                <w:ilvl w:val="0"/>
                <w:numId w:val="60"/>
              </w:numPr>
            </w:pPr>
            <w:r w:rsidRPr="00804F1B">
              <w:t>Very low market share of rail trips between Craiova and Calafat, significant potential to increase rail patronage on this section.</w:t>
            </w:r>
          </w:p>
          <w:p w:rsidR="00660414" w:rsidRPr="000A76BD" w:rsidRDefault="00660414" w:rsidP="00273D5E">
            <w:pPr>
              <w:pStyle w:val="BulletLevel1"/>
              <w:numPr>
                <w:ilvl w:val="0"/>
                <w:numId w:val="60"/>
              </w:numPr>
            </w:pPr>
            <w:r w:rsidRPr="00804F1B">
              <w:t>Poor rolling stock and station facilities condition, country wide issue.</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 network wide issues.</w:t>
            </w:r>
          </w:p>
          <w:p w:rsidR="00660414" w:rsidRPr="000A76BD" w:rsidRDefault="00660414" w:rsidP="00273D5E">
            <w:pPr>
              <w:pStyle w:val="BulletLevel1"/>
              <w:numPr>
                <w:ilvl w:val="0"/>
                <w:numId w:val="60"/>
              </w:numPr>
            </w:pPr>
            <w:r w:rsidRPr="00804F1B">
              <w:t>Limited capacity and obsolete signalling systems.</w:t>
            </w:r>
          </w:p>
          <w:p w:rsidR="00660414" w:rsidRPr="008C5B1B" w:rsidRDefault="00660414" w:rsidP="00273D5E">
            <w:pPr>
              <w:pStyle w:val="BulletLevel1"/>
              <w:numPr>
                <w:ilvl w:val="0"/>
                <w:numId w:val="60"/>
              </w:numPr>
              <w:rPr>
                <w:lang w:val="en-US"/>
              </w:rPr>
            </w:pPr>
            <w:r w:rsidRPr="00804F1B">
              <w:t xml:space="preserve">Slow speeds on the access to the new rail bridge over the Danube East of Calafat. </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54</w:t>
      </w:r>
      <w:r w:rsidRPr="001F5936">
        <w:rPr>
          <w:b/>
          <w:sz w:val="22"/>
          <w:szCs w:val="22"/>
        </w:rPr>
        <w:fldChar w:fldCharType="end"/>
      </w:r>
      <w:r w:rsidRPr="001F5936">
        <w:rPr>
          <w:b/>
          <w:sz w:val="22"/>
          <w:szCs w:val="22"/>
        </w:rPr>
        <w:t>:</w:t>
      </w:r>
      <w:r>
        <w:rPr>
          <w:b/>
          <w:sz w:val="22"/>
          <w:szCs w:val="22"/>
        </w:rPr>
        <w:t xml:space="preserve"> Summary of Infrastructure Costs and Operating Costs (DS11A)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894"/>
        <w:gridCol w:w="6533"/>
      </w:tblGrid>
      <w:tr w:rsidR="00660414" w:rsidRPr="000A76BD" w:rsidTr="007613DE">
        <w:trPr>
          <w:cantSplit/>
          <w:tblHeader/>
        </w:trPr>
        <w:tc>
          <w:tcPr>
            <w:tcW w:w="51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77" w:type="pct"/>
            <w:shd w:val="clear" w:color="auto" w:fill="C6D9F1"/>
            <w:vAlign w:val="center"/>
          </w:tcPr>
          <w:p w:rsidR="00660414" w:rsidRPr="000A76BD" w:rsidRDefault="00660414" w:rsidP="007613DE">
            <w:pPr>
              <w:spacing w:line="276" w:lineRule="auto"/>
              <w:jc w:val="both"/>
              <w:rPr>
                <w:rFonts w:cs="Arial"/>
                <w:b/>
                <w:bCs/>
                <w:sz w:val="22"/>
                <w:szCs w:val="22"/>
              </w:rPr>
            </w:pPr>
            <w:r w:rsidRPr="00804F1B">
              <w:rPr>
                <w:rFonts w:cs="Arial"/>
                <w:b/>
                <w:bCs/>
                <w:sz w:val="22"/>
                <w:szCs w:val="22"/>
              </w:rPr>
              <w:t>Undiscounted costs (Million €, 2014 prices)</w:t>
            </w:r>
          </w:p>
        </w:tc>
        <w:tc>
          <w:tcPr>
            <w:tcW w:w="310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183</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55</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239</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804F1B">
        <w:rPr>
          <w:rFonts w:cs="Arial"/>
          <w:sz w:val="22"/>
          <w:szCs w:val="22"/>
        </w:rPr>
        <w:t xml:space="preserve">This intervention </w:t>
      </w:r>
      <w:r>
        <w:rPr>
          <w:rFonts w:cs="Arial"/>
          <w:sz w:val="22"/>
          <w:szCs w:val="22"/>
        </w:rPr>
        <w:t xml:space="preserve">offers </w:t>
      </w:r>
      <w:r w:rsidRPr="00804F1B">
        <w:rPr>
          <w:rFonts w:cs="Arial"/>
          <w:sz w:val="22"/>
          <w:szCs w:val="22"/>
        </w:rPr>
        <w:t xml:space="preserve">poor value for money </w:t>
      </w:r>
      <w:r>
        <w:rPr>
          <w:rFonts w:cs="Arial"/>
          <w:sz w:val="22"/>
          <w:szCs w:val="22"/>
        </w:rPr>
        <w:t xml:space="preserve">with a </w:t>
      </w:r>
      <w:r w:rsidRPr="00804F1B">
        <w:rPr>
          <w:rFonts w:cs="Arial"/>
          <w:sz w:val="22"/>
          <w:szCs w:val="22"/>
        </w:rPr>
        <w:t xml:space="preserve">BCR </w:t>
      </w:r>
      <w:r>
        <w:rPr>
          <w:rFonts w:cs="Arial"/>
          <w:sz w:val="22"/>
          <w:szCs w:val="22"/>
        </w:rPr>
        <w:t>of</w:t>
      </w:r>
      <w:r w:rsidRPr="00804F1B">
        <w:rPr>
          <w:rFonts w:cs="Arial"/>
          <w:sz w:val="22"/>
          <w:szCs w:val="22"/>
        </w:rPr>
        <w:t xml:space="preserve"> 0.91</w:t>
      </w:r>
      <w:r>
        <w:rPr>
          <w:rFonts w:cs="Arial"/>
          <w:sz w:val="22"/>
          <w:szCs w:val="22"/>
        </w:rPr>
        <w:t>. The m</w:t>
      </w:r>
      <w:r w:rsidRPr="00804F1B">
        <w:rPr>
          <w:rFonts w:cs="Arial"/>
          <w:sz w:val="22"/>
          <w:szCs w:val="22"/>
        </w:rPr>
        <w:t xml:space="preserve">inimal increase in rail passenger traffic of 2% </w:t>
      </w:r>
      <w:r>
        <w:rPr>
          <w:rFonts w:cs="Arial"/>
          <w:sz w:val="22"/>
          <w:szCs w:val="22"/>
        </w:rPr>
        <w:t>has contributed to this result, as shown in Table 5.55</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55</w:t>
      </w:r>
      <w:r w:rsidRPr="001F5936">
        <w:rPr>
          <w:b/>
          <w:sz w:val="22"/>
          <w:szCs w:val="22"/>
        </w:rPr>
        <w:fldChar w:fldCharType="end"/>
      </w:r>
      <w:r w:rsidRPr="001F5936">
        <w:rPr>
          <w:b/>
          <w:sz w:val="22"/>
          <w:szCs w:val="22"/>
        </w:rPr>
        <w:t>:</w:t>
      </w:r>
      <w:r>
        <w:rPr>
          <w:b/>
          <w:sz w:val="22"/>
          <w:szCs w:val="22"/>
        </w:rPr>
        <w:t xml:space="preserve"> Summary of Results (DS11A)</w:t>
      </w:r>
    </w:p>
    <w:tbl>
      <w:tblPr>
        <w:tblW w:w="33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6"/>
        <w:gridCol w:w="2149"/>
      </w:tblGrid>
      <w:tr w:rsidR="00660414" w:rsidRPr="000A76BD" w:rsidTr="007613DE">
        <w:trPr>
          <w:cantSplit/>
          <w:tblHeader/>
        </w:trPr>
        <w:tc>
          <w:tcPr>
            <w:tcW w:w="345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54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DS11A</w:t>
            </w:r>
          </w:p>
        </w:tc>
      </w:tr>
      <w:tr w:rsidR="00660414" w:rsidRPr="000A76BD" w:rsidTr="007613DE">
        <w:trPr>
          <w:cantSplit/>
        </w:trPr>
        <w:tc>
          <w:tcPr>
            <w:tcW w:w="345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+363 (+2%)</w:t>
            </w:r>
          </w:p>
        </w:tc>
      </w:tr>
      <w:tr w:rsidR="00660414" w:rsidRPr="000A76BD" w:rsidTr="007613DE">
        <w:trPr>
          <w:cantSplit/>
        </w:trPr>
        <w:tc>
          <w:tcPr>
            <w:tcW w:w="345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0.1%</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+92 (+0%)</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0.0%</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w:t>
            </w:r>
            <w:r>
              <w:rPr>
                <w:rFonts w:cs="Arial"/>
                <w:b/>
                <w:sz w:val="22"/>
                <w:szCs w:val="22"/>
              </w:rPr>
              <w:t>12</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0.91</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4.47%</w:t>
            </w:r>
          </w:p>
        </w:tc>
      </w:tr>
      <w:tr w:rsidR="00660414" w:rsidRPr="000A76BD" w:rsidTr="007613DE">
        <w:tc>
          <w:tcPr>
            <w:tcW w:w="3453"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54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115</w:t>
            </w:r>
          </w:p>
        </w:tc>
      </w:tr>
    </w:tbl>
    <w:p w:rsidR="00660414" w:rsidRDefault="00660414" w:rsidP="00340716">
      <w:pPr>
        <w:rPr>
          <w:i/>
        </w:rPr>
      </w:pPr>
      <w:r>
        <w:rPr>
          <w:i/>
        </w:rPr>
        <w:t>Source: AECOM analysis of outputs from the National Transport Model</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i/>
          <w:sz w:val="22"/>
          <w:szCs w:val="22"/>
          <w:u w:val="single"/>
        </w:rPr>
      </w:pPr>
      <w:r>
        <w:rPr>
          <w:rFonts w:cs="Arial"/>
          <w:sz w:val="22"/>
          <w:szCs w:val="22"/>
        </w:rPr>
        <w:t xml:space="preserve">Figures 5.80 and 5.81 </w:t>
      </w:r>
      <w:r w:rsidRPr="00804F1B">
        <w:rPr>
          <w:rFonts w:cs="Arial"/>
          <w:sz w:val="22"/>
          <w:szCs w:val="22"/>
        </w:rPr>
        <w:t xml:space="preserve">illustrate the forecast changes in passenger and freight traffic for 2030 assuming that the project is in operation from 2020. </w:t>
      </w:r>
    </w:p>
    <w:p w:rsidR="00660414" w:rsidRDefault="00660414" w:rsidP="00660414">
      <w:pPr>
        <w:rPr>
          <w:b/>
          <w:noProof/>
          <w:sz w:val="22"/>
          <w:szCs w:val="22"/>
          <w:lang w:eastAsia="en-GB"/>
        </w:rPr>
      </w:pPr>
      <w:r w:rsidRPr="008C5B1B">
        <w:rPr>
          <w:b/>
          <w:noProof/>
          <w:sz w:val="22"/>
          <w:szCs w:val="22"/>
          <w:lang w:val="ro-RO" w:eastAsia="ro-RO"/>
        </w:rPr>
        <w:drawing>
          <wp:inline distT="0" distB="0" distL="0" distR="0" wp14:anchorId="6F5DED41" wp14:editId="0163BBFF">
            <wp:extent cx="5607681" cy="3960000"/>
            <wp:effectExtent l="0" t="0" r="0" b="2540"/>
            <wp:docPr id="597" name="Picture 597" descr="F:\Projects\Transport Planning - Romania UK GTMP\PUBLIC TRANSPORT\Rail\04_Plots\Rail_results\output\DS11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rojects\Transport Planning - Romania UK GTMP\PUBLIC TRANSPORT\Rail\04_Plots\Rail_results\output\DS11A_2030_change_pass.jpg"/>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80</w:t>
      </w:r>
      <w:r w:rsidRPr="0075501B">
        <w:rPr>
          <w:b/>
          <w:sz w:val="22"/>
          <w:szCs w:val="22"/>
        </w:rPr>
        <w:fldChar w:fldCharType="end"/>
      </w:r>
      <w:r>
        <w:rPr>
          <w:b/>
          <w:sz w:val="22"/>
          <w:szCs w:val="22"/>
        </w:rPr>
        <w:t>: Change in Passenger Demand (DS11A)</w:t>
      </w:r>
    </w:p>
    <w:p w:rsidR="00660414" w:rsidRDefault="00660414" w:rsidP="00340716">
      <w:pPr>
        <w:rPr>
          <w:i/>
        </w:rPr>
      </w:pPr>
      <w:r>
        <w:rPr>
          <w:i/>
        </w:rPr>
        <w:t>Source: AECOM analysis of outputs from the National Transport Model</w:t>
      </w:r>
    </w:p>
    <w:p w:rsidR="00660414" w:rsidRPr="008C5B1B" w:rsidRDefault="00660414" w:rsidP="00660414">
      <w:pPr>
        <w:rPr>
          <w:b/>
          <w:noProof/>
          <w:sz w:val="22"/>
          <w:szCs w:val="22"/>
          <w:lang w:eastAsia="en-GB"/>
        </w:rPr>
      </w:pPr>
    </w:p>
    <w:p w:rsidR="00660414" w:rsidRDefault="00660414" w:rsidP="00660414">
      <w:pPr>
        <w:spacing w:line="276" w:lineRule="auto"/>
        <w:jc w:val="both"/>
        <w:rPr>
          <w:rFonts w:cs="Arial"/>
          <w:sz w:val="22"/>
          <w:szCs w:val="22"/>
        </w:rPr>
      </w:pPr>
      <w:r w:rsidRPr="00804F1B">
        <w:rPr>
          <w:rFonts w:cs="Arial"/>
          <w:sz w:val="22"/>
          <w:szCs w:val="22"/>
        </w:rPr>
        <w:t xml:space="preserve">The proposed upgrades will lead to a very high </w:t>
      </w:r>
      <w:r>
        <w:rPr>
          <w:rFonts w:cs="Arial"/>
          <w:sz w:val="22"/>
          <w:szCs w:val="22"/>
        </w:rPr>
        <w:t xml:space="preserve">increase in passenger numbers since </w:t>
      </w:r>
      <w:r w:rsidRPr="00804F1B">
        <w:rPr>
          <w:rFonts w:cs="Arial"/>
          <w:sz w:val="22"/>
          <w:szCs w:val="22"/>
        </w:rPr>
        <w:t xml:space="preserve">demand in the reference scenario is low as a result of the numerous speeds restrictions </w:t>
      </w:r>
      <w:r>
        <w:rPr>
          <w:rFonts w:cs="Arial"/>
          <w:sz w:val="22"/>
          <w:szCs w:val="22"/>
        </w:rPr>
        <w:t xml:space="preserve">affecting </w:t>
      </w:r>
      <w:r w:rsidRPr="00804F1B">
        <w:rPr>
          <w:rFonts w:cs="Arial"/>
          <w:sz w:val="22"/>
          <w:szCs w:val="22"/>
        </w:rPr>
        <w:t xml:space="preserve">the line. </w:t>
      </w:r>
      <w:r>
        <w:rPr>
          <w:rFonts w:cs="Arial"/>
          <w:sz w:val="22"/>
          <w:szCs w:val="22"/>
        </w:rPr>
        <w:t xml:space="preserve">Demand could grow by 10-12 times </w:t>
      </w:r>
      <w:r w:rsidRPr="00804F1B">
        <w:rPr>
          <w:rFonts w:cs="Arial"/>
          <w:sz w:val="22"/>
          <w:szCs w:val="22"/>
        </w:rPr>
        <w:t xml:space="preserve">on line 912. </w:t>
      </w:r>
    </w:p>
    <w:p w:rsidR="00660414" w:rsidRDefault="00660414" w:rsidP="00660414">
      <w:pPr>
        <w:rPr>
          <w:b/>
          <w:bCs/>
          <w:sz w:val="22"/>
          <w:szCs w:val="22"/>
        </w:rPr>
      </w:pPr>
      <w:r>
        <w:rPr>
          <w:b/>
          <w:sz w:val="22"/>
          <w:szCs w:val="22"/>
        </w:rPr>
        <w:br w:type="page"/>
      </w:r>
    </w:p>
    <w:p w:rsidR="00660414" w:rsidRDefault="00660414" w:rsidP="00660414">
      <w:pPr>
        <w:rPr>
          <w:b/>
          <w:noProof/>
          <w:sz w:val="22"/>
          <w:szCs w:val="22"/>
          <w:lang w:eastAsia="en-GB"/>
        </w:rPr>
      </w:pPr>
      <w:r w:rsidRPr="008C5B1B">
        <w:rPr>
          <w:b/>
          <w:noProof/>
          <w:sz w:val="22"/>
          <w:szCs w:val="22"/>
          <w:lang w:val="ro-RO" w:eastAsia="ro-RO"/>
        </w:rPr>
        <w:drawing>
          <wp:inline distT="0" distB="0" distL="0" distR="0" wp14:anchorId="6A2FCFF8" wp14:editId="474A4EFC">
            <wp:extent cx="5660852" cy="3960000"/>
            <wp:effectExtent l="0" t="0" r="0" b="2540"/>
            <wp:docPr id="598" name="Picture 598" descr="F:\Projects\Transport Planning - Romania UK GTMP\PUBLIC TRANSPORT\Rail\04_Plots\Rail_results\output\DS11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rojects\Transport Planning - Romania UK GTMP\PUBLIC TRANSPORT\Rail\04_Plots\Rail_results\output\DS11A_2030_change_freight.jpg"/>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5660852" cy="3960000"/>
                    </a:xfrm>
                    <a:prstGeom prst="rect">
                      <a:avLst/>
                    </a:prstGeom>
                    <a:noFill/>
                    <a:ln>
                      <a:noFill/>
                    </a:ln>
                  </pic:spPr>
                </pic:pic>
              </a:graphicData>
            </a:graphic>
          </wp:inline>
        </w:drawing>
      </w:r>
    </w:p>
    <w:p w:rsidR="00660414"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81</w:t>
      </w:r>
      <w:r w:rsidRPr="0075501B">
        <w:rPr>
          <w:b/>
          <w:sz w:val="22"/>
          <w:szCs w:val="22"/>
        </w:rPr>
        <w:fldChar w:fldCharType="end"/>
      </w:r>
      <w:r>
        <w:rPr>
          <w:b/>
          <w:sz w:val="22"/>
          <w:szCs w:val="22"/>
        </w:rPr>
        <w:t>: Change in Freight Demand (DS11A)</w:t>
      </w:r>
    </w:p>
    <w:p w:rsidR="00660414" w:rsidRDefault="00660414" w:rsidP="00340716">
      <w:pPr>
        <w:rPr>
          <w:i/>
        </w:rPr>
      </w:pPr>
      <w:r>
        <w:rPr>
          <w:i/>
        </w:rPr>
        <w:t>Source: AECOM analysis of outputs from the National Transport Model</w:t>
      </w:r>
    </w:p>
    <w:p w:rsidR="00660414" w:rsidRPr="008C5B1B" w:rsidRDefault="00660414" w:rsidP="00660414">
      <w:pPr>
        <w:rPr>
          <w:b/>
          <w:noProof/>
          <w:sz w:val="22"/>
          <w:szCs w:val="22"/>
          <w:lang w:eastAsia="en-GB"/>
        </w:rPr>
      </w:pPr>
    </w:p>
    <w:p w:rsidR="00660414" w:rsidRPr="000A76BD" w:rsidRDefault="00660414" w:rsidP="00660414">
      <w:pPr>
        <w:spacing w:line="276" w:lineRule="auto"/>
        <w:jc w:val="both"/>
        <w:rPr>
          <w:rFonts w:cs="Arial"/>
          <w:i/>
          <w:sz w:val="22"/>
          <w:szCs w:val="22"/>
          <w:u w:val="single"/>
        </w:rPr>
      </w:pPr>
      <w:r w:rsidRPr="00804F1B">
        <w:rPr>
          <w:rFonts w:cs="Arial"/>
          <w:sz w:val="22"/>
          <w:szCs w:val="22"/>
        </w:rPr>
        <w:t xml:space="preserve">A modest </w:t>
      </w:r>
      <w:r>
        <w:rPr>
          <w:rFonts w:cs="Arial"/>
          <w:sz w:val="22"/>
          <w:szCs w:val="22"/>
        </w:rPr>
        <w:t xml:space="preserve">increase in </w:t>
      </w:r>
      <w:r w:rsidRPr="00804F1B">
        <w:rPr>
          <w:rFonts w:cs="Arial"/>
          <w:sz w:val="22"/>
          <w:szCs w:val="22"/>
        </w:rPr>
        <w:t xml:space="preserve">freight growth has been forecast after the line is upgraded. It has been acknowledged however freight demand may </w:t>
      </w:r>
      <w:r>
        <w:rPr>
          <w:rFonts w:cs="Arial"/>
          <w:sz w:val="22"/>
          <w:szCs w:val="22"/>
        </w:rPr>
        <w:t xml:space="preserve">increase </w:t>
      </w:r>
      <w:r w:rsidRPr="00804F1B">
        <w:rPr>
          <w:rFonts w:cs="Arial"/>
          <w:sz w:val="22"/>
          <w:szCs w:val="22"/>
        </w:rPr>
        <w:t>beyond the forecast levels if further enhancements are implemented.</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340716">
      <w:pPr>
        <w:spacing w:line="276" w:lineRule="auto"/>
        <w:jc w:val="both"/>
        <w:rPr>
          <w:rFonts w:cs="Arial"/>
          <w:sz w:val="22"/>
          <w:szCs w:val="22"/>
        </w:rPr>
      </w:pPr>
      <w:r w:rsidRPr="00804F1B">
        <w:rPr>
          <w:rFonts w:cs="Arial"/>
          <w:sz w:val="22"/>
          <w:szCs w:val="22"/>
        </w:rPr>
        <w:t>It has been estimated that the project could be implemented by 2020 if funding is secured.</w:t>
      </w:r>
    </w:p>
    <w:p w:rsidR="00660414" w:rsidRPr="000A76BD" w:rsidRDefault="00660414" w:rsidP="00660414">
      <w:pPr>
        <w:spacing w:line="276" w:lineRule="auto"/>
        <w:jc w:val="both"/>
        <w:rPr>
          <w:rFonts w:cs="Arial"/>
          <w:b/>
          <w:bCs/>
          <w:kern w:val="32"/>
          <w:sz w:val="22"/>
          <w:szCs w:val="22"/>
        </w:rPr>
      </w:pPr>
      <w:r w:rsidRPr="00804F1B">
        <w:rPr>
          <w:rFonts w:cs="Arial"/>
          <w:sz w:val="22"/>
          <w:szCs w:val="22"/>
        </w:rPr>
        <w:br w:type="page"/>
      </w:r>
    </w:p>
    <w:p w:rsidR="00660414" w:rsidRPr="00170C2E" w:rsidRDefault="00660414" w:rsidP="00170C2E">
      <w:pPr>
        <w:pStyle w:val="Hdg3"/>
        <w:ind w:left="851"/>
      </w:pPr>
      <w:r w:rsidRPr="008C5B1B">
        <w:t>Core TEN-T corridor IV-N section Craiova to Calafat to design speed and electrification (Test DS11B)</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0A76BD" w:rsidRDefault="00660414" w:rsidP="007613DE">
            <w:pPr>
              <w:spacing w:line="276" w:lineRule="auto"/>
              <w:jc w:val="both"/>
              <w:rPr>
                <w:rFonts w:cs="Arial"/>
                <w:sz w:val="22"/>
                <w:szCs w:val="22"/>
              </w:rPr>
            </w:pPr>
            <w:r w:rsidRPr="006E166C">
              <w:rPr>
                <w:rFonts w:cs="Arial"/>
                <w:sz w:val="22"/>
                <w:szCs w:val="22"/>
              </w:rPr>
              <w:t>Upgrade programme for</w:t>
            </w:r>
            <w:r>
              <w:rPr>
                <w:rFonts w:cs="Arial"/>
                <w:sz w:val="22"/>
                <w:szCs w:val="22"/>
              </w:rPr>
              <w:t xml:space="preserve"> </w:t>
            </w:r>
            <w:r w:rsidRPr="006E166C">
              <w:rPr>
                <w:rFonts w:cs="Arial"/>
                <w:sz w:val="22"/>
                <w:szCs w:val="22"/>
              </w:rPr>
              <w:t xml:space="preserve">the line between Craiova and Calafat. This project includes: </w:t>
            </w:r>
          </w:p>
          <w:p w:rsidR="00660414" w:rsidRPr="000A76BD" w:rsidRDefault="00660414" w:rsidP="00273D5E">
            <w:pPr>
              <w:pStyle w:val="BulletLevel1"/>
              <w:numPr>
                <w:ilvl w:val="0"/>
                <w:numId w:val="60"/>
              </w:numPr>
            </w:pPr>
            <w:r w:rsidRPr="006E166C">
              <w:t>Rehabilitation to design speed of corridor 912 between Craiova and Calafat.</w:t>
            </w:r>
          </w:p>
          <w:p w:rsidR="00660414" w:rsidRPr="000A76BD" w:rsidRDefault="00660414" w:rsidP="00273D5E">
            <w:pPr>
              <w:pStyle w:val="BulletLevel1"/>
              <w:numPr>
                <w:ilvl w:val="0"/>
                <w:numId w:val="60"/>
              </w:numPr>
            </w:pPr>
            <w:r w:rsidRPr="006E166C">
              <w:t>Steady state maintenance of the core network (baseline assumption for all Do Something tests).</w:t>
            </w:r>
          </w:p>
          <w:p w:rsidR="00660414" w:rsidRDefault="00660414" w:rsidP="00273D5E">
            <w:pPr>
              <w:pStyle w:val="BulletLevel1"/>
              <w:numPr>
                <w:ilvl w:val="0"/>
                <w:numId w:val="60"/>
              </w:numPr>
            </w:pPr>
            <w:r w:rsidRPr="006E166C">
              <w:t>Improved signalling and communication systems to enhance running speeds and increase the corridor’s capacity.</w:t>
            </w:r>
          </w:p>
          <w:p w:rsidR="00660414" w:rsidRPr="000A76BD" w:rsidRDefault="00660414" w:rsidP="00273D5E">
            <w:pPr>
              <w:pStyle w:val="BulletLevel1"/>
              <w:numPr>
                <w:ilvl w:val="0"/>
                <w:numId w:val="60"/>
              </w:numPr>
            </w:pPr>
            <w:r>
              <w:t>Line electrification</w:t>
            </w:r>
          </w:p>
          <w:p w:rsidR="00660414" w:rsidRPr="008C5B1B" w:rsidRDefault="00660414" w:rsidP="00273D5E">
            <w:pPr>
              <w:pStyle w:val="BulletLevel1"/>
              <w:numPr>
                <w:ilvl w:val="0"/>
                <w:numId w:val="60"/>
              </w:numPr>
              <w:rPr>
                <w:lang w:val="en-US"/>
              </w:rPr>
            </w:pPr>
            <w:r w:rsidRPr="006E166C">
              <w:t>Regio regular interval timetable operated by existing rolling stock. The proposed regular interval service pattern is: Craiova to Calafat (0.5 tph)</w:t>
            </w:r>
            <w:r w:rsidRPr="006E166C">
              <w:rPr>
                <w:rFonts w:cs="Arial"/>
              </w:rPr>
              <w:t>.</w:t>
            </w:r>
          </w:p>
        </w:tc>
      </w:tr>
    </w:tbl>
    <w:p w:rsidR="00660414" w:rsidRDefault="00660414" w:rsidP="00660414">
      <w:pPr>
        <w:spacing w:before="120"/>
        <w:rPr>
          <w:noProof/>
          <w:sz w:val="22"/>
          <w:szCs w:val="22"/>
          <w:lang w:eastAsia="en-GB"/>
        </w:rPr>
      </w:pPr>
      <w:r w:rsidRPr="008C5B1B">
        <w:rPr>
          <w:noProof/>
          <w:sz w:val="22"/>
          <w:szCs w:val="22"/>
          <w:lang w:val="ro-RO" w:eastAsia="ro-RO"/>
        </w:rPr>
        <w:drawing>
          <wp:inline distT="0" distB="0" distL="0" distR="0" wp14:anchorId="5D497417" wp14:editId="65F7822D">
            <wp:extent cx="5607681" cy="3960000"/>
            <wp:effectExtent l="0" t="0" r="0" b="2540"/>
            <wp:docPr id="599" name="Picture 325" descr="F:\Projects\Transport Planning - Romania UK GTMP\PUBLIC TRANSPORT\Rail\04_Plots\Do_Somthing_schemes\outputs\DoSomethingSchemes_D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Do_Somthing_schemes\outputs\DoSomethingSchemes_DS11A.jpg"/>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Default="00660414" w:rsidP="00660414">
      <w:pPr>
        <w:pStyle w:val="Caption"/>
        <w:rPr>
          <w:b/>
          <w:sz w:val="22"/>
          <w:szCs w:val="22"/>
        </w:rPr>
      </w:pPr>
      <w:r w:rsidRPr="008C7A83">
        <w:rPr>
          <w:b/>
          <w:sz w:val="22"/>
          <w:szCs w:val="22"/>
        </w:rPr>
        <w:t>Figure 5.</w:t>
      </w:r>
      <w:r w:rsidRPr="008C7A83">
        <w:rPr>
          <w:b/>
          <w:sz w:val="22"/>
          <w:szCs w:val="22"/>
        </w:rPr>
        <w:fldChar w:fldCharType="begin"/>
      </w:r>
      <w:r w:rsidRPr="008C7A83">
        <w:rPr>
          <w:b/>
          <w:sz w:val="22"/>
          <w:szCs w:val="22"/>
        </w:rPr>
        <w:instrText xml:space="preserve"> SEQ Figure \* ARABIC </w:instrText>
      </w:r>
      <w:r w:rsidRPr="008C7A83">
        <w:rPr>
          <w:b/>
          <w:sz w:val="22"/>
          <w:szCs w:val="22"/>
        </w:rPr>
        <w:fldChar w:fldCharType="separate"/>
      </w:r>
      <w:r w:rsidR="00C168ED">
        <w:rPr>
          <w:b/>
          <w:noProof/>
          <w:sz w:val="22"/>
          <w:szCs w:val="22"/>
        </w:rPr>
        <w:t>82</w:t>
      </w:r>
      <w:r w:rsidRPr="008C7A83">
        <w:rPr>
          <w:b/>
          <w:sz w:val="22"/>
          <w:szCs w:val="22"/>
        </w:rPr>
        <w:fldChar w:fldCharType="end"/>
      </w:r>
      <w:r w:rsidRPr="008C7A83">
        <w:rPr>
          <w:b/>
          <w:sz w:val="22"/>
          <w:szCs w:val="22"/>
        </w:rPr>
        <w:t>:</w:t>
      </w:r>
      <w:r>
        <w:rPr>
          <w:b/>
          <w:sz w:val="22"/>
          <w:szCs w:val="22"/>
        </w:rPr>
        <w:t xml:space="preserve"> Description of the Service Proposals (DS11B)</w:t>
      </w:r>
    </w:p>
    <w:p w:rsidR="00660414" w:rsidRDefault="00660414" w:rsidP="00340716">
      <w:pPr>
        <w:rPr>
          <w:i/>
        </w:rPr>
      </w:pPr>
      <w:r>
        <w:rPr>
          <w:i/>
        </w:rPr>
        <w:t>Source: AECOM analysis of outputs from the National Transport Model</w:t>
      </w:r>
    </w:p>
    <w:p w:rsidR="00660414" w:rsidRPr="008C5B1B" w:rsidRDefault="00660414" w:rsidP="00660414">
      <w:pPr>
        <w:pStyle w:val="Body"/>
      </w:pPr>
    </w:p>
    <w:p w:rsidR="00660414" w:rsidRPr="008C5B1B" w:rsidRDefault="00660414" w:rsidP="00660414">
      <w:pPr>
        <w:spacing w:before="120"/>
        <w:rPr>
          <w:noProof/>
          <w:sz w:val="22"/>
          <w:szCs w:val="22"/>
          <w:lang w:eastAsia="en-GB"/>
        </w:rPr>
      </w:pP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6E166C">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6E166C">
              <w:t>Deteriorated track condition and speed restrictions due to underspend in maintenance and renewals. Travel times by rail markedly higher than by car.</w:t>
            </w:r>
          </w:p>
          <w:p w:rsidR="00660414" w:rsidRPr="000A76BD" w:rsidRDefault="00660414" w:rsidP="00273D5E">
            <w:pPr>
              <w:pStyle w:val="BulletLevel1"/>
              <w:numPr>
                <w:ilvl w:val="0"/>
                <w:numId w:val="60"/>
              </w:numPr>
            </w:pPr>
            <w:r w:rsidRPr="006E166C">
              <w:t xml:space="preserve">Delays due to poor infrastructure condition. Commercial speeds below design parameters between Segarcea and Calafat. Although the design speed of that section is 80 km/h, passenger services between Segrarcea and Calafat are limited to 40 km/h. </w:t>
            </w:r>
          </w:p>
          <w:p w:rsidR="00660414" w:rsidRPr="000A76BD" w:rsidRDefault="00660414" w:rsidP="00273D5E">
            <w:pPr>
              <w:pStyle w:val="BulletLevel1"/>
              <w:numPr>
                <w:ilvl w:val="0"/>
                <w:numId w:val="60"/>
              </w:numPr>
            </w:pPr>
            <w:r w:rsidRPr="006E166C">
              <w:t>Very low market share of rail trips between Craiova and Calafat, significant potential to increase rail patronage on this section.</w:t>
            </w:r>
          </w:p>
          <w:p w:rsidR="00660414" w:rsidRPr="000A76BD" w:rsidRDefault="00660414" w:rsidP="00273D5E">
            <w:pPr>
              <w:pStyle w:val="BulletLevel1"/>
              <w:numPr>
                <w:ilvl w:val="0"/>
                <w:numId w:val="60"/>
              </w:numPr>
            </w:pPr>
            <w:r w:rsidRPr="006E166C">
              <w:t>Poor rolling stock and station facilities condition, country wide issue.</w:t>
            </w:r>
          </w:p>
          <w:p w:rsidR="00660414" w:rsidRPr="000A76BD" w:rsidRDefault="00660414" w:rsidP="00273D5E">
            <w:pPr>
              <w:pStyle w:val="BulletLevel1"/>
              <w:numPr>
                <w:ilvl w:val="0"/>
                <w:numId w:val="60"/>
              </w:numPr>
            </w:pPr>
            <w:r w:rsidRPr="006E166C">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6E166C">
              <w:t>Poor reliability record and inefficient signalling systems, network wide issues.</w:t>
            </w:r>
          </w:p>
          <w:p w:rsidR="00660414" w:rsidRPr="000A76BD" w:rsidRDefault="00660414" w:rsidP="00273D5E">
            <w:pPr>
              <w:pStyle w:val="BulletLevel1"/>
              <w:numPr>
                <w:ilvl w:val="0"/>
                <w:numId w:val="60"/>
              </w:numPr>
            </w:pPr>
            <w:r w:rsidRPr="006E166C">
              <w:t>Limited capacity and obsolete signalling systems.</w:t>
            </w:r>
          </w:p>
          <w:p w:rsidR="00660414" w:rsidRPr="008C5B1B" w:rsidRDefault="00660414" w:rsidP="00273D5E">
            <w:pPr>
              <w:pStyle w:val="BulletLevel1"/>
              <w:numPr>
                <w:ilvl w:val="0"/>
                <w:numId w:val="60"/>
              </w:numPr>
              <w:rPr>
                <w:lang w:val="en-US"/>
              </w:rPr>
            </w:pPr>
            <w:r w:rsidRPr="006E166C">
              <w:t xml:space="preserve">Slow speeds on the access to the new rail bridge over the Danube East of Calafat. </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6E166C">
        <w:rPr>
          <w:rFonts w:cs="Arial"/>
          <w:sz w:val="22"/>
          <w:szCs w:val="22"/>
        </w:rPr>
        <w:t>It has been estimated that the project will incur in the following costs, excluding steady state maintenance of the core network.</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56</w:t>
      </w:r>
      <w:r w:rsidRPr="001F5936">
        <w:rPr>
          <w:b/>
          <w:sz w:val="22"/>
          <w:szCs w:val="22"/>
        </w:rPr>
        <w:fldChar w:fldCharType="end"/>
      </w:r>
      <w:r w:rsidRPr="001F5936">
        <w:rPr>
          <w:b/>
          <w:sz w:val="22"/>
          <w:szCs w:val="22"/>
        </w:rPr>
        <w:t>:</w:t>
      </w:r>
      <w:r>
        <w:rPr>
          <w:b/>
          <w:sz w:val="22"/>
          <w:szCs w:val="22"/>
        </w:rPr>
        <w:t xml:space="preserve"> Summary of Infrastructure Costs and Operating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894"/>
        <w:gridCol w:w="6533"/>
      </w:tblGrid>
      <w:tr w:rsidR="00660414" w:rsidRPr="000A76BD" w:rsidTr="007613DE">
        <w:trPr>
          <w:cantSplit/>
          <w:tblHeader/>
        </w:trPr>
        <w:tc>
          <w:tcPr>
            <w:tcW w:w="514"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Item</w:t>
            </w:r>
          </w:p>
        </w:tc>
        <w:tc>
          <w:tcPr>
            <w:tcW w:w="1377" w:type="pct"/>
            <w:shd w:val="clear" w:color="auto" w:fill="C6D9F1"/>
            <w:vAlign w:val="center"/>
          </w:tcPr>
          <w:p w:rsidR="00660414" w:rsidRPr="000A76BD" w:rsidRDefault="00660414" w:rsidP="007613DE">
            <w:pPr>
              <w:spacing w:line="276" w:lineRule="auto"/>
              <w:jc w:val="both"/>
              <w:rPr>
                <w:rFonts w:cs="Arial"/>
                <w:b/>
                <w:bCs/>
                <w:sz w:val="22"/>
                <w:szCs w:val="22"/>
              </w:rPr>
            </w:pPr>
            <w:r w:rsidRPr="006E166C">
              <w:rPr>
                <w:rFonts w:cs="Arial"/>
                <w:b/>
                <w:bCs/>
                <w:sz w:val="22"/>
                <w:szCs w:val="22"/>
              </w:rPr>
              <w:t>Undiscounted costs (Million €, 2014 prices)</w:t>
            </w:r>
          </w:p>
        </w:tc>
        <w:tc>
          <w:tcPr>
            <w:tcW w:w="310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Description of improvements included</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CAPEX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271</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Improved station facilities</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OPEX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252</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Additional train operating costs </w:t>
            </w:r>
          </w:p>
        </w:tc>
      </w:tr>
      <w:tr w:rsidR="00660414" w:rsidRPr="000A76BD" w:rsidTr="007613DE">
        <w:trPr>
          <w:cantSplit/>
        </w:trPr>
        <w:tc>
          <w:tcPr>
            <w:tcW w:w="514"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 xml:space="preserve">Total </w:t>
            </w:r>
          </w:p>
        </w:tc>
        <w:tc>
          <w:tcPr>
            <w:tcW w:w="1377"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524</w:t>
            </w:r>
          </w:p>
        </w:tc>
        <w:tc>
          <w:tcPr>
            <w:tcW w:w="3109"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sidRPr="006E166C">
        <w:rPr>
          <w:rFonts w:cs="Arial"/>
          <w:sz w:val="22"/>
          <w:szCs w:val="22"/>
        </w:rPr>
        <w:t xml:space="preserve">This intervention returns poor value for money </w:t>
      </w:r>
      <w:r>
        <w:rPr>
          <w:rFonts w:cs="Arial"/>
          <w:sz w:val="22"/>
          <w:szCs w:val="22"/>
        </w:rPr>
        <w:t xml:space="preserve">with a </w:t>
      </w:r>
      <w:r w:rsidRPr="006E166C">
        <w:rPr>
          <w:rFonts w:cs="Arial"/>
          <w:sz w:val="22"/>
          <w:szCs w:val="22"/>
        </w:rPr>
        <w:t xml:space="preserve">BCR </w:t>
      </w:r>
      <w:r>
        <w:rPr>
          <w:rFonts w:cs="Arial"/>
          <w:sz w:val="22"/>
          <w:szCs w:val="22"/>
        </w:rPr>
        <w:t>of</w:t>
      </w:r>
      <w:r w:rsidRPr="006E166C">
        <w:rPr>
          <w:rFonts w:cs="Arial"/>
          <w:sz w:val="22"/>
          <w:szCs w:val="22"/>
        </w:rPr>
        <w:t xml:space="preserve"> 0.</w:t>
      </w:r>
      <w:r>
        <w:rPr>
          <w:rFonts w:cs="Arial"/>
          <w:sz w:val="22"/>
          <w:szCs w:val="22"/>
        </w:rPr>
        <w:t xml:space="preserve">64. An increase in passenger numbers of </w:t>
      </w:r>
      <w:r w:rsidRPr="006E166C">
        <w:rPr>
          <w:rFonts w:cs="Arial"/>
          <w:sz w:val="22"/>
          <w:szCs w:val="22"/>
        </w:rPr>
        <w:t>2% over the whole system</w:t>
      </w:r>
      <w:r>
        <w:rPr>
          <w:rFonts w:cs="Arial"/>
          <w:sz w:val="22"/>
          <w:szCs w:val="22"/>
        </w:rPr>
        <w:t xml:space="preserve"> has contributed to this outcome, as shown in Table 5.57. </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57</w:t>
      </w:r>
      <w:r w:rsidRPr="001F5936">
        <w:rPr>
          <w:b/>
          <w:sz w:val="22"/>
          <w:szCs w:val="22"/>
        </w:rPr>
        <w:fldChar w:fldCharType="end"/>
      </w:r>
      <w:r w:rsidRPr="001F5936">
        <w:rPr>
          <w:b/>
          <w:sz w:val="22"/>
          <w:szCs w:val="22"/>
        </w:rPr>
        <w:t>:</w:t>
      </w:r>
      <w:r>
        <w:rPr>
          <w:b/>
          <w:sz w:val="22"/>
          <w:szCs w:val="22"/>
        </w:rPr>
        <w:t xml:space="preserve"> Summary of Infrastructure Costs and Operating Costs</w:t>
      </w:r>
    </w:p>
    <w:tbl>
      <w:tblPr>
        <w:tblW w:w="33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6"/>
        <w:gridCol w:w="2149"/>
      </w:tblGrid>
      <w:tr w:rsidR="00660414" w:rsidRPr="000A76BD" w:rsidTr="007613DE">
        <w:trPr>
          <w:cantSplit/>
          <w:tblHeader/>
        </w:trPr>
        <w:tc>
          <w:tcPr>
            <w:tcW w:w="3453"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Test code</w:t>
            </w:r>
          </w:p>
        </w:tc>
        <w:tc>
          <w:tcPr>
            <w:tcW w:w="1547"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6E166C">
              <w:rPr>
                <w:rFonts w:cs="Arial"/>
                <w:b/>
                <w:bCs/>
                <w:sz w:val="22"/>
                <w:szCs w:val="22"/>
              </w:rPr>
              <w:t>DS11</w:t>
            </w:r>
            <w:r>
              <w:rPr>
                <w:rFonts w:cs="Arial"/>
                <w:b/>
                <w:bCs/>
                <w:sz w:val="22"/>
                <w:szCs w:val="22"/>
              </w:rPr>
              <w:t>B</w:t>
            </w:r>
          </w:p>
        </w:tc>
      </w:tr>
      <w:tr w:rsidR="00660414" w:rsidRPr="000A76BD" w:rsidTr="007613DE">
        <w:trPr>
          <w:cantSplit/>
        </w:trPr>
        <w:tc>
          <w:tcPr>
            <w:tcW w:w="345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(1000's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+36</w:t>
            </w:r>
            <w:r>
              <w:rPr>
                <w:rFonts w:cs="Arial"/>
                <w:sz w:val="22"/>
                <w:szCs w:val="22"/>
              </w:rPr>
              <w:t>4</w:t>
            </w:r>
            <w:r w:rsidRPr="006E166C">
              <w:rPr>
                <w:rFonts w:cs="Arial"/>
                <w:sz w:val="22"/>
                <w:szCs w:val="22"/>
              </w:rPr>
              <w:t xml:space="preserve"> (+2%)</w:t>
            </w:r>
          </w:p>
        </w:tc>
      </w:tr>
      <w:tr w:rsidR="00660414" w:rsidRPr="000A76BD" w:rsidTr="007613DE">
        <w:trPr>
          <w:cantSplit/>
        </w:trPr>
        <w:tc>
          <w:tcPr>
            <w:tcW w:w="3453"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Pass-km share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0.1%</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in Tonne-km (1000,s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+92 (+0%)</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Overall inc. Tonne-km share (2030)</w:t>
            </w:r>
          </w:p>
        </w:tc>
        <w:tc>
          <w:tcPr>
            <w:tcW w:w="1547"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0.0%</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NPV € Mill (2014 Prices)</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w:t>
            </w:r>
            <w:r>
              <w:rPr>
                <w:rFonts w:cs="Arial"/>
                <w:b/>
                <w:sz w:val="22"/>
                <w:szCs w:val="22"/>
              </w:rPr>
              <w:t>90</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BCR</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0.</w:t>
            </w:r>
            <w:r>
              <w:rPr>
                <w:rFonts w:cs="Arial"/>
                <w:b/>
                <w:sz w:val="22"/>
                <w:szCs w:val="22"/>
              </w:rPr>
              <w:t>64</w:t>
            </w:r>
          </w:p>
        </w:tc>
      </w:tr>
      <w:tr w:rsidR="00660414" w:rsidRPr="000A76BD" w:rsidTr="007613DE">
        <w:trPr>
          <w:cantSplit/>
        </w:trPr>
        <w:tc>
          <w:tcPr>
            <w:tcW w:w="3453"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6E166C">
              <w:rPr>
                <w:rFonts w:cs="Arial"/>
                <w:b/>
                <w:sz w:val="22"/>
                <w:szCs w:val="22"/>
              </w:rPr>
              <w:t>EIRR</w:t>
            </w:r>
          </w:p>
        </w:tc>
        <w:tc>
          <w:tcPr>
            <w:tcW w:w="1547"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w:t>
            </w:r>
            <w:r w:rsidRPr="006E166C">
              <w:rPr>
                <w:rFonts w:cs="Arial"/>
                <w:b/>
                <w:sz w:val="22"/>
                <w:szCs w:val="22"/>
              </w:rPr>
              <w:t>.</w:t>
            </w:r>
            <w:r>
              <w:rPr>
                <w:rFonts w:cs="Arial"/>
                <w:b/>
                <w:sz w:val="22"/>
                <w:szCs w:val="22"/>
              </w:rPr>
              <w:t>01</w:t>
            </w:r>
            <w:r w:rsidRPr="006E166C">
              <w:rPr>
                <w:rFonts w:cs="Arial"/>
                <w:b/>
                <w:sz w:val="22"/>
                <w:szCs w:val="22"/>
              </w:rPr>
              <w:t>%</w:t>
            </w:r>
          </w:p>
        </w:tc>
      </w:tr>
      <w:tr w:rsidR="00660414" w:rsidRPr="000A76BD" w:rsidTr="007613DE">
        <w:tc>
          <w:tcPr>
            <w:tcW w:w="3453"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Upgraded main line infrastructure (track-km)</w:t>
            </w:r>
          </w:p>
        </w:tc>
        <w:tc>
          <w:tcPr>
            <w:tcW w:w="1547"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6E166C">
              <w:rPr>
                <w:rFonts w:cs="Arial"/>
                <w:sz w:val="22"/>
                <w:szCs w:val="22"/>
              </w:rPr>
              <w:t>115</w:t>
            </w:r>
          </w:p>
        </w:tc>
      </w:tr>
    </w:tbl>
    <w:p w:rsidR="00660414" w:rsidRDefault="00660414" w:rsidP="00340716">
      <w:pPr>
        <w:rPr>
          <w:i/>
        </w:rPr>
      </w:pPr>
      <w:r>
        <w:rPr>
          <w:i/>
        </w:rPr>
        <w:t>Source: AECOM analysis of outputs from the National Transport Model</w:t>
      </w:r>
    </w:p>
    <w:p w:rsidR="00660414" w:rsidRPr="00804F1B" w:rsidRDefault="00660414" w:rsidP="00660414">
      <w:pPr>
        <w:pStyle w:val="Heading3"/>
        <w:spacing w:line="276" w:lineRule="auto"/>
        <w:jc w:val="both"/>
        <w:rPr>
          <w:rFonts w:cs="Arial"/>
          <w:sz w:val="22"/>
          <w:szCs w:val="22"/>
        </w:rPr>
      </w:pPr>
      <w:r w:rsidRPr="00804F1B">
        <w:rPr>
          <w:rFonts w:cs="Arial"/>
          <w:sz w:val="22"/>
          <w:szCs w:val="22"/>
        </w:rPr>
        <w:t>Changes in freight and passenger flows on this test are similar to DS</w:t>
      </w:r>
      <w:r>
        <w:rPr>
          <w:rFonts w:cs="Arial"/>
          <w:sz w:val="22"/>
          <w:szCs w:val="22"/>
        </w:rPr>
        <w:t>11</w:t>
      </w:r>
      <w:r w:rsidRPr="00804F1B">
        <w:rPr>
          <w:rFonts w:cs="Arial"/>
          <w:sz w:val="22"/>
          <w:szCs w:val="22"/>
        </w:rPr>
        <w:t>A.</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6E166C">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0A76BD" w:rsidRDefault="00660414" w:rsidP="00340716">
      <w:pPr>
        <w:spacing w:line="276" w:lineRule="auto"/>
        <w:jc w:val="both"/>
        <w:rPr>
          <w:rFonts w:cs="Arial"/>
          <w:sz w:val="22"/>
          <w:szCs w:val="22"/>
        </w:rPr>
      </w:pPr>
      <w:r w:rsidRPr="006E166C">
        <w:rPr>
          <w:rFonts w:cs="Arial"/>
          <w:sz w:val="22"/>
          <w:szCs w:val="22"/>
        </w:rPr>
        <w:t>It has been estimated that the project could be implemented by 2020 if funding is secured.</w:t>
      </w:r>
    </w:p>
    <w:p w:rsidR="00660414" w:rsidRDefault="00660414" w:rsidP="00660414">
      <w:pPr>
        <w:rPr>
          <w:b/>
          <w:sz w:val="22"/>
          <w:szCs w:val="22"/>
        </w:rPr>
      </w:pPr>
      <w:r>
        <w:rPr>
          <w:b/>
          <w:i/>
        </w:rPr>
        <w:br w:type="page"/>
      </w:r>
    </w:p>
    <w:p w:rsidR="00660414" w:rsidRPr="00170C2E" w:rsidRDefault="00660414" w:rsidP="00170C2E">
      <w:pPr>
        <w:pStyle w:val="Hdg3"/>
        <w:ind w:left="851"/>
      </w:pPr>
      <w:r w:rsidRPr="008C5B1B">
        <w:t>Combined strategy (Test DS99A)</w:t>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Proposal description</w:t>
            </w:r>
          </w:p>
          <w:p w:rsidR="00660414" w:rsidRPr="004F3BF1" w:rsidRDefault="00660414" w:rsidP="007613DE">
            <w:pPr>
              <w:spacing w:line="276" w:lineRule="auto"/>
              <w:jc w:val="both"/>
              <w:rPr>
                <w:sz w:val="22"/>
                <w:szCs w:val="22"/>
                <w:lang w:val="en-US"/>
              </w:rPr>
            </w:pPr>
            <w:r w:rsidRPr="00804F1B">
              <w:rPr>
                <w:rFonts w:cs="Arial"/>
                <w:sz w:val="22"/>
                <w:szCs w:val="22"/>
              </w:rPr>
              <w:t>This test combines the best performing solution for each corridor to assess synergies and incompatibilities. A combined scenario with more frequent regular interval timetables running on more corridors will enhance the role of rail interchanges, providing a more robust and reliable transport alternative to passengers. This project includes the upgrades contemplated for tests DS01A, DS02A, DS03A, DS04A, DS05B, DS06A, DS07A, DS08A, DS09A, DS10A and DS11A. DS07A has been selected as the preferred alternative over DS07B for its higher NPV, the modest traffic increase of this scenario does not justify the higher construction costs of test DS07B.</w:t>
            </w:r>
          </w:p>
        </w:tc>
      </w:tr>
    </w:tbl>
    <w:p w:rsidR="00660414" w:rsidRPr="008C5B1B" w:rsidRDefault="00660414" w:rsidP="00660414">
      <w:pPr>
        <w:pStyle w:val="Caption"/>
        <w:rPr>
          <w:b/>
          <w:noProof/>
          <w:sz w:val="22"/>
          <w:szCs w:val="22"/>
          <w:lang w:eastAsia="en-GB"/>
        </w:rPr>
      </w:pPr>
      <w:r w:rsidRPr="00945386">
        <w:rPr>
          <w:b/>
          <w:noProof/>
          <w:sz w:val="22"/>
          <w:szCs w:val="22"/>
          <w:lang w:val="ro-RO" w:eastAsia="ro-RO"/>
        </w:rPr>
        <w:drawing>
          <wp:inline distT="0" distB="0" distL="0" distR="0" wp14:anchorId="2B0C54DC" wp14:editId="13204FC5">
            <wp:extent cx="5627009" cy="3960000"/>
            <wp:effectExtent l="0" t="0" r="0" b="2540"/>
            <wp:docPr id="600" name="Picture 600" descr="F:\Projects\Transport Planning - Romania UK GTMP\PUBLIC TRANSPORT\Rail\04_Plots\Do_Somthing_schemes\outputs\DoSomethingSchemes_DS9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jects\Transport Planning - Romania UK GTMP\PUBLIC TRANSPORT\Rail\04_Plots\Do_Somthing_schemes\outputs\DoSomethingSchemes_DS99A.jpg"/>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5627009" cy="3960000"/>
                    </a:xfrm>
                    <a:prstGeom prst="rect">
                      <a:avLst/>
                    </a:prstGeom>
                    <a:noFill/>
                    <a:ln>
                      <a:noFill/>
                    </a:ln>
                  </pic:spPr>
                </pic:pic>
              </a:graphicData>
            </a:graphic>
          </wp:inline>
        </w:drawing>
      </w:r>
    </w:p>
    <w:tbl>
      <w:tblPr>
        <w:tblStyle w:val="TableGrid"/>
        <w:tblW w:w="0" w:type="auto"/>
        <w:shd w:val="clear" w:color="auto" w:fill="C6D9F1"/>
        <w:tblLook w:val="04A0" w:firstRow="1" w:lastRow="0" w:firstColumn="1" w:lastColumn="0" w:noHBand="0" w:noVBand="1"/>
      </w:tblPr>
      <w:tblGrid>
        <w:gridCol w:w="10507"/>
      </w:tblGrid>
      <w:tr w:rsidR="00660414" w:rsidTr="007613DE">
        <w:tc>
          <w:tcPr>
            <w:tcW w:w="10507" w:type="dxa"/>
            <w:shd w:val="clear" w:color="auto" w:fill="C6D9F1"/>
          </w:tcPr>
          <w:p w:rsidR="00660414" w:rsidRPr="008C5B1B" w:rsidRDefault="00660414" w:rsidP="007613DE">
            <w:pPr>
              <w:pStyle w:val="Heading3"/>
              <w:spacing w:before="240" w:after="60" w:line="276" w:lineRule="auto"/>
              <w:rPr>
                <w:rFonts w:cs="Arial"/>
                <w:b/>
                <w:bCs/>
                <w:sz w:val="22"/>
                <w:szCs w:val="22"/>
                <w:lang w:val="en-US"/>
              </w:rPr>
            </w:pPr>
            <w:r w:rsidRPr="008C5B1B">
              <w:rPr>
                <w:rFonts w:cs="Arial"/>
                <w:b/>
                <w:bCs/>
                <w:sz w:val="22"/>
                <w:szCs w:val="22"/>
                <w:lang w:val="en-US"/>
              </w:rPr>
              <w:t>Problems addressed</w:t>
            </w:r>
          </w:p>
          <w:p w:rsidR="00660414" w:rsidRPr="000A76BD" w:rsidRDefault="00660414" w:rsidP="007613DE">
            <w:pPr>
              <w:spacing w:line="276" w:lineRule="auto"/>
              <w:jc w:val="both"/>
              <w:rPr>
                <w:rFonts w:cs="Arial"/>
                <w:sz w:val="22"/>
                <w:szCs w:val="22"/>
              </w:rPr>
            </w:pPr>
            <w:r w:rsidRPr="00804F1B">
              <w:rPr>
                <w:rFonts w:cs="Arial"/>
                <w:sz w:val="22"/>
                <w:szCs w:val="22"/>
              </w:rPr>
              <w:t xml:space="preserve">This intervention addresses the following issues: </w:t>
            </w:r>
          </w:p>
          <w:p w:rsidR="00660414" w:rsidRPr="000A76BD" w:rsidRDefault="00660414" w:rsidP="00273D5E">
            <w:pPr>
              <w:pStyle w:val="BulletLevel1"/>
              <w:numPr>
                <w:ilvl w:val="0"/>
                <w:numId w:val="60"/>
              </w:numPr>
            </w:pPr>
            <w:r w:rsidRPr="00804F1B">
              <w:t>Deteriorated track condition due to underspend in maintenance and renewals. Slow running speeds of passenger and freight trains on several corridors in the network.</w:t>
            </w:r>
          </w:p>
          <w:p w:rsidR="00660414" w:rsidRPr="000A76BD" w:rsidRDefault="00660414" w:rsidP="00273D5E">
            <w:pPr>
              <w:pStyle w:val="BulletLevel1"/>
              <w:numPr>
                <w:ilvl w:val="0"/>
                <w:numId w:val="60"/>
              </w:numPr>
            </w:pPr>
            <w:r w:rsidRPr="00804F1B">
              <w:t>Delays due to poor infrastructure condition and speed restriction, commercial speeds are often below design parameters.</w:t>
            </w:r>
          </w:p>
          <w:p w:rsidR="00660414" w:rsidRPr="000A76BD" w:rsidRDefault="00660414" w:rsidP="00273D5E">
            <w:pPr>
              <w:pStyle w:val="BulletLevel1"/>
              <w:numPr>
                <w:ilvl w:val="0"/>
                <w:numId w:val="60"/>
              </w:numPr>
            </w:pPr>
            <w:r w:rsidRPr="00804F1B">
              <w:t>Low rail market share, marked road competition.</w:t>
            </w:r>
          </w:p>
          <w:p w:rsidR="00660414" w:rsidRPr="000A76BD" w:rsidRDefault="00660414" w:rsidP="00273D5E">
            <w:pPr>
              <w:pStyle w:val="BulletLevel1"/>
              <w:numPr>
                <w:ilvl w:val="0"/>
                <w:numId w:val="60"/>
              </w:numPr>
            </w:pPr>
            <w:r w:rsidRPr="00804F1B">
              <w:t>Poor rolling stock condition.</w:t>
            </w:r>
          </w:p>
          <w:p w:rsidR="00660414" w:rsidRPr="000A76BD" w:rsidRDefault="00660414" w:rsidP="00273D5E">
            <w:pPr>
              <w:pStyle w:val="BulletLevel1"/>
              <w:numPr>
                <w:ilvl w:val="0"/>
                <w:numId w:val="60"/>
              </w:numPr>
            </w:pPr>
            <w:r w:rsidRPr="00804F1B">
              <w:t>Inefficient timetable leading to low staff efficiency and poor rolling stock usage. Long turnaround times and irregular stopping patterns, network wide issues.</w:t>
            </w:r>
          </w:p>
          <w:p w:rsidR="00660414" w:rsidRPr="000A76BD" w:rsidRDefault="00660414" w:rsidP="00273D5E">
            <w:pPr>
              <w:pStyle w:val="BulletLevel1"/>
              <w:numPr>
                <w:ilvl w:val="0"/>
                <w:numId w:val="60"/>
              </w:numPr>
            </w:pPr>
            <w:r w:rsidRPr="00804F1B">
              <w:t>Poor reliability record and inefficient signalling systems.</w:t>
            </w:r>
          </w:p>
          <w:p w:rsidR="00660414" w:rsidRPr="008C5B1B" w:rsidRDefault="00660414" w:rsidP="00273D5E">
            <w:pPr>
              <w:pStyle w:val="BulletLevel1"/>
              <w:numPr>
                <w:ilvl w:val="0"/>
                <w:numId w:val="60"/>
              </w:numPr>
              <w:rPr>
                <w:lang w:val="en-US"/>
              </w:rPr>
            </w:pPr>
            <w:r w:rsidRPr="00804F1B">
              <w:t>Limited capacity and obsolete signalling systems.</w:t>
            </w:r>
          </w:p>
        </w:tc>
      </w:tr>
    </w:tbl>
    <w:p w:rsidR="00660414" w:rsidRPr="008C5B1B" w:rsidRDefault="00660414" w:rsidP="00660414">
      <w:pPr>
        <w:pStyle w:val="Heading3"/>
        <w:spacing w:line="276" w:lineRule="auto"/>
        <w:rPr>
          <w:rFonts w:cs="Arial"/>
          <w:b/>
          <w:sz w:val="22"/>
          <w:szCs w:val="22"/>
        </w:rPr>
      </w:pPr>
      <w:r w:rsidRPr="008C5B1B">
        <w:rPr>
          <w:rFonts w:cs="Arial"/>
          <w:b/>
          <w:sz w:val="22"/>
          <w:szCs w:val="22"/>
        </w:rPr>
        <w:t>Undiscounted costs</w:t>
      </w:r>
    </w:p>
    <w:p w:rsidR="00660414" w:rsidRDefault="00660414" w:rsidP="00660414">
      <w:pPr>
        <w:spacing w:line="276" w:lineRule="auto"/>
        <w:jc w:val="both"/>
        <w:rPr>
          <w:rFonts w:cs="Arial"/>
          <w:sz w:val="22"/>
          <w:szCs w:val="22"/>
        </w:rPr>
      </w:pPr>
      <w:r w:rsidRPr="00804F1B">
        <w:rPr>
          <w:rFonts w:cs="Arial"/>
          <w:sz w:val="22"/>
          <w:szCs w:val="22"/>
        </w:rPr>
        <w:t>It has been estimated that the project will incur in the following costs, excluding steady state maintenance of the core network and infrastructure rehabilitation of corridors either previously restored or under upgrade.</w:t>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58</w:t>
      </w:r>
      <w:r w:rsidRPr="001F5936">
        <w:rPr>
          <w:b/>
          <w:sz w:val="22"/>
          <w:szCs w:val="22"/>
        </w:rPr>
        <w:fldChar w:fldCharType="end"/>
      </w:r>
      <w:r w:rsidRPr="001F5936">
        <w:rPr>
          <w:b/>
          <w:sz w:val="22"/>
          <w:szCs w:val="22"/>
        </w:rPr>
        <w:t>:</w:t>
      </w:r>
      <w:r>
        <w:rPr>
          <w:b/>
          <w:sz w:val="22"/>
          <w:szCs w:val="22"/>
        </w:rPr>
        <w:t xml:space="preserve"> Summary of Infrastructure Costs and Operating Costs (DS99A)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2793"/>
        <w:gridCol w:w="6666"/>
      </w:tblGrid>
      <w:tr w:rsidR="00660414" w:rsidRPr="000A76BD" w:rsidTr="007613DE">
        <w:trPr>
          <w:cantSplit/>
          <w:tblHeader/>
        </w:trPr>
        <w:tc>
          <w:tcPr>
            <w:tcW w:w="499"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Item</w:t>
            </w:r>
          </w:p>
        </w:tc>
        <w:tc>
          <w:tcPr>
            <w:tcW w:w="1329" w:type="pct"/>
            <w:shd w:val="clear" w:color="auto" w:fill="C6D9F1"/>
            <w:vAlign w:val="center"/>
          </w:tcPr>
          <w:p w:rsidR="00660414" w:rsidRPr="000A76BD" w:rsidRDefault="00660414" w:rsidP="007613DE">
            <w:pPr>
              <w:spacing w:line="276" w:lineRule="auto"/>
              <w:ind w:left="36" w:hanging="36"/>
              <w:jc w:val="both"/>
              <w:rPr>
                <w:rFonts w:cs="Arial"/>
                <w:b/>
                <w:bCs/>
                <w:sz w:val="22"/>
                <w:szCs w:val="22"/>
              </w:rPr>
            </w:pPr>
            <w:r w:rsidRPr="00804F1B">
              <w:rPr>
                <w:rFonts w:cs="Arial"/>
                <w:b/>
                <w:bCs/>
                <w:sz w:val="22"/>
                <w:szCs w:val="22"/>
              </w:rPr>
              <w:t>Undiscounted costs (Million €, 2014 prices)</w:t>
            </w:r>
          </w:p>
        </w:tc>
        <w:tc>
          <w:tcPr>
            <w:tcW w:w="3172"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Description of improvements included</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CAPEX </w:t>
            </w:r>
          </w:p>
        </w:tc>
        <w:tc>
          <w:tcPr>
            <w:tcW w:w="132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13,679</w:t>
            </w:r>
          </w:p>
        </w:tc>
        <w:tc>
          <w:tcPr>
            <w:tcW w:w="317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track to provide current design speeds</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power supply, including regenerative braking</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Rehabilitation of signalling equipment</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New rolling stock</w:t>
            </w:r>
          </w:p>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Improved station facilities</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OPEX </w:t>
            </w:r>
          </w:p>
        </w:tc>
        <w:tc>
          <w:tcPr>
            <w:tcW w:w="132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5,633</w:t>
            </w:r>
          </w:p>
        </w:tc>
        <w:tc>
          <w:tcPr>
            <w:tcW w:w="317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Additional train operating costs </w:t>
            </w:r>
          </w:p>
        </w:tc>
      </w:tr>
      <w:tr w:rsidR="00660414" w:rsidRPr="000A76BD" w:rsidTr="007613DE">
        <w:trPr>
          <w:cantSplit/>
        </w:trPr>
        <w:tc>
          <w:tcPr>
            <w:tcW w:w="49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 xml:space="preserve">Total </w:t>
            </w:r>
          </w:p>
        </w:tc>
        <w:tc>
          <w:tcPr>
            <w:tcW w:w="1329"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Pr>
                <w:rFonts w:cs="Arial"/>
                <w:sz w:val="22"/>
                <w:szCs w:val="22"/>
              </w:rPr>
              <w:t>19,312</w:t>
            </w:r>
          </w:p>
        </w:tc>
        <w:tc>
          <w:tcPr>
            <w:tcW w:w="3172"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CAPEX + OPEX</w:t>
            </w:r>
          </w:p>
        </w:tc>
      </w:tr>
    </w:tbl>
    <w:p w:rsidR="00660414" w:rsidRDefault="00660414" w:rsidP="00340716">
      <w:pPr>
        <w:rPr>
          <w:i/>
        </w:rPr>
      </w:pPr>
      <w:r>
        <w:rPr>
          <w:i/>
        </w:rPr>
        <w:t xml:space="preserve">Source: AECOM analysis of CFR Marfa and CFR Calatori data </w:t>
      </w:r>
    </w:p>
    <w:p w:rsidR="00660414" w:rsidRPr="008C5B1B" w:rsidRDefault="00660414" w:rsidP="00660414">
      <w:pPr>
        <w:pStyle w:val="Heading3"/>
        <w:spacing w:line="276" w:lineRule="auto"/>
        <w:rPr>
          <w:rFonts w:cs="Arial"/>
          <w:b/>
          <w:sz w:val="22"/>
          <w:szCs w:val="22"/>
        </w:rPr>
      </w:pPr>
      <w:r w:rsidRPr="008C5B1B">
        <w:rPr>
          <w:rFonts w:cs="Arial"/>
          <w:b/>
          <w:sz w:val="22"/>
          <w:szCs w:val="22"/>
        </w:rPr>
        <w:t>Outcomes</w:t>
      </w:r>
    </w:p>
    <w:p w:rsidR="00660414" w:rsidRDefault="00660414" w:rsidP="00660414">
      <w:pPr>
        <w:spacing w:line="276" w:lineRule="auto"/>
        <w:jc w:val="both"/>
        <w:rPr>
          <w:rFonts w:cs="Arial"/>
          <w:sz w:val="22"/>
          <w:szCs w:val="22"/>
        </w:rPr>
      </w:pPr>
      <w:r>
        <w:rPr>
          <w:rFonts w:cs="Arial"/>
          <w:sz w:val="22"/>
          <w:szCs w:val="22"/>
        </w:rPr>
        <w:t xml:space="preserve">This intervention returns medium </w:t>
      </w:r>
      <w:r w:rsidRPr="00804F1B">
        <w:rPr>
          <w:rFonts w:cs="Arial"/>
          <w:sz w:val="22"/>
          <w:szCs w:val="22"/>
        </w:rPr>
        <w:t xml:space="preserve">value for money </w:t>
      </w:r>
      <w:r>
        <w:rPr>
          <w:rFonts w:cs="Arial"/>
          <w:sz w:val="22"/>
          <w:szCs w:val="22"/>
        </w:rPr>
        <w:t xml:space="preserve">with a </w:t>
      </w:r>
      <w:r w:rsidRPr="00804F1B">
        <w:rPr>
          <w:rFonts w:cs="Arial"/>
          <w:sz w:val="22"/>
          <w:szCs w:val="22"/>
        </w:rPr>
        <w:t xml:space="preserve">BCR </w:t>
      </w:r>
      <w:r>
        <w:rPr>
          <w:rFonts w:cs="Arial"/>
          <w:sz w:val="22"/>
          <w:szCs w:val="22"/>
        </w:rPr>
        <w:t xml:space="preserve">of 1.03. There is </w:t>
      </w:r>
      <w:r w:rsidRPr="00804F1B">
        <w:rPr>
          <w:rFonts w:cs="Arial"/>
          <w:sz w:val="22"/>
          <w:szCs w:val="22"/>
        </w:rPr>
        <w:t>a high increase in rail passenger and freight traffic</w:t>
      </w:r>
      <w:r>
        <w:rPr>
          <w:rFonts w:cs="Arial"/>
          <w:sz w:val="22"/>
          <w:szCs w:val="22"/>
        </w:rPr>
        <w:t xml:space="preserve"> </w:t>
      </w:r>
      <w:r w:rsidRPr="00804F1B">
        <w:rPr>
          <w:rFonts w:cs="Arial"/>
          <w:sz w:val="22"/>
          <w:szCs w:val="22"/>
        </w:rPr>
        <w:t xml:space="preserve">of 115% and 19% respectively </w:t>
      </w:r>
      <w:r>
        <w:rPr>
          <w:rFonts w:cs="Arial"/>
          <w:sz w:val="22"/>
          <w:szCs w:val="22"/>
        </w:rPr>
        <w:t>as shown in Table 5.59.</w:t>
      </w:r>
    </w:p>
    <w:p w:rsidR="00660414" w:rsidRDefault="00660414" w:rsidP="00660414">
      <w:pPr>
        <w:rPr>
          <w:b/>
          <w:bCs/>
          <w:sz w:val="22"/>
          <w:szCs w:val="22"/>
        </w:rPr>
      </w:pPr>
      <w:r>
        <w:rPr>
          <w:b/>
          <w:sz w:val="22"/>
          <w:szCs w:val="22"/>
        </w:rPr>
        <w:br w:type="page"/>
      </w:r>
    </w:p>
    <w:p w:rsidR="00660414" w:rsidRPr="008C5B1B" w:rsidRDefault="00660414" w:rsidP="00660414">
      <w:pPr>
        <w:pStyle w:val="Caption"/>
        <w:rPr>
          <w:b/>
          <w:sz w:val="22"/>
          <w:szCs w:val="22"/>
        </w:rPr>
      </w:pPr>
      <w:r w:rsidRPr="001F5936">
        <w:rPr>
          <w:b/>
          <w:sz w:val="22"/>
          <w:szCs w:val="22"/>
        </w:rPr>
        <w:t>Table 5.</w:t>
      </w:r>
      <w:r w:rsidRPr="001F5936">
        <w:rPr>
          <w:b/>
          <w:sz w:val="22"/>
          <w:szCs w:val="22"/>
        </w:rPr>
        <w:fldChar w:fldCharType="begin"/>
      </w:r>
      <w:r w:rsidRPr="001F5936">
        <w:rPr>
          <w:b/>
          <w:sz w:val="22"/>
          <w:szCs w:val="22"/>
        </w:rPr>
        <w:instrText xml:space="preserve"> SEQ Table \* ARABIC </w:instrText>
      </w:r>
      <w:r w:rsidRPr="001F5936">
        <w:rPr>
          <w:b/>
          <w:sz w:val="22"/>
          <w:szCs w:val="22"/>
        </w:rPr>
        <w:fldChar w:fldCharType="separate"/>
      </w:r>
      <w:r w:rsidR="00C168ED">
        <w:rPr>
          <w:b/>
          <w:noProof/>
          <w:sz w:val="22"/>
          <w:szCs w:val="22"/>
        </w:rPr>
        <w:t>59</w:t>
      </w:r>
      <w:r w:rsidRPr="001F5936">
        <w:rPr>
          <w:b/>
          <w:sz w:val="22"/>
          <w:szCs w:val="22"/>
        </w:rPr>
        <w:fldChar w:fldCharType="end"/>
      </w:r>
      <w:r w:rsidRPr="001F5936">
        <w:rPr>
          <w:b/>
          <w:sz w:val="22"/>
          <w:szCs w:val="22"/>
        </w:rPr>
        <w:t>:</w:t>
      </w:r>
      <w:r>
        <w:rPr>
          <w:b/>
          <w:sz w:val="22"/>
          <w:szCs w:val="22"/>
        </w:rPr>
        <w:t xml:space="preserve"> Summary of Results (DS99A)</w:t>
      </w:r>
    </w:p>
    <w:tbl>
      <w:tblPr>
        <w:tblW w:w="3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2740"/>
      </w:tblGrid>
      <w:tr w:rsidR="00660414" w:rsidRPr="000A76BD" w:rsidTr="007613DE">
        <w:trPr>
          <w:cantSplit/>
          <w:tblHeader/>
        </w:trPr>
        <w:tc>
          <w:tcPr>
            <w:tcW w:w="322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Test code</w:t>
            </w:r>
          </w:p>
        </w:tc>
        <w:tc>
          <w:tcPr>
            <w:tcW w:w="1780" w:type="pct"/>
            <w:shd w:val="clear" w:color="auto" w:fill="C6D9F1"/>
            <w:vAlign w:val="center"/>
          </w:tcPr>
          <w:p w:rsidR="00660414" w:rsidRPr="000A76BD" w:rsidRDefault="00660414" w:rsidP="007613DE">
            <w:pPr>
              <w:spacing w:line="276" w:lineRule="auto"/>
              <w:ind w:left="720" w:hanging="720"/>
              <w:jc w:val="both"/>
              <w:rPr>
                <w:rFonts w:cs="Arial"/>
                <w:b/>
                <w:bCs/>
                <w:sz w:val="22"/>
                <w:szCs w:val="22"/>
              </w:rPr>
            </w:pPr>
            <w:r w:rsidRPr="00804F1B">
              <w:rPr>
                <w:rFonts w:cs="Arial"/>
                <w:b/>
                <w:bCs/>
                <w:sz w:val="22"/>
                <w:szCs w:val="22"/>
              </w:rPr>
              <w:t>DS99A</w:t>
            </w:r>
          </w:p>
        </w:tc>
      </w:tr>
      <w:tr w:rsidR="00660414" w:rsidRPr="000A76BD" w:rsidTr="007613DE">
        <w:trPr>
          <w:cantSplit/>
        </w:trPr>
        <w:tc>
          <w:tcPr>
            <w:tcW w:w="32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(1000's 2030)</w:t>
            </w:r>
          </w:p>
        </w:tc>
        <w:tc>
          <w:tcPr>
            <w:tcW w:w="17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+24,289 (+115%)</w:t>
            </w:r>
          </w:p>
        </w:tc>
      </w:tr>
      <w:tr w:rsidR="00660414" w:rsidRPr="000A76BD" w:rsidTr="007613DE">
        <w:trPr>
          <w:cantSplit/>
        </w:trPr>
        <w:tc>
          <w:tcPr>
            <w:tcW w:w="322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Pass-km share (2030)</w:t>
            </w:r>
          </w:p>
        </w:tc>
        <w:tc>
          <w:tcPr>
            <w:tcW w:w="17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7.1%</w:t>
            </w:r>
          </w:p>
        </w:tc>
      </w:tr>
      <w:tr w:rsidR="00660414" w:rsidRPr="000A76BD" w:rsidTr="007613DE">
        <w:trPr>
          <w:cantSplit/>
        </w:trPr>
        <w:tc>
          <w:tcPr>
            <w:tcW w:w="322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in Tonne-km (1000,s 2030)</w:t>
            </w:r>
          </w:p>
        </w:tc>
        <w:tc>
          <w:tcPr>
            <w:tcW w:w="17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+8,525 (+19%)</w:t>
            </w:r>
          </w:p>
        </w:tc>
      </w:tr>
      <w:tr w:rsidR="00660414" w:rsidRPr="000A76BD" w:rsidTr="007613DE">
        <w:trPr>
          <w:cantSplit/>
        </w:trPr>
        <w:tc>
          <w:tcPr>
            <w:tcW w:w="3220" w:type="pct"/>
            <w:shd w:val="clear" w:color="auto" w:fill="auto"/>
            <w:vAlign w:val="center"/>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Overall inc. Tonne-km share (2030)</w:t>
            </w:r>
          </w:p>
        </w:tc>
        <w:tc>
          <w:tcPr>
            <w:tcW w:w="1780" w:type="pct"/>
            <w:shd w:val="clear" w:color="auto" w:fill="auto"/>
            <w:vAlign w:val="bottom"/>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2.5%</w:t>
            </w:r>
          </w:p>
        </w:tc>
      </w:tr>
      <w:tr w:rsidR="00660414" w:rsidRPr="000A76BD" w:rsidTr="007613DE">
        <w:trPr>
          <w:cantSplit/>
        </w:trPr>
        <w:tc>
          <w:tcPr>
            <w:tcW w:w="32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NPV € Mill (2014 Prices)</w:t>
            </w:r>
          </w:p>
        </w:tc>
        <w:tc>
          <w:tcPr>
            <w:tcW w:w="17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Pr>
                <w:rFonts w:cs="Arial"/>
                <w:b/>
                <w:sz w:val="22"/>
                <w:szCs w:val="22"/>
              </w:rPr>
              <w:t>284</w:t>
            </w:r>
          </w:p>
        </w:tc>
      </w:tr>
      <w:tr w:rsidR="00660414" w:rsidRPr="000A76BD" w:rsidTr="007613DE">
        <w:trPr>
          <w:cantSplit/>
        </w:trPr>
        <w:tc>
          <w:tcPr>
            <w:tcW w:w="32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BCR</w:t>
            </w:r>
          </w:p>
        </w:tc>
        <w:tc>
          <w:tcPr>
            <w:tcW w:w="17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1.0</w:t>
            </w:r>
            <w:r>
              <w:rPr>
                <w:rFonts w:cs="Arial"/>
                <w:b/>
                <w:sz w:val="22"/>
                <w:szCs w:val="22"/>
              </w:rPr>
              <w:t>3</w:t>
            </w:r>
          </w:p>
        </w:tc>
      </w:tr>
      <w:tr w:rsidR="00660414" w:rsidRPr="000A76BD" w:rsidTr="007613DE">
        <w:trPr>
          <w:cantSplit/>
        </w:trPr>
        <w:tc>
          <w:tcPr>
            <w:tcW w:w="322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EIRR</w:t>
            </w:r>
          </w:p>
        </w:tc>
        <w:tc>
          <w:tcPr>
            <w:tcW w:w="1780" w:type="pct"/>
            <w:shd w:val="clear" w:color="auto" w:fill="auto"/>
            <w:vAlign w:val="center"/>
          </w:tcPr>
          <w:p w:rsidR="00660414" w:rsidRPr="000A76BD" w:rsidRDefault="00660414" w:rsidP="007613DE">
            <w:pPr>
              <w:spacing w:before="120" w:line="276" w:lineRule="auto"/>
              <w:ind w:left="720" w:hanging="720"/>
              <w:jc w:val="both"/>
              <w:rPr>
                <w:rFonts w:cs="Arial"/>
                <w:b/>
                <w:sz w:val="22"/>
                <w:szCs w:val="22"/>
              </w:rPr>
            </w:pPr>
            <w:r w:rsidRPr="00804F1B">
              <w:rPr>
                <w:rFonts w:cs="Arial"/>
                <w:b/>
                <w:sz w:val="22"/>
                <w:szCs w:val="22"/>
              </w:rPr>
              <w:t>5.</w:t>
            </w:r>
            <w:r>
              <w:rPr>
                <w:rFonts w:cs="Arial"/>
                <w:b/>
                <w:sz w:val="22"/>
                <w:szCs w:val="22"/>
              </w:rPr>
              <w:t>14</w:t>
            </w:r>
            <w:r w:rsidRPr="00804F1B">
              <w:rPr>
                <w:rFonts w:cs="Arial"/>
                <w:b/>
                <w:sz w:val="22"/>
                <w:szCs w:val="22"/>
              </w:rPr>
              <w:t>%</w:t>
            </w:r>
          </w:p>
        </w:tc>
      </w:tr>
      <w:tr w:rsidR="00660414" w:rsidRPr="000A76BD" w:rsidTr="007613DE">
        <w:tc>
          <w:tcPr>
            <w:tcW w:w="322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Upgraded main line infrastructure (track-km)</w:t>
            </w:r>
          </w:p>
        </w:tc>
        <w:tc>
          <w:tcPr>
            <w:tcW w:w="1780" w:type="pct"/>
            <w:shd w:val="clear" w:color="auto" w:fill="auto"/>
          </w:tcPr>
          <w:p w:rsidR="00660414" w:rsidRPr="000A76BD" w:rsidRDefault="00660414" w:rsidP="007613DE">
            <w:pPr>
              <w:spacing w:before="120" w:line="276" w:lineRule="auto"/>
              <w:ind w:left="720" w:hanging="720"/>
              <w:jc w:val="both"/>
              <w:rPr>
                <w:rFonts w:cs="Arial"/>
                <w:sz w:val="22"/>
                <w:szCs w:val="22"/>
                <w:vertAlign w:val="superscript"/>
              </w:rPr>
            </w:pPr>
            <w:r w:rsidRPr="00804F1B">
              <w:rPr>
                <w:rFonts w:cs="Arial"/>
                <w:sz w:val="22"/>
                <w:szCs w:val="22"/>
              </w:rPr>
              <w:t>4620</w:t>
            </w:r>
            <w:r>
              <w:rPr>
                <w:rFonts w:cs="Arial"/>
                <w:sz w:val="22"/>
                <w:szCs w:val="22"/>
                <w:vertAlign w:val="superscript"/>
              </w:rPr>
              <w:t>1</w:t>
            </w:r>
            <w:r w:rsidRPr="00804F1B">
              <w:rPr>
                <w:rFonts w:cs="Arial"/>
                <w:sz w:val="22"/>
                <w:szCs w:val="22"/>
              </w:rPr>
              <w:t xml:space="preserve"> + 520</w:t>
            </w:r>
            <w:r>
              <w:rPr>
                <w:rFonts w:cs="Arial"/>
                <w:sz w:val="22"/>
                <w:szCs w:val="22"/>
                <w:vertAlign w:val="superscript"/>
              </w:rPr>
              <w:t>2</w:t>
            </w:r>
          </w:p>
        </w:tc>
      </w:tr>
      <w:tr w:rsidR="00660414" w:rsidRPr="000A76BD" w:rsidTr="007613DE">
        <w:tc>
          <w:tcPr>
            <w:tcW w:w="322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Required rolling stock units</w:t>
            </w:r>
          </w:p>
        </w:tc>
        <w:tc>
          <w:tcPr>
            <w:tcW w:w="1780" w:type="pct"/>
            <w:shd w:val="clear" w:color="auto" w:fill="auto"/>
          </w:tcPr>
          <w:p w:rsidR="00660414" w:rsidRPr="000A76BD" w:rsidRDefault="00660414" w:rsidP="007613DE">
            <w:pPr>
              <w:spacing w:before="120" w:line="276" w:lineRule="auto"/>
              <w:ind w:left="720" w:hanging="720"/>
              <w:jc w:val="both"/>
              <w:rPr>
                <w:rFonts w:cs="Arial"/>
                <w:sz w:val="22"/>
                <w:szCs w:val="22"/>
              </w:rPr>
            </w:pPr>
            <w:r w:rsidRPr="00804F1B">
              <w:rPr>
                <w:rFonts w:cs="Arial"/>
                <w:sz w:val="22"/>
                <w:szCs w:val="22"/>
              </w:rPr>
              <w:t>109</w:t>
            </w:r>
          </w:p>
        </w:tc>
      </w:tr>
      <w:tr w:rsidR="00660414" w:rsidRPr="000A76BD" w:rsidTr="007613DE">
        <w:tc>
          <w:tcPr>
            <w:tcW w:w="5000" w:type="pct"/>
            <w:gridSpan w:val="2"/>
            <w:shd w:val="clear" w:color="auto" w:fill="auto"/>
          </w:tcPr>
          <w:p w:rsidR="00660414" w:rsidRPr="000A76BD" w:rsidRDefault="00660414" w:rsidP="007613DE">
            <w:pPr>
              <w:spacing w:before="120" w:line="276" w:lineRule="auto"/>
              <w:ind w:left="720" w:hanging="720"/>
              <w:jc w:val="both"/>
              <w:rPr>
                <w:rFonts w:cs="Arial"/>
                <w:sz w:val="22"/>
                <w:szCs w:val="22"/>
              </w:rPr>
            </w:pPr>
            <w:r>
              <w:rPr>
                <w:rFonts w:cs="Arial"/>
                <w:sz w:val="22"/>
                <w:szCs w:val="22"/>
                <w:vertAlign w:val="superscript"/>
              </w:rPr>
              <w:t>1</w:t>
            </w:r>
            <w:r w:rsidRPr="00804F1B">
              <w:rPr>
                <w:rFonts w:cs="Arial"/>
                <w:sz w:val="22"/>
                <w:szCs w:val="22"/>
              </w:rPr>
              <w:t>Line upgrade</w:t>
            </w:r>
          </w:p>
          <w:p w:rsidR="00660414" w:rsidRPr="000A76BD" w:rsidRDefault="00660414" w:rsidP="007613DE">
            <w:pPr>
              <w:spacing w:before="120" w:line="276" w:lineRule="auto"/>
              <w:ind w:left="720" w:hanging="720"/>
              <w:jc w:val="both"/>
              <w:rPr>
                <w:rFonts w:cs="Arial"/>
                <w:sz w:val="22"/>
                <w:szCs w:val="22"/>
              </w:rPr>
            </w:pPr>
            <w:r>
              <w:rPr>
                <w:rFonts w:cs="Arial"/>
                <w:sz w:val="22"/>
                <w:szCs w:val="22"/>
                <w:vertAlign w:val="superscript"/>
              </w:rPr>
              <w:t>2</w:t>
            </w:r>
            <w:r w:rsidRPr="00804F1B">
              <w:rPr>
                <w:rFonts w:cs="Arial"/>
                <w:sz w:val="22"/>
                <w:szCs w:val="22"/>
              </w:rPr>
              <w:t>Line electrification</w:t>
            </w:r>
          </w:p>
        </w:tc>
      </w:tr>
    </w:tbl>
    <w:p w:rsidR="00660414" w:rsidRDefault="00660414" w:rsidP="00340716">
      <w:pPr>
        <w:rPr>
          <w:i/>
        </w:rPr>
      </w:pPr>
      <w:r>
        <w:rPr>
          <w:i/>
        </w:rPr>
        <w:t>Source: AECOM analysis of outputs from the National Transport Model</w:t>
      </w:r>
    </w:p>
    <w:p w:rsidR="00660414" w:rsidRPr="000A76BD"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Figures 5.84 and 5.85 </w:t>
      </w:r>
      <w:r w:rsidRPr="00804F1B">
        <w:rPr>
          <w:rFonts w:cs="Arial"/>
          <w:sz w:val="22"/>
          <w:szCs w:val="22"/>
        </w:rPr>
        <w:t xml:space="preserve">illustrate the forecast changes in passenger and freight traffic for 2030 assuming that the project is in operation from 2020. </w:t>
      </w: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1452DA33" wp14:editId="49898AFA">
            <wp:extent cx="5607681" cy="3960000"/>
            <wp:effectExtent l="0" t="0" r="0" b="2540"/>
            <wp:docPr id="601" name="Picture 601" descr="F:\Projects\Transport Planning - Romania UK GTMP\PUBLIC TRANSPORT\Rail\04_Plots\Rail_results\output\DS99A_2030_change_pas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Rail_results\output\DS99A_2030_change_pass_v2.jpg"/>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83</w:t>
      </w:r>
      <w:r w:rsidRPr="0075501B">
        <w:rPr>
          <w:b/>
          <w:sz w:val="22"/>
          <w:szCs w:val="22"/>
        </w:rPr>
        <w:fldChar w:fldCharType="end"/>
      </w:r>
      <w:r>
        <w:rPr>
          <w:b/>
          <w:sz w:val="22"/>
          <w:szCs w:val="22"/>
        </w:rPr>
        <w:t>:</w:t>
      </w:r>
    </w:p>
    <w:p w:rsidR="00660414" w:rsidRDefault="00660414" w:rsidP="00660414">
      <w:pPr>
        <w:spacing w:line="276" w:lineRule="auto"/>
        <w:jc w:val="both"/>
        <w:rPr>
          <w:rFonts w:cs="Arial"/>
          <w:sz w:val="22"/>
          <w:szCs w:val="22"/>
        </w:rPr>
      </w:pPr>
    </w:p>
    <w:p w:rsidR="00660414" w:rsidRDefault="00660414" w:rsidP="00660414">
      <w:pPr>
        <w:spacing w:line="276" w:lineRule="auto"/>
        <w:jc w:val="both"/>
        <w:rPr>
          <w:rFonts w:cs="Arial"/>
          <w:sz w:val="22"/>
          <w:szCs w:val="22"/>
        </w:rPr>
      </w:pPr>
      <w:r>
        <w:rPr>
          <w:rFonts w:cs="Arial"/>
          <w:sz w:val="22"/>
          <w:szCs w:val="22"/>
        </w:rPr>
        <w:t xml:space="preserve">Figure 5.84 </w:t>
      </w:r>
      <w:r w:rsidRPr="00804F1B">
        <w:rPr>
          <w:rFonts w:cs="Arial"/>
          <w:sz w:val="22"/>
          <w:szCs w:val="22"/>
        </w:rPr>
        <w:t xml:space="preserve">illustrates the </w:t>
      </w:r>
      <w:r>
        <w:rPr>
          <w:rFonts w:cs="Arial"/>
          <w:sz w:val="22"/>
          <w:szCs w:val="22"/>
        </w:rPr>
        <w:t>i</w:t>
      </w:r>
      <w:r w:rsidRPr="00804F1B">
        <w:rPr>
          <w:rFonts w:cs="Arial"/>
          <w:sz w:val="22"/>
          <w:szCs w:val="22"/>
        </w:rPr>
        <w:t xml:space="preserve">mpact of the network upgrades </w:t>
      </w:r>
      <w:r>
        <w:rPr>
          <w:rFonts w:cs="Arial"/>
          <w:sz w:val="22"/>
          <w:szCs w:val="22"/>
        </w:rPr>
        <w:t xml:space="preserve">and changes in passenger usage for the </w:t>
      </w:r>
      <w:r w:rsidRPr="00804F1B">
        <w:rPr>
          <w:rFonts w:cs="Arial"/>
          <w:sz w:val="22"/>
          <w:szCs w:val="22"/>
        </w:rPr>
        <w:t xml:space="preserve">combined scenario. Patronage grows over the whole network, </w:t>
      </w:r>
      <w:r>
        <w:rPr>
          <w:rFonts w:cs="Arial"/>
          <w:sz w:val="22"/>
          <w:szCs w:val="22"/>
        </w:rPr>
        <w:t>p</w:t>
      </w:r>
      <w:r w:rsidRPr="00804F1B">
        <w:rPr>
          <w:rFonts w:cs="Arial"/>
          <w:sz w:val="22"/>
          <w:szCs w:val="22"/>
        </w:rPr>
        <w:t xml:space="preserve">articularly </w:t>
      </w:r>
      <w:r>
        <w:rPr>
          <w:rFonts w:cs="Arial"/>
          <w:sz w:val="22"/>
          <w:szCs w:val="22"/>
        </w:rPr>
        <w:t xml:space="preserve">between the capital and Ploiesti, Craiova, Constanta which have a travel time of </w:t>
      </w:r>
      <w:r w:rsidRPr="00804F1B">
        <w:rPr>
          <w:rFonts w:cs="Arial"/>
          <w:sz w:val="22"/>
          <w:szCs w:val="22"/>
        </w:rPr>
        <w:t>2</w:t>
      </w:r>
      <w:r>
        <w:rPr>
          <w:rFonts w:cs="Arial"/>
          <w:sz w:val="22"/>
          <w:szCs w:val="22"/>
        </w:rPr>
        <w:t>-3</w:t>
      </w:r>
      <w:r w:rsidRPr="00804F1B">
        <w:rPr>
          <w:rFonts w:cs="Arial"/>
          <w:sz w:val="22"/>
          <w:szCs w:val="22"/>
        </w:rPr>
        <w:t xml:space="preserve"> hours</w:t>
      </w:r>
      <w:r>
        <w:rPr>
          <w:rFonts w:cs="Arial"/>
          <w:sz w:val="22"/>
          <w:szCs w:val="22"/>
        </w:rPr>
        <w:t xml:space="preserve">. </w:t>
      </w:r>
      <w:r w:rsidRPr="00804F1B">
        <w:rPr>
          <w:rFonts w:cs="Arial"/>
          <w:sz w:val="22"/>
          <w:szCs w:val="22"/>
        </w:rPr>
        <w:t xml:space="preserve">Demand between Arad and Timisoara is also expected to </w:t>
      </w:r>
      <w:r>
        <w:rPr>
          <w:rFonts w:cs="Arial"/>
          <w:sz w:val="22"/>
          <w:szCs w:val="22"/>
        </w:rPr>
        <w:t xml:space="preserve">rise </w:t>
      </w:r>
      <w:r w:rsidRPr="00804F1B">
        <w:rPr>
          <w:rFonts w:cs="Arial"/>
          <w:sz w:val="22"/>
          <w:szCs w:val="22"/>
        </w:rPr>
        <w:t>with an increase in daily traffic of over 11,000 passengers</w:t>
      </w:r>
      <w:r>
        <w:rPr>
          <w:rFonts w:cs="Arial"/>
          <w:sz w:val="22"/>
          <w:szCs w:val="22"/>
        </w:rPr>
        <w:t xml:space="preserve"> and reflects the large potential travel market and the weak rail service at present</w:t>
      </w:r>
      <w:r w:rsidRPr="00804F1B">
        <w:rPr>
          <w:rFonts w:cs="Arial"/>
          <w:sz w:val="22"/>
          <w:szCs w:val="22"/>
        </w:rPr>
        <w:t>.</w:t>
      </w:r>
    </w:p>
    <w:p w:rsidR="00660414" w:rsidRDefault="00660414" w:rsidP="00660414">
      <w:pPr>
        <w:rPr>
          <w:rFonts w:cs="Arial"/>
          <w:sz w:val="22"/>
          <w:szCs w:val="22"/>
        </w:rPr>
      </w:pPr>
    </w:p>
    <w:p w:rsidR="00660414" w:rsidRDefault="00660414" w:rsidP="00660414">
      <w:pPr>
        <w:rPr>
          <w:rFonts w:cs="Arial"/>
          <w:sz w:val="22"/>
          <w:szCs w:val="22"/>
        </w:rPr>
      </w:pPr>
    </w:p>
    <w:p w:rsidR="00660414" w:rsidRPr="008C5B1B" w:rsidRDefault="00660414" w:rsidP="00660414">
      <w:pPr>
        <w:rPr>
          <w:b/>
          <w:noProof/>
          <w:sz w:val="22"/>
          <w:szCs w:val="22"/>
          <w:lang w:eastAsia="en-GB"/>
        </w:rPr>
      </w:pPr>
      <w:r w:rsidRPr="008C5B1B">
        <w:rPr>
          <w:b/>
          <w:noProof/>
          <w:sz w:val="22"/>
          <w:szCs w:val="22"/>
          <w:lang w:val="ro-RO" w:eastAsia="ro-RO"/>
        </w:rPr>
        <w:drawing>
          <wp:inline distT="0" distB="0" distL="0" distR="0" wp14:anchorId="3CA5785B" wp14:editId="3307053D">
            <wp:extent cx="5665174" cy="3960000"/>
            <wp:effectExtent l="0" t="0" r="0" b="2540"/>
            <wp:docPr id="602" name="Picture 602" descr="F:\Projects\Transport Planning - Romania UK GTMP\PUBLIC TRANSPORT\Rail\04_Plots\Rail_results\output\DS9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99A_2030_change_freight.jpg"/>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5665174" cy="3960000"/>
                    </a:xfrm>
                    <a:prstGeom prst="rect">
                      <a:avLst/>
                    </a:prstGeom>
                    <a:noFill/>
                    <a:ln>
                      <a:noFill/>
                    </a:ln>
                  </pic:spPr>
                </pic:pic>
              </a:graphicData>
            </a:graphic>
          </wp:inline>
        </w:drawing>
      </w:r>
    </w:p>
    <w:p w:rsidR="00660414" w:rsidRPr="008C7A83" w:rsidRDefault="00660414" w:rsidP="00660414">
      <w:pPr>
        <w:pStyle w:val="Caption"/>
        <w:rPr>
          <w:b/>
          <w:sz w:val="22"/>
          <w:szCs w:val="22"/>
        </w:rPr>
      </w:pPr>
      <w:r w:rsidRPr="0075501B">
        <w:rPr>
          <w:b/>
          <w:sz w:val="22"/>
          <w:szCs w:val="22"/>
        </w:rPr>
        <w:t>Figure 5.</w:t>
      </w:r>
      <w:r w:rsidRPr="0075501B">
        <w:rPr>
          <w:b/>
          <w:sz w:val="22"/>
          <w:szCs w:val="22"/>
        </w:rPr>
        <w:fldChar w:fldCharType="begin"/>
      </w:r>
      <w:r w:rsidRPr="0075501B">
        <w:rPr>
          <w:b/>
          <w:sz w:val="22"/>
          <w:szCs w:val="22"/>
        </w:rPr>
        <w:instrText xml:space="preserve"> SEQ Figure \* ARABIC </w:instrText>
      </w:r>
      <w:r w:rsidRPr="0075501B">
        <w:rPr>
          <w:b/>
          <w:sz w:val="22"/>
          <w:szCs w:val="22"/>
        </w:rPr>
        <w:fldChar w:fldCharType="separate"/>
      </w:r>
      <w:r w:rsidR="00C168ED">
        <w:rPr>
          <w:b/>
          <w:noProof/>
          <w:sz w:val="22"/>
          <w:szCs w:val="22"/>
        </w:rPr>
        <w:t>84</w:t>
      </w:r>
      <w:r w:rsidRPr="0075501B">
        <w:rPr>
          <w:b/>
          <w:sz w:val="22"/>
          <w:szCs w:val="22"/>
        </w:rPr>
        <w:fldChar w:fldCharType="end"/>
      </w:r>
      <w:r>
        <w:rPr>
          <w:b/>
          <w:sz w:val="22"/>
          <w:szCs w:val="22"/>
        </w:rPr>
        <w:t>: Change in Freight Demand (DS99A)</w:t>
      </w:r>
    </w:p>
    <w:p w:rsidR="00660414" w:rsidRDefault="00660414" w:rsidP="00660414">
      <w:pPr>
        <w:spacing w:line="276" w:lineRule="auto"/>
        <w:jc w:val="both"/>
        <w:rPr>
          <w:rFonts w:cs="Arial"/>
          <w:sz w:val="22"/>
          <w:szCs w:val="22"/>
        </w:rPr>
      </w:pPr>
    </w:p>
    <w:p w:rsidR="00660414" w:rsidRPr="000A76BD" w:rsidRDefault="00660414" w:rsidP="00660414">
      <w:pPr>
        <w:spacing w:line="276" w:lineRule="auto"/>
        <w:jc w:val="both"/>
        <w:rPr>
          <w:rFonts w:cs="Arial"/>
          <w:sz w:val="22"/>
          <w:szCs w:val="22"/>
        </w:rPr>
      </w:pPr>
      <w:r w:rsidRPr="00804F1B">
        <w:rPr>
          <w:rFonts w:cs="Arial"/>
          <w:sz w:val="22"/>
          <w:szCs w:val="22"/>
        </w:rPr>
        <w:t xml:space="preserve">The combined scenario will also see a significant rise in freight traffic, with more tonnes transported on most </w:t>
      </w:r>
      <w:r>
        <w:rPr>
          <w:rFonts w:cs="Arial"/>
          <w:sz w:val="22"/>
          <w:szCs w:val="22"/>
        </w:rPr>
        <w:t xml:space="preserve">of the network </w:t>
      </w:r>
      <w:r w:rsidRPr="00804F1B">
        <w:rPr>
          <w:rFonts w:cs="Arial"/>
          <w:sz w:val="22"/>
          <w:szCs w:val="22"/>
        </w:rPr>
        <w:t xml:space="preserve">compared </w:t>
      </w:r>
      <w:r>
        <w:rPr>
          <w:rFonts w:cs="Arial"/>
          <w:sz w:val="22"/>
          <w:szCs w:val="22"/>
        </w:rPr>
        <w:t xml:space="preserve">with </w:t>
      </w:r>
      <w:r w:rsidRPr="00804F1B">
        <w:rPr>
          <w:rFonts w:cs="Arial"/>
          <w:sz w:val="22"/>
          <w:szCs w:val="22"/>
        </w:rPr>
        <w:t xml:space="preserve">the reference scenario. The new link between Valcele and Ramnicu Valcea </w:t>
      </w:r>
      <w:r>
        <w:rPr>
          <w:rFonts w:cs="Arial"/>
          <w:sz w:val="22"/>
          <w:szCs w:val="22"/>
        </w:rPr>
        <w:t xml:space="preserve">also </w:t>
      </w:r>
      <w:r w:rsidRPr="00804F1B">
        <w:rPr>
          <w:rFonts w:cs="Arial"/>
          <w:sz w:val="22"/>
          <w:szCs w:val="22"/>
        </w:rPr>
        <w:t>provides a shorter connection for freight traffic from the Constanta and Galati areas to the West</w:t>
      </w:r>
      <w:r>
        <w:rPr>
          <w:rFonts w:cs="Arial"/>
          <w:sz w:val="22"/>
          <w:szCs w:val="22"/>
        </w:rPr>
        <w:t xml:space="preserve">ern Romania and other parts of </w:t>
      </w:r>
      <w:r w:rsidRPr="00804F1B">
        <w:rPr>
          <w:rFonts w:cs="Arial"/>
          <w:sz w:val="22"/>
          <w:szCs w:val="22"/>
        </w:rPr>
        <w:t>Europe which attracts a significant number of freight trains.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Implementing organisation</w:t>
      </w:r>
    </w:p>
    <w:p w:rsidR="00660414" w:rsidRPr="000A76BD" w:rsidRDefault="00660414" w:rsidP="00340716">
      <w:pPr>
        <w:spacing w:line="276" w:lineRule="auto"/>
        <w:jc w:val="both"/>
        <w:rPr>
          <w:rFonts w:cs="Arial"/>
          <w:sz w:val="22"/>
          <w:szCs w:val="22"/>
        </w:rPr>
      </w:pPr>
      <w:r w:rsidRPr="00804F1B">
        <w:rPr>
          <w:rFonts w:cs="Arial"/>
          <w:sz w:val="22"/>
          <w:szCs w:val="22"/>
        </w:rPr>
        <w:t>This scheme would be implemented by CFR SA and the Rail Operating Companies</w:t>
      </w:r>
    </w:p>
    <w:p w:rsidR="00660414" w:rsidRPr="008C5B1B" w:rsidRDefault="00660414" w:rsidP="00660414">
      <w:pPr>
        <w:pStyle w:val="Heading3"/>
        <w:spacing w:line="276" w:lineRule="auto"/>
        <w:rPr>
          <w:rFonts w:cs="Arial"/>
          <w:b/>
          <w:sz w:val="22"/>
          <w:szCs w:val="22"/>
        </w:rPr>
      </w:pPr>
      <w:r w:rsidRPr="008C5B1B">
        <w:rPr>
          <w:rFonts w:cs="Arial"/>
          <w:b/>
          <w:sz w:val="22"/>
          <w:szCs w:val="22"/>
        </w:rPr>
        <w:t>Implementation years</w:t>
      </w:r>
    </w:p>
    <w:p w:rsidR="00660414" w:rsidRPr="00340716" w:rsidRDefault="00660414" w:rsidP="00340716">
      <w:pPr>
        <w:spacing w:line="276" w:lineRule="auto"/>
        <w:jc w:val="both"/>
        <w:rPr>
          <w:rFonts w:cs="Arial"/>
          <w:sz w:val="22"/>
          <w:szCs w:val="22"/>
        </w:rPr>
      </w:pPr>
      <w:r w:rsidRPr="00804F1B">
        <w:rPr>
          <w:rFonts w:cs="Arial"/>
          <w:sz w:val="22"/>
          <w:szCs w:val="22"/>
        </w:rPr>
        <w:t>The implementation of this project is greatly constrained by the available budget.</w:t>
      </w:r>
    </w:p>
    <w:p w:rsidR="00660414" w:rsidRDefault="00660414" w:rsidP="00660414">
      <w:r>
        <w:br w:type="page"/>
      </w:r>
    </w:p>
    <w:p w:rsidR="00660414" w:rsidRDefault="00660414" w:rsidP="00170C2E">
      <w:pPr>
        <w:pStyle w:val="Hdg3"/>
        <w:ind w:left="851"/>
      </w:pPr>
      <w:bookmarkStart w:id="7985" w:name="_Toc398885077"/>
      <w:bookmarkStart w:id="7986" w:name="_Toc403555338"/>
      <w:r w:rsidRPr="008C5B1B">
        <w:t>MCA Analysis</w:t>
      </w:r>
      <w:bookmarkEnd w:id="7985"/>
      <w:bookmarkEnd w:id="7986"/>
    </w:p>
    <w:p w:rsidR="00660414" w:rsidRPr="000A76BD" w:rsidRDefault="00660414" w:rsidP="00A4081F">
      <w:pPr>
        <w:pStyle w:val="NumberedParas"/>
      </w:pPr>
      <w:r w:rsidRPr="008C5B1B">
        <w:t xml:space="preserve">As noted in Chapter 2.8, project prioritisation forms a critical step in producing the Master Plan, since the </w:t>
      </w:r>
      <w:r>
        <w:t xml:space="preserve">costs </w:t>
      </w:r>
      <w:r w:rsidRPr="008C5B1B">
        <w:t>identified are greater than the available f</w:t>
      </w:r>
      <w:r>
        <w:t xml:space="preserve">unding. </w:t>
      </w:r>
      <w:r w:rsidRPr="008C5B1B">
        <w:t xml:space="preserve">This implies the necessity of ranking projects </w:t>
      </w:r>
      <w:r>
        <w:t xml:space="preserve">against </w:t>
      </w:r>
      <w:r w:rsidRPr="008C5B1B">
        <w:t>a set of predefined evaluation criteria, which will a</w:t>
      </w:r>
      <w:r>
        <w:t xml:space="preserve">pply </w:t>
      </w:r>
      <w:r w:rsidRPr="008C5B1B">
        <w:t xml:space="preserve">a fair and </w:t>
      </w:r>
      <w:r>
        <w:t>consistent process to prioritise</w:t>
      </w:r>
      <w:r w:rsidRPr="008C5B1B">
        <w:t xml:space="preserve"> project</w:t>
      </w:r>
      <w:r>
        <w:t>s</w:t>
      </w:r>
      <w:r w:rsidRPr="008C5B1B">
        <w:t xml:space="preserve">. Adding the funding restrictions to the list of ranked projects </w:t>
      </w:r>
      <w:r>
        <w:t xml:space="preserve">means the </w:t>
      </w:r>
      <w:r w:rsidRPr="008C5B1B">
        <w:t>implementation calendar</w:t>
      </w:r>
      <w:r>
        <w:t xml:space="preserve"> can be obtained</w:t>
      </w:r>
      <w:r w:rsidRPr="008C5B1B">
        <w:t>. The following schemes have been prioritised using the multi-criteria assessment, as shown in Table 5.14. The overall approach to project selection and the way in which projects are combined to form the final scenarios was set out in Section 2.6.</w:t>
      </w:r>
      <w:r>
        <w:t xml:space="preserve"> </w:t>
      </w:r>
      <w:r w:rsidRPr="008C5B1B">
        <w:t xml:space="preserve">The funding allocations are discussed fully in Section 11.3 but are summarised here for the </w:t>
      </w:r>
      <w:r>
        <w:t xml:space="preserve">rail </w:t>
      </w:r>
      <w:r w:rsidRPr="008C5B1B">
        <w:t>network in Table</w:t>
      </w:r>
      <w:r>
        <w:t xml:space="preserve"> 5.14.</w:t>
      </w:r>
    </w:p>
    <w:p w:rsidR="00660414" w:rsidRPr="000A76BD" w:rsidRDefault="00660414" w:rsidP="00660414">
      <w:pPr>
        <w:pStyle w:val="Caption"/>
        <w:rPr>
          <w:b/>
          <w:sz w:val="22"/>
          <w:szCs w:val="22"/>
        </w:rPr>
      </w:pPr>
      <w:bookmarkStart w:id="7987" w:name="_Toc398885078"/>
      <w:r w:rsidRPr="008C5B1B">
        <w:rPr>
          <w:b/>
          <w:sz w:val="22"/>
          <w:szCs w:val="22"/>
        </w:rPr>
        <w:t>Table 5.</w:t>
      </w:r>
      <w:r w:rsidRPr="008C5B1B">
        <w:rPr>
          <w:b/>
          <w:sz w:val="22"/>
          <w:szCs w:val="22"/>
        </w:rPr>
        <w:fldChar w:fldCharType="begin"/>
      </w:r>
      <w:r w:rsidRPr="008C5B1B">
        <w:rPr>
          <w:b/>
          <w:sz w:val="22"/>
          <w:szCs w:val="22"/>
        </w:rPr>
        <w:instrText xml:space="preserve"> SEQ Table \* ARABIC </w:instrText>
      </w:r>
      <w:r w:rsidRPr="008C5B1B">
        <w:rPr>
          <w:b/>
          <w:sz w:val="22"/>
          <w:szCs w:val="22"/>
        </w:rPr>
        <w:fldChar w:fldCharType="separate"/>
      </w:r>
      <w:r w:rsidR="00C168ED">
        <w:rPr>
          <w:b/>
          <w:noProof/>
          <w:sz w:val="22"/>
          <w:szCs w:val="22"/>
        </w:rPr>
        <w:t>60</w:t>
      </w:r>
      <w:r w:rsidRPr="008C5B1B">
        <w:rPr>
          <w:b/>
          <w:sz w:val="22"/>
          <w:szCs w:val="22"/>
        </w:rPr>
        <w:fldChar w:fldCharType="end"/>
      </w:r>
      <w:r w:rsidRPr="008C5B1B">
        <w:rPr>
          <w:b/>
          <w:sz w:val="22"/>
          <w:szCs w:val="22"/>
        </w:rPr>
        <w:t>:</w:t>
      </w:r>
      <w:r>
        <w:rPr>
          <w:b/>
          <w:sz w:val="22"/>
          <w:szCs w:val="22"/>
        </w:rPr>
        <w:t xml:space="preserve"> Funding Allocation for Rail Investments (€M)</w:t>
      </w:r>
      <w:bookmarkEnd w:id="7987"/>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4"/>
        <w:gridCol w:w="3503"/>
        <w:gridCol w:w="3503"/>
      </w:tblGrid>
      <w:tr w:rsidR="00660414" w:rsidRPr="00E941F1" w:rsidTr="007613DE">
        <w:tc>
          <w:tcPr>
            <w:tcW w:w="1632" w:type="pct"/>
            <w:shd w:val="clear" w:color="auto" w:fill="C6D9F1"/>
            <w:vAlign w:val="center"/>
            <w:hideMark/>
          </w:tcPr>
          <w:p w:rsidR="00660414" w:rsidRPr="008C5B1B" w:rsidRDefault="00660414" w:rsidP="007613DE">
            <w:pPr>
              <w:spacing w:before="60" w:after="60"/>
              <w:jc w:val="center"/>
              <w:rPr>
                <w:b/>
                <w:bCs/>
                <w:sz w:val="22"/>
                <w:szCs w:val="22"/>
              </w:rPr>
            </w:pPr>
            <w:r w:rsidRPr="008C5B1B">
              <w:rPr>
                <w:b/>
                <w:bCs/>
                <w:sz w:val="22"/>
                <w:szCs w:val="22"/>
              </w:rPr>
              <w:t>2014-2020</w:t>
            </w:r>
          </w:p>
        </w:tc>
        <w:tc>
          <w:tcPr>
            <w:tcW w:w="1684" w:type="pct"/>
            <w:shd w:val="clear" w:color="auto" w:fill="C6D9F1"/>
            <w:vAlign w:val="center"/>
            <w:hideMark/>
          </w:tcPr>
          <w:p w:rsidR="00660414" w:rsidRPr="008C5B1B" w:rsidRDefault="00660414" w:rsidP="007613DE">
            <w:pPr>
              <w:spacing w:before="60" w:after="60"/>
              <w:jc w:val="center"/>
              <w:rPr>
                <w:b/>
                <w:bCs/>
                <w:sz w:val="22"/>
                <w:szCs w:val="22"/>
              </w:rPr>
            </w:pPr>
            <w:r w:rsidRPr="008C5B1B">
              <w:rPr>
                <w:b/>
                <w:bCs/>
                <w:sz w:val="22"/>
                <w:szCs w:val="22"/>
              </w:rPr>
              <w:t>2021-2030</w:t>
            </w:r>
          </w:p>
        </w:tc>
        <w:tc>
          <w:tcPr>
            <w:tcW w:w="1684" w:type="pct"/>
            <w:shd w:val="clear" w:color="auto" w:fill="C6D9F1"/>
            <w:vAlign w:val="center"/>
            <w:hideMark/>
          </w:tcPr>
          <w:p w:rsidR="00660414" w:rsidRPr="008C5B1B" w:rsidRDefault="00660414" w:rsidP="007613DE">
            <w:pPr>
              <w:spacing w:before="60" w:after="60"/>
              <w:jc w:val="center"/>
              <w:rPr>
                <w:b/>
                <w:bCs/>
                <w:sz w:val="22"/>
                <w:szCs w:val="22"/>
              </w:rPr>
            </w:pPr>
            <w:r w:rsidRPr="008C5B1B">
              <w:rPr>
                <w:b/>
                <w:bCs/>
                <w:sz w:val="22"/>
                <w:szCs w:val="22"/>
              </w:rPr>
              <w:t>2014-2030</w:t>
            </w:r>
          </w:p>
        </w:tc>
      </w:tr>
      <w:tr w:rsidR="00660414" w:rsidRPr="000A76BD" w:rsidTr="007613DE">
        <w:tc>
          <w:tcPr>
            <w:tcW w:w="1632" w:type="pct"/>
            <w:shd w:val="clear" w:color="auto" w:fill="auto"/>
            <w:vAlign w:val="center"/>
            <w:hideMark/>
          </w:tcPr>
          <w:p w:rsidR="00660414" w:rsidRPr="000A76BD" w:rsidRDefault="00660414" w:rsidP="007613DE">
            <w:pPr>
              <w:jc w:val="center"/>
              <w:rPr>
                <w:rFonts w:cs="Arial"/>
                <w:color w:val="000000"/>
                <w:sz w:val="22"/>
                <w:szCs w:val="22"/>
              </w:rPr>
            </w:pPr>
            <w:r>
              <w:rPr>
                <w:rFonts w:cs="Arial"/>
                <w:color w:val="000000"/>
                <w:sz w:val="22"/>
                <w:szCs w:val="22"/>
              </w:rPr>
              <w:t>4,316</w:t>
            </w:r>
          </w:p>
        </w:tc>
        <w:tc>
          <w:tcPr>
            <w:tcW w:w="1684" w:type="pct"/>
            <w:shd w:val="clear" w:color="auto" w:fill="auto"/>
            <w:vAlign w:val="center"/>
            <w:hideMark/>
          </w:tcPr>
          <w:p w:rsidR="00660414" w:rsidRPr="000A76BD" w:rsidRDefault="00660414" w:rsidP="007613DE">
            <w:pPr>
              <w:jc w:val="center"/>
              <w:rPr>
                <w:rFonts w:cs="Arial"/>
                <w:color w:val="000000"/>
                <w:sz w:val="22"/>
                <w:szCs w:val="22"/>
              </w:rPr>
            </w:pPr>
            <w:r>
              <w:rPr>
                <w:rFonts w:cs="Arial"/>
                <w:color w:val="000000"/>
                <w:sz w:val="22"/>
                <w:szCs w:val="22"/>
              </w:rPr>
              <w:t>11,077</w:t>
            </w:r>
          </w:p>
        </w:tc>
        <w:tc>
          <w:tcPr>
            <w:tcW w:w="1684" w:type="pct"/>
            <w:shd w:val="clear" w:color="auto" w:fill="auto"/>
            <w:vAlign w:val="center"/>
            <w:hideMark/>
          </w:tcPr>
          <w:p w:rsidR="00660414" w:rsidRPr="000A76BD" w:rsidRDefault="00660414" w:rsidP="007613DE">
            <w:pPr>
              <w:jc w:val="center"/>
              <w:rPr>
                <w:rFonts w:cs="Arial"/>
                <w:color w:val="000000"/>
                <w:sz w:val="22"/>
                <w:szCs w:val="22"/>
              </w:rPr>
            </w:pPr>
            <w:r>
              <w:rPr>
                <w:rFonts w:cs="Arial"/>
                <w:color w:val="000000"/>
                <w:sz w:val="22"/>
                <w:szCs w:val="22"/>
              </w:rPr>
              <w:t>15,393</w:t>
            </w:r>
          </w:p>
        </w:tc>
      </w:tr>
    </w:tbl>
    <w:p w:rsidR="00660414" w:rsidRPr="000A76BD" w:rsidRDefault="00660414" w:rsidP="00A4081F">
      <w:pPr>
        <w:pStyle w:val="NumberedParas"/>
      </w:pPr>
      <w:r w:rsidRPr="008C5B1B">
        <w:t xml:space="preserve">Whilst the final grouping of schemes is informed by the model and financial analysis, it is not a purely mechanistic process. At each stage, the </w:t>
      </w:r>
      <w:r>
        <w:t xml:space="preserve">study </w:t>
      </w:r>
      <w:r w:rsidRPr="008C5B1B">
        <w:t xml:space="preserve">team </w:t>
      </w:r>
      <w:r>
        <w:t xml:space="preserve">completed </w:t>
      </w:r>
      <w:r w:rsidRPr="008C5B1B">
        <w:t xml:space="preserve">reality and sense checks to ensure the process did not </w:t>
      </w:r>
      <w:r>
        <w:t xml:space="preserve">lead to </w:t>
      </w:r>
      <w:r w:rsidRPr="008C5B1B">
        <w:t>a poorly connected network or one that brought schemes forward for implementation in an illogical manner.</w:t>
      </w:r>
      <w:r>
        <w:t xml:space="preserve"> In </w:t>
      </w:r>
      <w:r w:rsidRPr="008C5B1B">
        <w:t>addition</w:t>
      </w:r>
      <w:r>
        <w:t xml:space="preserve">, the </w:t>
      </w:r>
      <w:r w:rsidRPr="008C5B1B">
        <w:t xml:space="preserve">prioritisation </w:t>
      </w:r>
      <w:r w:rsidRPr="00484074">
        <w:t xml:space="preserve">criteria </w:t>
      </w:r>
      <w:r>
        <w:t xml:space="preserve">also took account of the </w:t>
      </w:r>
      <w:r w:rsidRPr="008C5B1B">
        <w:t>project</w:t>
      </w:r>
      <w:r>
        <w:t>’s</w:t>
      </w:r>
      <w:r w:rsidRPr="008C5B1B">
        <w:t xml:space="preserve"> readiness</w:t>
      </w:r>
      <w:r>
        <w:t xml:space="preserve"> and its </w:t>
      </w:r>
      <w:r w:rsidRPr="008C5B1B">
        <w:t>maturity</w:t>
      </w:r>
      <w:r>
        <w:t xml:space="preserve">. This </w:t>
      </w:r>
      <w:r w:rsidRPr="008C5B1B">
        <w:t xml:space="preserve">implies promoting </w:t>
      </w:r>
      <w:r>
        <w:t xml:space="preserve">schemes </w:t>
      </w:r>
      <w:r w:rsidRPr="008C5B1B">
        <w:t xml:space="preserve">as priority interventions </w:t>
      </w:r>
      <w:r>
        <w:t xml:space="preserve">which have been developed to </w:t>
      </w:r>
      <w:r w:rsidRPr="008C5B1B">
        <w:t>a more advanced stage of preparation</w:t>
      </w:r>
      <w:r>
        <w:t xml:space="preserve">, whilst taking account of funding </w:t>
      </w:r>
      <w:r w:rsidRPr="008C5B1B">
        <w:t>availability in 2020 or 2030.</w:t>
      </w:r>
      <w:r>
        <w:t xml:space="preserve"> To take account of these considerations, </w:t>
      </w:r>
      <w:r w:rsidRPr="008C5B1B">
        <w:t xml:space="preserve">the following changes were </w:t>
      </w:r>
      <w:r>
        <w:t xml:space="preserve">completed </w:t>
      </w:r>
      <w:r w:rsidRPr="008C5B1B">
        <w:t>to the prioritisation:</w:t>
      </w:r>
    </w:p>
    <w:p w:rsidR="00660414" w:rsidRPr="000A76BD" w:rsidRDefault="00660414" w:rsidP="00273D5E">
      <w:pPr>
        <w:pStyle w:val="BulletLevel1"/>
      </w:pPr>
      <w:r w:rsidRPr="008C5B1B">
        <w:t xml:space="preserve">DS01A Bucharest to Hungary via Brasov + Teius to Cluj. Rehabilitation to design speed was promoted as a priority in 2020. This implies the completion of Corridor IV North rehabilitation, which </w:t>
      </w:r>
      <w:r>
        <w:t xml:space="preserve">is currently </w:t>
      </w:r>
      <w:r w:rsidRPr="008C5B1B">
        <w:t>a high priority for Romania</w:t>
      </w:r>
      <w:r>
        <w:t xml:space="preserve"> since it also meets </w:t>
      </w:r>
      <w:r w:rsidRPr="008C5B1B">
        <w:t>EC objectives</w:t>
      </w:r>
      <w:r>
        <w:t>;</w:t>
      </w:r>
    </w:p>
    <w:p w:rsidR="00660414" w:rsidRPr="000A76BD" w:rsidRDefault="00660414" w:rsidP="00273D5E">
      <w:pPr>
        <w:pStyle w:val="BulletLevel1"/>
      </w:pPr>
      <w:r w:rsidRPr="008C5B1B">
        <w:t xml:space="preserve">There are </w:t>
      </w:r>
      <w:r>
        <w:t xml:space="preserve">about </w:t>
      </w:r>
      <w:r w:rsidRPr="008C5B1B">
        <w:t xml:space="preserve">2.4 bn EUR </w:t>
      </w:r>
      <w:r>
        <w:t xml:space="preserve">available </w:t>
      </w:r>
      <w:r w:rsidRPr="008C5B1B">
        <w:t>in 2020</w:t>
      </w:r>
      <w:r>
        <w:t xml:space="preserve"> which includes </w:t>
      </w:r>
      <w:r w:rsidRPr="008C5B1B">
        <w:t xml:space="preserve">Phase 1 of DN04A </w:t>
      </w:r>
      <w:r>
        <w:t xml:space="preserve">between </w:t>
      </w:r>
      <w:r w:rsidRPr="008C5B1B">
        <w:t xml:space="preserve">Bucharest </w:t>
      </w:r>
      <w:r>
        <w:t xml:space="preserve">and </w:t>
      </w:r>
      <w:r w:rsidRPr="008C5B1B">
        <w:t xml:space="preserve">Iasi via Bacau </w:t>
      </w:r>
      <w:r>
        <w:t xml:space="preserve">plus </w:t>
      </w:r>
      <w:r w:rsidRPr="008C5B1B">
        <w:t xml:space="preserve">Buzau to Galati </w:t>
      </w:r>
      <w:r>
        <w:t xml:space="preserve">and </w:t>
      </w:r>
      <w:r w:rsidRPr="008C5B1B">
        <w:t xml:space="preserve">Pascani to Ukraine. Rehabilitation to design speed is recommended. This implies the rehabilitation to design speed of section </w:t>
      </w:r>
      <w:r>
        <w:t xml:space="preserve">between </w:t>
      </w:r>
      <w:r w:rsidRPr="008C5B1B">
        <w:t>Bucharest</w:t>
      </w:r>
      <w:r>
        <w:t xml:space="preserve"> and </w:t>
      </w:r>
      <w:r w:rsidRPr="008C5B1B">
        <w:t>Sabaoani.</w:t>
      </w:r>
    </w:p>
    <w:p w:rsidR="00660414" w:rsidRPr="008C5B1B" w:rsidRDefault="00660414" w:rsidP="00660414">
      <w:pPr>
        <w:rPr>
          <w:sz w:val="22"/>
          <w:szCs w:val="22"/>
        </w:rPr>
      </w:pPr>
    </w:p>
    <w:p w:rsidR="00660414" w:rsidRPr="000A76BD" w:rsidRDefault="00660414" w:rsidP="00A4081F">
      <w:pPr>
        <w:pStyle w:val="NumberedParas"/>
        <w:numPr>
          <w:ilvl w:val="0"/>
          <w:numId w:val="0"/>
        </w:numPr>
        <w:ind w:left="851"/>
        <w:sectPr w:rsidR="00660414" w:rsidRPr="000A76BD" w:rsidSect="007613DE">
          <w:pgSz w:w="11907" w:h="16840" w:code="9"/>
          <w:pgMar w:top="1418" w:right="709" w:bottom="1418" w:left="907" w:header="357" w:footer="567" w:gutter="0"/>
          <w:cols w:space="187"/>
          <w:docGrid w:linePitch="360"/>
        </w:sectPr>
      </w:pPr>
    </w:p>
    <w:p w:rsidR="00660414" w:rsidRPr="000A76BD" w:rsidRDefault="00660414" w:rsidP="00045287">
      <w:pPr>
        <w:pStyle w:val="Hdg2"/>
      </w:pPr>
      <w:bookmarkStart w:id="7988" w:name="_Toc398885081"/>
      <w:bookmarkStart w:id="7989" w:name="_Toc403555339"/>
      <w:bookmarkStart w:id="7990" w:name="_Toc413056057"/>
      <w:r w:rsidRPr="008C5B1B">
        <w:t>Summary of Interventions</w:t>
      </w:r>
      <w:bookmarkEnd w:id="7988"/>
      <w:bookmarkEnd w:id="7989"/>
      <w:bookmarkEnd w:id="7990"/>
    </w:p>
    <w:p w:rsidR="00660414" w:rsidRPr="000A76BD" w:rsidRDefault="00660414" w:rsidP="00660414">
      <w:pPr>
        <w:pStyle w:val="Caption"/>
        <w:rPr>
          <w:b/>
          <w:sz w:val="22"/>
          <w:szCs w:val="22"/>
        </w:rPr>
      </w:pPr>
      <w:bookmarkStart w:id="7991" w:name="_Toc398885082"/>
      <w:r w:rsidRPr="008C5B1B">
        <w:rPr>
          <w:b/>
          <w:sz w:val="22"/>
          <w:szCs w:val="22"/>
        </w:rPr>
        <w:t>Table 5.</w:t>
      </w:r>
      <w:r w:rsidRPr="008C5B1B">
        <w:rPr>
          <w:b/>
          <w:sz w:val="22"/>
          <w:szCs w:val="22"/>
        </w:rPr>
        <w:fldChar w:fldCharType="begin"/>
      </w:r>
      <w:r w:rsidRPr="008C5B1B">
        <w:rPr>
          <w:b/>
          <w:sz w:val="22"/>
          <w:szCs w:val="22"/>
        </w:rPr>
        <w:instrText xml:space="preserve"> SEQ Table \* ARABIC </w:instrText>
      </w:r>
      <w:r w:rsidRPr="008C5B1B">
        <w:rPr>
          <w:b/>
          <w:sz w:val="22"/>
          <w:szCs w:val="22"/>
        </w:rPr>
        <w:fldChar w:fldCharType="separate"/>
      </w:r>
      <w:r w:rsidR="00C168ED">
        <w:rPr>
          <w:b/>
          <w:noProof/>
          <w:sz w:val="22"/>
          <w:szCs w:val="22"/>
        </w:rPr>
        <w:t>61</w:t>
      </w:r>
      <w:r w:rsidRPr="008C5B1B">
        <w:rPr>
          <w:b/>
          <w:sz w:val="22"/>
          <w:szCs w:val="22"/>
        </w:rPr>
        <w:fldChar w:fldCharType="end"/>
      </w:r>
      <w:r w:rsidRPr="008C5B1B">
        <w:rPr>
          <w:b/>
          <w:sz w:val="22"/>
          <w:szCs w:val="22"/>
        </w:rPr>
        <w:t>:</w:t>
      </w:r>
      <w:r>
        <w:rPr>
          <w:b/>
          <w:sz w:val="22"/>
          <w:szCs w:val="22"/>
        </w:rPr>
        <w:t xml:space="preserve"> Results of the Multi-Criteria Analysis – Rail Schemes</w:t>
      </w:r>
      <w:bookmarkEnd w:id="7991"/>
    </w:p>
    <w:tbl>
      <w:tblPr>
        <w:tblW w:w="5000" w:type="pct"/>
        <w:tblLook w:val="04A0" w:firstRow="1" w:lastRow="0" w:firstColumn="1" w:lastColumn="0" w:noHBand="0" w:noVBand="1"/>
      </w:tblPr>
      <w:tblGrid>
        <w:gridCol w:w="535"/>
        <w:gridCol w:w="535"/>
        <w:gridCol w:w="1052"/>
        <w:gridCol w:w="4411"/>
        <w:gridCol w:w="2383"/>
        <w:gridCol w:w="1217"/>
        <w:gridCol w:w="1217"/>
        <w:gridCol w:w="1217"/>
        <w:gridCol w:w="296"/>
        <w:gridCol w:w="1357"/>
      </w:tblGrid>
      <w:tr w:rsidR="008B57DD" w:rsidRPr="008B57DD" w:rsidTr="008B57DD">
        <w:trPr>
          <w:trHeight w:val="1002"/>
          <w:tblHeader/>
        </w:trPr>
        <w:tc>
          <w:tcPr>
            <w:tcW w:w="188"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 </w:t>
            </w:r>
          </w:p>
        </w:tc>
        <w:tc>
          <w:tcPr>
            <w:tcW w:w="558" w:type="pct"/>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Code</w:t>
            </w:r>
          </w:p>
        </w:tc>
        <w:tc>
          <w:tcPr>
            <w:tcW w:w="155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Project Description</w:t>
            </w:r>
          </w:p>
        </w:tc>
        <w:tc>
          <w:tcPr>
            <w:tcW w:w="83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TEN-T</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Score</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EIRR</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Cost (2014 prices)</w:t>
            </w:r>
          </w:p>
        </w:tc>
        <w:tc>
          <w:tcPr>
            <w:tcW w:w="104" w:type="pct"/>
            <w:tcBorders>
              <w:top w:val="nil"/>
              <w:left w:val="nil"/>
              <w:bottom w:val="nil"/>
              <w:right w:val="nil"/>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 </w:t>
            </w:r>
          </w:p>
        </w:tc>
        <w:tc>
          <w:tcPr>
            <w:tcW w:w="477"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267789" w:rsidRPr="00267789" w:rsidRDefault="00267789" w:rsidP="00267789">
            <w:pPr>
              <w:jc w:val="center"/>
              <w:rPr>
                <w:rFonts w:cs="Arial"/>
                <w:b/>
                <w:bCs/>
                <w:sz w:val="20"/>
                <w:szCs w:val="20"/>
                <w:lang w:val="en-US"/>
              </w:rPr>
            </w:pPr>
            <w:r w:rsidRPr="00267789">
              <w:rPr>
                <w:rFonts w:cs="Arial"/>
                <w:b/>
                <w:bCs/>
                <w:sz w:val="20"/>
                <w:szCs w:val="20"/>
                <w:lang w:val="en-US"/>
              </w:rPr>
              <w:t>Cumulated Cost</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w:t>
            </w:r>
          </w:p>
        </w:tc>
        <w:tc>
          <w:tcPr>
            <w:tcW w:w="188" w:type="pct"/>
            <w:vMerge w:val="restart"/>
            <w:tcBorders>
              <w:top w:val="nil"/>
              <w:left w:val="single" w:sz="4" w:space="0" w:color="auto"/>
              <w:bottom w:val="nil"/>
              <w:right w:val="single" w:sz="4" w:space="0" w:color="auto"/>
            </w:tcBorders>
            <w:shd w:val="clear" w:color="000000" w:fill="FFFFFF"/>
            <w:textDirection w:val="btLr"/>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Rail</w:t>
            </w: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DS10R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Bucharest to Giurgiu via Gradistea</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80.0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49.0%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0.0</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0.0</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DS11R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Craiova to Calafat</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50.5</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23.0%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1.5</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1.5</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DS03R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Bucharest to Arad via Craiova and Timisoara</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49.2</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21.9%</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73.2</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74.7</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DS04R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Bucharest to Iasi via Bacau + Buzau to Galati + Pascani to Ukraine</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45.4</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18.6%</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90.7</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165.4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DS06R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Cluj-Napoca to Iasi</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45.2</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18.4%</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52.5</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217.9</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6</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DS10A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Giurgiu via Gradistea.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34.1</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13.9%</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144.5</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362.3</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7</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DS03S</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Freight test Filiasi - Tg Jiu</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33.3</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16.7%</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6.1</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368.4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8</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DS01R</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Emergency interventions for section Bucharest to Hungary via Brasov + Teius to Cluj</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30.0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29.5%</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67.7</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436.1</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9</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DS04A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Iasi via Bacau + Buzau to Galati + Pascani to Ukraine.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27.3</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7.9%</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2,360.2</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2,796.3</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10</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DS02A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Constanta. New rolling stock and re-timetabling</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25.6</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6.4%</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2,375.1</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5,171.4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11</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DS01A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Hungary via Brasov + Teius to Cluj.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25.6</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6.4%</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2,375.1</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7,546.4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12</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DS03A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Arad via Craiova and Timisoara.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25.0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5.9%</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2,038.7</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9,585.2</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13</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DS11A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Craiova to Calafat.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24.0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4.7%</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160.9</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9,746.0</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14</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DS06A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Cluj-Napoca to Iasi.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24.0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1,087.0</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10,833.0</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15</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DS05B</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Bucharest to Sibiu via Pitesti and Ramnicu Valcea. New link, rehabilitation to design speed and electrification.</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17.7</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8.3%</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1,130.4</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11,963.4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16</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DS07B</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Cluj-Napoca to Oradea. Rehabilitation to enhanced speed, line doubling and electrification.</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15.1</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6.0%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456.0</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12,419.4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17</w:t>
            </w:r>
          </w:p>
        </w:tc>
        <w:tc>
          <w:tcPr>
            <w:tcW w:w="188" w:type="pct"/>
            <w:vMerge/>
            <w:tcBorders>
              <w:top w:val="nil"/>
              <w:left w:val="single" w:sz="4" w:space="0" w:color="auto"/>
              <w:bottom w:val="nil"/>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DS08A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Oradea to Timisoara.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14.0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b/>
                <w:bCs/>
                <w:color w:val="000000"/>
                <w:sz w:val="20"/>
                <w:szCs w:val="20"/>
                <w:lang w:val="en-US"/>
              </w:rPr>
            </w:pPr>
            <w:r w:rsidRPr="00267789">
              <w:rPr>
                <w:rFonts w:cs="Arial"/>
                <w:b/>
                <w:bCs/>
                <w:color w:val="000000"/>
                <w:sz w:val="20"/>
                <w:szCs w:val="20"/>
                <w:lang w:val="en-US"/>
              </w:rPr>
              <w:t>5.0%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234.0</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12,653.4</w:t>
            </w:r>
          </w:p>
        </w:tc>
      </w:tr>
      <w:tr w:rsidR="00267789" w:rsidRPr="00267789" w:rsidTr="00267789">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18</w:t>
            </w:r>
          </w:p>
        </w:tc>
        <w:tc>
          <w:tcPr>
            <w:tcW w:w="188" w:type="pct"/>
            <w:vMerge/>
            <w:tcBorders>
              <w:top w:val="nil"/>
              <w:left w:val="single" w:sz="4" w:space="0" w:color="auto"/>
              <w:bottom w:val="single" w:sz="4" w:space="0" w:color="auto"/>
              <w:right w:val="single" w:sz="4" w:space="0" w:color="auto"/>
            </w:tcBorders>
            <w:vAlign w:val="center"/>
            <w:hideMark/>
          </w:tcPr>
          <w:p w:rsidR="00267789" w:rsidRPr="00267789" w:rsidRDefault="00267789" w:rsidP="00267789">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DS09A</w:t>
            </w:r>
          </w:p>
        </w:tc>
        <w:tc>
          <w:tcPr>
            <w:tcW w:w="1551"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Oradea to Cluj-Napoca via Satu Mare and Baia Mare. Rehabilitation to design speed.</w:t>
            </w:r>
          </w:p>
        </w:tc>
        <w:tc>
          <w:tcPr>
            <w:tcW w:w="83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14.0</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1.9%</w:t>
            </w:r>
          </w:p>
        </w:tc>
        <w:tc>
          <w:tcPr>
            <w:tcW w:w="428" w:type="pct"/>
            <w:tcBorders>
              <w:top w:val="nil"/>
              <w:left w:val="nil"/>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549.0</w:t>
            </w:r>
          </w:p>
        </w:tc>
        <w:tc>
          <w:tcPr>
            <w:tcW w:w="104" w:type="pct"/>
            <w:tcBorders>
              <w:top w:val="nil"/>
              <w:left w:val="nil"/>
              <w:bottom w:val="nil"/>
              <w:right w:val="nil"/>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267789" w:rsidRPr="00267789" w:rsidRDefault="00267789" w:rsidP="00267789">
            <w:pPr>
              <w:jc w:val="center"/>
              <w:rPr>
                <w:rFonts w:cs="Arial"/>
                <w:color w:val="000000"/>
                <w:sz w:val="20"/>
                <w:szCs w:val="20"/>
                <w:lang w:val="en-US"/>
              </w:rPr>
            </w:pPr>
            <w:r w:rsidRPr="00267789">
              <w:rPr>
                <w:rFonts w:cs="Arial"/>
                <w:color w:val="000000"/>
                <w:sz w:val="20"/>
                <w:szCs w:val="20"/>
                <w:lang w:val="en-US"/>
              </w:rPr>
              <w:t>13,202.4</w:t>
            </w:r>
          </w:p>
        </w:tc>
      </w:tr>
    </w:tbl>
    <w:p w:rsidR="0092121D" w:rsidRDefault="0092121D" w:rsidP="00E5363A"/>
    <w:p w:rsidR="0092121D" w:rsidRDefault="0092121D" w:rsidP="00E5363A"/>
    <w:p w:rsidR="00E5363A" w:rsidRDefault="00E5363A" w:rsidP="00E5363A">
      <w:pPr>
        <w:sectPr w:rsidR="00E5363A" w:rsidSect="00660414">
          <w:headerReference w:type="default" r:id="rId251"/>
          <w:pgSz w:w="16840" w:h="11907" w:orient="landscape" w:code="9"/>
          <w:pgMar w:top="907" w:right="1418" w:bottom="709" w:left="1418" w:header="357" w:footer="567" w:gutter="0"/>
          <w:cols w:space="187"/>
          <w:docGrid w:linePitch="360"/>
        </w:sectPr>
      </w:pPr>
    </w:p>
    <w:p w:rsidR="0018508A" w:rsidRPr="00C8675F" w:rsidRDefault="0018508A" w:rsidP="0018508A">
      <w:pPr>
        <w:rPr>
          <w:b/>
        </w:rPr>
        <w:sectPr w:rsidR="0018508A" w:rsidRPr="00C8675F">
          <w:headerReference w:type="default" r:id="rId252"/>
          <w:footerReference w:type="default" r:id="rId253"/>
          <w:pgSz w:w="11907" w:h="16840" w:code="9"/>
          <w:pgMar w:top="-3640" w:right="709" w:bottom="1729" w:left="6146" w:header="357" w:footer="567" w:gutter="0"/>
          <w:cols w:space="720"/>
          <w:docGrid w:linePitch="360"/>
        </w:sectPr>
      </w:pPr>
    </w:p>
    <w:p w:rsidR="0018508A" w:rsidRPr="00C8675F" w:rsidRDefault="007354AA" w:rsidP="0018508A">
      <w:pPr>
        <w:pStyle w:val="SecDivider0"/>
        <w:rPr>
          <w:lang w:val="en-GB"/>
        </w:rPr>
      </w:pPr>
      <w:r>
        <w:rPr>
          <w:lang w:val="en-GB"/>
        </w:rPr>
        <w:t>Ports and Waterways</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18508A" w:rsidRPr="006F17A0" w:rsidRDefault="007354AA" w:rsidP="001C6C79">
      <w:pPr>
        <w:pStyle w:val="Hdg1"/>
        <w:framePr w:wrap="notBeside"/>
      </w:pPr>
      <w:bookmarkStart w:id="7992" w:name="_Toc413056058"/>
      <w:r>
        <w:t>Ports and Waterways</w:t>
      </w:r>
      <w:bookmarkEnd w:id="7992"/>
    </w:p>
    <w:p w:rsidR="003E00EE" w:rsidRDefault="003E00EE" w:rsidP="0018508A"/>
    <w:p w:rsidR="00660414" w:rsidRDefault="00660414" w:rsidP="00A4081F">
      <w:pPr>
        <w:pStyle w:val="NumberedParas"/>
        <w:numPr>
          <w:ilvl w:val="0"/>
          <w:numId w:val="0"/>
        </w:numPr>
        <w:ind w:left="360"/>
      </w:pPr>
      <w:bookmarkStart w:id="7993" w:name="_Toc400538722"/>
      <w:r w:rsidRPr="008C5B1B">
        <w:t>This chapter considers Romania’s ports and waterways as part of the National Transport Master Plan. This chapter is ordered in the following sections:</w:t>
      </w:r>
    </w:p>
    <w:p w:rsidR="00660414" w:rsidRDefault="00660414" w:rsidP="00273D5E">
      <w:pPr>
        <w:pStyle w:val="BulletLevel1"/>
      </w:pPr>
      <w:r w:rsidRPr="008C5B1B">
        <w:t>Existing Conditions</w:t>
      </w:r>
    </w:p>
    <w:p w:rsidR="00660414" w:rsidRDefault="00660414" w:rsidP="00273D5E">
      <w:pPr>
        <w:pStyle w:val="BulletLevel1"/>
      </w:pPr>
      <w:r w:rsidRPr="008C5B1B">
        <w:t>Strategic Objectives</w:t>
      </w:r>
    </w:p>
    <w:p w:rsidR="00660414" w:rsidRDefault="00660414" w:rsidP="00273D5E">
      <w:pPr>
        <w:pStyle w:val="BulletLevel1"/>
      </w:pPr>
      <w:r w:rsidRPr="008C5B1B">
        <w:t>Operational Objectives</w:t>
      </w:r>
    </w:p>
    <w:p w:rsidR="00660414" w:rsidRDefault="00660414" w:rsidP="00273D5E">
      <w:pPr>
        <w:pStyle w:val="BulletLevel1"/>
      </w:pPr>
      <w:r w:rsidRPr="008C5B1B">
        <w:t>Testing Interventions</w:t>
      </w:r>
    </w:p>
    <w:p w:rsidR="00660414" w:rsidRDefault="00660414" w:rsidP="00273D5E">
      <w:pPr>
        <w:pStyle w:val="BulletLevel1"/>
      </w:pPr>
      <w:r w:rsidRPr="008C5B1B">
        <w:t>Other Interventions</w:t>
      </w:r>
    </w:p>
    <w:p w:rsidR="00660414" w:rsidRDefault="00660414" w:rsidP="00273D5E">
      <w:pPr>
        <w:pStyle w:val="BulletLevel1"/>
      </w:pPr>
      <w:r w:rsidRPr="008C5B1B">
        <w:t>Summary</w:t>
      </w:r>
    </w:p>
    <w:p w:rsidR="00660414" w:rsidRDefault="00660414" w:rsidP="00A4081F">
      <w:pPr>
        <w:pStyle w:val="NumberedParas"/>
        <w:numPr>
          <w:ilvl w:val="0"/>
          <w:numId w:val="0"/>
        </w:numPr>
        <w:ind w:left="360"/>
      </w:pPr>
      <w:r w:rsidRPr="008C5B1B">
        <w:t>Each section is furthered ordered by listing the ports, starting with Constanta and then running up the Danube from the mouth of the river to where the Danube is no longer in Romania. Consideration is then given to the waterways including the Danube itself as well as the Danube-Black Sea Canal.</w:t>
      </w:r>
    </w:p>
    <w:p w:rsidR="00660414" w:rsidRDefault="00660414" w:rsidP="00A4081F">
      <w:pPr>
        <w:pStyle w:val="NumberedParas"/>
        <w:numPr>
          <w:ilvl w:val="0"/>
          <w:numId w:val="0"/>
        </w:numPr>
        <w:ind w:left="360"/>
      </w:pPr>
      <w:r>
        <w:t>AECOM has compiled this chapter using information from a number of sources including the Ministry of Transport as well as using outputs from consultation with industry stakeholders including port operators, administrators and shipping companies.</w:t>
      </w:r>
    </w:p>
    <w:p w:rsidR="00660414" w:rsidRPr="000A76BD" w:rsidRDefault="00660414" w:rsidP="00045287">
      <w:pPr>
        <w:pStyle w:val="Hdg2"/>
      </w:pPr>
      <w:bookmarkStart w:id="7994" w:name="_Toc408990849"/>
      <w:bookmarkStart w:id="7995" w:name="_Toc413056059"/>
      <w:r w:rsidRPr="008C5B1B">
        <w:t>Existing Conditions</w:t>
      </w:r>
      <w:bookmarkEnd w:id="7993"/>
      <w:bookmarkEnd w:id="7994"/>
      <w:bookmarkEnd w:id="7995"/>
    </w:p>
    <w:p w:rsidR="00660414" w:rsidRDefault="00660414" w:rsidP="00A4081F">
      <w:pPr>
        <w:pStyle w:val="NumberedParas"/>
      </w:pPr>
      <w:r w:rsidRPr="008C5B1B">
        <w:t xml:space="preserve">Over 318 million tonnes of freight was lifted in 2011. Figure 6.1 shows that </w:t>
      </w:r>
      <w:r>
        <w:t>of th</w:t>
      </w:r>
      <w:r w:rsidRPr="008C5B1B">
        <w:t xml:space="preserve">is a large amount of water based freight </w:t>
      </w:r>
      <w:r>
        <w:t xml:space="preserve">occurs </w:t>
      </w:r>
      <w:r w:rsidRPr="008C5B1B">
        <w:t>both maritime</w:t>
      </w:r>
      <w:r>
        <w:t xml:space="preserve"> (12%)</w:t>
      </w:r>
      <w:r w:rsidRPr="008C5B1B">
        <w:t xml:space="preserve"> and on the River Danube and canal systems</w:t>
      </w:r>
      <w:r>
        <w:t xml:space="preserve"> (9%)</w:t>
      </w:r>
      <w:r w:rsidRPr="008C5B1B">
        <w:t xml:space="preserve">. This shows that water freight has an important role in the transportation of </w:t>
      </w:r>
      <w:r>
        <w:t xml:space="preserve">mostly bulk </w:t>
      </w:r>
      <w:r w:rsidRPr="008C5B1B">
        <w:t>freight in Romania</w:t>
      </w:r>
      <w:r>
        <w:t>, mainly associated with traditional industries</w:t>
      </w:r>
      <w:r w:rsidRPr="008C5B1B">
        <w:t xml:space="preserve">. </w:t>
      </w:r>
    </w:p>
    <w:p w:rsidR="00660414" w:rsidRPr="000A76BD" w:rsidRDefault="00660414" w:rsidP="00A4081F">
      <w:pPr>
        <w:pStyle w:val="NumberedParas"/>
      </w:pPr>
      <w:r w:rsidRPr="001179E3">
        <w:t xml:space="preserve">Containerisation of freight in Romania is currently just 4%. This is at a low level and it could be reasonably expected for this rate to increase over the next 20 years to a Western European average of around 12%. </w:t>
      </w:r>
      <w:r w:rsidRPr="008C5B1B">
        <w:t>Containerisation will be prompted by rising labour costs and the need to reduce the cost of handling products in the supply chain.</w:t>
      </w:r>
      <w:r>
        <w:t xml:space="preserve"> It remains to be seen whether water freight can offer competitive services for domestic flows of containers in the future. This subject is discussed in more detail in the intermodal section.</w:t>
      </w:r>
    </w:p>
    <w:p w:rsidR="00660414" w:rsidRPr="000A76BD" w:rsidRDefault="00660414" w:rsidP="00A4081F">
      <w:pPr>
        <w:pStyle w:val="NumberedParas"/>
        <w:numPr>
          <w:ilvl w:val="0"/>
          <w:numId w:val="0"/>
        </w:numPr>
        <w:ind w:left="567"/>
        <w:rPr>
          <w:noProof/>
          <w:lang w:val="en-US"/>
        </w:rPr>
      </w:pPr>
      <w:r w:rsidRPr="008C5B1B">
        <w:rPr>
          <w:noProof/>
          <w:lang w:val="ro-RO" w:eastAsia="ro-RO"/>
        </w:rPr>
        <w:drawing>
          <wp:inline distT="0" distB="0" distL="0" distR="0" wp14:anchorId="41781653" wp14:editId="36FD36D5">
            <wp:extent cx="4563745" cy="2803779"/>
            <wp:effectExtent l="12192" t="6096" r="5588" b="0"/>
            <wp:docPr id="14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660414" w:rsidRPr="000A76BD" w:rsidRDefault="00660414" w:rsidP="00660414">
      <w:pPr>
        <w:spacing w:line="276" w:lineRule="auto"/>
        <w:ind w:left="567"/>
        <w:rPr>
          <w:i/>
          <w:sz w:val="22"/>
          <w:szCs w:val="22"/>
        </w:rPr>
      </w:pPr>
      <w:r w:rsidRPr="008C5B1B">
        <w:rPr>
          <w:i/>
          <w:sz w:val="22"/>
          <w:szCs w:val="22"/>
        </w:rPr>
        <w:t>Source: INSE and AECOM</w:t>
      </w:r>
    </w:p>
    <w:p w:rsidR="00660414" w:rsidRPr="000A76BD" w:rsidRDefault="00660414" w:rsidP="00660414">
      <w:pPr>
        <w:spacing w:line="276" w:lineRule="auto"/>
        <w:ind w:left="567"/>
        <w:rPr>
          <w:b/>
          <w:sz w:val="22"/>
          <w:szCs w:val="22"/>
        </w:rPr>
      </w:pPr>
      <w:r w:rsidRPr="008C5B1B">
        <w:rPr>
          <w:b/>
          <w:sz w:val="22"/>
          <w:szCs w:val="22"/>
        </w:rPr>
        <w:t>Figure 6.1 – Modal Market Share of Freight Movements in Romania 2011</w:t>
      </w:r>
    </w:p>
    <w:p w:rsidR="00660414" w:rsidRPr="000A76BD" w:rsidRDefault="00660414" w:rsidP="00660414">
      <w:pPr>
        <w:spacing w:line="276" w:lineRule="auto"/>
        <w:ind w:left="567"/>
        <w:rPr>
          <w:b/>
          <w:sz w:val="22"/>
          <w:szCs w:val="22"/>
        </w:rPr>
      </w:pPr>
      <w:r w:rsidRPr="008C5B1B">
        <w:rPr>
          <w:b/>
          <w:noProof/>
          <w:sz w:val="22"/>
          <w:szCs w:val="22"/>
          <w:lang w:val="ro-RO" w:eastAsia="ro-RO"/>
        </w:rPr>
        <w:drawing>
          <wp:inline distT="0" distB="0" distL="0" distR="0" wp14:anchorId="2B2D6A90" wp14:editId="085DE058">
            <wp:extent cx="5943600" cy="3751580"/>
            <wp:effectExtent l="19050" t="0" r="19050" b="1270"/>
            <wp:docPr id="1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660414" w:rsidRPr="000A76BD" w:rsidRDefault="00660414" w:rsidP="00660414">
      <w:pPr>
        <w:spacing w:line="276" w:lineRule="auto"/>
        <w:ind w:left="567"/>
        <w:rPr>
          <w:i/>
          <w:sz w:val="22"/>
          <w:szCs w:val="22"/>
        </w:rPr>
      </w:pPr>
      <w:r w:rsidRPr="008C5B1B">
        <w:rPr>
          <w:i/>
          <w:sz w:val="22"/>
          <w:szCs w:val="22"/>
        </w:rPr>
        <w:t>Source: APDF Giurgiu, APDM Galati, ACN</w:t>
      </w:r>
    </w:p>
    <w:p w:rsidR="00660414" w:rsidRPr="000A76BD" w:rsidRDefault="00660414" w:rsidP="00660414">
      <w:pPr>
        <w:spacing w:line="276" w:lineRule="auto"/>
        <w:ind w:left="567"/>
        <w:rPr>
          <w:b/>
          <w:sz w:val="22"/>
          <w:szCs w:val="22"/>
        </w:rPr>
      </w:pPr>
      <w:r w:rsidRPr="008C5B1B">
        <w:rPr>
          <w:b/>
          <w:sz w:val="22"/>
          <w:szCs w:val="22"/>
        </w:rPr>
        <w:t xml:space="preserve">Figure </w:t>
      </w:r>
      <w:r>
        <w:rPr>
          <w:b/>
          <w:sz w:val="22"/>
          <w:szCs w:val="22"/>
        </w:rPr>
        <w:t>6</w:t>
      </w:r>
      <w:r w:rsidRPr="008C5B1B">
        <w:rPr>
          <w:b/>
          <w:sz w:val="22"/>
          <w:szCs w:val="22"/>
        </w:rPr>
        <w:t>.2 – Tonnes Handled by Romania’s Ports in 2011</w:t>
      </w:r>
    </w:p>
    <w:p w:rsidR="00660414" w:rsidRDefault="00660414" w:rsidP="00A4081F">
      <w:pPr>
        <w:pStyle w:val="NumberedParas"/>
        <w:rPr>
          <w:b/>
          <w:i/>
        </w:rPr>
      </w:pPr>
      <w:r w:rsidRPr="008C5B1B">
        <w:t xml:space="preserve">Figure </w:t>
      </w:r>
      <w:r>
        <w:t>6</w:t>
      </w:r>
      <w:r w:rsidRPr="008C5B1B">
        <w:t xml:space="preserve">.2 shows the major ports in Romania (listed in the following section) and demonstrates the volume of freight that they handled in 2011. Figure </w:t>
      </w:r>
      <w:r>
        <w:t>6</w:t>
      </w:r>
      <w:r w:rsidRPr="008C5B1B">
        <w:t>.2 also shows the major commodity handled by the particular ports in 2011. This shows that some ports such as Galati and Braila are diversified as the major commodity handled by the port (in this case iron ore and cereals respectively) does not dominate the total tonnes handled. However at other ports such as Tulcea and Basarabi the major commodity dominates the overall total.</w:t>
      </w:r>
    </w:p>
    <w:p w:rsidR="00660414" w:rsidRPr="000A76BD" w:rsidRDefault="00660414" w:rsidP="00A4081F">
      <w:pPr>
        <w:pStyle w:val="NumberedParas"/>
        <w:numPr>
          <w:ilvl w:val="0"/>
          <w:numId w:val="0"/>
        </w:numPr>
      </w:pPr>
      <w:r w:rsidRPr="008C5B1B">
        <w:t>Ports</w:t>
      </w:r>
    </w:p>
    <w:p w:rsidR="00660414" w:rsidRPr="000A76BD" w:rsidRDefault="00660414" w:rsidP="00660414">
      <w:pPr>
        <w:pStyle w:val="Heading7"/>
        <w:rPr>
          <w:szCs w:val="22"/>
        </w:rPr>
      </w:pPr>
      <w:r w:rsidRPr="008C5B1B">
        <w:rPr>
          <w:szCs w:val="22"/>
        </w:rPr>
        <w:t>Constanta</w:t>
      </w:r>
    </w:p>
    <w:p w:rsidR="00660414" w:rsidRPr="000A76BD" w:rsidRDefault="00660414" w:rsidP="00A4081F">
      <w:pPr>
        <w:pStyle w:val="NumberedParas"/>
      </w:pPr>
      <w:r w:rsidRPr="008C5B1B">
        <w:t>As Romania’s major seaport Constanta is the most developed and offers the widest range of facilities. The port handled 55</w:t>
      </w:r>
      <w:r>
        <w:t xml:space="preserve"> </w:t>
      </w:r>
      <w:r w:rsidRPr="008C5B1B">
        <w:t>million tonnes in 2013 and had 14,066 vessel movements of which 34% were maritime-related and 66% on to the river network (9,233). 64% of the port volume consists of dry bulk and cereals have recently been the most significant individual commodity at the port. Constanta also handles around 10</w:t>
      </w:r>
      <w:r>
        <w:t xml:space="preserve"> </w:t>
      </w:r>
      <w:r w:rsidRPr="008C5B1B">
        <w:t xml:space="preserve">million tonnes of liquid bulk and around 4 million tonnes of general cargo. In addition, </w:t>
      </w:r>
      <w:r>
        <w:t>Constanta is the largest container port in the Black Sea mainly due to DP World’s Constanta South Container Terminal which opened in 2004 and in 2012 handled 97% of container movements at the port. Although Constanta</w:t>
      </w:r>
      <w:r w:rsidRPr="008C5B1B">
        <w:t xml:space="preserve"> is a major regional container port, it is not one the top 20 container ports (by volume) in Europe. It handled 661,000 TEU (Twenty foot equivalent units) in 2013, although the peak year for containers was 2007 when the port handled 1.41 million TEU. The ongoing economic conditions, particularly the low rates being paid for container movements, have affected shipping lines to the extent that fewer shipping lines serve the port and shared services arrive with containers for several shipping lines.</w:t>
      </w:r>
    </w:p>
    <w:p w:rsidR="00660414" w:rsidRPr="000A76BD" w:rsidRDefault="00660414" w:rsidP="00A4081F">
      <w:pPr>
        <w:pStyle w:val="NumberedParas"/>
      </w:pPr>
      <w:r w:rsidRPr="008C5B1B">
        <w:t xml:space="preserve">Constanta has a large hinterland and acts as a transhipment point for many goods. Several other European ports already provide good links to Central Europe but there is scope for Constanta to increase its throughput provided that road, rail and water links are improved. Being further east and geographically closer to China by several days sailing time than northern European ports means Constanta could attract market share from other ports if the economies of scale and shipping rates are attractive. </w:t>
      </w:r>
      <w:r>
        <w:t>Constanta is strategically situated to potentially feed freight into the heartland of Central and Eastern Europe but due to the poor intermodal infrastructure it is not possible to fully capitalise on this opportunity.</w:t>
      </w:r>
    </w:p>
    <w:p w:rsidR="00660414" w:rsidRPr="000A76BD" w:rsidRDefault="00660414" w:rsidP="00A4081F">
      <w:pPr>
        <w:pStyle w:val="NumberedParas"/>
      </w:pPr>
      <w:r w:rsidRPr="008C5B1B">
        <w:t xml:space="preserve">The port has completed several infrastructure projects in recent years such as Rehabilitation of the Breakwaters of Constanta’s Port (€70 million); New Container Terminal on Pier II South Constanta Port ($90 million); Barge Terminal (€24 million), Constanta Port Environment and Infrastructure Project (€22 million); these were financed mainly by IFIs (EIB, Phare Programme, JBIC, EBRD) and co-financed by the state budget and the company’s own resources. </w:t>
      </w:r>
    </w:p>
    <w:p w:rsidR="00660414" w:rsidRPr="000A76BD" w:rsidRDefault="00660414" w:rsidP="00A4081F">
      <w:pPr>
        <w:pStyle w:val="NumberedParas"/>
      </w:pPr>
      <w:r w:rsidRPr="008C5B1B">
        <w:t xml:space="preserve">Ongoing developments include four main projects financed by the Structural Funds of European Union and co-financed by the State Budget through the Sectoral Operational Programme in Transports 2007- 2013. These are the extension of the North Breakwater by 1050 m, (€136 million); the road bridge over the Black Sea Danube Canal and related road access infrastructure (€30 million); the development of the railway capacity in the river-maritime sector (€17 million) and the Southward Extension of the Lighter Berth in the Port (€5million). </w:t>
      </w:r>
    </w:p>
    <w:p w:rsidR="00660414" w:rsidRPr="000A76BD" w:rsidRDefault="00660414" w:rsidP="00A4081F">
      <w:pPr>
        <w:pStyle w:val="NumberedParas"/>
      </w:pPr>
      <w:r w:rsidRPr="009E47B8">
        <w:t>Constanta has berths dedicated to a range of commodities. Many of</w:t>
      </w:r>
      <w:r>
        <w:t xml:space="preserve"> these berths are well utilised but the number of containers the port can handle is not becoming of its status as a major container port.</w:t>
      </w:r>
    </w:p>
    <w:p w:rsidR="00660414" w:rsidRPr="000A76BD" w:rsidRDefault="00660414" w:rsidP="00A4081F">
      <w:pPr>
        <w:pStyle w:val="NumberedParas"/>
        <w:rPr>
          <w:lang w:val="ro-RO"/>
        </w:rPr>
      </w:pPr>
      <w:r w:rsidRPr="009E47B8">
        <w:rPr>
          <w:lang w:val="ro-RO"/>
        </w:rPr>
        <w:t xml:space="preserve">Regaining market share and thereby container volumes by reassigning port facilities to container movements and regenerating older infrastructure should be considered a priority for </w:t>
      </w:r>
      <w:r>
        <w:rPr>
          <w:lang w:val="ro-RO"/>
        </w:rPr>
        <w:t>Constanta</w:t>
      </w:r>
      <w:r w:rsidRPr="009E47B8">
        <w:rPr>
          <w:lang w:val="ro-RO"/>
        </w:rPr>
        <w:t>. The port has commissioned its own Masterplan</w:t>
      </w:r>
      <w:r>
        <w:rPr>
          <w:lang w:val="ro-RO"/>
        </w:rPr>
        <w:t xml:space="preserve"> </w:t>
      </w:r>
      <w:r w:rsidRPr="009E47B8">
        <w:t>in 2013 aimed at identifying major investment plans, for example a €300m development at the south side, a plan for the development of a LPG/oil terminal (depending on private investor input) and other developments such as an ongoing dredging programme, and highway improvements including widening the main internal roads from two to four lanes</w:t>
      </w:r>
      <w:r>
        <w:t>. This</w:t>
      </w:r>
      <w:r w:rsidRPr="009E47B8">
        <w:rPr>
          <w:lang w:val="ro-RO"/>
        </w:rPr>
        <w:t xml:space="preserve"> will address the problems of Port Infrastructure and services in greater detail.</w:t>
      </w:r>
    </w:p>
    <w:p w:rsidR="00660414" w:rsidRPr="000A76BD" w:rsidRDefault="00660414" w:rsidP="00273D5E">
      <w:pPr>
        <w:pStyle w:val="BulletLevel1"/>
      </w:pPr>
      <w:r w:rsidRPr="009E47B8">
        <w:rPr>
          <w:b/>
        </w:rPr>
        <w:t>Problem:</w:t>
      </w:r>
      <w:r w:rsidRPr="009E47B8">
        <w:t xml:space="preserve"> </w:t>
      </w:r>
      <w:r w:rsidRPr="002E681D">
        <w:t>Constanta</w:t>
      </w:r>
      <w:r w:rsidRPr="009E47B8">
        <w:t xml:space="preserve"> has some </w:t>
      </w:r>
      <w:r>
        <w:t xml:space="preserve">inadequate and </w:t>
      </w:r>
      <w:r w:rsidRPr="009E47B8">
        <w:t>old infrastructure that is unsuitable for handling new flows, including containers. It also could improve its connectivity.</w:t>
      </w:r>
    </w:p>
    <w:p w:rsidR="00660414" w:rsidRPr="000A76BD" w:rsidRDefault="00660414" w:rsidP="00273D5E">
      <w:pPr>
        <w:pStyle w:val="BulletLevel1"/>
      </w:pPr>
      <w:r w:rsidRPr="009E47B8">
        <w:t xml:space="preserve">Proposed </w:t>
      </w:r>
      <w:r w:rsidRPr="002E681D">
        <w:t>Solution</w:t>
      </w:r>
      <w:r w:rsidRPr="009E47B8">
        <w:t>: Build a new container terminal at Constanta (III &amp; IVS)</w:t>
      </w:r>
    </w:p>
    <w:p w:rsidR="00660414" w:rsidRDefault="00660414" w:rsidP="00273D5E">
      <w:pPr>
        <w:pStyle w:val="BulletLevel1"/>
        <w:rPr>
          <w:b/>
        </w:rPr>
      </w:pPr>
      <w:r w:rsidRPr="009E47B8">
        <w:t>The south of Constanta Port offers development potential for a container terminal, with the main advantage conferred by large</w:t>
      </w:r>
      <w:r>
        <w:t>r</w:t>
      </w:r>
      <w:r w:rsidRPr="009E47B8">
        <w:t xml:space="preserve"> depths </w:t>
      </w:r>
      <w:r>
        <w:t xml:space="preserve">of water </w:t>
      </w:r>
      <w:r w:rsidRPr="009E47B8">
        <w:t xml:space="preserve">for berths. </w:t>
      </w:r>
      <w:r>
        <w:t xml:space="preserve">Ship size is growing rapidly and at the time of writing 19,000 TEU ships are now in use and they are only able to serve ports with the deepest water. </w:t>
      </w:r>
      <w:r w:rsidRPr="009E47B8">
        <w:t xml:space="preserve">A range of full and empty container handling should be developed in accordance with traffic projections to ensure Constanta competes with other major container ports. Whilst current capacity at Constanta is sufficient it is considered inadequate to accommodate growth in the longer term. Any such solution should be phased according to market conditions. The plan is to invest around €18 million in an extra rail terminal plus other berth improvements. The volume of containers handled </w:t>
      </w:r>
      <w:r>
        <w:t xml:space="preserve">in 2007 </w:t>
      </w:r>
      <w:r w:rsidRPr="009E47B8">
        <w:t xml:space="preserve">was 1.41 million TEUs and this is </w:t>
      </w:r>
      <w:r>
        <w:t>known</w:t>
      </w:r>
      <w:r w:rsidRPr="009E47B8">
        <w:t xml:space="preserve"> to be near </w:t>
      </w:r>
      <w:r>
        <w:t>current</w:t>
      </w:r>
      <w:r w:rsidRPr="009E47B8">
        <w:t xml:space="preserve"> maximum capacity, approximately 1.5 million.</w:t>
      </w:r>
      <w:r>
        <w:t xml:space="preserve"> So the port reached 94% of its theoretical capacity in 2007. </w:t>
      </w:r>
      <w:r w:rsidRPr="009E47B8">
        <w:t xml:space="preserve"> </w:t>
      </w:r>
      <w:r>
        <w:t>Although c</w:t>
      </w:r>
      <w:r w:rsidRPr="009E47B8">
        <w:t xml:space="preserve">apacity is sufficient for meeting the immediate </w:t>
      </w:r>
      <w:r>
        <w:t>demand of</w:t>
      </w:r>
      <w:r w:rsidRPr="009E47B8">
        <w:t xml:space="preserve"> 700,000</w:t>
      </w:r>
      <w:r>
        <w:t xml:space="preserve"> TEUs,</w:t>
      </w:r>
      <w:r w:rsidRPr="009E47B8">
        <w:t xml:space="preserve"> for the following </w:t>
      </w:r>
      <w:r>
        <w:t xml:space="preserve">seven </w:t>
      </w:r>
      <w:r w:rsidRPr="009E47B8">
        <w:t xml:space="preserve">reasons </w:t>
      </w:r>
      <w:r>
        <w:t xml:space="preserve">it is expected that </w:t>
      </w:r>
      <w:r w:rsidRPr="009E47B8">
        <w:t>the volume will grow and additional capacity will be needed by around 2020 or soon after:</w:t>
      </w:r>
    </w:p>
    <w:p w:rsidR="00660414" w:rsidRDefault="00660414" w:rsidP="00273D5E">
      <w:pPr>
        <w:pStyle w:val="BulletLevel1"/>
      </w:pPr>
      <w:r w:rsidRPr="009E47B8">
        <w:t>Containerisation in Romania is currently just 4% and at a low level although it is expected that this will grow over the next 20 years to a Western European average of around 12%. This growth will be prompted by rising labour costs and the need to reduce the cost of handling products in the supply chain.</w:t>
      </w:r>
      <w:r>
        <w:t xml:space="preserve"> The cost of handling containers is cheaper and quicker than traditional methods.</w:t>
      </w:r>
    </w:p>
    <w:p w:rsidR="00660414" w:rsidRDefault="00660414" w:rsidP="00273D5E">
      <w:pPr>
        <w:pStyle w:val="BulletLevel1"/>
      </w:pPr>
      <w:r w:rsidRPr="009E47B8">
        <w:t>Romania did suffer with the economic recession and this was particularly manifested in much lower imports. With the economy growing again and with more economic buying power it is expected that volumes of imports and hence the number of containers will grow again.</w:t>
      </w:r>
    </w:p>
    <w:p w:rsidR="00660414" w:rsidRDefault="00660414" w:rsidP="00273D5E">
      <w:pPr>
        <w:pStyle w:val="BulletLevel1"/>
      </w:pPr>
      <w:r w:rsidRPr="009E47B8">
        <w:t>Road and rail improvements made to Romania’s transport network over the next decade will improve journey times to the hinterland making transport costs lower and more competitive. The faster journey times will encourage more shippers to choose routes to and through Romania. Currently transit freight to many landlocked countries such as Hungary and Austria is being routed through Mediterranean and Adriatic ports (e.g. NAPA ports) in preference to Black Sea ports. The most surprising fact is that many shippers use non-Romanian ports to import goods for destinations in Western Romania such as Arad. During consultation we learned of one shipper that was asked if it could guarantee a journey time by rail of 25 hours between Constanta and Budapest. As it could not guarantee this</w:t>
      </w:r>
      <w:r>
        <w:t>,</w:t>
      </w:r>
      <w:r w:rsidRPr="009E47B8">
        <w:t xml:space="preserve"> the trade was completely lost to Romania.</w:t>
      </w:r>
      <w:r>
        <w:t xml:space="preserve"> This situation will change as new roads, railways and systems are introduced.</w:t>
      </w:r>
    </w:p>
    <w:p w:rsidR="00660414" w:rsidRDefault="00660414" w:rsidP="00273D5E">
      <w:pPr>
        <w:pStyle w:val="BulletLevel1"/>
      </w:pPr>
      <w:r w:rsidRPr="009E47B8">
        <w:t>Improvements to the internal road and rail facilities and terminal arrangements at the Port of Constanta will increase efficiency, thereby lowering costs and as a result encourage freight to return to the port. There have been bottlenecks caused by poor infrastructure or antiquated administrative procedures which delay goods handling unnecessarily.</w:t>
      </w:r>
    </w:p>
    <w:p w:rsidR="00660414" w:rsidRDefault="00660414" w:rsidP="00273D5E">
      <w:pPr>
        <w:pStyle w:val="BulletLevel1"/>
      </w:pPr>
      <w:r w:rsidRPr="009E47B8">
        <w:t xml:space="preserve">Problems with political instability in Ukraine and Russia are likely to </w:t>
      </w:r>
      <w:r>
        <w:t>affect</w:t>
      </w:r>
      <w:r w:rsidRPr="009E47B8">
        <w:t xml:space="preserve"> shipper’s decisions </w:t>
      </w:r>
      <w:r>
        <w:t xml:space="preserve">in </w:t>
      </w:r>
      <w:r w:rsidRPr="009E47B8">
        <w:t xml:space="preserve">that rather than using Black </w:t>
      </w:r>
      <w:r>
        <w:t>S</w:t>
      </w:r>
      <w:r w:rsidRPr="009E47B8">
        <w:t>ea ports in these countries, it would</w:t>
      </w:r>
      <w:r>
        <w:t xml:space="preserve"> instead</w:t>
      </w:r>
      <w:r w:rsidRPr="009E47B8">
        <w:t xml:space="preserve"> be prudent to use Romanian ports instead. </w:t>
      </w:r>
    </w:p>
    <w:p w:rsidR="00660414" w:rsidRDefault="00660414" w:rsidP="00273D5E">
      <w:pPr>
        <w:pStyle w:val="BulletLevel1"/>
      </w:pPr>
      <w:r w:rsidRPr="009E47B8">
        <w:t xml:space="preserve">Competition in the rail market, and privatisation of CFR Marfa will stimulate the rail freight sector to be more competitive and offer a better and quicker </w:t>
      </w:r>
      <w:r>
        <w:t xml:space="preserve">intermodal </w:t>
      </w:r>
      <w:r w:rsidRPr="009E47B8">
        <w:t>service.</w:t>
      </w:r>
    </w:p>
    <w:p w:rsidR="00660414" w:rsidRPr="000A76BD" w:rsidRDefault="00660414" w:rsidP="00273D5E">
      <w:pPr>
        <w:pStyle w:val="BulletLevel1"/>
      </w:pPr>
      <w:r>
        <w:t>The I</w:t>
      </w:r>
      <w:r w:rsidRPr="009E47B8">
        <w:t xml:space="preserve">ntermodal Terminal Strategy aimed to rehabilitate or completely rebuild inland terminals will provide freight forwarders with a sustainable, efficient option for moving freight inland. Having a network of over ten inland terminals is likely to stimulate a network of domestic and international rail freight services. </w:t>
      </w:r>
    </w:p>
    <w:p w:rsidR="00660414" w:rsidRPr="000A76BD" w:rsidRDefault="00660414" w:rsidP="00660414">
      <w:pPr>
        <w:pStyle w:val="Heading7"/>
        <w:rPr>
          <w:szCs w:val="22"/>
        </w:rPr>
      </w:pPr>
      <w:r w:rsidRPr="008C5B1B">
        <w:rPr>
          <w:szCs w:val="22"/>
        </w:rPr>
        <w:t>Sulina</w:t>
      </w:r>
    </w:p>
    <w:p w:rsidR="00660414" w:rsidRPr="000A76BD" w:rsidRDefault="00660414" w:rsidP="00A4081F">
      <w:pPr>
        <w:pStyle w:val="NumberedParas"/>
      </w:pPr>
      <w:r w:rsidRPr="008C5B1B">
        <w:t xml:space="preserve">Sulina is a comprehensive TEN-T port </w:t>
      </w:r>
      <w:r w:rsidRPr="009E47B8">
        <w:rPr>
          <w:lang w:val="ro-RO"/>
        </w:rPr>
        <w:t>and is located on the mouth of the Sulina Channel at the Black Sea.</w:t>
      </w:r>
      <w:r>
        <w:rPr>
          <w:lang w:val="ro-RO"/>
        </w:rPr>
        <w:t xml:space="preserve"> </w:t>
      </w:r>
      <w:r>
        <w:t>The port</w:t>
      </w:r>
      <w:r w:rsidRPr="008C5B1B">
        <w:t xml:space="preserve"> </w:t>
      </w:r>
      <w:r>
        <w:t>provide</w:t>
      </w:r>
      <w:r w:rsidRPr="008C5B1B">
        <w:t>s an essential service to the residents for both passenger and freight services in the Danube delta region. Sulina port has a quay length of 5,940m and has four berths. However, it is mostly focused on the movement of passengers, handling very little cargo traffic.</w:t>
      </w:r>
      <w:r>
        <w:t xml:space="preserve"> </w:t>
      </w:r>
      <w:r w:rsidRPr="009E47B8">
        <w:rPr>
          <w:lang w:val="ro-RO"/>
        </w:rPr>
        <w:t>Sulina town can only be accessed by the port so the port handles a number of passenger ferry services.</w:t>
      </w:r>
    </w:p>
    <w:p w:rsidR="00660414" w:rsidRDefault="00660414" w:rsidP="00A4081F">
      <w:pPr>
        <w:pStyle w:val="NumberedParas"/>
        <w:rPr>
          <w:lang w:val="ro-RO"/>
        </w:rPr>
      </w:pPr>
      <w:r w:rsidRPr="009E47B8">
        <w:rPr>
          <w:lang w:val="ro-RO"/>
        </w:rPr>
        <w:t>There are ample berths available at Sulina and the low volume of freight means that there is not a capacity issue at this port.</w:t>
      </w:r>
    </w:p>
    <w:p w:rsidR="00660414" w:rsidRDefault="00660414" w:rsidP="00A4081F">
      <w:pPr>
        <w:pStyle w:val="NumberedParas"/>
      </w:pPr>
      <w:r w:rsidRPr="009E47B8">
        <w:t xml:space="preserve">No problems have been </w:t>
      </w:r>
      <w:r w:rsidRPr="008C5B1B">
        <w:rPr>
          <w:lang w:val="ro-RO"/>
        </w:rPr>
        <w:t>identified</w:t>
      </w:r>
      <w:r w:rsidRPr="009E47B8">
        <w:t xml:space="preserve"> at the port</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Tulcea</w:t>
      </w:r>
    </w:p>
    <w:p w:rsidR="00660414" w:rsidRDefault="00660414" w:rsidP="00A4081F">
      <w:pPr>
        <w:pStyle w:val="NumberedParas"/>
      </w:pPr>
      <w:r w:rsidRPr="008C5B1B">
        <w:t>This is a major port with 41 berths</w:t>
      </w:r>
      <w:r>
        <w:t xml:space="preserve"> (</w:t>
      </w:r>
      <w:r w:rsidRPr="009E47B8">
        <w:t>5 berths servicing freight traffic</w:t>
      </w:r>
      <w:r>
        <w:t>)</w:t>
      </w:r>
      <w:r w:rsidRPr="008C5B1B">
        <w:t xml:space="preserve"> and is designated as a comprehensive TEN-T port. It has eight gantry cranes (max 16t) and a total area 82,762m</w:t>
      </w:r>
      <w:r w:rsidRPr="00F56D7D">
        <w:rPr>
          <w:vertAlign w:val="superscript"/>
        </w:rPr>
        <w:t>2</w:t>
      </w:r>
      <w:r w:rsidRPr="008C5B1B">
        <w:t xml:space="preserve"> (open storage of 70,000m</w:t>
      </w:r>
      <w:r w:rsidRPr="00F56D7D">
        <w:rPr>
          <w:vertAlign w:val="superscript"/>
        </w:rPr>
        <w:t>2</w:t>
      </w:r>
      <w:r w:rsidRPr="008C5B1B">
        <w:t xml:space="preserve">). The port serves as a gateway to the Danube delta region and has passenger vessels and also serves the local industry. The port is dominated by the handling of raw mineral products (quarrying and gravel, gypsum, slag, salt) and is mainly involved in supplying the construction sector. As such the facilities it requires are based around quarry extraction and loading. Slightly further along the river is the Industrial Port of Tulcea. It was built in 1974 in order to provide raw materials for factories processing metal in Tulcea. The main activities are loading and unloading of various raw materials such as manganese, bauxite, iron ore, limestone, ferroalloys from maritime and river vessels. </w:t>
      </w:r>
    </w:p>
    <w:p w:rsidR="00660414" w:rsidRDefault="00660414" w:rsidP="00A4081F">
      <w:pPr>
        <w:pStyle w:val="NumberedParas"/>
      </w:pPr>
      <w:r w:rsidRPr="009E47B8">
        <w:t xml:space="preserve">Tulcea has the following </w:t>
      </w:r>
      <w:r>
        <w:t>utilisation:</w:t>
      </w:r>
    </w:p>
    <w:p w:rsidR="00660414" w:rsidRPr="008C5B1B" w:rsidRDefault="00660414" w:rsidP="00A4081F">
      <w:pPr>
        <w:pStyle w:val="NumberedParas"/>
        <w:numPr>
          <w:ilvl w:val="0"/>
          <w:numId w:val="0"/>
        </w:numPr>
        <w:ind w:left="851"/>
      </w:pPr>
      <w:r w:rsidRPr="007F7D2D">
        <w:t xml:space="preserve">Table </w:t>
      </w:r>
      <w:r>
        <w:t>6.1</w:t>
      </w:r>
      <w:r w:rsidRPr="007F7D2D">
        <w:t xml:space="preserve">: </w:t>
      </w:r>
      <w:r>
        <w:t>Current and Forecast Utilisation at Tulcea</w:t>
      </w:r>
    </w:p>
    <w:tbl>
      <w:tblPr>
        <w:tblW w:w="4497" w:type="dxa"/>
        <w:jc w:val="center"/>
        <w:tblLook w:val="04A0" w:firstRow="1" w:lastRow="0" w:firstColumn="1" w:lastColumn="0" w:noHBand="0" w:noVBand="1"/>
      </w:tblPr>
      <w:tblGrid>
        <w:gridCol w:w="1116"/>
        <w:gridCol w:w="987"/>
        <w:gridCol w:w="266"/>
        <w:gridCol w:w="1141"/>
        <w:gridCol w:w="987"/>
      </w:tblGrid>
      <w:tr w:rsidR="00660414" w:rsidRPr="00126663"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color w:val="FFFFFF"/>
                <w:sz w:val="22"/>
                <w:szCs w:val="22"/>
                <w:lang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126663"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color w:val="FFFFFF"/>
                <w:sz w:val="22"/>
                <w:szCs w:val="22"/>
                <w:lang w:eastAsia="en-GB"/>
              </w:rPr>
            </w:pPr>
            <w:r w:rsidRPr="00126663">
              <w:rPr>
                <w:rFonts w:ascii="Calibri" w:hAnsi="Calibri"/>
                <w:color w:val="FFFFFF"/>
                <w:sz w:val="22"/>
                <w:szCs w:val="22"/>
                <w:lang w:eastAsia="en-GB"/>
              </w:rPr>
              <w:t> </w:t>
            </w:r>
            <w:r>
              <w:rPr>
                <w:rFonts w:ascii="Calibri" w:hAnsi="Calibri"/>
                <w:color w:val="FFFFFF"/>
                <w:sz w:val="22"/>
                <w:szCs w:val="22"/>
                <w:lang w:eastAsia="en-GB"/>
              </w:rPr>
              <w:t>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2030</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General</w:t>
            </w:r>
          </w:p>
        </w:tc>
        <w:tc>
          <w:tcPr>
            <w:tcW w:w="987" w:type="dxa"/>
            <w:tcBorders>
              <w:top w:val="nil"/>
              <w:left w:val="nil"/>
              <w:bottom w:val="nil"/>
              <w:right w:val="single" w:sz="8" w:space="0" w:color="auto"/>
            </w:tcBorders>
            <w:shd w:val="clear" w:color="000000" w:fill="C5D9F1"/>
            <w:noWrap/>
            <w:vAlign w:val="bottom"/>
            <w:hideMark/>
          </w:tcPr>
          <w:p w:rsidR="00660414"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7.97%</w:t>
            </w:r>
          </w:p>
        </w:tc>
        <w:tc>
          <w:tcPr>
            <w:tcW w:w="266" w:type="dxa"/>
            <w:tcBorders>
              <w:top w:val="nil"/>
              <w:left w:val="nil"/>
              <w:bottom w:val="nil"/>
              <w:right w:val="nil"/>
            </w:tcBorders>
            <w:shd w:val="clear" w:color="000000" w:fill="254061"/>
            <w:noWrap/>
            <w:vAlign w:val="bottom"/>
            <w:hideMark/>
          </w:tcPr>
          <w:p w:rsidR="00660414"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11.00%</w:t>
            </w:r>
          </w:p>
        </w:tc>
        <w:tc>
          <w:tcPr>
            <w:tcW w:w="987" w:type="dxa"/>
            <w:tcBorders>
              <w:top w:val="nil"/>
              <w:left w:val="nil"/>
              <w:bottom w:val="nil"/>
              <w:right w:val="nil"/>
            </w:tcBorders>
            <w:shd w:val="clear" w:color="000000" w:fill="C5D9F1"/>
            <w:noWrap/>
            <w:vAlign w:val="bottom"/>
            <w:hideMark/>
          </w:tcPr>
          <w:p w:rsidR="00660414"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11.36%</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Bulk</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100.60%</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117.47%</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113.69%</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Containers</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Oil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Grain</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1.53%</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1.79%</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1.73%</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Fertiliser</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Cement</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Coal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Steel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bl>
    <w:p w:rsidR="00660414" w:rsidRDefault="00660414" w:rsidP="00A4081F">
      <w:pPr>
        <w:pStyle w:val="NumberedParas"/>
      </w:pPr>
      <w:r>
        <w:t>The table shows that Tulcea’s bulk handling terminal was fully utilised in 2011. AECOM’s Model forecasts that future demand for this terminal will exceed capacity.</w:t>
      </w:r>
    </w:p>
    <w:p w:rsidR="00660414" w:rsidRPr="000A76BD" w:rsidRDefault="00660414" w:rsidP="00A4081F">
      <w:pPr>
        <w:pStyle w:val="NumberedParas"/>
      </w:pPr>
      <w:r w:rsidRPr="009E47B8">
        <w:t>Tulcea has berths available for bulk and general cargo but it does not have terminals that specialise in handling specific commodities such as grain.</w:t>
      </w:r>
    </w:p>
    <w:p w:rsidR="00660414" w:rsidRPr="000A76BD" w:rsidRDefault="00660414" w:rsidP="00A4081F">
      <w:pPr>
        <w:pStyle w:val="NumberedParas"/>
      </w:pPr>
      <w:r w:rsidRPr="009E47B8">
        <w:t>Tulcea is surrounded by arable farmland producing grain</w:t>
      </w:r>
      <w:r>
        <w:t>.</w:t>
      </w:r>
    </w:p>
    <w:p w:rsidR="00660414" w:rsidRPr="000A76BD" w:rsidRDefault="00660414" w:rsidP="00273D5E">
      <w:pPr>
        <w:pStyle w:val="BulletLevel1"/>
      </w:pPr>
      <w:r w:rsidRPr="009E47B8">
        <w:rPr>
          <w:b/>
        </w:rPr>
        <w:t>Problem:</w:t>
      </w:r>
      <w:r w:rsidRPr="009E47B8">
        <w:t xml:space="preserve"> The operating potential of cereals available in large quantities in the Dobrogea area is not exploited </w:t>
      </w:r>
      <w:r>
        <w:t xml:space="preserve">to the full partly </w:t>
      </w:r>
      <w:r w:rsidRPr="009E47B8">
        <w:t>due to a lack of specialised grain handling facilities at the port. Such grain flows are currently transport</w:t>
      </w:r>
      <w:r>
        <w:t>ed</w:t>
      </w:r>
      <w:r w:rsidRPr="009E47B8">
        <w:t xml:space="preserve"> by trucks on  journeys to Constanta.</w:t>
      </w:r>
    </w:p>
    <w:p w:rsidR="00660414" w:rsidRPr="000A76BD" w:rsidRDefault="00660414" w:rsidP="00273D5E">
      <w:pPr>
        <w:pStyle w:val="BulletLevel1"/>
      </w:pPr>
      <w:r w:rsidRPr="009E47B8">
        <w:t xml:space="preserve">Proposed Solution: Development of a </w:t>
      </w:r>
      <w:r>
        <w:t>general cargo</w:t>
      </w:r>
      <w:r w:rsidRPr="009E47B8">
        <w:t xml:space="preserve"> terminal through modernising the infrastructure and creating berths </w:t>
      </w:r>
      <w:r>
        <w:t>which can also</w:t>
      </w:r>
      <w:r w:rsidRPr="009E47B8">
        <w:t xml:space="preserve"> handl</w:t>
      </w:r>
      <w:r>
        <w:t>e</w:t>
      </w:r>
      <w:r w:rsidRPr="009E47B8">
        <w:t xml:space="preserve"> grain would enable</w:t>
      </w:r>
      <w:r>
        <w:t xml:space="preserve"> all</w:t>
      </w:r>
      <w:r w:rsidRPr="009E47B8">
        <w:t xml:space="preserve"> flows produced in the area to be handled by the port and transported by river to the export markets. </w:t>
      </w:r>
      <w:r>
        <w:t>This would allow g</w:t>
      </w:r>
      <w:r w:rsidRPr="009E47B8">
        <w:t>rain produced in</w:t>
      </w:r>
      <w:r>
        <w:t xml:space="preserve"> the region</w:t>
      </w:r>
      <w:r w:rsidRPr="009E47B8">
        <w:t xml:space="preserve"> </w:t>
      </w:r>
      <w:r>
        <w:t>to be handled by the port. Making the terminal capable of handling general cargo increases its flexibility and increases potential profitability of Tulcea.</w:t>
      </w:r>
    </w:p>
    <w:p w:rsidR="00660414" w:rsidRDefault="00660414" w:rsidP="00A4081F">
      <w:pPr>
        <w:pStyle w:val="NumberedParas"/>
      </w:pPr>
      <w:r w:rsidRPr="009E47B8">
        <w:t>Tulcea is situated in the Danube Delta and there are some communities located between it and Sulina. Tulcea is an important river-sea port for passenger traffic. The port does have a passenger terminal able to serve international traffic as well as the river traffic.</w:t>
      </w:r>
    </w:p>
    <w:p w:rsidR="00660414" w:rsidRPr="000A76BD" w:rsidRDefault="00660414" w:rsidP="00273D5E">
      <w:pPr>
        <w:pStyle w:val="BulletLevel1"/>
      </w:pPr>
      <w:r w:rsidRPr="009E47B8">
        <w:rPr>
          <w:b/>
        </w:rPr>
        <w:t>Problem:</w:t>
      </w:r>
      <w:r w:rsidRPr="009E47B8">
        <w:t xml:space="preserve"> People living in </w:t>
      </w:r>
      <w:r>
        <w:t xml:space="preserve">the </w:t>
      </w:r>
      <w:r w:rsidRPr="009E47B8">
        <w:t xml:space="preserve">Sulina </w:t>
      </w:r>
      <w:r>
        <w:t xml:space="preserve">area </w:t>
      </w:r>
      <w:r w:rsidRPr="009E47B8">
        <w:t>itself are not well connected to the national transport network due to Sulina’s geography. Excessive crowding of the mooring means the port is operating at capacity and the lack of related services for ships and passengers means that the port has a poor service offer.</w:t>
      </w:r>
    </w:p>
    <w:p w:rsidR="00660414" w:rsidRDefault="00660414" w:rsidP="00273D5E">
      <w:pPr>
        <w:pStyle w:val="BulletLevel1"/>
      </w:pPr>
      <w:r w:rsidRPr="008C5B1B">
        <w:t>Proposed</w:t>
      </w:r>
      <w:r w:rsidRPr="009E47B8">
        <w:rPr>
          <w:b/>
        </w:rPr>
        <w:t xml:space="preserve"> Solution:</w:t>
      </w:r>
      <w:r w:rsidRPr="009E47B8">
        <w:t xml:space="preserve"> Improve the existing passenger ferry service running from Tulcea to Sulina </w:t>
      </w:r>
      <w:r>
        <w:t xml:space="preserve">and other minor ports </w:t>
      </w:r>
      <w:r w:rsidRPr="009E47B8">
        <w:t>as well as the mooring facilities and the services offered. Additional passenger ferry services would improve connectivity at Tulcea. The effect of this would be to reduce living costs for those people in the Danube Delta and increase the usage of Tulcea port. The connection with Braila and Galati will satisfy the Regional Development objective and offer some agglomeration benefits to Tulcea and Sulina. Additionally, the Danube Delta is a tourist attraction thanks to its unique biodiversity, and the ferry will be an environmentally-friendly way of transporting the increasing numbers of tourists to the area.</w:t>
      </w:r>
      <w:r>
        <w:t xml:space="preserve"> By developing the overall port in conjunction with </w:t>
      </w:r>
      <w:r w:rsidRPr="009E47B8">
        <w:t xml:space="preserve">the construction of 3 berths for the direct loading of ships with </w:t>
      </w:r>
      <w:r>
        <w:t xml:space="preserve">bulk produce such as </w:t>
      </w:r>
      <w:r w:rsidRPr="009E47B8">
        <w:t>grain</w:t>
      </w:r>
      <w:r>
        <w:t>, the passenger berths would also benefit</w:t>
      </w:r>
      <w:r w:rsidRPr="009E47B8">
        <w:t>. This would also require the construction of suitable operating/loading facilities and some dredging to provide adequate depth. Connections to and from the port will also need to be upgraded.</w:t>
      </w:r>
    </w:p>
    <w:p w:rsidR="00660414" w:rsidRDefault="00660414" w:rsidP="00A4081F">
      <w:pPr>
        <w:pStyle w:val="NumberedParas"/>
      </w:pPr>
      <w:r w:rsidRPr="009E47B8">
        <w:t xml:space="preserve">Tulcea has </w:t>
      </w:r>
      <w:r>
        <w:t>been awarded €30 million from the Territorial Integrated Tool for rehabilitating and modernising the port which can be used to fund these projects.</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Galati</w:t>
      </w:r>
    </w:p>
    <w:p w:rsidR="00660414" w:rsidRDefault="00660414" w:rsidP="00A4081F">
      <w:pPr>
        <w:pStyle w:val="NumberedParas"/>
        <w:rPr>
          <w:lang w:val="ro-RO"/>
        </w:rPr>
      </w:pPr>
      <w:r w:rsidRPr="008C5B1B">
        <w:t xml:space="preserve">Galati is </w:t>
      </w:r>
      <w:r w:rsidRPr="008C5B1B">
        <w:rPr>
          <w:lang w:val="ro-RO"/>
        </w:rPr>
        <w:t>the</w:t>
      </w:r>
      <w:r w:rsidRPr="008C5B1B">
        <w:t xml:space="preserve"> second largest port in Romania handling over 5 million tonnes in 2011, and is designated a core TEN-T port. </w:t>
      </w:r>
      <w:r w:rsidRPr="008C5B1B">
        <w:rPr>
          <w:lang w:val="en-US"/>
        </w:rPr>
        <w:t>The region also produces a lot of material which is</w:t>
      </w:r>
      <w:r w:rsidRPr="008C5B1B">
        <w:t xml:space="preserve"> suitable for transit. </w:t>
      </w:r>
      <w:r w:rsidRPr="002E681D">
        <w:rPr>
          <w:lang w:val="ro-RO"/>
        </w:rPr>
        <w:t>Galati handles grain, aggregate, steel, iron ore, coal and scrap iron. However, the current lack of intermodal facilities represents a major obstacle in the integration of port logistics in international flows. Additionally the port’s infrastructure and railway marshalling yard are old and inadequate for modern logistics needs and the connections to the national road and rail transport networks are slow and ineffective. These factors limit the tonnage handled by Galati, leading to the port’s current under-utilisation.</w:t>
      </w:r>
    </w:p>
    <w:p w:rsidR="00660414" w:rsidRPr="000A76BD" w:rsidRDefault="00660414" w:rsidP="00A4081F">
      <w:pPr>
        <w:pStyle w:val="NumberedParas"/>
      </w:pPr>
      <w:r w:rsidRPr="008C5B1B">
        <w:t>Galati port is:</w:t>
      </w:r>
    </w:p>
    <w:p w:rsidR="00660414" w:rsidRDefault="00660414" w:rsidP="00273D5E">
      <w:pPr>
        <w:pStyle w:val="BulletLevel1"/>
        <w:rPr>
          <w:color w:val="000000" w:themeColor="text1"/>
        </w:rPr>
      </w:pPr>
      <w:r w:rsidRPr="008C5B1B">
        <w:t>The biggest river-maritime harbour in Romania</w:t>
      </w:r>
    </w:p>
    <w:p w:rsidR="00660414" w:rsidRPr="008C5B1B" w:rsidRDefault="00660414" w:rsidP="00273D5E">
      <w:pPr>
        <w:pStyle w:val="BulletLevel1"/>
      </w:pPr>
      <w:r w:rsidRPr="008C5B1B">
        <w:rPr>
          <w:color w:val="000000" w:themeColor="text1"/>
        </w:rPr>
        <w:t xml:space="preserve">Is the </w:t>
      </w:r>
      <w:r w:rsidRPr="008C5B1B">
        <w:t>second maritime gate of access from the Black Sea making a railway link from the Danube to landlocked countries of Central Europe</w:t>
      </w:r>
    </w:p>
    <w:p w:rsidR="00660414" w:rsidRPr="008C5B1B" w:rsidRDefault="00660414" w:rsidP="00273D5E">
      <w:pPr>
        <w:pStyle w:val="BulletLevel1"/>
      </w:pPr>
      <w:r w:rsidRPr="008C5B1B">
        <w:t xml:space="preserve">Provides transshipment services for all transport </w:t>
      </w:r>
      <w:r>
        <w:t>mode</w:t>
      </w:r>
      <w:r w:rsidRPr="008C5B1B">
        <w:t>s and temporary storage, customs services, free zone regime, provision and repair for ships, waste retrieval from ships</w:t>
      </w:r>
    </w:p>
    <w:p w:rsidR="00660414" w:rsidRPr="008C5B1B" w:rsidRDefault="00660414" w:rsidP="00273D5E">
      <w:pPr>
        <w:pStyle w:val="BulletLevel1"/>
      </w:pPr>
      <w:r w:rsidRPr="008C5B1B">
        <w:t xml:space="preserve">It is located on the eastern border of the EU </w:t>
      </w:r>
      <w:r w:rsidRPr="00BB0FCC">
        <w:t xml:space="preserve">next </w:t>
      </w:r>
      <w:r w:rsidRPr="008C5B1B">
        <w:t>to Republic of Moldavia and is the only border crossing point transiting Republic of Moldavia to the south region of Ukraine</w:t>
      </w:r>
    </w:p>
    <w:p w:rsidR="00660414" w:rsidRPr="008C5B1B" w:rsidRDefault="00660414" w:rsidP="00273D5E">
      <w:pPr>
        <w:pStyle w:val="BulletLevel1"/>
      </w:pPr>
      <w:r w:rsidRPr="008C5B1B">
        <w:t>Benefits of road and rail connections with the hinterland (Rhine-Danube corridor and IX EU-PAN corridor including rail links from Republic of Moldavia and Ukraine, being the only port which can operate in direct transhipment from the maritime and fluvial ships on rail both with standard rail gauge (1435mm) and wide rail gauge (1530mm)</w:t>
      </w:r>
    </w:p>
    <w:p w:rsidR="00660414" w:rsidRPr="008C5B1B" w:rsidRDefault="00660414" w:rsidP="00273D5E">
      <w:pPr>
        <w:pStyle w:val="BulletLevel1"/>
      </w:pPr>
      <w:r w:rsidRPr="008C5B1B">
        <w:t>The moori</w:t>
      </w:r>
      <w:r w:rsidRPr="00BB0FCC">
        <w:t>ng front has a length</w:t>
      </w:r>
      <w:r w:rsidRPr="007C173F">
        <w:t xml:space="preserve"> of 7065 m</w:t>
      </w:r>
      <w:r w:rsidRPr="003B3E0A">
        <w:t>m</w:t>
      </w:r>
      <w:r w:rsidRPr="008C5B1B">
        <w:t xml:space="preserve"> organized in 56 river-maritime berths. The port enclosure surface is 864.131m</w:t>
      </w:r>
      <w:r w:rsidRPr="008C5B1B">
        <w:rPr>
          <w:vertAlign w:val="superscript"/>
        </w:rPr>
        <w:t>2</w:t>
      </w:r>
      <w:r w:rsidRPr="008C5B1B">
        <w:t xml:space="preserve"> out of which outdoor storage is 38.320 m</w:t>
      </w:r>
      <w:r w:rsidRPr="008C5B1B">
        <w:rPr>
          <w:vertAlign w:val="superscript"/>
        </w:rPr>
        <w:t>2</w:t>
      </w:r>
      <w:r w:rsidRPr="008C5B1B">
        <w:t xml:space="preserve"> and indoor storage of 7.200m</w:t>
      </w:r>
      <w:r w:rsidRPr="008C5B1B">
        <w:rPr>
          <w:vertAlign w:val="superscript"/>
        </w:rPr>
        <w:t>2</w:t>
      </w:r>
      <w:r>
        <w:t>.</w:t>
      </w:r>
      <w:r w:rsidRPr="008C5B1B">
        <w:t xml:space="preserve"> </w:t>
      </w:r>
    </w:p>
    <w:p w:rsidR="00660414" w:rsidRDefault="00660414" w:rsidP="00A4081F">
      <w:pPr>
        <w:pStyle w:val="NumberedParas"/>
      </w:pPr>
      <w:r w:rsidRPr="008C5B1B">
        <w:t xml:space="preserve">Port facilities </w:t>
      </w:r>
      <w:r>
        <w:t>include</w:t>
      </w:r>
      <w:r w:rsidRPr="008C5B1B">
        <w:t xml:space="preserve"> floating cranes and mobile equipment</w:t>
      </w:r>
      <w:r>
        <w:t>.</w:t>
      </w:r>
      <w:r w:rsidRPr="008C5B1B">
        <w:rPr>
          <w:lang w:val="en-US"/>
        </w:rPr>
        <w:t xml:space="preserve"> Galati Port operates goods on external routes (import, export and transit) as well as internal routes (cabotage). Its location is extremely favorable for freights transshipped on long distances</w:t>
      </w:r>
      <w:r>
        <w:rPr>
          <w:lang w:val="en-US"/>
        </w:rPr>
        <w:t>,</w:t>
      </w:r>
      <w:r w:rsidRPr="008C5B1B">
        <w:rPr>
          <w:lang w:val="en-US"/>
        </w:rPr>
        <w:t xml:space="preserve"> being a multimodal hub serving the trade exchanges between the Black Sea countries and the Baltic Sea and Central Europe countries. Currently, the bulk freight (ore for Mittal Steel production, grains, scrap iron, building materials, etc.) </w:t>
      </w:r>
      <w:r>
        <w:rPr>
          <w:lang w:val="en-US"/>
        </w:rPr>
        <w:t>is the majority of</w:t>
      </w:r>
      <w:r w:rsidRPr="008C5B1B">
        <w:rPr>
          <w:lang w:val="en-US"/>
        </w:rPr>
        <w:t xml:space="preserve"> traffic share. </w:t>
      </w:r>
      <w:r>
        <w:rPr>
          <w:lang w:val="en-US"/>
        </w:rPr>
        <w:t>G</w:t>
      </w:r>
      <w:r w:rsidRPr="008C5B1B">
        <w:rPr>
          <w:lang w:val="en-US"/>
        </w:rPr>
        <w:t>eneral and standardized goods are sporadic, the main obstacles having a physical, technical and functional nature.Galati is potentially well located to handle increased flows and serve north east Romania and Moldova but has old infrastructure which in parts is over 50 years old and no longer compl</w:t>
      </w:r>
      <w:r>
        <w:rPr>
          <w:lang w:val="en-US"/>
        </w:rPr>
        <w:t>ies</w:t>
      </w:r>
      <w:r w:rsidRPr="008C5B1B">
        <w:rPr>
          <w:lang w:val="en-US"/>
        </w:rPr>
        <w:t xml:space="preserve"> with modern port requirements. The port suffers from poor co</w:t>
      </w:r>
      <w:r w:rsidRPr="009E47B8">
        <w:t xml:space="preserve">nnectivity and both of these factors are hindering its development. The ageing infrastructure was designed around the needs of the local steel industry which has declined over the last decade. With lower volumes of coal and iron ore the port needs to diversify to meet the </w:t>
      </w:r>
      <w:r>
        <w:t>requirement</w:t>
      </w:r>
      <w:r w:rsidRPr="009E47B8">
        <w:t>s of modern industry. Analysis of the intermodal sector, particularly in the Black Sea basin indicates a potential to increase the demand for intermodal services at the port.</w:t>
      </w:r>
    </w:p>
    <w:p w:rsidR="00660414" w:rsidRDefault="00660414" w:rsidP="00A4081F">
      <w:pPr>
        <w:pStyle w:val="NumberedParas"/>
      </w:pPr>
      <w:r>
        <w:t>Galati</w:t>
      </w:r>
      <w:r w:rsidRPr="009E47B8">
        <w:t xml:space="preserve"> has the following </w:t>
      </w:r>
      <w:r>
        <w:t>utilisation:</w:t>
      </w:r>
    </w:p>
    <w:p w:rsidR="00660414" w:rsidRPr="008C5B1B" w:rsidRDefault="00660414" w:rsidP="00A4081F">
      <w:pPr>
        <w:pStyle w:val="NumberedParas"/>
        <w:numPr>
          <w:ilvl w:val="0"/>
          <w:numId w:val="0"/>
        </w:numPr>
        <w:ind w:left="851"/>
      </w:pPr>
      <w:r w:rsidRPr="007F7D2D">
        <w:t xml:space="preserve">Table </w:t>
      </w:r>
      <w:r>
        <w:t>6.2</w:t>
      </w:r>
      <w:r w:rsidRPr="007F7D2D">
        <w:t xml:space="preserve">: </w:t>
      </w:r>
      <w:r>
        <w:t>Current and Forecast Utilisation at Galati</w:t>
      </w:r>
    </w:p>
    <w:tbl>
      <w:tblPr>
        <w:tblW w:w="4497" w:type="dxa"/>
        <w:jc w:val="center"/>
        <w:tblLook w:val="04A0" w:firstRow="1" w:lastRow="0" w:firstColumn="1" w:lastColumn="0" w:noHBand="0" w:noVBand="1"/>
      </w:tblPr>
      <w:tblGrid>
        <w:gridCol w:w="1116"/>
        <w:gridCol w:w="987"/>
        <w:gridCol w:w="266"/>
        <w:gridCol w:w="1141"/>
        <w:gridCol w:w="987"/>
      </w:tblGrid>
      <w:tr w:rsidR="00660414" w:rsidRPr="00126663"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color w:val="FFFFFF"/>
                <w:sz w:val="22"/>
                <w:szCs w:val="22"/>
                <w:lang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126663"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color w:val="FFFFFF"/>
                <w:sz w:val="22"/>
                <w:szCs w:val="22"/>
                <w:lang w:eastAsia="en-GB"/>
              </w:rPr>
            </w:pPr>
            <w:r w:rsidRPr="00126663">
              <w:rPr>
                <w:rFonts w:ascii="Calibri" w:hAnsi="Calibri"/>
                <w:color w:val="FFFFFF"/>
                <w:sz w:val="22"/>
                <w:szCs w:val="22"/>
                <w:lang w:eastAsia="en-GB"/>
              </w:rPr>
              <w:t> </w:t>
            </w:r>
            <w:r>
              <w:rPr>
                <w:rFonts w:ascii="Calibri" w:hAnsi="Calibri"/>
                <w:color w:val="FFFFFF"/>
                <w:sz w:val="22"/>
                <w:szCs w:val="22"/>
                <w:lang w:eastAsia="en-GB"/>
              </w:rPr>
              <w:t>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126663" w:rsidRDefault="00660414" w:rsidP="007613DE">
            <w:pPr>
              <w:jc w:val="center"/>
              <w:rPr>
                <w:rFonts w:ascii="Calibri" w:hAnsi="Calibri"/>
                <w:b/>
                <w:bCs/>
                <w:color w:val="FFFFFF"/>
                <w:sz w:val="22"/>
                <w:szCs w:val="22"/>
                <w:lang w:eastAsia="en-GB"/>
              </w:rPr>
            </w:pPr>
            <w:r w:rsidRPr="00126663">
              <w:rPr>
                <w:rFonts w:ascii="Calibri" w:hAnsi="Calibri"/>
                <w:b/>
                <w:bCs/>
                <w:color w:val="FFFFFF"/>
                <w:sz w:val="22"/>
                <w:szCs w:val="22"/>
                <w:lang w:eastAsia="en-GB"/>
              </w:rPr>
              <w:t>2030</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General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41.83%</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45.39%</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49.49%</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Bulk</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100.79%</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109.37%</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119.26%</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Containers</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Oil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Grain</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30.21%</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32.78%</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35.74%</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Fertiliser</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Cement</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xml:space="preserve"> </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Coal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7.22%</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7.84%</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8.54%</w:t>
            </w:r>
          </w:p>
        </w:tc>
      </w:tr>
      <w:tr w:rsidR="00660414" w:rsidRPr="00126663"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Steel</w:t>
            </w:r>
          </w:p>
        </w:tc>
        <w:tc>
          <w:tcPr>
            <w:tcW w:w="987" w:type="dxa"/>
            <w:tcBorders>
              <w:top w:val="nil"/>
              <w:left w:val="nil"/>
              <w:bottom w:val="nil"/>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0.00%</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0.00%</w:t>
            </w:r>
          </w:p>
        </w:tc>
        <w:tc>
          <w:tcPr>
            <w:tcW w:w="987" w:type="dxa"/>
            <w:tcBorders>
              <w:top w:val="nil"/>
              <w:left w:val="nil"/>
              <w:bottom w:val="nil"/>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0.00%</w:t>
            </w:r>
          </w:p>
        </w:tc>
      </w:tr>
      <w:tr w:rsidR="00660414" w:rsidRPr="00126663" w:rsidTr="007613DE">
        <w:trPr>
          <w:trHeight w:val="330"/>
          <w:jc w:val="center"/>
        </w:trPr>
        <w:tc>
          <w:tcPr>
            <w:tcW w:w="1116" w:type="dxa"/>
            <w:tcBorders>
              <w:top w:val="nil"/>
              <w:left w:val="single" w:sz="8" w:space="0" w:color="auto"/>
              <w:bottom w:val="single" w:sz="8" w:space="0" w:color="auto"/>
              <w:right w:val="nil"/>
            </w:tcBorders>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126663">
              <w:rPr>
                <w:rFonts w:ascii="Gill Sans MT" w:hAnsi="Gill Sans MT"/>
                <w:color w:val="000000"/>
                <w:sz w:val="20"/>
                <w:szCs w:val="20"/>
                <w:lang w:eastAsia="en-GB"/>
              </w:rPr>
              <w:t>Other</w:t>
            </w:r>
          </w:p>
        </w:tc>
        <w:tc>
          <w:tcPr>
            <w:tcW w:w="987" w:type="dxa"/>
            <w:tcBorders>
              <w:top w:val="nil"/>
              <w:left w:val="nil"/>
              <w:bottom w:val="single" w:sz="8" w:space="0" w:color="auto"/>
              <w:right w:val="single" w:sz="8" w:space="0" w:color="auto"/>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0.96%</w:t>
            </w:r>
          </w:p>
        </w:tc>
        <w:tc>
          <w:tcPr>
            <w:tcW w:w="266" w:type="dxa"/>
            <w:tcBorders>
              <w:top w:val="nil"/>
              <w:left w:val="nil"/>
              <w:bottom w:val="nil"/>
              <w:right w:val="nil"/>
            </w:tcBorders>
            <w:shd w:val="clear" w:color="000000" w:fill="254061"/>
            <w:noWrap/>
            <w:vAlign w:val="bottom"/>
            <w:hideMark/>
          </w:tcPr>
          <w:p w:rsidR="00660414" w:rsidRPr="00126663" w:rsidRDefault="00660414" w:rsidP="007613DE">
            <w:pPr>
              <w:rPr>
                <w:rFonts w:ascii="Calibri" w:hAnsi="Calibri"/>
                <w:color w:val="000000"/>
                <w:sz w:val="22"/>
                <w:szCs w:val="22"/>
                <w:lang w:eastAsia="en-GB"/>
              </w:rPr>
            </w:pPr>
            <w:r w:rsidRPr="00126663">
              <w:rPr>
                <w:rFonts w:ascii="Calibri" w:hAnsi="Calibri"/>
                <w:color w:val="000000"/>
                <w:sz w:val="22"/>
                <w:szCs w:val="22"/>
                <w:lang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1.90%</w:t>
            </w:r>
          </w:p>
        </w:tc>
        <w:tc>
          <w:tcPr>
            <w:tcW w:w="987" w:type="dxa"/>
            <w:tcBorders>
              <w:top w:val="nil"/>
              <w:left w:val="nil"/>
              <w:bottom w:val="single" w:sz="8" w:space="0" w:color="auto"/>
              <w:right w:val="nil"/>
            </w:tcBorders>
            <w:shd w:val="clear" w:color="000000" w:fill="C5D9F1"/>
            <w:noWrap/>
            <w:vAlign w:val="bottom"/>
            <w:hideMark/>
          </w:tcPr>
          <w:p w:rsidR="00660414" w:rsidRPr="00126663" w:rsidRDefault="00660414" w:rsidP="007613DE">
            <w:pPr>
              <w:jc w:val="right"/>
              <w:rPr>
                <w:rFonts w:ascii="Calibri" w:hAnsi="Calibri"/>
                <w:color w:val="000000"/>
                <w:sz w:val="22"/>
                <w:szCs w:val="22"/>
                <w:lang w:eastAsia="en-GB"/>
              </w:rPr>
            </w:pPr>
            <w:r w:rsidRPr="00126663">
              <w:rPr>
                <w:rFonts w:ascii="Calibri" w:hAnsi="Calibri"/>
                <w:color w:val="000000"/>
                <w:sz w:val="22"/>
                <w:szCs w:val="22"/>
                <w:lang w:eastAsia="en-GB"/>
              </w:rPr>
              <w:t>2.62%</w:t>
            </w:r>
          </w:p>
        </w:tc>
      </w:tr>
    </w:tbl>
    <w:p w:rsidR="00660414" w:rsidRDefault="00660414" w:rsidP="00A4081F">
      <w:pPr>
        <w:pStyle w:val="NumberedParas"/>
      </w:pPr>
      <w:r>
        <w:t>The table shows that the bulk handling terminal is operating at capacity. AECOM’s model forecasts the terminal will be over utilised in the future. By contrast the large coal and steel handling terminals are handling very low volumes and this is forecast to continue. In theory if every berth could be used for any product then there were not be a problem but the reality is that many berths are specific to one traditional product and if this declines then the berth cannot handle other commodities without major refurbishment.</w:t>
      </w:r>
    </w:p>
    <w:p w:rsidR="00660414" w:rsidRPr="000A76BD" w:rsidRDefault="00660414" w:rsidP="00A4081F">
      <w:pPr>
        <w:pStyle w:val="NumberedParas"/>
      </w:pPr>
      <w:r w:rsidRPr="008C5B1B">
        <w:rPr>
          <w:rFonts w:cs="Arial"/>
          <w:color w:val="000000" w:themeColor="text1"/>
        </w:rPr>
        <w:t xml:space="preserve">Galati </w:t>
      </w:r>
      <w:r w:rsidRPr="009E47B8">
        <w:t>handles a number of commodities including grain, coal and steel.</w:t>
      </w:r>
      <w:r>
        <w:t xml:space="preserve"> Galati has a theoretical capacity of 7.8 million tonnes per year. However 6.8 million tonnes are for handling coal and steel associated with the declining steel industry in the area. As such Galati needs to refit and modernise the existing terminals and berths to increase capacity for new traffic.</w:t>
      </w:r>
    </w:p>
    <w:p w:rsidR="00660414" w:rsidRPr="000A76BD" w:rsidRDefault="00660414" w:rsidP="00273D5E">
      <w:pPr>
        <w:pStyle w:val="BulletLevel1"/>
      </w:pPr>
      <w:r w:rsidRPr="009E47B8">
        <w:rPr>
          <w:b/>
        </w:rPr>
        <w:t>Problem:</w:t>
      </w:r>
      <w:r w:rsidRPr="009E47B8">
        <w:t xml:space="preserve"> Galati lacks intermodal facilities which is limiting the tonnage handled by the port. This means the port must currently overcome physical, technical and functional barriers in order to handle containers.</w:t>
      </w:r>
    </w:p>
    <w:p w:rsidR="00660414" w:rsidRPr="000A76BD" w:rsidRDefault="00660414" w:rsidP="00273D5E">
      <w:pPr>
        <w:pStyle w:val="BulletLevel1"/>
      </w:pPr>
      <w:r w:rsidRPr="009E47B8">
        <w:t>Proposed Solution: Build a new trimodal terminal</w:t>
      </w:r>
    </w:p>
    <w:p w:rsidR="00660414" w:rsidRPr="002E681D" w:rsidRDefault="00660414" w:rsidP="00A4081F">
      <w:pPr>
        <w:pStyle w:val="NumberedParas"/>
      </w:pPr>
      <w:r w:rsidRPr="009E47B8">
        <w:t xml:space="preserve">The current lack of </w:t>
      </w:r>
      <w:r>
        <w:t xml:space="preserve">intermodal </w:t>
      </w:r>
      <w:r w:rsidRPr="009E47B8">
        <w:t>facilities presents a major obstacle in the integration of port in</w:t>
      </w:r>
      <w:r>
        <w:t>to</w:t>
      </w:r>
      <w:r w:rsidRPr="009E47B8">
        <w:t xml:space="preserve"> international flows, port infrastructure and railway marshalling yard are old and inadequate. The </w:t>
      </w:r>
      <w:r>
        <w:t>P</w:t>
      </w:r>
      <w:r w:rsidRPr="009E47B8">
        <w:t>ort</w:t>
      </w:r>
      <w:r>
        <w:t>’s</w:t>
      </w:r>
      <w:r w:rsidRPr="009E47B8">
        <w:t xml:space="preserve"> connectivity with</w:t>
      </w:r>
      <w:r>
        <w:t xml:space="preserve"> the</w:t>
      </w:r>
      <w:r w:rsidRPr="009E47B8">
        <w:t xml:space="preserve"> hinterland</w:t>
      </w:r>
      <w:r>
        <w:t>,</w:t>
      </w:r>
      <w:r w:rsidRPr="009E47B8">
        <w:t xml:space="preserve"> although assuring the interoperability of all</w:t>
      </w:r>
      <w:r>
        <w:t xml:space="preserve"> modes of</w:t>
      </w:r>
      <w:r w:rsidRPr="009E47B8">
        <w:t xml:space="preserve"> transport</w:t>
      </w:r>
      <w:r>
        <w:t xml:space="preserve">, </w:t>
      </w:r>
      <w:r w:rsidRPr="009E47B8">
        <w:t>do</w:t>
      </w:r>
      <w:r>
        <w:t xml:space="preserve"> not</w:t>
      </w:r>
      <w:r w:rsidRPr="009E47B8">
        <w:t xml:space="preserve"> meet the quality standards established by TEN-T Regulation no 1315/2013 for the central network infrastructure</w:t>
      </w:r>
      <w:r>
        <w:t>, for which</w:t>
      </w:r>
      <w:r w:rsidRPr="009E47B8">
        <w:t xml:space="preserve"> Galati Port is included.The connections to the national road and rail transport networks are slow and ineffective with </w:t>
      </w:r>
      <w:r>
        <w:rPr>
          <w:rStyle w:val="hps"/>
          <w:rFonts w:cs="Arial"/>
          <w:color w:val="000000" w:themeColor="text1"/>
        </w:rPr>
        <w:t>the road connections being provided by a single carriageway road and the marshalling yard and rail system serving the port require modernization (including electrification) and adaptation to operate 750m length trains</w:t>
      </w:r>
      <w:r>
        <w:t xml:space="preserve">. </w:t>
      </w:r>
      <w:r w:rsidRPr="009E47B8">
        <w:t xml:space="preserve">The physical barriers </w:t>
      </w:r>
      <w:r>
        <w:t>are the</w:t>
      </w:r>
      <w:r w:rsidRPr="009E47B8">
        <w:t xml:space="preserve"> tight quays that prevent</w:t>
      </w:r>
      <w:r>
        <w:t xml:space="preserve"> the</w:t>
      </w:r>
      <w:r w:rsidRPr="009E47B8">
        <w:t xml:space="preserve"> direct mooring of</w:t>
      </w:r>
      <w:r>
        <w:t xml:space="preserve"> ships</w:t>
      </w:r>
      <w:r w:rsidRPr="009E47B8">
        <w:t xml:space="preserve">. </w:t>
      </w:r>
    </w:p>
    <w:p w:rsidR="00660414" w:rsidRPr="000A76BD" w:rsidRDefault="00660414" w:rsidP="00A4081F">
      <w:pPr>
        <w:pStyle w:val="NumberedParas"/>
        <w:rPr>
          <w:b/>
        </w:rPr>
      </w:pPr>
      <w:r w:rsidRPr="009E47B8">
        <w:t xml:space="preserve">A new trimodal terminal will facilitate direct transhipment of containers between vessels, trains and trucks. The port already has both rail systems (1435mm and 1520mm) which ensure interoperability of rail freight transport. The terminal will also be equipped with RO-RO and facilities for trucks and </w:t>
      </w:r>
      <w:r>
        <w:t xml:space="preserve">will </w:t>
      </w:r>
      <w:r w:rsidRPr="009E47B8">
        <w:t>offer some logistics services. The project will link with the port’s Free Trade Zone and take advantage of Galati’s proximity with Moldova and Ukraine.</w:t>
      </w:r>
      <w:r>
        <w:t xml:space="preserve"> Galati has proposed a project called </w:t>
      </w:r>
      <w:r w:rsidRPr="003F20F6">
        <w:t>"Multimodal Platform Galati - removing major bottlenecks by upgrading existing infrastructure and providing missing links to the core network Rhine-Danube / Alps"</w:t>
      </w:r>
      <w:r>
        <w:t xml:space="preserve"> which is targetting CEF funding and AECOM’s suggestion is that the tri-modal terminal acts as phase 1 of this project.</w:t>
      </w:r>
    </w:p>
    <w:p w:rsidR="00660414" w:rsidRPr="000A76BD" w:rsidRDefault="00660414" w:rsidP="00273D5E">
      <w:pPr>
        <w:pStyle w:val="BulletLevel1"/>
      </w:pPr>
      <w:r w:rsidRPr="009E47B8">
        <w:rPr>
          <w:b/>
        </w:rPr>
        <w:t>Problem:</w:t>
      </w:r>
      <w:r w:rsidRPr="009E47B8">
        <w:t xml:space="preserve"> Galati’s infrastructure is old, set up to handle flows that witnessed significant decline from what was intended. This also means that the technology and processes used are outdated which leads to inefficiencies. The port also suffers from poor connectivity such as single carriageway roads that intersect with the port’s rail connections which also causes bottlenecks within the port. All of this is hindering the port’s development.</w:t>
      </w:r>
    </w:p>
    <w:p w:rsidR="00660414" w:rsidRPr="000A76BD" w:rsidRDefault="00660414" w:rsidP="00273D5E">
      <w:pPr>
        <w:pStyle w:val="BulletLevel1"/>
      </w:pPr>
      <w:r w:rsidRPr="009E47B8">
        <w:t>Proposed Solution: Modernisation of existing bulk terminals</w:t>
      </w:r>
    </w:p>
    <w:p w:rsidR="00660414" w:rsidRPr="000A76BD" w:rsidRDefault="00660414" w:rsidP="00A4081F">
      <w:pPr>
        <w:pStyle w:val="NumberedParas"/>
      </w:pPr>
      <w:r w:rsidRPr="009E47B8">
        <w:t xml:space="preserve">Modernising the port and the existing bulk terminals so that a new terminal for palletised goods can be created </w:t>
      </w:r>
      <w:r>
        <w:t>to</w:t>
      </w:r>
      <w:r w:rsidRPr="009E47B8">
        <w:t xml:space="preserve"> allow the port to improve its capacity to handle modern freight flows. This will also ensure that ships can moor directly which allows for smooth and efficient handling of goods from ship to shore (and vice versa). Modernising the port processes and systems and integrating them across each of the modes of transport will realise further efficiency.</w:t>
      </w:r>
    </w:p>
    <w:p w:rsidR="00660414" w:rsidRPr="007C173F" w:rsidRDefault="00660414" w:rsidP="00660414">
      <w:pPr>
        <w:pStyle w:val="Heading7"/>
        <w:rPr>
          <w:szCs w:val="22"/>
        </w:rPr>
      </w:pP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3B3E0A">
        <w:rPr>
          <w:szCs w:val="22"/>
        </w:rPr>
        <w:t>Braila</w:t>
      </w:r>
    </w:p>
    <w:p w:rsidR="00660414" w:rsidRPr="000A76BD" w:rsidRDefault="00660414" w:rsidP="00A4081F">
      <w:pPr>
        <w:pStyle w:val="NumberedParas"/>
      </w:pPr>
      <w:r>
        <w:t>This is a major port and designated as a comprehensive TEN-T port. It has twelve gantry cranes (max 16t), eight mobile cranes (max 25t), two floating cranes (max 30t), five reach stackers and conveyor belts and pneumatic equipment suitable for grain handling. The total port area is 398,630m</w:t>
      </w:r>
      <w:r>
        <w:rPr>
          <w:vertAlign w:val="superscript"/>
        </w:rPr>
        <w:t>2</w:t>
      </w:r>
      <w:r>
        <w:t xml:space="preserve"> (open storage of 250,350m</w:t>
      </w:r>
      <w:r>
        <w:rPr>
          <w:vertAlign w:val="superscript"/>
        </w:rPr>
        <w:t xml:space="preserve">2 </w:t>
      </w:r>
      <w:r>
        <w:t>and covered storage of 10,804m</w:t>
      </w:r>
      <w:r>
        <w:rPr>
          <w:vertAlign w:val="superscript"/>
        </w:rPr>
        <w:t>2</w:t>
      </w:r>
      <w:r>
        <w:t>) of which 22,750m</w:t>
      </w:r>
      <w:r>
        <w:rPr>
          <w:vertAlign w:val="superscript"/>
        </w:rPr>
        <w:t>3</w:t>
      </w:r>
      <w:r>
        <w:t xml:space="preserve"> is of grain and 6,000m</w:t>
      </w:r>
      <w:r>
        <w:rPr>
          <w:vertAlign w:val="superscript"/>
        </w:rPr>
        <w:t>3</w:t>
      </w:r>
      <w:r>
        <w:t xml:space="preserve"> animal fodder silos. The port is rail connected but this infrastructure is old and the roads leading to the port, particularly from its northern entrance are not ideal with poor signage and security. Braila handles raw mineral products, grain, wood products and fertiliser.</w:t>
      </w:r>
    </w:p>
    <w:p w:rsidR="00660414" w:rsidRPr="000A76BD" w:rsidRDefault="00660414" w:rsidP="00A4081F">
      <w:pPr>
        <w:pStyle w:val="NumberedParas"/>
        <w:rPr>
          <w:lang w:val="ro-RO"/>
        </w:rPr>
      </w:pPr>
      <w:r w:rsidRPr="009E47B8">
        <w:t>Braila has some berths that need upgrading and the road and rail network inside the port experiences congestion. The access road to the north of the port is of particularly poor quality with a lack of signage and good security. Upgrading the berths and port infrastructure will help to improve the port’s capacity and which in turn will help to relieve its current high utilisation. Braila’s berths are ageing and the port suffers from poor connectivity. The port has been highly utilised between 2007-2011.</w:t>
      </w:r>
      <w:r w:rsidRPr="009E47B8">
        <w:rPr>
          <w:lang w:val="ro-RO"/>
        </w:rPr>
        <w:t xml:space="preserve"> Braila has the following </w:t>
      </w:r>
      <w:r>
        <w:rPr>
          <w:lang w:val="ro-RO"/>
        </w:rPr>
        <w:t>capacity</w:t>
      </w:r>
      <w:r w:rsidRPr="009E47B8">
        <w:rPr>
          <w:lang w:val="ro-RO"/>
        </w:rPr>
        <w:t>:</w:t>
      </w:r>
    </w:p>
    <w:p w:rsidR="00660414" w:rsidRDefault="00660414" w:rsidP="00A4081F">
      <w:pPr>
        <w:pStyle w:val="NumberedParas"/>
      </w:pPr>
      <w:r>
        <w:t>Braila’s has a theoretical maximum capacity of 3.1 million tonnes per year. In 2008 and 2011 Braila handled 1.2 million. The port currently has ample capacity.</w:t>
      </w:r>
    </w:p>
    <w:p w:rsidR="00660414" w:rsidRPr="000A76BD" w:rsidRDefault="00660414" w:rsidP="00660414">
      <w:pPr>
        <w:numPr>
          <w:ilvl w:val="0"/>
          <w:numId w:val="54"/>
        </w:numPr>
        <w:spacing w:line="276" w:lineRule="auto"/>
        <w:jc w:val="both"/>
        <w:rPr>
          <w:sz w:val="22"/>
          <w:szCs w:val="22"/>
        </w:rPr>
      </w:pPr>
      <w:r w:rsidRPr="009E47B8">
        <w:rPr>
          <w:b/>
          <w:sz w:val="22"/>
          <w:szCs w:val="22"/>
        </w:rPr>
        <w:t>Problem:</w:t>
      </w:r>
      <w:r w:rsidRPr="009E47B8">
        <w:rPr>
          <w:sz w:val="22"/>
          <w:szCs w:val="22"/>
        </w:rPr>
        <w:t xml:space="preserve"> Braila’s berths are ageing and the port suffers from poor connectivity </w:t>
      </w:r>
    </w:p>
    <w:p w:rsidR="00660414" w:rsidRPr="000A76BD" w:rsidRDefault="00660414" w:rsidP="00660414">
      <w:pPr>
        <w:numPr>
          <w:ilvl w:val="0"/>
          <w:numId w:val="54"/>
        </w:numPr>
        <w:spacing w:line="276" w:lineRule="auto"/>
        <w:jc w:val="both"/>
        <w:rPr>
          <w:sz w:val="22"/>
          <w:szCs w:val="22"/>
        </w:rPr>
      </w:pPr>
      <w:r w:rsidRPr="009E47B8">
        <w:rPr>
          <w:b/>
          <w:sz w:val="22"/>
          <w:szCs w:val="22"/>
        </w:rPr>
        <w:t>Problem:</w:t>
      </w:r>
      <w:r w:rsidRPr="009E47B8">
        <w:rPr>
          <w:sz w:val="22"/>
          <w:szCs w:val="22"/>
        </w:rPr>
        <w:t xml:space="preserve"> The port is running out of capacity</w:t>
      </w:r>
    </w:p>
    <w:p w:rsidR="00660414" w:rsidRPr="000A76BD" w:rsidRDefault="00660414" w:rsidP="00660414">
      <w:pPr>
        <w:numPr>
          <w:ilvl w:val="0"/>
          <w:numId w:val="54"/>
        </w:numPr>
        <w:spacing w:line="276" w:lineRule="auto"/>
        <w:jc w:val="both"/>
        <w:rPr>
          <w:sz w:val="22"/>
          <w:szCs w:val="22"/>
        </w:rPr>
      </w:pPr>
      <w:r w:rsidRPr="009E47B8">
        <w:rPr>
          <w:b/>
          <w:sz w:val="22"/>
          <w:szCs w:val="22"/>
        </w:rPr>
        <w:t>Proposed Solution:</w:t>
      </w:r>
      <w:r w:rsidRPr="009E47B8">
        <w:rPr>
          <w:sz w:val="22"/>
          <w:szCs w:val="22"/>
        </w:rPr>
        <w:t xml:space="preserve"> Both of these problems can be resolved by increasing capacity through berth improvement schemes. Existing, aged berths can be renovated and this will improve efficiency by allowing the berths to handle the goods that need to be handled. Note that the port is already undertaking schemes to address these issues. This Reference Case involves a berth improvement scheme as well as upgrading and improving the existing rail and road bottlenecks in the port to ensure best use is made of the increased capacity. Improving the berths will ensure that the berths are able to handle increased freight from the growth sectors.</w:t>
      </w:r>
      <w:r>
        <w:rPr>
          <w:sz w:val="22"/>
          <w:szCs w:val="22"/>
        </w:rPr>
        <w:t xml:space="preserve"> If the proposed interventions in the Reference Case prove, over time, to be insufficient for the growing needs of Braila port then additional capacity may be required.</w:t>
      </w:r>
    </w:p>
    <w:p w:rsidR="00660414" w:rsidRDefault="00660414" w:rsidP="00660414">
      <w:pPr>
        <w:rPr>
          <w:b/>
          <w:i/>
          <w:sz w:val="22"/>
          <w:szCs w:val="22"/>
        </w:rPr>
      </w:pPr>
      <w:r>
        <w:rPr>
          <w:szCs w:val="22"/>
        </w:rPr>
        <w:br w:type="page"/>
      </w:r>
    </w:p>
    <w:p w:rsidR="00660414" w:rsidRPr="007C173F" w:rsidRDefault="00660414" w:rsidP="00660414">
      <w:pPr>
        <w:pStyle w:val="Heading7"/>
        <w:rPr>
          <w:szCs w:val="22"/>
        </w:rPr>
      </w:pPr>
      <w:r w:rsidRPr="00BB0FCC">
        <w:rPr>
          <w:szCs w:val="22"/>
        </w:rPr>
        <w:t>Cernavoda</w:t>
      </w:r>
    </w:p>
    <w:p w:rsidR="00660414" w:rsidRDefault="00660414" w:rsidP="00A4081F">
      <w:pPr>
        <w:pStyle w:val="NumberedParas"/>
      </w:pPr>
      <w:r w:rsidRPr="009E47B8">
        <w:t xml:space="preserve">Cernavoda is a designated TEN-T core port </w:t>
      </w:r>
      <w:r>
        <w:t>and has three gantry cranes (max 16t), an open storage area of 20,000m</w:t>
      </w:r>
      <w:r>
        <w:rPr>
          <w:vertAlign w:val="superscript"/>
        </w:rPr>
        <w:t>2</w:t>
      </w:r>
      <w:r>
        <w:t xml:space="preserve"> and 2,000m</w:t>
      </w:r>
      <w:r>
        <w:rPr>
          <w:vertAlign w:val="superscript"/>
        </w:rPr>
        <w:t>2</w:t>
      </w:r>
      <w:r>
        <w:t xml:space="preserve"> of covered storage. APDF purchased a ship which is based at the port to handle ship waste, facilitate treatment and store water.</w:t>
      </w:r>
    </w:p>
    <w:p w:rsidR="00660414" w:rsidRDefault="00660414" w:rsidP="00A4081F">
      <w:pPr>
        <w:pStyle w:val="NumberedParas"/>
      </w:pPr>
      <w:r>
        <w:t xml:space="preserve">Cernavoda </w:t>
      </w:r>
      <w:r w:rsidRPr="009E47B8">
        <w:t xml:space="preserve">has the following </w:t>
      </w:r>
      <w:r>
        <w:t>utiilisation:</w:t>
      </w:r>
    </w:p>
    <w:p w:rsidR="00660414" w:rsidRPr="008C5B1B" w:rsidRDefault="00660414" w:rsidP="00A4081F">
      <w:pPr>
        <w:pStyle w:val="NumberedParas"/>
        <w:numPr>
          <w:ilvl w:val="0"/>
          <w:numId w:val="0"/>
        </w:numPr>
        <w:ind w:left="851"/>
      </w:pPr>
      <w:r w:rsidRPr="007F7D2D">
        <w:t xml:space="preserve">Table </w:t>
      </w:r>
      <w:r>
        <w:t>6.3</w:t>
      </w:r>
      <w:r w:rsidRPr="007F7D2D">
        <w:t xml:space="preserve">: </w:t>
      </w:r>
      <w:r>
        <w:t>Current and Forecast Utilisation at Cernavoda</w:t>
      </w:r>
    </w:p>
    <w:tbl>
      <w:tblPr>
        <w:tblW w:w="4470" w:type="dxa"/>
        <w:jc w:val="center"/>
        <w:tblLook w:val="04A0" w:firstRow="1" w:lastRow="0" w:firstColumn="1" w:lastColumn="0" w:noHBand="0" w:noVBand="1"/>
      </w:tblPr>
      <w:tblGrid>
        <w:gridCol w:w="1116"/>
        <w:gridCol w:w="987"/>
        <w:gridCol w:w="266"/>
        <w:gridCol w:w="1141"/>
        <w:gridCol w:w="960"/>
      </w:tblGrid>
      <w:tr w:rsidR="00660414" w:rsidRPr="00383D30"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383D30" w:rsidRDefault="00660414" w:rsidP="007613DE">
            <w:pPr>
              <w:jc w:val="center"/>
              <w:rPr>
                <w:rFonts w:ascii="Calibri" w:hAnsi="Calibri"/>
                <w:color w:val="FFFFFF"/>
                <w:sz w:val="22"/>
                <w:szCs w:val="22"/>
                <w:lang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383D30"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jc w:val="center"/>
              <w:rPr>
                <w:rFonts w:ascii="Calibri" w:hAnsi="Calibri"/>
                <w:b/>
                <w:bCs/>
                <w:color w:val="FFFFFF"/>
                <w:sz w:val="22"/>
                <w:szCs w:val="22"/>
                <w:lang w:eastAsia="en-GB"/>
              </w:rPr>
            </w:pPr>
          </w:p>
        </w:tc>
        <w:tc>
          <w:tcPr>
            <w:tcW w:w="2101"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383D30"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383D30"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383D30" w:rsidRDefault="00660414" w:rsidP="007613DE">
            <w:pPr>
              <w:jc w:val="center"/>
              <w:rPr>
                <w:rFonts w:ascii="Calibri" w:hAnsi="Calibri"/>
                <w:color w:val="FFFFFF"/>
                <w:sz w:val="22"/>
                <w:szCs w:val="22"/>
                <w:lang w:eastAsia="en-GB"/>
              </w:rPr>
            </w:pPr>
            <w:r w:rsidRPr="00383D30">
              <w:rPr>
                <w:rFonts w:ascii="Calibri" w:hAnsi="Calibri"/>
                <w:color w:val="FFFFFF"/>
                <w:sz w:val="22"/>
                <w:szCs w:val="22"/>
                <w:lang w:eastAsia="en-GB"/>
              </w:rPr>
              <w:t> </w:t>
            </w:r>
            <w:r>
              <w:rPr>
                <w:rFonts w:ascii="Calibri" w:hAnsi="Calibri"/>
                <w:color w:val="FFFFFF"/>
                <w:sz w:val="22"/>
                <w:szCs w:val="22"/>
                <w:lang w:eastAsia="en-GB"/>
              </w:rPr>
              <w:t>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383D30" w:rsidRDefault="00660414" w:rsidP="007613DE">
            <w:pPr>
              <w:jc w:val="center"/>
              <w:rPr>
                <w:rFonts w:ascii="Calibri" w:hAnsi="Calibri"/>
                <w:b/>
                <w:bCs/>
                <w:color w:val="FFFFFF"/>
                <w:sz w:val="22"/>
                <w:szCs w:val="22"/>
                <w:lang w:eastAsia="en-GB"/>
              </w:rPr>
            </w:pPr>
            <w:r w:rsidRPr="00383D30">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jc w:val="center"/>
              <w:rPr>
                <w:rFonts w:ascii="Calibri" w:hAnsi="Calibri"/>
                <w:b/>
                <w:bCs/>
                <w:color w:val="FFFFFF"/>
                <w:sz w:val="22"/>
                <w:szCs w:val="22"/>
                <w:lang w:eastAsia="en-GB"/>
              </w:rPr>
            </w:pPr>
            <w:r w:rsidRPr="00383D30">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383D30" w:rsidRDefault="00660414" w:rsidP="007613DE">
            <w:pPr>
              <w:jc w:val="center"/>
              <w:rPr>
                <w:rFonts w:ascii="Calibri" w:hAnsi="Calibri"/>
                <w:b/>
                <w:bCs/>
                <w:color w:val="FFFFFF"/>
                <w:sz w:val="22"/>
                <w:szCs w:val="22"/>
                <w:lang w:eastAsia="en-GB"/>
              </w:rPr>
            </w:pPr>
            <w:r w:rsidRPr="00383D30">
              <w:rPr>
                <w:rFonts w:ascii="Calibri" w:hAnsi="Calibri"/>
                <w:b/>
                <w:bCs/>
                <w:color w:val="FFFFFF"/>
                <w:sz w:val="22"/>
                <w:szCs w:val="22"/>
                <w:lang w:eastAsia="en-GB"/>
              </w:rPr>
              <w:t>2020</w:t>
            </w:r>
          </w:p>
        </w:tc>
        <w:tc>
          <w:tcPr>
            <w:tcW w:w="960" w:type="dxa"/>
            <w:tcBorders>
              <w:top w:val="single" w:sz="8" w:space="0" w:color="auto"/>
              <w:left w:val="nil"/>
              <w:bottom w:val="single" w:sz="8" w:space="0" w:color="auto"/>
              <w:right w:val="nil"/>
            </w:tcBorders>
            <w:shd w:val="clear" w:color="000000" w:fill="376091"/>
            <w:noWrap/>
            <w:vAlign w:val="bottom"/>
            <w:hideMark/>
          </w:tcPr>
          <w:p w:rsidR="00660414" w:rsidRPr="00383D30" w:rsidRDefault="00660414" w:rsidP="007613DE">
            <w:pPr>
              <w:jc w:val="center"/>
              <w:rPr>
                <w:rFonts w:ascii="Calibri" w:hAnsi="Calibri"/>
                <w:b/>
                <w:bCs/>
                <w:color w:val="FFFFFF"/>
                <w:sz w:val="22"/>
                <w:szCs w:val="22"/>
                <w:lang w:eastAsia="en-GB"/>
              </w:rPr>
            </w:pPr>
            <w:r w:rsidRPr="00383D30">
              <w:rPr>
                <w:rFonts w:ascii="Calibri" w:hAnsi="Calibri"/>
                <w:b/>
                <w:bCs/>
                <w:color w:val="FFFFFF"/>
                <w:sz w:val="22"/>
                <w:szCs w:val="22"/>
                <w:lang w:eastAsia="en-GB"/>
              </w:rPr>
              <w:t>2030</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General</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109.86%</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64.63%</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68.13%</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Bulk</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6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Containers</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Oil</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Grain</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Fertiliser</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Cement</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Coal</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r w:rsidR="00660414" w:rsidRPr="00383D30"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383D30">
              <w:rPr>
                <w:rFonts w:ascii="Gill Sans MT" w:hAnsi="Gill Sans MT"/>
                <w:color w:val="000000"/>
                <w:sz w:val="20"/>
                <w:szCs w:val="20"/>
                <w:lang w:eastAsia="en-GB"/>
              </w:rPr>
              <w:t>Steel</w:t>
            </w:r>
          </w:p>
        </w:tc>
        <w:tc>
          <w:tcPr>
            <w:tcW w:w="987" w:type="dxa"/>
            <w:tcBorders>
              <w:top w:val="nil"/>
              <w:left w:val="nil"/>
              <w:bottom w:val="nil"/>
              <w:right w:val="single" w:sz="8" w:space="0" w:color="auto"/>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383D30" w:rsidRDefault="00660414" w:rsidP="007613DE">
            <w:pPr>
              <w:rPr>
                <w:rFonts w:ascii="Calibri" w:hAnsi="Calibri"/>
                <w:color w:val="000000"/>
                <w:sz w:val="22"/>
                <w:szCs w:val="22"/>
                <w:lang w:eastAsia="en-GB"/>
              </w:rPr>
            </w:pPr>
            <w:r w:rsidRPr="00383D30">
              <w:rPr>
                <w:rFonts w:ascii="Calibri" w:hAnsi="Calibri"/>
                <w:color w:val="000000"/>
                <w:sz w:val="22"/>
                <w:szCs w:val="22"/>
                <w:lang w:eastAsia="en-GB"/>
              </w:rPr>
              <w:t xml:space="preserve"> </w:t>
            </w:r>
          </w:p>
        </w:tc>
      </w:tr>
    </w:tbl>
    <w:p w:rsidR="00660414" w:rsidRDefault="00660414" w:rsidP="00A4081F">
      <w:pPr>
        <w:pStyle w:val="NumberedParas"/>
      </w:pPr>
      <w:r>
        <w:t>The table shows that the port is currently over utilised and whilst in the future the port is forecast to have lower utilisation levels it is still well utilised and would benefit from further capacity.</w:t>
      </w:r>
    </w:p>
    <w:p w:rsidR="00660414" w:rsidRPr="00FE5B02" w:rsidRDefault="00660414" w:rsidP="00A4081F">
      <w:pPr>
        <w:pStyle w:val="NumberedParas"/>
      </w:pPr>
      <w:r w:rsidRPr="008C5B1B">
        <w:t>Cernavoda can serve the grain and oil industries as well as handle bulk and general goods.</w:t>
      </w:r>
    </w:p>
    <w:p w:rsidR="00660414" w:rsidRPr="000A76BD" w:rsidRDefault="00660414" w:rsidP="00A4081F">
      <w:pPr>
        <w:pStyle w:val="NumberedParas"/>
      </w:pPr>
      <w:r>
        <w:t>Cernavoda handles the unloading of raw minerals and wood (unloading 101,065 tonnes of the former and 24,396 tonnes of the latter in 2011, as opposed to loading 5,322 tonnes and 1,050 tonnes respectively) and as such does not require heavy investment in other commodity types, although the port should aim to be flexible in the range of commodities it handles.</w:t>
      </w:r>
    </w:p>
    <w:p w:rsidR="00660414" w:rsidRPr="000A76BD" w:rsidRDefault="00660414" w:rsidP="00A4081F">
      <w:pPr>
        <w:pStyle w:val="NumberedParas"/>
      </w:pPr>
      <w:r w:rsidRPr="009E47B8">
        <w:t>The port is poorly equipped to handle other commodity types, which restricts its flexibility and ability to adapt to changes in circumstances. This is reflected in freight volumes: the port handled over 130,000</w:t>
      </w:r>
      <w:r>
        <w:t xml:space="preserve"> </w:t>
      </w:r>
      <w:r w:rsidRPr="009E47B8">
        <w:t>t</w:t>
      </w:r>
      <w:r>
        <w:t>onnes</w:t>
      </w:r>
      <w:r w:rsidRPr="009E47B8">
        <w:t xml:space="preserve"> in 2011, but the berths were only 5% utilised. </w:t>
      </w:r>
    </w:p>
    <w:p w:rsidR="00660414" w:rsidRPr="000A76BD" w:rsidRDefault="00660414" w:rsidP="00273D5E">
      <w:pPr>
        <w:pStyle w:val="BulletLevel1"/>
      </w:pPr>
      <w:r w:rsidRPr="009E47B8">
        <w:rPr>
          <w:b/>
        </w:rPr>
        <w:t>Problem:</w:t>
      </w:r>
      <w:r w:rsidRPr="009E47B8">
        <w:t xml:space="preserve"> Cernavoda is not able to handle further volumes of bulk freight</w:t>
      </w:r>
    </w:p>
    <w:p w:rsidR="00660414" w:rsidRPr="000A76BD" w:rsidRDefault="00660414" w:rsidP="00273D5E">
      <w:pPr>
        <w:pStyle w:val="BulletLevel1"/>
      </w:pPr>
      <w:r w:rsidRPr="009E47B8">
        <w:t>Solution: Develop the infrastructure</w:t>
      </w:r>
    </w:p>
    <w:p w:rsidR="00660414" w:rsidRPr="000A76BD" w:rsidRDefault="00660414" w:rsidP="00A4081F">
      <w:pPr>
        <w:pStyle w:val="NumberedParas"/>
        <w:rPr>
          <w:b/>
        </w:rPr>
      </w:pPr>
      <w:r w:rsidRPr="009E47B8">
        <w:t>Infrastructure improvements to Cernavoda would consist of dredging across the mouth of the basin as well as modernisation and refurbishment of cargo berths within the basin, including the provision of utility networks.</w:t>
      </w:r>
    </w:p>
    <w:p w:rsidR="00660414" w:rsidRDefault="00660414" w:rsidP="00660414">
      <w:pPr>
        <w:rPr>
          <w:b/>
          <w:i/>
          <w:sz w:val="22"/>
          <w:szCs w:val="22"/>
        </w:rPr>
      </w:pPr>
      <w:r>
        <w:rPr>
          <w:szCs w:val="22"/>
        </w:rPr>
        <w:br w:type="page"/>
      </w:r>
    </w:p>
    <w:p w:rsidR="00660414" w:rsidRPr="007C173F" w:rsidRDefault="00660414" w:rsidP="00660414">
      <w:pPr>
        <w:pStyle w:val="Heading7"/>
        <w:rPr>
          <w:szCs w:val="22"/>
        </w:rPr>
      </w:pPr>
      <w:r w:rsidRPr="00BB0FCC">
        <w:rPr>
          <w:szCs w:val="22"/>
        </w:rPr>
        <w:t>Medgidia</w:t>
      </w:r>
    </w:p>
    <w:p w:rsidR="00660414" w:rsidRDefault="00660414" w:rsidP="00A4081F">
      <w:pPr>
        <w:pStyle w:val="NumberedParas"/>
      </w:pPr>
      <w:r w:rsidRPr="00421D19">
        <w:t>Medgidia Port offers both industrial (17) and commercial (5) berths in addition to its passenger services. It also has 3 gantry cranes and 2 floating cranes and its main industries are agricultural operations and cement handling. However, there is room for improvement to the area for ships waiting for access, where the concrete has become damaged.</w:t>
      </w:r>
      <w:r>
        <w:t xml:space="preserve"> Medgidia</w:t>
      </w:r>
      <w:r w:rsidRPr="009E47B8">
        <w:t xml:space="preserve"> can handle both general and bulk cargo. Whilst the port has been busy in recent years this has been due to the construction of local infrastructure, which is temporary in its nature.</w:t>
      </w:r>
      <w:r>
        <w:t xml:space="preserve"> Medgidia has a theoretical capacity of 5 million tonnes per year.</w:t>
      </w:r>
    </w:p>
    <w:p w:rsidR="00660414" w:rsidRDefault="00660414" w:rsidP="00660414"/>
    <w:p w:rsidR="00660414" w:rsidRDefault="00660414" w:rsidP="00660414">
      <w:pPr>
        <w:pStyle w:val="Heading7"/>
      </w:pPr>
      <w:r w:rsidRPr="00BB0FCC">
        <w:t>Port of Basarabi/Murfatlar</w:t>
      </w:r>
    </w:p>
    <w:p w:rsidR="00660414" w:rsidRDefault="00660414" w:rsidP="00A4081F">
      <w:pPr>
        <w:pStyle w:val="NumberedParas"/>
      </w:pPr>
      <w:r>
        <w:t>Basarabi/Murfatlar port is located on the Danube-Black Sea Canal, and offers 11 berths within its basin for industrial use, along with its single passenger berth. It also has a couple of gantry cranes and 3 mobile cranes for cargo handling.</w:t>
      </w:r>
    </w:p>
    <w:p w:rsidR="00660414" w:rsidRDefault="00660414" w:rsidP="00A4081F">
      <w:pPr>
        <w:pStyle w:val="NumberedParas"/>
      </w:pPr>
      <w:r w:rsidRPr="009E47B8">
        <w:t>Basarabi can handle both general and bulk cargo and these are transhipment services. Whilst the port has been busy in recent years this has been due to the construction of local infrastructure, which is temporary in its nature.</w:t>
      </w:r>
      <w:r>
        <w:t xml:space="preserve"> Basarabi can handle up to 700,000 tonnes per year.</w:t>
      </w:r>
    </w:p>
    <w:p w:rsidR="00660414" w:rsidRPr="00ED687F" w:rsidRDefault="00660414" w:rsidP="00273D5E">
      <w:pPr>
        <w:pStyle w:val="BulletLevel1"/>
      </w:pPr>
      <w:r w:rsidRPr="00ED687F">
        <w:rPr>
          <w:b/>
        </w:rPr>
        <w:t>Problem:</w:t>
      </w:r>
      <w:r w:rsidRPr="00ED687F">
        <w:t xml:space="preserve"> The infrastructure </w:t>
      </w:r>
      <w:r>
        <w:t>at Basarabi is</w:t>
      </w:r>
      <w:r w:rsidRPr="00ED687F">
        <w:t xml:space="preserve"> </w:t>
      </w:r>
      <w:r>
        <w:t>poorly set up</w:t>
      </w:r>
      <w:r w:rsidRPr="00ED687F">
        <w:t xml:space="preserve"> to handle modern freight</w:t>
      </w:r>
      <w:r>
        <w:t xml:space="preserve"> requirements, has p</w:t>
      </w:r>
      <w:r w:rsidRPr="00ED687F">
        <w:t>oor connectivity to the road network</w:t>
      </w:r>
      <w:r>
        <w:t xml:space="preserve"> and is f</w:t>
      </w:r>
      <w:r w:rsidRPr="00ED687F">
        <w:t>orecast low volumes for the future</w:t>
      </w:r>
    </w:p>
    <w:p w:rsidR="00660414" w:rsidRDefault="00660414" w:rsidP="00273D5E">
      <w:pPr>
        <w:pStyle w:val="BulletLevel1"/>
      </w:pPr>
      <w:r w:rsidRPr="009E47B8">
        <w:rPr>
          <w:b/>
        </w:rPr>
        <w:t xml:space="preserve">Proposed Solution: </w:t>
      </w:r>
      <w:r w:rsidRPr="00ED687F">
        <w:rPr>
          <w:szCs w:val="22"/>
        </w:rPr>
        <w:t>Modernise</w:t>
      </w:r>
      <w:r w:rsidRPr="009E47B8">
        <w:t xml:space="preserve"> and rehabilitate the infrastructure at the port</w:t>
      </w:r>
      <w:r>
        <w:t xml:space="preserve"> as well as improve connections</w:t>
      </w:r>
    </w:p>
    <w:p w:rsidR="00660414" w:rsidRDefault="00660414" w:rsidP="00A4081F">
      <w:pPr>
        <w:pStyle w:val="NumberedParas"/>
      </w:pPr>
      <w:r w:rsidRPr="009E47B8">
        <w:t xml:space="preserve">Modernising and rehabilitating the infrastructure at the port would mean that the port could handle more </w:t>
      </w:r>
      <w:r>
        <w:t xml:space="preserve">and diversified </w:t>
      </w:r>
      <w:r w:rsidRPr="009E47B8">
        <w:t xml:space="preserve">freight </w:t>
      </w:r>
      <w:r>
        <w:t>in order to secure future loads</w:t>
      </w:r>
      <w:r w:rsidRPr="009E47B8">
        <w:t>.</w:t>
      </w:r>
    </w:p>
    <w:p w:rsidR="00660414" w:rsidRDefault="00660414" w:rsidP="00660414">
      <w:pPr>
        <w:rPr>
          <w:b/>
          <w:i/>
          <w:sz w:val="22"/>
          <w:szCs w:val="22"/>
        </w:rPr>
      </w:pPr>
      <w:r>
        <w:rPr>
          <w:szCs w:val="22"/>
        </w:rPr>
        <w:br w:type="page"/>
      </w:r>
    </w:p>
    <w:p w:rsidR="00660414" w:rsidRPr="007C173F" w:rsidRDefault="00660414" w:rsidP="00660414">
      <w:pPr>
        <w:pStyle w:val="Heading7"/>
        <w:rPr>
          <w:szCs w:val="22"/>
        </w:rPr>
      </w:pPr>
      <w:r w:rsidRPr="00BB0FCC">
        <w:rPr>
          <w:szCs w:val="22"/>
        </w:rPr>
        <w:t>Port of Calarasi</w:t>
      </w:r>
    </w:p>
    <w:p w:rsidR="00660414" w:rsidRPr="000A76BD" w:rsidRDefault="00660414" w:rsidP="00A4081F">
      <w:pPr>
        <w:pStyle w:val="NumberedParas"/>
        <w:rPr>
          <w:bCs/>
          <w:iCs/>
          <w:shd w:val="clear" w:color="auto" w:fill="FFFFFF"/>
        </w:rPr>
      </w:pPr>
      <w:r>
        <w:t>Calarasi port is accessed by a short navigation channel and is designated as a comprehensive TEN-T port. The operating area is split between 81,505m</w:t>
      </w:r>
      <w:r w:rsidRPr="008C5B1B">
        <w:rPr>
          <w:vertAlign w:val="superscript"/>
        </w:rPr>
        <w:t>2</w:t>
      </w:r>
      <w:r>
        <w:t xml:space="preserve"> for Calarasi Commercial, 62,500m</w:t>
      </w:r>
      <w:r w:rsidRPr="008C5B1B">
        <w:rPr>
          <w:vertAlign w:val="superscript"/>
        </w:rPr>
        <w:t>2</w:t>
      </w:r>
      <w:r>
        <w:t xml:space="preserve"> for Calarasi industrial and 5,091m</w:t>
      </w:r>
      <w:r w:rsidRPr="008C5B1B">
        <w:rPr>
          <w:vertAlign w:val="superscript"/>
        </w:rPr>
        <w:t>2</w:t>
      </w:r>
      <w:r>
        <w:t xml:space="preserve"> for Calarasi Chiciu. The commercial port (on the Danube) handles mostly agricultural goods currently, whilst the industrial port (on the navigation channel) was designed to be a key shipment point for steel from the vast Combinatul Siderurgic Călărași – Siderca steel works. Now mostly abandoned, apart from a limited production area, this has not provided the tonnage for which the port was developed (although it has an estimated capacity of 470,000 tonnes per year), and extensive looting has resulted in significant damage</w:t>
      </w:r>
      <w:r>
        <w:rPr>
          <w:bCs/>
          <w:iCs/>
          <w:shd w:val="clear" w:color="auto" w:fill="FFFFFF"/>
        </w:rPr>
        <w:t xml:space="preserve"> to links with the under-utilised steel mill. </w:t>
      </w:r>
      <w:r>
        <w:t>APDF purchased a ship which is based at the port to handle ship waste, facilitate treatment and store water.</w:t>
      </w:r>
    </w:p>
    <w:p w:rsidR="00660414" w:rsidRPr="008C5B1B" w:rsidRDefault="00660414" w:rsidP="00A4081F">
      <w:pPr>
        <w:pStyle w:val="NumberedParas"/>
        <w:rPr>
          <w:lang w:val="ro-RO"/>
        </w:rPr>
      </w:pPr>
      <w:r w:rsidRPr="009E47B8">
        <w:t>The effect</w:t>
      </w:r>
      <w:r>
        <w:t xml:space="preserve"> of reduced output from the steel works</w:t>
      </w:r>
      <w:r w:rsidRPr="009E47B8">
        <w:t xml:space="preserve"> has been to reduce the freight volumes passing through the port. As such the port is not achieving volumes for which the port was developed. This prevents the port’s full use for freight. </w:t>
      </w:r>
    </w:p>
    <w:p w:rsidR="00660414" w:rsidRPr="000A76BD" w:rsidRDefault="00660414" w:rsidP="00A4081F">
      <w:pPr>
        <w:pStyle w:val="NumberedParas"/>
      </w:pPr>
      <w:r>
        <w:t>T</w:t>
      </w:r>
      <w:r w:rsidRPr="009E47B8">
        <w:t>he berths originally created to handle steel are no longer handling any significant volumes of steel. This means that these berths are dormant and will not be able to handle other commodities and traffic.</w:t>
      </w:r>
    </w:p>
    <w:p w:rsidR="00660414" w:rsidRPr="000A76BD" w:rsidRDefault="00660414" w:rsidP="00273D5E">
      <w:pPr>
        <w:pStyle w:val="BulletLevel1"/>
      </w:pPr>
      <w:r w:rsidRPr="009E47B8">
        <w:rPr>
          <w:b/>
        </w:rPr>
        <w:t>Problem:</w:t>
      </w:r>
      <w:r w:rsidRPr="009E47B8">
        <w:t xml:space="preserve"> The infrastructure at Calarasi is ageing and does not offer much in the way of added value services. Furthermore, much of the infrastructure was set up to handle steel from the nearby steel works. That steel works has now reduced much of its production and reduced its size. This means Calarasi is providing the wrong type of capacity, capacity which is no longer required.</w:t>
      </w:r>
    </w:p>
    <w:p w:rsidR="00660414" w:rsidRPr="000A76BD" w:rsidRDefault="00660414" w:rsidP="00273D5E">
      <w:pPr>
        <w:pStyle w:val="BulletLevel1"/>
      </w:pPr>
      <w:r w:rsidRPr="009E47B8">
        <w:rPr>
          <w:b/>
        </w:rPr>
        <w:t xml:space="preserve">Proposed Solution: </w:t>
      </w:r>
      <w:r w:rsidRPr="009E47B8">
        <w:t>Modernise and rehabilitate the infrastructure at the port</w:t>
      </w:r>
    </w:p>
    <w:p w:rsidR="00660414" w:rsidRPr="000A76BD" w:rsidRDefault="00660414" w:rsidP="00A4081F">
      <w:pPr>
        <w:pStyle w:val="NumberedParas"/>
      </w:pPr>
      <w:r w:rsidRPr="009E47B8">
        <w:t>Modernising and rehabilitating the infrastructure at the port would mean that the port could handle more freight that is actually being moved as opposed to the defunct flows.</w:t>
      </w:r>
    </w:p>
    <w:p w:rsidR="00660414" w:rsidRDefault="00660414" w:rsidP="00660414">
      <w:pPr>
        <w:rPr>
          <w:b/>
          <w:i/>
          <w:sz w:val="22"/>
          <w:szCs w:val="22"/>
        </w:rPr>
      </w:pPr>
      <w:r>
        <w:rPr>
          <w:szCs w:val="22"/>
        </w:rPr>
        <w:br w:type="page"/>
      </w:r>
    </w:p>
    <w:p w:rsidR="00660414" w:rsidRPr="007C173F" w:rsidRDefault="00660414" w:rsidP="00660414">
      <w:pPr>
        <w:pStyle w:val="Heading7"/>
        <w:rPr>
          <w:szCs w:val="22"/>
        </w:rPr>
      </w:pPr>
      <w:r w:rsidRPr="00BB0FCC">
        <w:rPr>
          <w:szCs w:val="22"/>
        </w:rPr>
        <w:t>Port of Oltenita</w:t>
      </w:r>
    </w:p>
    <w:p w:rsidR="00660414" w:rsidRPr="008C5B1B" w:rsidRDefault="00660414" w:rsidP="00A4081F">
      <w:pPr>
        <w:pStyle w:val="NumberedParas"/>
      </w:pPr>
      <w:r>
        <w:t>This port is designated as a comprehensive TEN-T port and has three quay cranes and can accommodate barges of up to 2,000t and handles around 520,000t per year. Oltenita is currently undergoing quay works to build 200m of stepped frontage and has invested €25 million for processing passengers and bulk goods</w:t>
      </w:r>
      <w:r w:rsidRPr="008C5B1B">
        <w:t>.</w:t>
      </w:r>
      <w:r>
        <w:t xml:space="preserve"> A</w:t>
      </w:r>
      <w:r w:rsidRPr="00927A82">
        <w:t xml:space="preserve"> project</w:t>
      </w:r>
      <w:r>
        <w:t xml:space="preserve"> called</w:t>
      </w:r>
      <w:r w:rsidRPr="00927A82">
        <w:t xml:space="preserve"> "Port infrastructure rehabilitation and modernization in Oltenita Port", </w:t>
      </w:r>
      <w:r>
        <w:t xml:space="preserve">which saw </w:t>
      </w:r>
      <w:r w:rsidRPr="00927A82">
        <w:t xml:space="preserve">the port also </w:t>
      </w:r>
      <w:r>
        <w:t>acquire a ramp for very heavy</w:t>
      </w:r>
      <w:r w:rsidRPr="00927A82">
        <w:t xml:space="preserve"> </w:t>
      </w:r>
      <w:r>
        <w:t xml:space="preserve">items which serves </w:t>
      </w:r>
      <w:r w:rsidRPr="00927A82">
        <w:t>the industrial area of Bucharest.</w:t>
      </w:r>
      <w:r w:rsidRPr="008C5B1B">
        <w:t xml:space="preserve"> Despite its close location to Bucharest, </w:t>
      </w:r>
      <w:r>
        <w:t xml:space="preserve">and </w:t>
      </w:r>
      <w:r w:rsidRPr="008C5B1B">
        <w:t>unlike Giurgiu</w:t>
      </w:r>
      <w:r>
        <w:t>,</w:t>
      </w:r>
      <w:r w:rsidRPr="008C5B1B">
        <w:t xml:space="preserve"> </w:t>
      </w:r>
      <w:r>
        <w:t>Oltenita</w:t>
      </w:r>
      <w:r w:rsidRPr="008C5B1B">
        <w:t xml:space="preserve"> handles little to no container traffic, instead mostly handling raw mineral products and grain.</w:t>
      </w:r>
      <w:r>
        <w:t xml:space="preserve"> </w:t>
      </w:r>
      <w:r w:rsidRPr="003A7065">
        <w:rPr>
          <w:lang w:val="ro-RO"/>
        </w:rPr>
        <w:t xml:space="preserve">The port has also been highly utilised for the period 2007-2011. </w:t>
      </w:r>
    </w:p>
    <w:p w:rsidR="00660414" w:rsidRPr="003A7065" w:rsidRDefault="00660414" w:rsidP="00A4081F">
      <w:pPr>
        <w:pStyle w:val="NumberedParas"/>
      </w:pPr>
      <w:r w:rsidRPr="009E47B8">
        <w:t>Oltenita has both general and bulk handling facilities.</w:t>
      </w:r>
      <w:r w:rsidRPr="00ED687F">
        <w:rPr>
          <w:noProof/>
          <w:lang w:eastAsia="en-GB"/>
        </w:rPr>
        <w:t xml:space="preserve"> </w:t>
      </w:r>
      <w:r>
        <w:rPr>
          <w:noProof/>
          <w:lang w:eastAsia="en-GB"/>
        </w:rPr>
        <w:t>The port has a theoretical maximum capacity of 590,000 tonnes per year.</w:t>
      </w:r>
    </w:p>
    <w:p w:rsidR="00660414" w:rsidRPr="000A76BD" w:rsidRDefault="00660414" w:rsidP="00273D5E">
      <w:pPr>
        <w:pStyle w:val="BulletLevel1"/>
      </w:pPr>
      <w:r w:rsidRPr="009E47B8">
        <w:rPr>
          <w:b/>
        </w:rPr>
        <w:t>Problem:</w:t>
      </w:r>
      <w:r w:rsidRPr="009E47B8">
        <w:t xml:space="preserve"> Oltenita is highly utilised and could run out of available capacity</w:t>
      </w:r>
    </w:p>
    <w:p w:rsidR="00660414" w:rsidRPr="000A76BD" w:rsidRDefault="00660414" w:rsidP="00273D5E">
      <w:pPr>
        <w:pStyle w:val="BulletLevel1"/>
      </w:pPr>
      <w:r w:rsidRPr="009E47B8">
        <w:t>Proposed Solution: Develop the bulk handling infrastructure</w:t>
      </w:r>
    </w:p>
    <w:p w:rsidR="00660414" w:rsidRPr="000A76BD" w:rsidRDefault="00660414" w:rsidP="00A4081F">
      <w:pPr>
        <w:pStyle w:val="NumberedParas"/>
      </w:pPr>
      <w:r w:rsidRPr="009E47B8">
        <w:t>Oltenita needs additional handling infrastructure in order to handle additional freight. The berths need to be improved at Oltenita which will make them suitable to handle mixed traffic.</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Giurgiu</w:t>
      </w:r>
    </w:p>
    <w:p w:rsidR="00660414" w:rsidRPr="000A76BD" w:rsidRDefault="00660414" w:rsidP="00A4081F">
      <w:pPr>
        <w:pStyle w:val="NumberedParas"/>
      </w:pPr>
      <w:r w:rsidRPr="008C5B1B">
        <w:t>Giurgiu is designated as a core TEN-T port. It is located on the intersection between the River Danube and Corridor IX, which is the north-south route between the Baltics and Bulgaria, Greece and Turkey. The bridge between Giurgiu and Ruse in Bulgaria has been a key li</w:t>
      </w:r>
      <w:r w:rsidRPr="008C5B1B">
        <w:rPr>
          <w:lang w:val="ro-RO"/>
        </w:rPr>
        <w:t xml:space="preserve">nk for rail and road services over the years. The border crossing </w:t>
      </w:r>
      <w:r w:rsidRPr="008C5B1B">
        <w:t>has seen significant volumes of goods traffic often foreign lorries and the route is in the top four Romanian rail freight border crossings. Giurgiu is also one of the closest Danube ports to Bucharest which makes it geographically important. The port has eight berths, two gantry cranes (max 16t), one mobile crane (max 50t), and one reach stacker. The port has a 17,000m</w:t>
      </w:r>
      <w:r>
        <w:rPr>
          <w:vertAlign w:val="superscript"/>
        </w:rPr>
        <w:t>2</w:t>
      </w:r>
      <w:r w:rsidRPr="008C5B1B">
        <w:t xml:space="preserve"> freeport zone with a customs bonded warehouse and 7,200m</w:t>
      </w:r>
      <w:r>
        <w:rPr>
          <w:vertAlign w:val="superscript"/>
        </w:rPr>
        <w:t xml:space="preserve">2 </w:t>
      </w:r>
      <w:r w:rsidRPr="008C5B1B">
        <w:t>of covered storage. It also has 10,000m</w:t>
      </w:r>
      <w:r>
        <w:rPr>
          <w:vertAlign w:val="superscript"/>
        </w:rPr>
        <w:t>2</w:t>
      </w:r>
      <w:r w:rsidRPr="008C5B1B">
        <w:t xml:space="preserve"> container storage yard with container stuffing and stripping. APDF recently purchased a ship which is based at the port to handle ship waste, facilitate treatment and store water. </w:t>
      </w:r>
    </w:p>
    <w:p w:rsidR="00660414" w:rsidRPr="000A76BD" w:rsidRDefault="00660414" w:rsidP="00A4081F">
      <w:pPr>
        <w:pStyle w:val="NumberedParas"/>
        <w:rPr>
          <w:lang w:eastAsia="en-GB"/>
        </w:rPr>
      </w:pPr>
      <w:r w:rsidRPr="008C5B1B">
        <w:rPr>
          <w:lang w:eastAsia="en-GB"/>
        </w:rPr>
        <w:t>Giurgiu Port operates from 4 locations which offer dedicated port facilities:</w:t>
      </w:r>
    </w:p>
    <w:p w:rsidR="00660414" w:rsidRPr="000A76BD" w:rsidRDefault="00660414" w:rsidP="00273D5E">
      <w:pPr>
        <w:pStyle w:val="BulletLevel1"/>
        <w:rPr>
          <w:lang w:eastAsia="en-GB"/>
        </w:rPr>
      </w:pPr>
      <w:r w:rsidRPr="008C5B1B">
        <w:rPr>
          <w:lang w:eastAsia="en-GB"/>
        </w:rPr>
        <w:t>Commercial Port "Ramadan": passenger harbour, plus berths handling agricultural products from vertical grain elevators, ballast (gravel) products, coal, general cargo.</w:t>
      </w:r>
    </w:p>
    <w:p w:rsidR="00660414" w:rsidRPr="000A76BD" w:rsidRDefault="00660414" w:rsidP="00273D5E">
      <w:pPr>
        <w:pStyle w:val="BulletLevel1"/>
        <w:rPr>
          <w:lang w:eastAsia="en-GB"/>
        </w:rPr>
      </w:pPr>
      <w:r w:rsidRPr="008C5B1B">
        <w:rPr>
          <w:lang w:eastAsia="en-GB"/>
        </w:rPr>
        <w:t>"Canalul Plantelor / Sf. Gheorghe" Port: grain elevator of 10.000 tons, also handles aggregate and general cargo.</w:t>
      </w:r>
    </w:p>
    <w:p w:rsidR="00660414" w:rsidRPr="000A76BD" w:rsidRDefault="00660414" w:rsidP="00273D5E">
      <w:pPr>
        <w:pStyle w:val="BulletLevel1"/>
        <w:rPr>
          <w:lang w:eastAsia="en-GB"/>
        </w:rPr>
      </w:pPr>
      <w:r w:rsidRPr="008C5B1B">
        <w:rPr>
          <w:lang w:eastAsia="en-GB"/>
        </w:rPr>
        <w:t>Cioroiu Port: oil terminal.</w:t>
      </w:r>
    </w:p>
    <w:p w:rsidR="00660414" w:rsidRPr="000A76BD" w:rsidRDefault="00660414" w:rsidP="00273D5E">
      <w:pPr>
        <w:pStyle w:val="BulletLevel1"/>
        <w:rPr>
          <w:lang w:eastAsia="en-GB"/>
        </w:rPr>
      </w:pPr>
      <w:r w:rsidRPr="008C5B1B">
        <w:rPr>
          <w:lang w:eastAsia="en-GB"/>
        </w:rPr>
        <w:t>Giurgiu Free Zone Port: operating general goods and containers</w:t>
      </w:r>
      <w:r>
        <w:rPr>
          <w:lang w:eastAsia="en-GB"/>
        </w:rPr>
        <w:t xml:space="preserve"> and a privately operated oil terminal</w:t>
      </w:r>
      <w:r w:rsidRPr="008C5B1B">
        <w:rPr>
          <w:lang w:eastAsia="en-GB"/>
        </w:rPr>
        <w:t xml:space="preserve">. </w:t>
      </w:r>
    </w:p>
    <w:p w:rsidR="00660414" w:rsidRDefault="00660414" w:rsidP="00A4081F">
      <w:pPr>
        <w:pStyle w:val="NumberedParas"/>
      </w:pPr>
      <w:r w:rsidRPr="009E47B8">
        <w:t xml:space="preserve">Giurgiu has the following </w:t>
      </w:r>
      <w:r>
        <w:t>utilisation:</w:t>
      </w:r>
    </w:p>
    <w:p w:rsidR="00660414" w:rsidRPr="008C5B1B" w:rsidRDefault="00660414" w:rsidP="00A4081F">
      <w:pPr>
        <w:pStyle w:val="NumberedParas"/>
        <w:numPr>
          <w:ilvl w:val="0"/>
          <w:numId w:val="0"/>
        </w:numPr>
        <w:ind w:left="851"/>
      </w:pPr>
      <w:r w:rsidRPr="007F7D2D">
        <w:t xml:space="preserve">Table </w:t>
      </w:r>
      <w:r>
        <w:t>6.4</w:t>
      </w:r>
      <w:r w:rsidRPr="007F7D2D">
        <w:t xml:space="preserve">: </w:t>
      </w:r>
      <w:r>
        <w:t>Current and Forecast Utilisation at Giurgiu</w:t>
      </w:r>
    </w:p>
    <w:tbl>
      <w:tblPr>
        <w:tblW w:w="4470" w:type="dxa"/>
        <w:jc w:val="center"/>
        <w:tblLook w:val="04A0" w:firstRow="1" w:lastRow="0" w:firstColumn="1" w:lastColumn="0" w:noHBand="0" w:noVBand="1"/>
      </w:tblPr>
      <w:tblGrid>
        <w:gridCol w:w="1116"/>
        <w:gridCol w:w="960"/>
        <w:gridCol w:w="266"/>
        <w:gridCol w:w="1141"/>
        <w:gridCol w:w="987"/>
      </w:tblGrid>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2030</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58.33%</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84.58%</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126.48%</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jc w:val="right"/>
              <w:rPr>
                <w:rFonts w:ascii="Calibri" w:hAnsi="Calibri"/>
                <w:color w:val="000000"/>
                <w:sz w:val="22"/>
                <w:szCs w:val="22"/>
                <w:lang w:eastAsia="en-GB"/>
              </w:rPr>
            </w:pPr>
            <w:r w:rsidRPr="00755625">
              <w:rPr>
                <w:rFonts w:ascii="Calibri" w:hAnsi="Calibri"/>
                <w:color w:val="000000"/>
                <w:sz w:val="22"/>
                <w:szCs w:val="22"/>
                <w:lang w:eastAsia="en-GB"/>
              </w:rPr>
              <w:t>34.81%</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jc w:val="right"/>
              <w:rPr>
                <w:rFonts w:ascii="Calibri" w:hAnsi="Calibri"/>
                <w:color w:val="000000"/>
                <w:sz w:val="22"/>
                <w:szCs w:val="22"/>
                <w:lang w:eastAsia="en-GB"/>
              </w:rPr>
            </w:pPr>
            <w:r w:rsidRPr="00755625">
              <w:rPr>
                <w:rFonts w:ascii="Calibri" w:hAnsi="Calibri"/>
                <w:color w:val="000000"/>
                <w:sz w:val="22"/>
                <w:szCs w:val="22"/>
                <w:lang w:eastAsia="en-GB"/>
              </w:rPr>
              <w:t>55.47%</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jc w:val="right"/>
              <w:rPr>
                <w:rFonts w:ascii="Calibri" w:hAnsi="Calibri"/>
                <w:color w:val="000000"/>
                <w:sz w:val="22"/>
                <w:szCs w:val="22"/>
                <w:lang w:eastAsia="en-GB"/>
              </w:rPr>
            </w:pPr>
            <w:r w:rsidRPr="00755625">
              <w:rPr>
                <w:rFonts w:ascii="Calibri" w:hAnsi="Calibri"/>
                <w:color w:val="000000"/>
                <w:sz w:val="22"/>
                <w:szCs w:val="22"/>
                <w:lang w:eastAsia="en-GB"/>
              </w:rPr>
              <w:t>86.31%</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bl>
    <w:p w:rsidR="00660414" w:rsidRDefault="00660414" w:rsidP="00A4081F">
      <w:pPr>
        <w:pStyle w:val="NumberedParas"/>
      </w:pPr>
      <w:r>
        <w:t>The port has a well utilised general cargo handling terminal which is forecast to be over utilised by 2030.</w:t>
      </w:r>
    </w:p>
    <w:p w:rsidR="00660414" w:rsidRDefault="00660414" w:rsidP="00A4081F">
      <w:pPr>
        <w:pStyle w:val="NumberedParas"/>
      </w:pPr>
      <w:r w:rsidRPr="009E47B8">
        <w:t>Giurgiu has both bulk and general handling facilities and also has the ability to handle grain. There are no dedicated container facilities at Giurgiu.</w:t>
      </w:r>
      <w:r>
        <w:t xml:space="preserve"> </w:t>
      </w:r>
      <w:r>
        <w:rPr>
          <w:noProof/>
          <w:lang w:eastAsia="en-GB"/>
        </w:rPr>
        <w:t>Giurgiu has a theoretical maximum capacity of 2.5 million tonnes per year.</w:t>
      </w:r>
    </w:p>
    <w:p w:rsidR="00660414" w:rsidRPr="000A76BD" w:rsidRDefault="00660414" w:rsidP="00A4081F">
      <w:pPr>
        <w:pStyle w:val="NumberedParas"/>
      </w:pPr>
      <w:r w:rsidRPr="008C5B1B">
        <w:t>Given its location near the land-based border crossing</w:t>
      </w:r>
      <w:r>
        <w:t xml:space="preserve"> to Bulgaria</w:t>
      </w:r>
      <w:r w:rsidRPr="008C5B1B">
        <w:t xml:space="preserve">, and its location near Bucharest (along with its size) this port is an important node for future freight flows on the Danube. Giurgiu has had mixed fortune since 2008. This is likely to be due to the economic crisis. The </w:t>
      </w:r>
      <w:r>
        <w:t>volume</w:t>
      </w:r>
      <w:r w:rsidRPr="008C5B1B">
        <w:t xml:space="preserve"> handled in 2011 </w:t>
      </w:r>
      <w:r>
        <w:t>w</w:t>
      </w:r>
      <w:r w:rsidRPr="008C5B1B">
        <w:t>a</w:t>
      </w:r>
      <w:r>
        <w:t>s just</w:t>
      </w:r>
      <w:r w:rsidRPr="008C5B1B">
        <w:t xml:space="preserve"> 45% of </w:t>
      </w:r>
      <w:r>
        <w:t xml:space="preserve">the </w:t>
      </w:r>
      <w:r w:rsidRPr="008C5B1B">
        <w:t>tonn</w:t>
      </w:r>
      <w:r>
        <w:t>ag</w:t>
      </w:r>
      <w:r w:rsidRPr="008C5B1B">
        <w:t>e handled in 2007. Containers have a growing role at the port and grain and cereal products are key commodities too.</w:t>
      </w:r>
    </w:p>
    <w:p w:rsidR="00660414" w:rsidRPr="000A76BD" w:rsidRDefault="00660414" w:rsidP="00273D5E">
      <w:pPr>
        <w:pStyle w:val="BulletLevel1"/>
      </w:pPr>
      <w:r w:rsidRPr="009E47B8">
        <w:rPr>
          <w:b/>
        </w:rPr>
        <w:t>Problem:</w:t>
      </w:r>
      <w:r w:rsidRPr="009E47B8">
        <w:t xml:space="preserve"> The </w:t>
      </w:r>
      <w:r>
        <w:t>general cargo</w:t>
      </w:r>
      <w:r w:rsidRPr="009E47B8">
        <w:t xml:space="preserve"> handling facilities at Giurgiu are approaching capacity, despite the port being less than 7% utilised in 2011. As such there is underdeveloped </w:t>
      </w:r>
      <w:r>
        <w:t>general cargo</w:t>
      </w:r>
      <w:r w:rsidRPr="009E47B8">
        <w:t xml:space="preserve"> handling infrastructure at Giurgiu.</w:t>
      </w:r>
    </w:p>
    <w:p w:rsidR="00660414" w:rsidRPr="000A76BD" w:rsidRDefault="00660414" w:rsidP="00273D5E">
      <w:pPr>
        <w:pStyle w:val="BulletLevel1"/>
      </w:pPr>
      <w:r w:rsidRPr="009E47B8">
        <w:t>Potential Solution: Infrastructure and modernisation works</w:t>
      </w:r>
    </w:p>
    <w:p w:rsidR="00660414" w:rsidRPr="000A76BD" w:rsidRDefault="00660414" w:rsidP="00273D5E">
      <w:pPr>
        <w:pStyle w:val="BulletLevel1"/>
      </w:pPr>
      <w:r w:rsidRPr="009E47B8">
        <w:t>Infrastructure and modernisation works</w:t>
      </w:r>
      <w:r>
        <w:t xml:space="preserve"> set out in </w:t>
      </w:r>
      <w:r w:rsidRPr="00A86A7C">
        <w:t>"D.A.N.U.B.E- Access network to the Danube</w:t>
      </w:r>
      <w:r>
        <w:t>” project</w:t>
      </w:r>
      <w:r w:rsidRPr="009E47B8">
        <w:t xml:space="preserve"> at the port </w:t>
      </w:r>
      <w:r>
        <w:t>will</w:t>
      </w:r>
      <w:r w:rsidRPr="009E47B8">
        <w:t xml:space="preserve"> see the port rearrange its infrastructure to accommodate modern logistics practices.</w:t>
      </w:r>
    </w:p>
    <w:p w:rsidR="00660414" w:rsidRPr="000A76BD" w:rsidRDefault="00660414" w:rsidP="00273D5E">
      <w:pPr>
        <w:pStyle w:val="BulletLevel1"/>
        <w:rPr>
          <w:lang w:eastAsia="en-GB"/>
        </w:rPr>
      </w:pPr>
      <w:r w:rsidRPr="009E47B8">
        <w:t>Proposed Solution: Build a new tri-modal terminal</w:t>
      </w:r>
      <w:r w:rsidRPr="00727E55">
        <w:t xml:space="preserve"> in the port of Giurgiu and connections with the hinterland</w:t>
      </w:r>
    </w:p>
    <w:p w:rsidR="00660414" w:rsidRDefault="00660414" w:rsidP="00A4081F">
      <w:pPr>
        <w:pStyle w:val="NumberedParas"/>
        <w:rPr>
          <w:lang w:eastAsia="en-GB"/>
        </w:rPr>
      </w:pPr>
      <w:r w:rsidRPr="009E47B8">
        <w:rPr>
          <w:lang w:eastAsia="en-GB"/>
        </w:rPr>
        <w:t xml:space="preserve">A new trimodal terminal at Giurgiu will increase the port’s ability to handle intermodal containers. This development will include railway sidings of sufficient capacity, good road connections and secure access to the port itself. </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Corabia</w:t>
      </w:r>
    </w:p>
    <w:p w:rsidR="00660414" w:rsidRDefault="00660414" w:rsidP="00A4081F">
      <w:pPr>
        <w:pStyle w:val="NumberedParas"/>
      </w:pPr>
      <w:r w:rsidRPr="008C5B1B">
        <w:t xml:space="preserve">Corabia currently handles little freight traffic and is in a relatively severe state of dilapidation, with the exception of some grain and cereal traffic and storage facilities. </w:t>
      </w:r>
      <w:r w:rsidRPr="009E47B8">
        <w:t xml:space="preserve">This is reflected in the low volume of freight that the port handled in 2011, which is down almost 50% since 2007. </w:t>
      </w:r>
      <w:r w:rsidRPr="008C5B1B">
        <w:t xml:space="preserve">However, it is well located as it is the only port of considerable </w:t>
      </w:r>
      <w:r>
        <w:t>potential</w:t>
      </w:r>
      <w:r w:rsidRPr="008C5B1B">
        <w:t xml:space="preserve"> between Giurgiu and Calafat, and has therefore a large hinterland which could be accessed from the port</w:t>
      </w:r>
      <w:r>
        <w:t xml:space="preserve"> as it has retained a functioning rail connection</w:t>
      </w:r>
      <w:r w:rsidRPr="008C5B1B">
        <w:t>. It is also over 227,000m</w:t>
      </w:r>
      <w:r>
        <w:rPr>
          <w:vertAlign w:val="superscript"/>
        </w:rPr>
        <w:t>2</w:t>
      </w:r>
      <w:r w:rsidRPr="008C5B1B">
        <w:t xml:space="preserve"> offering plenty of space for further development and expansion. </w:t>
      </w:r>
    </w:p>
    <w:p w:rsidR="00660414" w:rsidRDefault="00660414" w:rsidP="00A4081F">
      <w:pPr>
        <w:pStyle w:val="NumberedParas"/>
      </w:pPr>
      <w:r w:rsidRPr="009E47B8">
        <w:t xml:space="preserve">Corabia has the following </w:t>
      </w:r>
      <w:r>
        <w:t>utilisation:</w:t>
      </w:r>
    </w:p>
    <w:p w:rsidR="00660414" w:rsidRPr="008C5B1B" w:rsidRDefault="00660414" w:rsidP="00A4081F">
      <w:pPr>
        <w:pStyle w:val="NumberedParas"/>
        <w:numPr>
          <w:ilvl w:val="0"/>
          <w:numId w:val="0"/>
        </w:numPr>
        <w:ind w:left="1673"/>
      </w:pPr>
      <w:r w:rsidRPr="007F7D2D">
        <w:t xml:space="preserve">Table </w:t>
      </w:r>
      <w:r>
        <w:t>6.5</w:t>
      </w:r>
      <w:r w:rsidRPr="007F7D2D">
        <w:t xml:space="preserve">: </w:t>
      </w:r>
      <w:r>
        <w:t>Current and Forecast Utilisation at Corabia</w:t>
      </w:r>
    </w:p>
    <w:tbl>
      <w:tblPr>
        <w:tblW w:w="4470" w:type="dxa"/>
        <w:jc w:val="center"/>
        <w:tblLook w:val="04A0" w:firstRow="1" w:lastRow="0" w:firstColumn="1" w:lastColumn="0" w:noHBand="0" w:noVBand="1"/>
      </w:tblPr>
      <w:tblGrid>
        <w:gridCol w:w="1116"/>
        <w:gridCol w:w="960"/>
        <w:gridCol w:w="266"/>
        <w:gridCol w:w="1141"/>
        <w:gridCol w:w="987"/>
      </w:tblGrid>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color w:val="FFFFFF"/>
                <w:sz w:val="22"/>
                <w:szCs w:val="22"/>
                <w:lang w:eastAsia="en-GB"/>
              </w:rPr>
            </w:pPr>
            <w:r w:rsidRPr="00755625">
              <w:rPr>
                <w:rFonts w:ascii="Calibri" w:hAnsi="Calibri"/>
                <w:color w:val="FFFFFF"/>
                <w:sz w:val="22"/>
                <w:szCs w:val="22"/>
                <w:lang w:eastAsia="en-GB"/>
              </w:rPr>
              <w:t> </w:t>
            </w:r>
            <w:r>
              <w:rPr>
                <w:rFonts w:ascii="Calibri" w:hAnsi="Calibri"/>
                <w:color w:val="FFFFFF"/>
                <w:sz w:val="22"/>
                <w:szCs w:val="22"/>
                <w:lang w:eastAsia="en-GB"/>
              </w:rPr>
              <w:t>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2030</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18.84%</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58.21%</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107.16%</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bl>
    <w:p w:rsidR="00660414" w:rsidRDefault="00660414" w:rsidP="00A4081F">
      <w:pPr>
        <w:pStyle w:val="NumberedParas"/>
      </w:pPr>
      <w:r>
        <w:t>Although the port is not currently well utilised the forecast shows that it will get busier in the future and will be over utilised by 2030.</w:t>
      </w:r>
    </w:p>
    <w:p w:rsidR="00660414" w:rsidRDefault="00660414" w:rsidP="00A4081F">
      <w:pPr>
        <w:pStyle w:val="NumberedParas"/>
      </w:pPr>
      <w:r w:rsidRPr="009E47B8">
        <w:t>The current state of Corabia means that it only has one berth which is set up to handle grain.</w:t>
      </w:r>
    </w:p>
    <w:p w:rsidR="00660414" w:rsidRPr="000A76BD" w:rsidRDefault="00660414" w:rsidP="00A4081F">
      <w:pPr>
        <w:pStyle w:val="NumberedParas"/>
      </w:pPr>
      <w:r w:rsidRPr="008C5B1B">
        <w:t>As such the scheme explored the potential for improving the quality of the berthing facilities at the port:</w:t>
      </w:r>
    </w:p>
    <w:p w:rsidR="00660414" w:rsidRPr="000A76BD" w:rsidRDefault="00660414" w:rsidP="00273D5E">
      <w:pPr>
        <w:pStyle w:val="BulletLevel1"/>
      </w:pPr>
      <w:r w:rsidRPr="009E47B8">
        <w:rPr>
          <w:b/>
        </w:rPr>
        <w:t>Problem:</w:t>
      </w:r>
      <w:r w:rsidRPr="009E47B8">
        <w:t xml:space="preserve"> Corabia has antiquated infrastructure that is preventing effective and efficient flows of freight.</w:t>
      </w:r>
    </w:p>
    <w:p w:rsidR="00660414" w:rsidRPr="000A76BD" w:rsidRDefault="00660414" w:rsidP="00273D5E">
      <w:pPr>
        <w:pStyle w:val="BulletLevel1"/>
      </w:pPr>
      <w:r w:rsidRPr="009E47B8">
        <w:t>Proposed Solution: Modernisation and rehabilitation of infrastructure</w:t>
      </w:r>
      <w:r>
        <w:t xml:space="preserve"> to improve efficiency which in turn will increase capacity</w:t>
      </w:r>
    </w:p>
    <w:p w:rsidR="00660414" w:rsidRPr="000A76BD" w:rsidRDefault="00660414" w:rsidP="00273D5E">
      <w:pPr>
        <w:pStyle w:val="BulletLevel1"/>
        <w:rPr>
          <w:b/>
        </w:rPr>
      </w:pPr>
      <w:r w:rsidRPr="009E47B8">
        <w:rPr>
          <w:lang w:eastAsia="en-GB"/>
        </w:rPr>
        <w:t>The scheme would involve works to improve the berths which are currently in poor condition. Some of the higher piers require some remedial structural work to ensure their continued use.</w:t>
      </w:r>
    </w:p>
    <w:p w:rsidR="00660414" w:rsidRPr="000A76BD" w:rsidRDefault="00660414" w:rsidP="00660414">
      <w:pPr>
        <w:pStyle w:val="Heading7"/>
        <w:rPr>
          <w:szCs w:val="22"/>
        </w:rPr>
      </w:pPr>
      <w:r w:rsidRPr="008C5B1B">
        <w:rPr>
          <w:szCs w:val="22"/>
        </w:rPr>
        <w:t>Port of Bechet</w:t>
      </w:r>
    </w:p>
    <w:p w:rsidR="00660414" w:rsidRDefault="00660414" w:rsidP="00A4081F">
      <w:pPr>
        <w:pStyle w:val="NumberedParas"/>
      </w:pPr>
      <w:r w:rsidRPr="008C5B1B">
        <w:t>The port of Bechet currently has little regular freight traffic, although floating cranes are available if notified in advance for the loading/unloading of freight. The main user of Bechet is the RO-RO ferry across the Danube to Bulgaria. However, the port is located near to the industrial hub of Craiova, and as such may be a potentially useful terminal for the handling of abnormal loads.</w:t>
      </w:r>
    </w:p>
    <w:p w:rsidR="00660414" w:rsidRDefault="00660414" w:rsidP="00A4081F">
      <w:pPr>
        <w:pStyle w:val="NumberedParas"/>
        <w:numPr>
          <w:ilvl w:val="0"/>
          <w:numId w:val="0"/>
        </w:numPr>
      </w:pPr>
      <w:r w:rsidRPr="007829C4">
        <w:br w:type="page"/>
      </w:r>
    </w:p>
    <w:p w:rsidR="00660414" w:rsidRDefault="00660414" w:rsidP="00660414">
      <w:pPr>
        <w:rPr>
          <w:sz w:val="22"/>
        </w:rPr>
      </w:pPr>
    </w:p>
    <w:p w:rsidR="00660414" w:rsidRPr="000A76BD" w:rsidRDefault="00660414" w:rsidP="00660414">
      <w:pPr>
        <w:pStyle w:val="Heading7"/>
        <w:rPr>
          <w:szCs w:val="22"/>
        </w:rPr>
      </w:pPr>
      <w:r w:rsidRPr="008C5B1B">
        <w:rPr>
          <w:szCs w:val="22"/>
        </w:rPr>
        <w:t>Port of Calafat</w:t>
      </w:r>
    </w:p>
    <w:p w:rsidR="00660414" w:rsidRDefault="00660414" w:rsidP="00A4081F">
      <w:pPr>
        <w:pStyle w:val="NumberedParas"/>
      </w:pPr>
      <w:r w:rsidRPr="008C5B1B">
        <w:t>Calafat is designated a core TEN-T port which has three berths, two land-based cranes, assorted floating cranes and can accommodate barges of up to 2,000t and handle</w:t>
      </w:r>
      <w:r>
        <w:t>d</w:t>
      </w:r>
      <w:r w:rsidRPr="008C5B1B">
        <w:t xml:space="preserve"> 139,000t in 2011</w:t>
      </w:r>
      <w:r w:rsidRPr="003A7065">
        <w:t xml:space="preserve"> </w:t>
      </w:r>
      <w:r w:rsidRPr="009E47B8">
        <w:t>which is up 228% from 2007.</w:t>
      </w:r>
      <w:r w:rsidRPr="008C5B1B">
        <w:t>. It has 11,000m</w:t>
      </w:r>
      <w:r>
        <w:rPr>
          <w:vertAlign w:val="superscript"/>
        </w:rPr>
        <w:t>2</w:t>
      </w:r>
      <w:r w:rsidRPr="008C5B1B">
        <w:t xml:space="preserve"> of storage and RO-RO facilities. APDF </w:t>
      </w:r>
      <w:r>
        <w:t>has</w:t>
      </w:r>
      <w:r w:rsidRPr="008C5B1B">
        <w:t xml:space="preserve"> a </w:t>
      </w:r>
      <w:r>
        <w:t xml:space="preserve">depollution </w:t>
      </w:r>
      <w:r w:rsidRPr="008C5B1B">
        <w:t xml:space="preserve">ship that is based at the port </w:t>
      </w:r>
      <w:r>
        <w:t xml:space="preserve">and plans to acquire a vessel </w:t>
      </w:r>
      <w:r w:rsidRPr="008C5B1B">
        <w:t>to handle ship waste, facilitate treatment and store water. Calafat is on the recently designated TEN-T Corridor IV South which makes use of the newly opened road and rail bridge linking Vidin in Bulgaria to Romania. This corridor has a significant potential as it could become a core route for freight flows from Germany and Central Europe to Turkey and could offer a real alternative to existing routes through Serbia, and indeed has seen significant recent growth in tonnage handled.</w:t>
      </w:r>
    </w:p>
    <w:p w:rsidR="00660414" w:rsidRDefault="00660414" w:rsidP="00A4081F">
      <w:pPr>
        <w:pStyle w:val="NumberedParas"/>
      </w:pPr>
      <w:r w:rsidRPr="009E47B8">
        <w:t xml:space="preserve">Calafat has the following </w:t>
      </w:r>
      <w:r>
        <w:t>utilisation:</w:t>
      </w:r>
    </w:p>
    <w:p w:rsidR="00660414" w:rsidRPr="008C5B1B" w:rsidRDefault="00660414" w:rsidP="00A4081F">
      <w:pPr>
        <w:pStyle w:val="NumberedParas"/>
        <w:numPr>
          <w:ilvl w:val="0"/>
          <w:numId w:val="0"/>
        </w:numPr>
        <w:ind w:left="1673"/>
      </w:pPr>
      <w:r w:rsidRPr="007F7D2D">
        <w:t xml:space="preserve">Table </w:t>
      </w:r>
      <w:r>
        <w:t>6.6</w:t>
      </w:r>
      <w:r w:rsidRPr="007F7D2D">
        <w:t xml:space="preserve">: </w:t>
      </w:r>
      <w:r>
        <w:t>Current and Forecast Utilisation at Calafat</w:t>
      </w:r>
    </w:p>
    <w:tbl>
      <w:tblPr>
        <w:tblW w:w="4470" w:type="dxa"/>
        <w:jc w:val="center"/>
        <w:tblLook w:val="04A0" w:firstRow="1" w:lastRow="0" w:firstColumn="1" w:lastColumn="0" w:noHBand="0" w:noVBand="1"/>
      </w:tblPr>
      <w:tblGrid>
        <w:gridCol w:w="1116"/>
        <w:gridCol w:w="960"/>
        <w:gridCol w:w="266"/>
        <w:gridCol w:w="1141"/>
        <w:gridCol w:w="987"/>
      </w:tblGrid>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755625"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color w:val="FFFFFF"/>
                <w:sz w:val="22"/>
                <w:szCs w:val="22"/>
                <w:lang w:eastAsia="en-GB"/>
              </w:rPr>
            </w:pPr>
            <w:r w:rsidRPr="00755625">
              <w:rPr>
                <w:rFonts w:ascii="Calibri" w:hAnsi="Calibri"/>
                <w:color w:val="FFFFFF"/>
                <w:sz w:val="22"/>
                <w:szCs w:val="22"/>
                <w:lang w:eastAsia="en-GB"/>
              </w:rPr>
              <w:t> </w:t>
            </w:r>
            <w:r>
              <w:rPr>
                <w:rFonts w:ascii="Calibri" w:hAnsi="Calibri"/>
                <w:color w:val="FFFFFF"/>
                <w:sz w:val="22"/>
                <w:szCs w:val="22"/>
                <w:lang w:eastAsia="en-GB"/>
              </w:rPr>
              <w:t>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755625" w:rsidRDefault="00660414" w:rsidP="007613DE">
            <w:pPr>
              <w:jc w:val="center"/>
              <w:rPr>
                <w:rFonts w:ascii="Calibri" w:hAnsi="Calibri"/>
                <w:b/>
                <w:bCs/>
                <w:color w:val="FFFFFF"/>
                <w:sz w:val="22"/>
                <w:szCs w:val="22"/>
                <w:lang w:eastAsia="en-GB"/>
              </w:rPr>
            </w:pPr>
            <w:r w:rsidRPr="00755625">
              <w:rPr>
                <w:rFonts w:ascii="Calibri" w:hAnsi="Calibri"/>
                <w:b/>
                <w:bCs/>
                <w:color w:val="FFFFFF"/>
                <w:sz w:val="22"/>
                <w:szCs w:val="22"/>
                <w:lang w:eastAsia="en-GB"/>
              </w:rPr>
              <w:t>2030</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79.62%</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90.98%</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113.51%</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r w:rsidR="00660414" w:rsidRPr="00755625"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755625">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755625" w:rsidRDefault="00660414" w:rsidP="007613DE">
            <w:pPr>
              <w:rPr>
                <w:rFonts w:ascii="Calibri" w:hAnsi="Calibri"/>
                <w:color w:val="000000"/>
                <w:sz w:val="22"/>
                <w:szCs w:val="22"/>
                <w:lang w:eastAsia="en-GB"/>
              </w:rPr>
            </w:pPr>
            <w:r w:rsidRPr="00755625">
              <w:rPr>
                <w:rFonts w:ascii="Calibri" w:hAnsi="Calibri"/>
                <w:color w:val="000000"/>
                <w:sz w:val="22"/>
                <w:szCs w:val="22"/>
                <w:lang w:eastAsia="en-GB"/>
              </w:rPr>
              <w:t xml:space="preserve"> </w:t>
            </w:r>
          </w:p>
        </w:tc>
      </w:tr>
    </w:tbl>
    <w:p w:rsidR="00660414" w:rsidRDefault="00660414" w:rsidP="00A4081F">
      <w:pPr>
        <w:pStyle w:val="NumberedParas"/>
      </w:pPr>
      <w:r>
        <w:t>The table shows that Calafat is already well utilised and this utilisation is forecast to increase in the future. By 2030 the port is forecast to be over utilised.</w:t>
      </w:r>
    </w:p>
    <w:p w:rsidR="00660414" w:rsidRPr="000A76BD" w:rsidRDefault="00660414" w:rsidP="00A4081F">
      <w:pPr>
        <w:pStyle w:val="NumberedParas"/>
      </w:pPr>
      <w:r w:rsidRPr="009E47B8">
        <w:t xml:space="preserve">Calafat is set up to handle bulk and general cargo although this is only in small volumes. </w:t>
      </w:r>
      <w:r>
        <w:t xml:space="preserve">Calafat port has a theoretical maximum capacity of 518,000 tonnes per year.  </w:t>
      </w:r>
      <w:r w:rsidRPr="009E47B8">
        <w:t>As such Calafat is not currently able to process large volumes of freight.</w:t>
      </w:r>
    </w:p>
    <w:p w:rsidR="00660414" w:rsidRPr="000A76BD" w:rsidRDefault="00660414" w:rsidP="00A4081F">
      <w:pPr>
        <w:pStyle w:val="NumberedParas"/>
      </w:pPr>
      <w:r w:rsidRPr="008C5B1B">
        <w:t>Due to existing growth, along with potential new flows and the new border crossing it is important to improve links with the port by other modes so that full realisation of these benefits can be achieved.</w:t>
      </w:r>
    </w:p>
    <w:p w:rsidR="00660414" w:rsidRPr="000A76BD" w:rsidRDefault="00660414" w:rsidP="00273D5E">
      <w:pPr>
        <w:pStyle w:val="BulletLevel1"/>
      </w:pPr>
      <w:r w:rsidRPr="009E47B8">
        <w:rPr>
          <w:b/>
        </w:rPr>
        <w:t xml:space="preserve">Problem: </w:t>
      </w:r>
      <w:r w:rsidRPr="009E47B8">
        <w:t xml:space="preserve">Calafat has underdeveloped infrastructure </w:t>
      </w:r>
      <w:r>
        <w:t>that is restricting its usable capacity</w:t>
      </w:r>
    </w:p>
    <w:p w:rsidR="00660414" w:rsidRPr="000A76BD" w:rsidRDefault="00660414" w:rsidP="00273D5E">
      <w:pPr>
        <w:pStyle w:val="BulletLevel1"/>
      </w:pPr>
      <w:r w:rsidRPr="009E47B8">
        <w:t xml:space="preserve">Proposed Solution: Develop bulk handling infrastructure </w:t>
      </w:r>
      <w:r>
        <w:t>which will increase the port’s capacity</w:t>
      </w:r>
    </w:p>
    <w:p w:rsidR="00660414" w:rsidRPr="000A76BD" w:rsidRDefault="00660414" w:rsidP="00A4081F">
      <w:pPr>
        <w:pStyle w:val="NumberedParas"/>
      </w:pPr>
      <w:r w:rsidRPr="009E47B8">
        <w:t>Improve and modernise the handling infrastructure in order to be able to handle increasing freight volumes now that the port has new opportunities with the opening of the new bridge.</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Drobeta Turnu Severin</w:t>
      </w:r>
    </w:p>
    <w:p w:rsidR="00660414" w:rsidRPr="000A76BD" w:rsidRDefault="00660414" w:rsidP="00A4081F">
      <w:pPr>
        <w:pStyle w:val="NumberedParas"/>
      </w:pPr>
      <w:r w:rsidRPr="008C5B1B">
        <w:t>Drobeta</w:t>
      </w:r>
      <w:r>
        <w:t xml:space="preserve"> Turnu Severin</w:t>
      </w:r>
      <w:r w:rsidRPr="008C5B1B">
        <w:t xml:space="preserve"> is designated a core TEN-T port and is the first port classified by AECOM as being of national importance when approaching Romania from Central Europe and is located on the TEN-T Corridor South. The port has seven berths, three gantry cranes (max 16t), one luffing-slewing crane (max 60t) and 13,725m</w:t>
      </w:r>
      <w:r>
        <w:rPr>
          <w:vertAlign w:val="superscript"/>
        </w:rPr>
        <w:t>2</w:t>
      </w:r>
      <w:r w:rsidRPr="008C5B1B">
        <w:t xml:space="preserve"> of open storage. APDF purchased a ship which is based at the port to handle ship waste, facilitate waste treatment and store water.</w:t>
      </w:r>
    </w:p>
    <w:p w:rsidR="00660414" w:rsidRPr="000A76BD" w:rsidRDefault="00660414" w:rsidP="00A4081F">
      <w:pPr>
        <w:pStyle w:val="NumberedParas"/>
      </w:pPr>
      <w:r w:rsidRPr="008C5B1B">
        <w:t>Drobeta Turnu Severin is strategically located to act as a transhipment point on the Danube for traffic headed to northwest Romania and to cities such as Craiova. Furthermore, tonnage has proven resilient at the port despite the economic downturn and is now growing strongly once more.</w:t>
      </w:r>
    </w:p>
    <w:p w:rsidR="00660414" w:rsidRDefault="00660414" w:rsidP="00A4081F">
      <w:pPr>
        <w:pStyle w:val="NumberedParas"/>
      </w:pPr>
      <w:r w:rsidRPr="009E47B8">
        <w:t xml:space="preserve">Drobeta </w:t>
      </w:r>
      <w:r>
        <w:rPr>
          <w:lang w:val="ro-RO"/>
        </w:rPr>
        <w:t>Turnu Severin</w:t>
      </w:r>
      <w:r w:rsidRPr="00EE10B4">
        <w:rPr>
          <w:lang w:val="ro-RO"/>
        </w:rPr>
        <w:t xml:space="preserve"> </w:t>
      </w:r>
      <w:r w:rsidRPr="009E47B8">
        <w:t>needs to be able to handle this increase in freight tonnes by developing its infrastructure otherwise it will not be able to take competitive advantage. Whilst the port is only estimated to be 40% utilised in 2011, it has witnessed large growth in petroleum products and iron ore and needs to be able to handle the</w:t>
      </w:r>
      <w:r>
        <w:t>se increased commodity volumes.</w:t>
      </w:r>
    </w:p>
    <w:p w:rsidR="00660414" w:rsidRDefault="00660414" w:rsidP="00A4081F">
      <w:pPr>
        <w:pStyle w:val="NumberedParas"/>
      </w:pPr>
      <w:r w:rsidRPr="009E47B8">
        <w:t xml:space="preserve">Drobeta </w:t>
      </w:r>
      <w:r>
        <w:rPr>
          <w:lang w:val="ro-RO"/>
        </w:rPr>
        <w:t>Turnu Severin</w:t>
      </w:r>
      <w:r w:rsidRPr="009E47B8">
        <w:t xml:space="preserve"> has the following </w:t>
      </w:r>
      <w:r>
        <w:t>utilisation:</w:t>
      </w:r>
    </w:p>
    <w:p w:rsidR="00660414" w:rsidRPr="008C5B1B" w:rsidRDefault="00660414" w:rsidP="00A4081F">
      <w:pPr>
        <w:pStyle w:val="NumberedParas"/>
        <w:numPr>
          <w:ilvl w:val="0"/>
          <w:numId w:val="0"/>
        </w:numPr>
        <w:ind w:left="1673"/>
      </w:pPr>
      <w:r w:rsidRPr="007F7D2D">
        <w:t xml:space="preserve">Table </w:t>
      </w:r>
      <w:r>
        <w:t>6.7</w:t>
      </w:r>
      <w:r w:rsidRPr="007F7D2D">
        <w:t xml:space="preserve">: </w:t>
      </w:r>
      <w:r>
        <w:t>Current and Forecast Utilisation at Drobeta Turnu Severin</w:t>
      </w:r>
    </w:p>
    <w:tbl>
      <w:tblPr>
        <w:tblW w:w="4470" w:type="dxa"/>
        <w:jc w:val="center"/>
        <w:tblLook w:val="04A0" w:firstRow="1" w:lastRow="0" w:firstColumn="1" w:lastColumn="0" w:noHBand="0" w:noVBand="1"/>
      </w:tblPr>
      <w:tblGrid>
        <w:gridCol w:w="1116"/>
        <w:gridCol w:w="960"/>
        <w:gridCol w:w="266"/>
        <w:gridCol w:w="1141"/>
        <w:gridCol w:w="987"/>
      </w:tblGrid>
      <w:tr w:rsidR="00660414" w:rsidRPr="00EC086A"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EC086A"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color w:val="FFFFFF"/>
                <w:sz w:val="22"/>
                <w:szCs w:val="22"/>
                <w:lang w:eastAsia="en-GB"/>
              </w:rPr>
            </w:pPr>
            <w:r w:rsidRPr="00EC086A">
              <w:rPr>
                <w:rFonts w:ascii="Calibri" w:hAnsi="Calibri"/>
                <w:color w:val="FFFFFF"/>
                <w:sz w:val="22"/>
                <w:szCs w:val="22"/>
                <w:lang w:eastAsia="en-GB"/>
              </w:rPr>
              <w:t> </w:t>
            </w:r>
            <w:r>
              <w:rPr>
                <w:rFonts w:ascii="Calibri" w:hAnsi="Calibri"/>
                <w:color w:val="FFFFFF"/>
                <w:sz w:val="22"/>
                <w:szCs w:val="22"/>
                <w:lang w:eastAsia="en-GB"/>
              </w:rPr>
              <w:t>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2030</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8.70%</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10.50%</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10.91%</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88.59%</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106.93%</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111.08%</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30"/>
          <w:jc w:val="center"/>
        </w:trPr>
        <w:tc>
          <w:tcPr>
            <w:tcW w:w="1116" w:type="dxa"/>
            <w:tcBorders>
              <w:top w:val="nil"/>
              <w:left w:val="single" w:sz="8" w:space="0" w:color="auto"/>
              <w:bottom w:val="single" w:sz="8" w:space="0" w:color="auto"/>
              <w:right w:val="nil"/>
            </w:tcBorders>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Other</w:t>
            </w:r>
          </w:p>
        </w:tc>
        <w:tc>
          <w:tcPr>
            <w:tcW w:w="960" w:type="dxa"/>
            <w:tcBorders>
              <w:top w:val="nil"/>
              <w:left w:val="nil"/>
              <w:bottom w:val="single" w:sz="8" w:space="0" w:color="auto"/>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56.13%</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66.28%</w:t>
            </w:r>
          </w:p>
        </w:tc>
        <w:tc>
          <w:tcPr>
            <w:tcW w:w="987" w:type="dxa"/>
            <w:tcBorders>
              <w:top w:val="nil"/>
              <w:left w:val="nil"/>
              <w:bottom w:val="single" w:sz="8" w:space="0" w:color="auto"/>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69.11%</w:t>
            </w:r>
          </w:p>
        </w:tc>
      </w:tr>
    </w:tbl>
    <w:p w:rsidR="00660414" w:rsidRDefault="00660414" w:rsidP="00A4081F">
      <w:pPr>
        <w:pStyle w:val="NumberedParas"/>
      </w:pPr>
      <w:r>
        <w:t>The bulk handling terminal at Drobeta Turnu Severin is already well utilised and is forecast to be over utilised in the future.</w:t>
      </w:r>
    </w:p>
    <w:p w:rsidR="00660414" w:rsidRPr="000A76BD" w:rsidRDefault="00660414" w:rsidP="00A4081F">
      <w:pPr>
        <w:pStyle w:val="NumberedParas"/>
      </w:pPr>
      <w:r w:rsidRPr="009E47B8">
        <w:t xml:space="preserve">Drobeta </w:t>
      </w:r>
      <w:r>
        <w:rPr>
          <w:lang w:val="ro-RO"/>
        </w:rPr>
        <w:t>Turnu Severin</w:t>
      </w:r>
      <w:r w:rsidRPr="00EE10B4">
        <w:rPr>
          <w:lang w:val="ro-RO"/>
        </w:rPr>
        <w:t xml:space="preserve"> </w:t>
      </w:r>
      <w:r w:rsidRPr="009E47B8">
        <w:t xml:space="preserve">is able to handle both general and bulk cargo. </w:t>
      </w:r>
      <w:r>
        <w:rPr>
          <w:noProof/>
          <w:lang w:eastAsia="en-GB"/>
        </w:rPr>
        <w:t xml:space="preserve">The port has a theoretical maximum capacity of 500,000 tonnes per year. </w:t>
      </w:r>
      <w:r w:rsidRPr="009E47B8">
        <w:t xml:space="preserve">However Drobeta </w:t>
      </w:r>
      <w:r>
        <w:rPr>
          <w:lang w:val="ro-RO"/>
        </w:rPr>
        <w:t>Turnu Severin</w:t>
      </w:r>
      <w:r w:rsidRPr="00EE10B4">
        <w:rPr>
          <w:lang w:val="ro-RO"/>
        </w:rPr>
        <w:t xml:space="preserve"> </w:t>
      </w:r>
      <w:r w:rsidRPr="009E47B8">
        <w:t>does not currently have infrastructure and berths dedicated to the handling of containers.</w:t>
      </w:r>
    </w:p>
    <w:p w:rsidR="00660414" w:rsidRPr="000A76BD" w:rsidRDefault="00660414" w:rsidP="00273D5E">
      <w:pPr>
        <w:pStyle w:val="BulletLevel1"/>
      </w:pPr>
      <w:r w:rsidRPr="009E47B8">
        <w:rPr>
          <w:b/>
        </w:rPr>
        <w:t>Problem:</w:t>
      </w:r>
      <w:r w:rsidRPr="009E47B8">
        <w:t xml:space="preserve"> Drobeta </w:t>
      </w:r>
      <w:r>
        <w:t>Turnu Severin</w:t>
      </w:r>
      <w:r w:rsidRPr="00EE10B4">
        <w:t xml:space="preserve"> </w:t>
      </w:r>
      <w:r>
        <w:t xml:space="preserve">port </w:t>
      </w:r>
      <w:r w:rsidRPr="009E47B8">
        <w:t>does not have a dedicated container handling infrastructure which is causing inefficiency when handling containers.</w:t>
      </w:r>
    </w:p>
    <w:p w:rsidR="00660414" w:rsidRPr="000A76BD" w:rsidRDefault="00660414" w:rsidP="00273D5E">
      <w:pPr>
        <w:pStyle w:val="BulletLevel1"/>
      </w:pPr>
      <w:r w:rsidRPr="009E47B8">
        <w:t>Potential Solution: Build a new trimodal terminal</w:t>
      </w:r>
    </w:p>
    <w:p w:rsidR="00660414" w:rsidRPr="000A76BD" w:rsidRDefault="00660414" w:rsidP="00A4081F">
      <w:pPr>
        <w:pStyle w:val="NumberedParas"/>
        <w:rPr>
          <w:b/>
        </w:rPr>
      </w:pPr>
      <w:r w:rsidRPr="009E47B8">
        <w:t>This would see the existing intermodal facilities developed to take advantage of its position in Romania and the increasing flows of intermodal containers</w:t>
      </w:r>
    </w:p>
    <w:p w:rsidR="00660414" w:rsidRPr="000A76BD" w:rsidRDefault="00660414" w:rsidP="00273D5E">
      <w:pPr>
        <w:pStyle w:val="BulletLevel1"/>
      </w:pPr>
      <w:r w:rsidRPr="009E47B8">
        <w:rPr>
          <w:b/>
        </w:rPr>
        <w:t xml:space="preserve">Problem: </w:t>
      </w:r>
      <w:r w:rsidRPr="009E47B8">
        <w:t xml:space="preserve">Drobeta </w:t>
      </w:r>
      <w:r>
        <w:t>Turnu Severin</w:t>
      </w:r>
      <w:r w:rsidRPr="00EE10B4">
        <w:t xml:space="preserve"> </w:t>
      </w:r>
      <w:r w:rsidRPr="009E47B8">
        <w:t>has old warehousing and storage facilities which are not suited to modern logistics practices.</w:t>
      </w:r>
      <w:r>
        <w:t xml:space="preserve"> This affects the port’s usable capacity.</w:t>
      </w:r>
    </w:p>
    <w:p w:rsidR="00660414" w:rsidRPr="000A76BD" w:rsidRDefault="00660414" w:rsidP="00273D5E">
      <w:pPr>
        <w:pStyle w:val="BulletLevel1"/>
      </w:pPr>
      <w:r w:rsidRPr="009E47B8">
        <w:t>Potential Solution: Develop the infrastructure</w:t>
      </w:r>
      <w:r>
        <w:t xml:space="preserve"> which will in turn increase efficiency and capacity</w:t>
      </w:r>
    </w:p>
    <w:p w:rsidR="00660414" w:rsidRPr="000A76BD" w:rsidRDefault="00660414" w:rsidP="00273D5E">
      <w:pPr>
        <w:pStyle w:val="BulletLevel1"/>
        <w:rPr>
          <w:b/>
        </w:rPr>
      </w:pPr>
      <w:r w:rsidRPr="009E47B8">
        <w:t>This scheme sees the improvement of facilities available at berths including handling equipment and provision of services. Improvement works would allow for the easier handling of freight.</w:t>
      </w:r>
      <w:r>
        <w:t xml:space="preserve"> This would reduce handling costs and improve handling times thus increasing the attractiveness of the port.</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Orsova</w:t>
      </w:r>
    </w:p>
    <w:p w:rsidR="00660414" w:rsidRDefault="00660414" w:rsidP="00A4081F">
      <w:pPr>
        <w:pStyle w:val="NumberedParas"/>
      </w:pPr>
      <w:r w:rsidRPr="008C5B1B">
        <w:t>This port has four gantry cranes (max 16t), 16,000m2 of open storage and 6,650m3 of grain silos. However the infrastructure is aged and in need of some modernisation and this is therefore considered under the following scheme. Building materials and mineral products are important component</w:t>
      </w:r>
      <w:r>
        <w:t>s</w:t>
      </w:r>
      <w:r w:rsidRPr="008C5B1B">
        <w:t xml:space="preserve"> of freight trade at Orsova however no one industry is dominant nor is tonnage particularly consistent.</w:t>
      </w:r>
    </w:p>
    <w:p w:rsidR="00660414" w:rsidRDefault="00660414" w:rsidP="00A4081F">
      <w:pPr>
        <w:pStyle w:val="NumberedParas"/>
      </w:pPr>
      <w:r w:rsidRPr="009E47B8">
        <w:t xml:space="preserve">Orsova has the following </w:t>
      </w:r>
      <w:r>
        <w:t>utilisation:</w:t>
      </w:r>
    </w:p>
    <w:p w:rsidR="00660414" w:rsidRPr="008C5B1B" w:rsidRDefault="00660414" w:rsidP="00A4081F">
      <w:pPr>
        <w:pStyle w:val="NumberedParas"/>
        <w:numPr>
          <w:ilvl w:val="0"/>
          <w:numId w:val="0"/>
        </w:numPr>
        <w:ind w:left="1673"/>
      </w:pPr>
      <w:r w:rsidRPr="007F7D2D">
        <w:t xml:space="preserve">Table </w:t>
      </w:r>
      <w:r>
        <w:t>6.8</w:t>
      </w:r>
      <w:r w:rsidRPr="007F7D2D">
        <w:t xml:space="preserve">: </w:t>
      </w:r>
      <w:r>
        <w:t>Current and Forecast Utilisation at Orsova</w:t>
      </w:r>
    </w:p>
    <w:tbl>
      <w:tblPr>
        <w:tblW w:w="4581" w:type="dxa"/>
        <w:jc w:val="center"/>
        <w:tblLook w:val="04A0" w:firstRow="1" w:lastRow="0" w:firstColumn="1" w:lastColumn="0" w:noHBand="0" w:noVBand="1"/>
      </w:tblPr>
      <w:tblGrid>
        <w:gridCol w:w="1227"/>
        <w:gridCol w:w="960"/>
        <w:gridCol w:w="266"/>
        <w:gridCol w:w="1141"/>
        <w:gridCol w:w="987"/>
      </w:tblGrid>
      <w:tr w:rsidR="00660414" w:rsidRPr="00EC086A" w:rsidTr="007613DE">
        <w:trPr>
          <w:trHeight w:val="315"/>
          <w:jc w:val="center"/>
        </w:trPr>
        <w:tc>
          <w:tcPr>
            <w:tcW w:w="1227"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jc w:val="center"/>
              <w:rPr>
                <w:rFonts w:ascii="Calibri" w:hAnsi="Calibri"/>
                <w:b/>
                <w:bCs/>
                <w:color w:val="FFFFFF"/>
                <w:sz w:val="22"/>
                <w:szCs w:val="22"/>
                <w:lang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EC086A" w:rsidTr="007613DE">
        <w:trPr>
          <w:trHeight w:val="315"/>
          <w:jc w:val="center"/>
        </w:trPr>
        <w:tc>
          <w:tcPr>
            <w:tcW w:w="1227"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color w:val="FFFFFF"/>
                <w:sz w:val="22"/>
                <w:szCs w:val="22"/>
                <w:lang w:eastAsia="en-GB"/>
              </w:rPr>
            </w:pPr>
            <w:r w:rsidRPr="00EC086A">
              <w:rPr>
                <w:rFonts w:ascii="Calibri" w:hAnsi="Calibri"/>
                <w:color w:val="FFFFFF"/>
                <w:sz w:val="22"/>
                <w:szCs w:val="22"/>
                <w:lang w:eastAsia="en-GB"/>
              </w:rPr>
              <w:t> </w:t>
            </w:r>
            <w:r>
              <w:rPr>
                <w:rFonts w:ascii="Calibri" w:hAnsi="Calibri"/>
                <w:color w:val="FFFFFF"/>
                <w:sz w:val="22"/>
                <w:szCs w:val="22"/>
                <w:lang w:eastAsia="en-GB"/>
              </w:rPr>
              <w:t>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660414" w:rsidRPr="00EC086A" w:rsidRDefault="00660414" w:rsidP="007613DE">
            <w:pPr>
              <w:jc w:val="center"/>
              <w:rPr>
                <w:rFonts w:ascii="Calibri" w:hAnsi="Calibri"/>
                <w:b/>
                <w:bCs/>
                <w:color w:val="FFFFFF"/>
                <w:sz w:val="22"/>
                <w:szCs w:val="22"/>
                <w:lang w:eastAsia="en-GB"/>
              </w:rPr>
            </w:pPr>
            <w:r w:rsidRPr="00EC086A">
              <w:rPr>
                <w:rFonts w:ascii="Calibri" w:hAnsi="Calibri"/>
                <w:b/>
                <w:bCs/>
                <w:color w:val="FFFFFF"/>
                <w:sz w:val="22"/>
                <w:szCs w:val="22"/>
                <w:lang w:eastAsia="en-GB"/>
              </w:rPr>
              <w:t>2030</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6.20%</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9.93%</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15.47%</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44.46%</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71.20%</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110.86%</w:t>
            </w:r>
          </w:p>
        </w:tc>
      </w:tr>
      <w:tr w:rsidR="00660414" w:rsidRPr="00EC086A" w:rsidTr="007613DE">
        <w:trPr>
          <w:trHeight w:val="367"/>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00"/>
          <w:jc w:val="center"/>
        </w:trPr>
        <w:tc>
          <w:tcPr>
            <w:tcW w:w="1227"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c>
          <w:tcPr>
            <w:tcW w:w="987" w:type="dxa"/>
            <w:tcBorders>
              <w:top w:val="nil"/>
              <w:left w:val="nil"/>
              <w:bottom w:val="nil"/>
              <w:right w:val="nil"/>
            </w:tcBorders>
            <w:shd w:val="clear" w:color="000000" w:fill="C5D9F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xml:space="preserve"> </w:t>
            </w:r>
          </w:p>
        </w:tc>
      </w:tr>
      <w:tr w:rsidR="00660414" w:rsidRPr="00EC086A" w:rsidTr="007613DE">
        <w:trPr>
          <w:trHeight w:val="330"/>
          <w:jc w:val="center"/>
        </w:trPr>
        <w:tc>
          <w:tcPr>
            <w:tcW w:w="1227" w:type="dxa"/>
            <w:tcBorders>
              <w:top w:val="nil"/>
              <w:left w:val="single" w:sz="8" w:space="0" w:color="auto"/>
              <w:bottom w:val="single" w:sz="8" w:space="0" w:color="auto"/>
              <w:right w:val="nil"/>
            </w:tcBorders>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C086A">
              <w:rPr>
                <w:rFonts w:ascii="Gill Sans MT" w:hAnsi="Gill Sans MT"/>
                <w:color w:val="000000"/>
                <w:sz w:val="20"/>
                <w:szCs w:val="20"/>
                <w:lang w:eastAsia="en-GB"/>
              </w:rPr>
              <w:t>Other</w:t>
            </w:r>
          </w:p>
        </w:tc>
        <w:tc>
          <w:tcPr>
            <w:tcW w:w="960" w:type="dxa"/>
            <w:tcBorders>
              <w:top w:val="nil"/>
              <w:left w:val="nil"/>
              <w:bottom w:val="single" w:sz="8" w:space="0" w:color="auto"/>
              <w:right w:val="single" w:sz="8" w:space="0" w:color="auto"/>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0.00%</w:t>
            </w:r>
          </w:p>
        </w:tc>
        <w:tc>
          <w:tcPr>
            <w:tcW w:w="266" w:type="dxa"/>
            <w:tcBorders>
              <w:top w:val="nil"/>
              <w:left w:val="nil"/>
              <w:bottom w:val="nil"/>
              <w:right w:val="nil"/>
            </w:tcBorders>
            <w:shd w:val="clear" w:color="000000" w:fill="254061"/>
            <w:noWrap/>
            <w:vAlign w:val="bottom"/>
            <w:hideMark/>
          </w:tcPr>
          <w:p w:rsidR="00660414" w:rsidRPr="00EC086A" w:rsidRDefault="00660414" w:rsidP="007613DE">
            <w:pPr>
              <w:rPr>
                <w:rFonts w:ascii="Calibri" w:hAnsi="Calibri"/>
                <w:color w:val="000000"/>
                <w:sz w:val="22"/>
                <w:szCs w:val="22"/>
                <w:lang w:eastAsia="en-GB"/>
              </w:rPr>
            </w:pPr>
            <w:r w:rsidRPr="00EC086A">
              <w:rPr>
                <w:rFonts w:ascii="Calibri" w:hAnsi="Calibri"/>
                <w:color w:val="000000"/>
                <w:sz w:val="22"/>
                <w:szCs w:val="22"/>
                <w:lang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1.83%</w:t>
            </w:r>
          </w:p>
        </w:tc>
        <w:tc>
          <w:tcPr>
            <w:tcW w:w="987" w:type="dxa"/>
            <w:tcBorders>
              <w:top w:val="nil"/>
              <w:left w:val="nil"/>
              <w:bottom w:val="single" w:sz="8" w:space="0" w:color="auto"/>
              <w:right w:val="nil"/>
            </w:tcBorders>
            <w:shd w:val="clear" w:color="000000" w:fill="C5D9F1"/>
            <w:noWrap/>
            <w:vAlign w:val="bottom"/>
            <w:hideMark/>
          </w:tcPr>
          <w:p w:rsidR="00660414" w:rsidRPr="00EC086A" w:rsidRDefault="00660414" w:rsidP="007613DE">
            <w:pPr>
              <w:jc w:val="right"/>
              <w:rPr>
                <w:rFonts w:ascii="Calibri" w:hAnsi="Calibri"/>
                <w:color w:val="000000"/>
                <w:sz w:val="22"/>
                <w:szCs w:val="22"/>
                <w:lang w:eastAsia="en-GB"/>
              </w:rPr>
            </w:pPr>
            <w:r w:rsidRPr="00EC086A">
              <w:rPr>
                <w:rFonts w:ascii="Calibri" w:hAnsi="Calibri"/>
                <w:color w:val="000000"/>
                <w:sz w:val="22"/>
                <w:szCs w:val="22"/>
                <w:lang w:eastAsia="en-GB"/>
              </w:rPr>
              <w:t>6.48%</w:t>
            </w:r>
          </w:p>
        </w:tc>
      </w:tr>
    </w:tbl>
    <w:p w:rsidR="00660414" w:rsidRDefault="00660414" w:rsidP="00A4081F">
      <w:pPr>
        <w:pStyle w:val="NumberedParas"/>
      </w:pPr>
      <w:r>
        <w:t>The bulk handling terminal at Orsova is forecast to be over utilised by 2030.</w:t>
      </w:r>
    </w:p>
    <w:p w:rsidR="00660414" w:rsidRPr="000A76BD" w:rsidRDefault="00660414" w:rsidP="00A4081F">
      <w:pPr>
        <w:pStyle w:val="NumberedParas"/>
      </w:pPr>
      <w:r>
        <w:rPr>
          <w:noProof/>
          <w:lang w:eastAsia="en-GB"/>
        </w:rPr>
        <w:t>Orsova port has a theoretical maximum capacity of 806,000 tonnes per year. However the port infrastructure is ageing and it is unable to achieve this in reality.</w:t>
      </w:r>
    </w:p>
    <w:p w:rsidR="00660414" w:rsidRPr="000A76BD" w:rsidRDefault="00660414" w:rsidP="00273D5E">
      <w:pPr>
        <w:pStyle w:val="BulletLevel1"/>
      </w:pPr>
      <w:r w:rsidRPr="009E47B8">
        <w:rPr>
          <w:b/>
        </w:rPr>
        <w:t>Problem:</w:t>
      </w:r>
      <w:r w:rsidRPr="009E47B8">
        <w:t xml:space="preserve"> Orsova’s antiquated infrastructure is preventing effective and efficient flows of freight.</w:t>
      </w:r>
      <w:r>
        <w:t xml:space="preserve"> This is a restriction on capacity.</w:t>
      </w:r>
    </w:p>
    <w:p w:rsidR="00660414" w:rsidRPr="000A76BD" w:rsidRDefault="00660414" w:rsidP="00273D5E">
      <w:pPr>
        <w:pStyle w:val="BulletLevel1"/>
      </w:pPr>
      <w:r w:rsidRPr="009E47B8">
        <w:t>Potential Solution: Modernisation of the port</w:t>
      </w:r>
    </w:p>
    <w:p w:rsidR="00660414" w:rsidRPr="000A76BD" w:rsidRDefault="00660414" w:rsidP="00A4081F">
      <w:pPr>
        <w:pStyle w:val="NumberedParas"/>
      </w:pPr>
      <w:r w:rsidRPr="009E47B8">
        <w:t>This scheme would see the modernisation of the infrastructure through repairs and introduction of new facilities.</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Moldova Veche</w:t>
      </w:r>
    </w:p>
    <w:p w:rsidR="00660414" w:rsidRPr="000A76BD" w:rsidRDefault="00660414" w:rsidP="00A4081F">
      <w:pPr>
        <w:pStyle w:val="NumberedParas"/>
      </w:pPr>
      <w:r w:rsidRPr="009E47B8">
        <w:t>Moldova Veche</w:t>
      </w:r>
      <w:r w:rsidRPr="009E47B8" w:rsidDel="003A7065">
        <w:t xml:space="preserve"> </w:t>
      </w:r>
      <w:r w:rsidRPr="008C5B1B">
        <w:t>has been included for consideration with a possible improvement scheme as it is the first port reached in Romania when travelling downstream.</w:t>
      </w:r>
      <w:r w:rsidRPr="003A7065">
        <w:t xml:space="preserve"> </w:t>
      </w:r>
      <w:r w:rsidRPr="009E47B8">
        <w:t>The port handles a variety of freight, the type and volume of which can vary considerably.</w:t>
      </w:r>
      <w:r w:rsidRPr="008C5B1B">
        <w:t xml:space="preserve"> It has 3 berths, luffing-slewing cranes (max 36t) and 30,000m</w:t>
      </w:r>
      <w:r>
        <w:rPr>
          <w:vertAlign w:val="superscript"/>
        </w:rPr>
        <w:t>2</w:t>
      </w:r>
      <w:r w:rsidRPr="008C5B1B">
        <w:t xml:space="preserve"> of open storage and 2,000m</w:t>
      </w:r>
      <w:r>
        <w:rPr>
          <w:vertAlign w:val="superscript"/>
        </w:rPr>
        <w:t>2</w:t>
      </w:r>
      <w:r w:rsidRPr="008C5B1B">
        <w:t xml:space="preserve"> of covered storage. The port can provide container maintenance and repair, storage and container stuffing and stripping.</w:t>
      </w:r>
    </w:p>
    <w:p w:rsidR="00660414" w:rsidRDefault="00660414" w:rsidP="00A4081F">
      <w:pPr>
        <w:pStyle w:val="NumberedParas"/>
      </w:pPr>
      <w:r>
        <w:t>T</w:t>
      </w:r>
      <w:r w:rsidRPr="009E47B8">
        <w:t>he port’s infrastructure, in particular the berths and water depth is not adequate for efficient and effective freight operations. This is reflective in the number of tonnes that the port has been handling and its low utilisation. Moldova Veche is a small port that handles a mix of freight that varies in volume from year to year.</w:t>
      </w:r>
    </w:p>
    <w:p w:rsidR="00660414" w:rsidRDefault="00660414" w:rsidP="00A4081F">
      <w:pPr>
        <w:pStyle w:val="NumberedParas"/>
      </w:pPr>
      <w:r w:rsidRPr="009E47B8">
        <w:t xml:space="preserve">Moldova Veche has the following </w:t>
      </w:r>
      <w:r>
        <w:t>utilisation:</w:t>
      </w:r>
    </w:p>
    <w:p w:rsidR="00660414" w:rsidRPr="008C5B1B" w:rsidRDefault="00660414" w:rsidP="00A4081F">
      <w:pPr>
        <w:pStyle w:val="NumberedParas"/>
        <w:numPr>
          <w:ilvl w:val="0"/>
          <w:numId w:val="0"/>
        </w:numPr>
        <w:ind w:left="1673"/>
      </w:pPr>
      <w:r w:rsidRPr="007F7D2D">
        <w:t xml:space="preserve">Table </w:t>
      </w:r>
      <w:r>
        <w:t>6.9</w:t>
      </w:r>
      <w:r w:rsidRPr="007F7D2D">
        <w:t xml:space="preserve">: </w:t>
      </w:r>
      <w:r>
        <w:t>Current and Forecast Utilisation at Moldova Veche</w:t>
      </w:r>
    </w:p>
    <w:tbl>
      <w:tblPr>
        <w:tblW w:w="4443" w:type="dxa"/>
        <w:jc w:val="center"/>
        <w:tblLook w:val="04A0" w:firstRow="1" w:lastRow="0" w:firstColumn="1" w:lastColumn="0" w:noHBand="0" w:noVBand="1"/>
      </w:tblPr>
      <w:tblGrid>
        <w:gridCol w:w="1116"/>
        <w:gridCol w:w="960"/>
        <w:gridCol w:w="266"/>
        <w:gridCol w:w="1141"/>
        <w:gridCol w:w="960"/>
      </w:tblGrid>
      <w:tr w:rsidR="00660414" w:rsidRPr="0048697E"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jc w:val="center"/>
              <w:rPr>
                <w:rFonts w:ascii="Calibri" w:hAnsi="Calibri"/>
                <w:b/>
                <w:bCs/>
                <w:color w:val="FFFFFF"/>
                <w:sz w:val="22"/>
                <w:szCs w:val="22"/>
                <w:lang w:eastAsia="en-GB"/>
              </w:rPr>
            </w:pPr>
          </w:p>
        </w:tc>
        <w:tc>
          <w:tcPr>
            <w:tcW w:w="2101"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660414" w:rsidRPr="0048697E"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r>
      <w:tr w:rsidR="00660414" w:rsidRPr="0048697E" w:rsidTr="007613DE">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48697E"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r w:rsidRPr="0048697E">
              <w:rPr>
                <w:rFonts w:ascii="Calibri" w:hAnsi="Calibri"/>
                <w:color w:val="FFFFFF"/>
                <w:sz w:val="22"/>
                <w:szCs w:val="22"/>
                <w:lang w:eastAsia="en-GB"/>
              </w:rPr>
              <w:t> </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660414" w:rsidRPr="0048697E" w:rsidRDefault="00660414" w:rsidP="007613DE">
            <w:pPr>
              <w:jc w:val="center"/>
              <w:rPr>
                <w:rFonts w:ascii="Calibri" w:hAnsi="Calibri"/>
                <w:b/>
                <w:bCs/>
                <w:color w:val="FFFFFF"/>
                <w:sz w:val="22"/>
                <w:szCs w:val="22"/>
                <w:lang w:eastAsia="en-GB"/>
              </w:rPr>
            </w:pPr>
            <w:r w:rsidRPr="0048697E">
              <w:rPr>
                <w:rFonts w:ascii="Calibri" w:hAnsi="Calibri"/>
                <w:b/>
                <w:bCs/>
                <w:color w:val="FFFFFF"/>
                <w:sz w:val="22"/>
                <w:szCs w:val="22"/>
                <w:lang w:eastAsia="en-GB"/>
              </w:rPr>
              <w:t>2011</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jc w:val="center"/>
              <w:rPr>
                <w:rFonts w:ascii="Calibri" w:hAnsi="Calibri"/>
                <w:b/>
                <w:bCs/>
                <w:color w:val="FFFFFF"/>
                <w:sz w:val="22"/>
                <w:szCs w:val="22"/>
                <w:lang w:eastAsia="en-GB"/>
              </w:rPr>
            </w:pPr>
            <w:r w:rsidRPr="0048697E">
              <w:rPr>
                <w:rFonts w:ascii="Calibri" w:hAnsi="Calibri"/>
                <w:b/>
                <w:bCs/>
                <w:color w:val="FFFFFF"/>
                <w:sz w:val="22"/>
                <w:szCs w:val="22"/>
                <w:lang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660414" w:rsidRPr="0048697E" w:rsidRDefault="00660414" w:rsidP="007613DE">
            <w:pPr>
              <w:jc w:val="center"/>
              <w:rPr>
                <w:rFonts w:ascii="Calibri" w:hAnsi="Calibri"/>
                <w:b/>
                <w:bCs/>
                <w:color w:val="FFFFFF"/>
                <w:sz w:val="22"/>
                <w:szCs w:val="22"/>
                <w:lang w:eastAsia="en-GB"/>
              </w:rPr>
            </w:pPr>
            <w:r w:rsidRPr="0048697E">
              <w:rPr>
                <w:rFonts w:ascii="Calibri" w:hAnsi="Calibri"/>
                <w:b/>
                <w:bCs/>
                <w:color w:val="FFFFFF"/>
                <w:sz w:val="22"/>
                <w:szCs w:val="22"/>
                <w:lang w:eastAsia="en-GB"/>
              </w:rPr>
              <w:t>2020</w:t>
            </w:r>
          </w:p>
        </w:tc>
        <w:tc>
          <w:tcPr>
            <w:tcW w:w="960" w:type="dxa"/>
            <w:tcBorders>
              <w:top w:val="single" w:sz="8" w:space="0" w:color="auto"/>
              <w:left w:val="nil"/>
              <w:bottom w:val="single" w:sz="8" w:space="0" w:color="auto"/>
              <w:right w:val="nil"/>
            </w:tcBorders>
            <w:shd w:val="clear" w:color="000000" w:fill="376091"/>
            <w:noWrap/>
            <w:vAlign w:val="bottom"/>
            <w:hideMark/>
          </w:tcPr>
          <w:p w:rsidR="00660414" w:rsidRPr="0048697E" w:rsidRDefault="00660414" w:rsidP="007613DE">
            <w:pPr>
              <w:jc w:val="center"/>
              <w:rPr>
                <w:rFonts w:ascii="Calibri" w:hAnsi="Calibri"/>
                <w:b/>
                <w:bCs/>
                <w:color w:val="FFFFFF"/>
                <w:sz w:val="22"/>
                <w:szCs w:val="22"/>
                <w:lang w:eastAsia="en-GB"/>
              </w:rPr>
            </w:pPr>
            <w:r w:rsidRPr="0048697E">
              <w:rPr>
                <w:rFonts w:ascii="Calibri" w:hAnsi="Calibri"/>
                <w:b/>
                <w:bCs/>
                <w:color w:val="FFFFFF"/>
                <w:sz w:val="22"/>
                <w:szCs w:val="22"/>
                <w:lang w:eastAsia="en-GB"/>
              </w:rPr>
              <w:t>2030</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General</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Bulk</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4.22%</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5.00%</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4.38%</w:t>
            </w:r>
          </w:p>
        </w:tc>
      </w:tr>
      <w:tr w:rsidR="00660414" w:rsidRPr="0048697E" w:rsidTr="007613DE">
        <w:trPr>
          <w:trHeight w:val="6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Containers</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Oil</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Grain</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Fertiliser</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Cement</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Coal</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00"/>
          <w:jc w:val="center"/>
        </w:trPr>
        <w:tc>
          <w:tcPr>
            <w:tcW w:w="1116" w:type="dxa"/>
            <w:tcBorders>
              <w:top w:val="nil"/>
              <w:left w:val="single" w:sz="8" w:space="0" w:color="auto"/>
              <w:bottom w:val="nil"/>
              <w:right w:val="nil"/>
            </w:tcBorders>
            <w:shd w:val="clear" w:color="000000" w:fill="95B3D7"/>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Steel</w:t>
            </w:r>
          </w:p>
        </w:tc>
        <w:tc>
          <w:tcPr>
            <w:tcW w:w="960" w:type="dxa"/>
            <w:tcBorders>
              <w:top w:val="nil"/>
              <w:left w:val="nil"/>
              <w:bottom w:val="nil"/>
              <w:right w:val="single" w:sz="8" w:space="0" w:color="auto"/>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nil"/>
              <w:right w:val="nil"/>
            </w:tcBorders>
            <w:shd w:val="clear" w:color="000000" w:fill="DBE5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c>
          <w:tcPr>
            <w:tcW w:w="960" w:type="dxa"/>
            <w:tcBorders>
              <w:top w:val="nil"/>
              <w:left w:val="nil"/>
              <w:bottom w:val="nil"/>
              <w:right w:val="nil"/>
            </w:tcBorders>
            <w:shd w:val="clear" w:color="000000" w:fill="C5D9F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xml:space="preserve"> </w:t>
            </w:r>
          </w:p>
        </w:tc>
      </w:tr>
      <w:tr w:rsidR="00660414" w:rsidRPr="0048697E" w:rsidTr="007613DE">
        <w:trPr>
          <w:trHeight w:val="330"/>
          <w:jc w:val="center"/>
        </w:trPr>
        <w:tc>
          <w:tcPr>
            <w:tcW w:w="1116" w:type="dxa"/>
            <w:tcBorders>
              <w:top w:val="nil"/>
              <w:left w:val="single" w:sz="8" w:space="0" w:color="auto"/>
              <w:bottom w:val="single" w:sz="8" w:space="0" w:color="auto"/>
              <w:right w:val="nil"/>
            </w:tcBorders>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48697E">
              <w:rPr>
                <w:rFonts w:ascii="Gill Sans MT" w:hAnsi="Gill Sans MT"/>
                <w:color w:val="000000"/>
                <w:sz w:val="20"/>
                <w:szCs w:val="20"/>
                <w:lang w:eastAsia="en-GB"/>
              </w:rPr>
              <w:t>Other</w:t>
            </w:r>
          </w:p>
        </w:tc>
        <w:tc>
          <w:tcPr>
            <w:tcW w:w="960" w:type="dxa"/>
            <w:tcBorders>
              <w:top w:val="nil"/>
              <w:left w:val="nil"/>
              <w:bottom w:val="single" w:sz="8" w:space="0" w:color="auto"/>
              <w:right w:val="single" w:sz="8" w:space="0" w:color="auto"/>
            </w:tcBorders>
            <w:shd w:val="clear" w:color="000000" w:fill="C5D9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0.00%</w:t>
            </w:r>
          </w:p>
        </w:tc>
        <w:tc>
          <w:tcPr>
            <w:tcW w:w="266" w:type="dxa"/>
            <w:tcBorders>
              <w:top w:val="nil"/>
              <w:left w:val="nil"/>
              <w:bottom w:val="nil"/>
              <w:right w:val="nil"/>
            </w:tcBorders>
            <w:shd w:val="clear" w:color="000000" w:fill="254061"/>
            <w:noWrap/>
            <w:vAlign w:val="bottom"/>
            <w:hideMark/>
          </w:tcPr>
          <w:p w:rsidR="00660414" w:rsidRPr="0048697E" w:rsidRDefault="00660414" w:rsidP="007613DE">
            <w:pPr>
              <w:rPr>
                <w:rFonts w:ascii="Calibri" w:hAnsi="Calibri"/>
                <w:color w:val="000000"/>
                <w:sz w:val="22"/>
                <w:szCs w:val="22"/>
                <w:lang w:eastAsia="en-GB"/>
              </w:rPr>
            </w:pPr>
            <w:r w:rsidRPr="0048697E">
              <w:rPr>
                <w:rFonts w:ascii="Calibri" w:hAnsi="Calibri"/>
                <w:color w:val="000000"/>
                <w:sz w:val="22"/>
                <w:szCs w:val="22"/>
                <w:lang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0.00%</w:t>
            </w:r>
          </w:p>
        </w:tc>
        <w:tc>
          <w:tcPr>
            <w:tcW w:w="960" w:type="dxa"/>
            <w:tcBorders>
              <w:top w:val="nil"/>
              <w:left w:val="nil"/>
              <w:bottom w:val="single" w:sz="8" w:space="0" w:color="auto"/>
              <w:right w:val="nil"/>
            </w:tcBorders>
            <w:shd w:val="clear" w:color="000000" w:fill="C5D9F1"/>
            <w:noWrap/>
            <w:vAlign w:val="bottom"/>
            <w:hideMark/>
          </w:tcPr>
          <w:p w:rsidR="00660414" w:rsidRPr="0048697E" w:rsidRDefault="00660414" w:rsidP="007613DE">
            <w:pPr>
              <w:jc w:val="right"/>
              <w:rPr>
                <w:rFonts w:ascii="Calibri" w:hAnsi="Calibri"/>
                <w:color w:val="000000"/>
                <w:sz w:val="22"/>
                <w:szCs w:val="22"/>
                <w:lang w:eastAsia="en-GB"/>
              </w:rPr>
            </w:pPr>
            <w:r w:rsidRPr="0048697E">
              <w:rPr>
                <w:rFonts w:ascii="Calibri" w:hAnsi="Calibri"/>
                <w:color w:val="000000"/>
                <w:sz w:val="22"/>
                <w:szCs w:val="22"/>
                <w:lang w:eastAsia="en-GB"/>
              </w:rPr>
              <w:t>0.00%</w:t>
            </w:r>
          </w:p>
        </w:tc>
      </w:tr>
    </w:tbl>
    <w:p w:rsidR="00660414" w:rsidRDefault="00660414" w:rsidP="00A4081F">
      <w:pPr>
        <w:pStyle w:val="NumberedParas"/>
      </w:pPr>
      <w:r>
        <w:t>There are no current or future capacity issues identified at this port.</w:t>
      </w:r>
    </w:p>
    <w:p w:rsidR="00660414" w:rsidRPr="000A76BD" w:rsidRDefault="00660414" w:rsidP="00A4081F">
      <w:pPr>
        <w:pStyle w:val="NumberedParas"/>
      </w:pPr>
      <w:r w:rsidRPr="009E47B8">
        <w:t>Moldova Veche is able to handle bulk and general cargo.</w:t>
      </w:r>
      <w:r>
        <w:t xml:space="preserve"> </w:t>
      </w:r>
      <w:r>
        <w:rPr>
          <w:noProof/>
          <w:lang w:eastAsia="en-GB"/>
        </w:rPr>
        <w:t xml:space="preserve">The port has a theoretical maximum capacity of 374,000 tonnes however some of these berths are old and </w:t>
      </w:r>
      <w:r>
        <w:t>have</w:t>
      </w:r>
      <w:r>
        <w:rPr>
          <w:noProof/>
          <w:lang w:eastAsia="en-GB"/>
        </w:rPr>
        <w:t xml:space="preserve"> antiquated equipment meaning achieving the maximum capacity is not possible.</w:t>
      </w:r>
    </w:p>
    <w:p w:rsidR="00660414" w:rsidRPr="000A76BD" w:rsidRDefault="00660414" w:rsidP="00273D5E">
      <w:pPr>
        <w:pStyle w:val="BulletLevel1"/>
      </w:pPr>
      <w:r w:rsidRPr="009E47B8">
        <w:rPr>
          <w:b/>
        </w:rPr>
        <w:t>Problem:</w:t>
      </w:r>
      <w:r w:rsidRPr="009E47B8">
        <w:t xml:space="preserve"> The infrastructure at Moldova Veche is inadequate and inefficient. This is reflected by the low volumes handled</w:t>
      </w:r>
    </w:p>
    <w:p w:rsidR="00660414" w:rsidRPr="000A76BD" w:rsidRDefault="00660414" w:rsidP="00273D5E">
      <w:pPr>
        <w:pStyle w:val="BulletLevel1"/>
      </w:pPr>
      <w:r w:rsidRPr="009E47B8">
        <w:t>Potential Solution: Development of the infrastructure</w:t>
      </w:r>
    </w:p>
    <w:p w:rsidR="00660414" w:rsidRPr="000A76BD" w:rsidRDefault="00660414" w:rsidP="00A4081F">
      <w:pPr>
        <w:pStyle w:val="NumberedParas"/>
      </w:pPr>
      <w:r w:rsidRPr="009E47B8">
        <w:t>This scheme would see the development of the infrastructure at Moldova Veche so that the port would be able to handle a wider variety of freight which will reduce the port’s reliability on volatile flow volumes.</w:t>
      </w:r>
    </w:p>
    <w:p w:rsidR="00660414" w:rsidRDefault="00660414" w:rsidP="00660414">
      <w:pPr>
        <w:rPr>
          <w:sz w:val="22"/>
          <w:szCs w:val="22"/>
        </w:rPr>
      </w:pPr>
      <w:r>
        <w:br w:type="page"/>
      </w:r>
    </w:p>
    <w:p w:rsidR="00660414" w:rsidRPr="000A76BD" w:rsidRDefault="00660414" w:rsidP="00A4081F">
      <w:pPr>
        <w:pStyle w:val="NumberedParas"/>
        <w:numPr>
          <w:ilvl w:val="0"/>
          <w:numId w:val="0"/>
        </w:numPr>
      </w:pPr>
      <w:r w:rsidRPr="008C5B1B">
        <w:t>Local Ports</w:t>
      </w:r>
    </w:p>
    <w:p w:rsidR="00660414" w:rsidRPr="000A76BD" w:rsidRDefault="00660414" w:rsidP="00660414">
      <w:pPr>
        <w:pStyle w:val="Heading7"/>
        <w:rPr>
          <w:szCs w:val="22"/>
        </w:rPr>
      </w:pPr>
      <w:r w:rsidRPr="008C5B1B">
        <w:rPr>
          <w:szCs w:val="22"/>
        </w:rPr>
        <w:t>Port of Drencova</w:t>
      </w:r>
    </w:p>
    <w:p w:rsidR="00660414" w:rsidRPr="000A76BD" w:rsidRDefault="00660414" w:rsidP="00A4081F">
      <w:pPr>
        <w:pStyle w:val="NumberedParas"/>
      </w:pPr>
      <w:r w:rsidRPr="008C5B1B">
        <w:t xml:space="preserve">The port of Drencova is a small port, handling fewer than five vessels a year at its single berth. As such it is not seen as currently requiring further development or study for the masterplan. </w:t>
      </w:r>
    </w:p>
    <w:p w:rsidR="00660414" w:rsidRPr="000A76BD" w:rsidRDefault="00660414" w:rsidP="00660414">
      <w:pPr>
        <w:pStyle w:val="Heading7"/>
        <w:rPr>
          <w:szCs w:val="22"/>
        </w:rPr>
      </w:pPr>
      <w:r w:rsidRPr="008C5B1B">
        <w:rPr>
          <w:szCs w:val="22"/>
        </w:rPr>
        <w:t>Port of Gruia</w:t>
      </w:r>
    </w:p>
    <w:p w:rsidR="00660414" w:rsidRPr="000A76BD" w:rsidRDefault="00660414" w:rsidP="00A4081F">
      <w:pPr>
        <w:pStyle w:val="NumberedParas"/>
      </w:pPr>
      <w:r w:rsidRPr="008C5B1B">
        <w:t>Gruia mostly handles bulk ballast and gravel and is a small port (1,000m</w:t>
      </w:r>
      <w:r>
        <w:rPr>
          <w:vertAlign w:val="superscript"/>
        </w:rPr>
        <w:t>2</w:t>
      </w:r>
      <w:r w:rsidRPr="008C5B1B">
        <w:t xml:space="preserve">) which does not require further assessment at this time due to its limited infrastructure and future development potential for alternative uses. </w:t>
      </w:r>
      <w:r>
        <w:t>Gruia handled no registered freight in 2011.</w:t>
      </w:r>
    </w:p>
    <w:p w:rsidR="00660414" w:rsidRPr="000A76BD" w:rsidRDefault="00660414" w:rsidP="00660414">
      <w:pPr>
        <w:pStyle w:val="Heading7"/>
        <w:rPr>
          <w:szCs w:val="22"/>
        </w:rPr>
      </w:pPr>
      <w:r w:rsidRPr="008C5B1B">
        <w:rPr>
          <w:szCs w:val="22"/>
        </w:rPr>
        <w:t>Port of Cetate</w:t>
      </w:r>
    </w:p>
    <w:p w:rsidR="00660414" w:rsidRPr="000A76BD" w:rsidRDefault="00660414" w:rsidP="00A4081F">
      <w:pPr>
        <w:pStyle w:val="NumberedParas"/>
      </w:pPr>
      <w:r w:rsidRPr="008C5B1B">
        <w:t>Similarly, Cetate is a port of limited current size (1,000m</w:t>
      </w:r>
      <w:r>
        <w:rPr>
          <w:vertAlign w:val="superscript"/>
        </w:rPr>
        <w:t>2</w:t>
      </w:r>
      <w:r w:rsidRPr="008C5B1B">
        <w:t xml:space="preserve">) which handles bulk ballast and gravel from the dredging of the Danube and is currently not seen to require further development at this time. </w:t>
      </w:r>
      <w:r>
        <w:t>Cetate handled no registered freight in 2011.</w:t>
      </w:r>
    </w:p>
    <w:p w:rsidR="00660414" w:rsidRPr="000A76BD" w:rsidRDefault="00660414" w:rsidP="00660414">
      <w:pPr>
        <w:pStyle w:val="Heading7"/>
        <w:rPr>
          <w:szCs w:val="22"/>
        </w:rPr>
      </w:pPr>
      <w:r w:rsidRPr="008C5B1B">
        <w:rPr>
          <w:szCs w:val="22"/>
        </w:rPr>
        <w:t>Port of Turnu Magurele</w:t>
      </w:r>
    </w:p>
    <w:p w:rsidR="00660414" w:rsidRPr="000A76BD" w:rsidRDefault="00660414" w:rsidP="00A4081F">
      <w:pPr>
        <w:pStyle w:val="NumberedParas"/>
      </w:pPr>
      <w:r w:rsidRPr="008C5B1B">
        <w:t>Turnu Magurele is associated mostly with the chemical/fertiliser plant which is located adjacent to the port, handling both the chemical inputs and the fertiliser output of the p</w:t>
      </w:r>
      <w:r>
        <w:t>lan</w:t>
      </w:r>
      <w:r w:rsidRPr="008C5B1B">
        <w:t xml:space="preserve">t. Its specialisation towards this industry and limited use for other purposes would suggest that further development should be pursued in collaboration with the fertiliser plant rather than solely through public funds. </w:t>
      </w:r>
    </w:p>
    <w:p w:rsidR="00660414" w:rsidRPr="000A76BD" w:rsidRDefault="00660414" w:rsidP="00660414">
      <w:pPr>
        <w:pStyle w:val="Heading7"/>
        <w:rPr>
          <w:szCs w:val="22"/>
        </w:rPr>
      </w:pPr>
      <w:r w:rsidRPr="008C5B1B">
        <w:rPr>
          <w:szCs w:val="22"/>
        </w:rPr>
        <w:t>Port of Zimnicea</w:t>
      </w:r>
    </w:p>
    <w:p w:rsidR="00660414" w:rsidRPr="000A76BD" w:rsidRDefault="00660414" w:rsidP="00A4081F">
      <w:pPr>
        <w:pStyle w:val="NumberedParas"/>
      </w:pPr>
      <w:r w:rsidRPr="008C5B1B">
        <w:t>The steel sector is one of the port</w:t>
      </w:r>
      <w:r>
        <w:t>’</w:t>
      </w:r>
      <w:r w:rsidRPr="008C5B1B">
        <w:t>s key users, along with some ballast shipment. Due to its close working relationship with the steel industry, it is recommended that any further development should be pursued in collaboration with this sector rather than solely through public funds as its alternative uses are currently limited.</w:t>
      </w:r>
    </w:p>
    <w:p w:rsidR="00660414" w:rsidRPr="000A76BD" w:rsidRDefault="00660414" w:rsidP="00660414">
      <w:pPr>
        <w:pStyle w:val="Heading7"/>
        <w:rPr>
          <w:szCs w:val="22"/>
        </w:rPr>
      </w:pPr>
      <w:r w:rsidRPr="008C5B1B">
        <w:rPr>
          <w:szCs w:val="22"/>
        </w:rPr>
        <w:t>Port of Harsova</w:t>
      </w:r>
    </w:p>
    <w:p w:rsidR="00660414" w:rsidRPr="000A76BD" w:rsidRDefault="00660414" w:rsidP="00A4081F">
      <w:pPr>
        <w:pStyle w:val="NumberedParas"/>
      </w:pPr>
      <w:r w:rsidRPr="008C5B1B">
        <w:t xml:space="preserve">The port of Harsova has a single basin with 500m of sloped quay; which aside from passenger services is currently only used for shipment of sand extracted from the river bed. It is not felt that further development of this port is needed at the current time. </w:t>
      </w:r>
    </w:p>
    <w:p w:rsidR="00660414" w:rsidRPr="000A76BD" w:rsidRDefault="00660414" w:rsidP="00660414">
      <w:pPr>
        <w:pStyle w:val="Heading7"/>
        <w:rPr>
          <w:szCs w:val="22"/>
        </w:rPr>
      </w:pPr>
      <w:r w:rsidRPr="008C5B1B">
        <w:rPr>
          <w:szCs w:val="22"/>
        </w:rPr>
        <w:t>Port of Turcoaia</w:t>
      </w:r>
    </w:p>
    <w:p w:rsidR="00660414" w:rsidRPr="000A76BD" w:rsidRDefault="00660414" w:rsidP="00A4081F">
      <w:pPr>
        <w:pStyle w:val="NumberedParas"/>
      </w:pPr>
      <w:r w:rsidRPr="008C5B1B">
        <w:t xml:space="preserve">The port of Turcoaia is focused on the processing of construction stone from the Dantana Lui Manole quarry. As such, there is currently little scope for alternative development and so it is not considered further within the masterplan. </w:t>
      </w:r>
    </w:p>
    <w:p w:rsidR="00660414" w:rsidRPr="000A76BD" w:rsidRDefault="00660414" w:rsidP="00660414">
      <w:pPr>
        <w:pStyle w:val="Heading7"/>
        <w:rPr>
          <w:szCs w:val="22"/>
        </w:rPr>
      </w:pPr>
      <w:r w:rsidRPr="008C5B1B">
        <w:rPr>
          <w:szCs w:val="22"/>
        </w:rPr>
        <w:t>Port of Macin</w:t>
      </w:r>
    </w:p>
    <w:p w:rsidR="00660414" w:rsidRPr="000A76BD" w:rsidRDefault="00660414" w:rsidP="00A4081F">
      <w:pPr>
        <w:pStyle w:val="NumberedParas"/>
        <w:rPr>
          <w:b/>
          <w:i/>
        </w:rPr>
      </w:pPr>
      <w:r w:rsidRPr="008C5B1B">
        <w:t xml:space="preserve">Macin handles stone for the domestic construction industry (including road infrastructure works) and is focused entirely on the shipment of this; as such it requires no further consideration at the current time as it is not </w:t>
      </w:r>
      <w:r>
        <w:t xml:space="preserve">suitable </w:t>
      </w:r>
      <w:r w:rsidRPr="008C5B1B">
        <w:t xml:space="preserve">for more general use. </w:t>
      </w:r>
    </w:p>
    <w:p w:rsidR="00660414" w:rsidRPr="000A76BD" w:rsidRDefault="00660414" w:rsidP="00660414">
      <w:pPr>
        <w:pStyle w:val="Heading7"/>
        <w:rPr>
          <w:szCs w:val="22"/>
        </w:rPr>
      </w:pPr>
      <w:r w:rsidRPr="008C5B1B">
        <w:rPr>
          <w:szCs w:val="22"/>
        </w:rPr>
        <w:t>Port of Gura Arman</w:t>
      </w:r>
    </w:p>
    <w:p w:rsidR="00660414" w:rsidRPr="000A76BD" w:rsidRDefault="00660414" w:rsidP="00A4081F">
      <w:pPr>
        <w:pStyle w:val="NumberedParas"/>
      </w:pPr>
      <w:r w:rsidRPr="008C5B1B">
        <w:t xml:space="preserve">Gura Arman is focused on handling stone from the Iacob-Deal quarry. As such, there is currently little scope for alternative development and so it is not considered further within the masterplan. </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Port of Isaccea</w:t>
      </w:r>
    </w:p>
    <w:p w:rsidR="00660414" w:rsidRPr="000A76BD" w:rsidRDefault="00660414" w:rsidP="00A4081F">
      <w:pPr>
        <w:pStyle w:val="NumberedParas"/>
      </w:pPr>
      <w:r w:rsidRPr="008C5B1B">
        <w:t>Isaccea operates exclusively with the construction industry in terms of transporting and handling wood, stone and sand, in particular for road infrastructure construction. Whilst this is important within this sector it is not currently foreseen that it will need development for more general goods traffic and further assessment was therefore not undertaken.</w:t>
      </w:r>
    </w:p>
    <w:p w:rsidR="00660414" w:rsidRPr="000A76BD" w:rsidRDefault="00660414" w:rsidP="00660414">
      <w:pPr>
        <w:pStyle w:val="Heading7"/>
        <w:rPr>
          <w:szCs w:val="22"/>
        </w:rPr>
      </w:pPr>
      <w:r w:rsidRPr="008C5B1B">
        <w:rPr>
          <w:szCs w:val="22"/>
        </w:rPr>
        <w:t>Port of Mahmudia</w:t>
      </w:r>
    </w:p>
    <w:p w:rsidR="00660414" w:rsidRPr="000A76BD" w:rsidRDefault="00660414" w:rsidP="00A4081F">
      <w:pPr>
        <w:pStyle w:val="NumberedParas"/>
      </w:pPr>
      <w:r w:rsidRPr="008C5B1B">
        <w:t>Mahmudia is focused on the domestic shipment of chalk for use at Mittal Steel at Galati; with no need for alternative use and so its development is therefore not considered further.</w:t>
      </w:r>
    </w:p>
    <w:p w:rsidR="00660414" w:rsidRPr="000A76BD" w:rsidRDefault="00660414" w:rsidP="00660414">
      <w:pPr>
        <w:pStyle w:val="Heading7"/>
        <w:rPr>
          <w:szCs w:val="22"/>
        </w:rPr>
      </w:pPr>
      <w:r w:rsidRPr="008C5B1B">
        <w:rPr>
          <w:szCs w:val="22"/>
        </w:rPr>
        <w:t>Port of Ovidiu</w:t>
      </w:r>
    </w:p>
    <w:p w:rsidR="00660414" w:rsidRPr="000A76BD" w:rsidRDefault="00660414" w:rsidP="00A4081F">
      <w:pPr>
        <w:pStyle w:val="NumberedParas"/>
      </w:pPr>
      <w:r w:rsidRPr="008C5B1B">
        <w:t>Ovidiu is a port located on the Poarta Alba-Midia Branch of the Danube-Black Sea Canal. The port has two berths and handled 529,000 tonnes in 2011. No problems have been found at Ovidiu.</w:t>
      </w:r>
    </w:p>
    <w:p w:rsidR="00660414" w:rsidRPr="000A76BD" w:rsidRDefault="00660414" w:rsidP="00660414">
      <w:pPr>
        <w:pStyle w:val="Heading7"/>
        <w:rPr>
          <w:szCs w:val="22"/>
        </w:rPr>
      </w:pPr>
      <w:r w:rsidRPr="008C5B1B">
        <w:rPr>
          <w:szCs w:val="22"/>
        </w:rPr>
        <w:t>Port of Chilia Veche</w:t>
      </w:r>
    </w:p>
    <w:p w:rsidR="00660414" w:rsidRPr="000A76BD" w:rsidRDefault="00660414" w:rsidP="00A4081F">
      <w:pPr>
        <w:pStyle w:val="NumberedParas"/>
      </w:pPr>
      <w:r w:rsidRPr="008C5B1B">
        <w:t>Chilia Veche currently handles little or no commercial freight traffic, rather it is focussed on passenger traffic. There are limited facilities for the operation and temporary storage of grain. As such is not considered further in this masterplan.</w:t>
      </w:r>
    </w:p>
    <w:p w:rsidR="00660414" w:rsidRPr="000A76BD" w:rsidRDefault="00660414" w:rsidP="00660414">
      <w:pPr>
        <w:pStyle w:val="Heading7"/>
        <w:rPr>
          <w:szCs w:val="22"/>
        </w:rPr>
      </w:pPr>
      <w:r w:rsidRPr="008C5B1B">
        <w:rPr>
          <w:szCs w:val="22"/>
        </w:rPr>
        <w:t>Port of Fetesti</w:t>
      </w:r>
    </w:p>
    <w:p w:rsidR="00660414" w:rsidRPr="000A76BD" w:rsidRDefault="00660414" w:rsidP="00A4081F">
      <w:pPr>
        <w:pStyle w:val="NumberedParas"/>
      </w:pPr>
      <w:r w:rsidRPr="008C5B1B">
        <w:t xml:space="preserve">Fetesti port is on the </w:t>
      </w:r>
      <w:r w:rsidRPr="008C5B1B">
        <w:rPr>
          <w:i/>
        </w:rPr>
        <w:t xml:space="preserve">Bratul Borcea </w:t>
      </w:r>
      <w:r w:rsidRPr="008C5B1B">
        <w:t>part of the River Danube. The port is not a significant freight operation. No problems have been identified at Fetesti.</w:t>
      </w:r>
    </w:p>
    <w:p w:rsidR="00660414" w:rsidRPr="000A76BD" w:rsidRDefault="00660414" w:rsidP="00660414">
      <w:pPr>
        <w:pStyle w:val="Heading7"/>
        <w:rPr>
          <w:szCs w:val="22"/>
        </w:rPr>
      </w:pPr>
      <w:r w:rsidRPr="008C5B1B">
        <w:rPr>
          <w:szCs w:val="22"/>
        </w:rPr>
        <w:t>Port of Tisovita</w:t>
      </w:r>
    </w:p>
    <w:p w:rsidR="00660414" w:rsidRPr="000A76BD" w:rsidRDefault="00660414" w:rsidP="00A4081F">
      <w:pPr>
        <w:pStyle w:val="NumberedParas"/>
      </w:pPr>
      <w:r w:rsidRPr="008C5B1B">
        <w:t>Tisovita port is not a significant freight operation and did not handle any freight in 2010 and 2011. No problems have been identified at Tisovita.</w:t>
      </w:r>
    </w:p>
    <w:p w:rsidR="00660414" w:rsidRPr="000A76BD" w:rsidRDefault="00660414" w:rsidP="00660414">
      <w:pPr>
        <w:pStyle w:val="Heading7"/>
        <w:rPr>
          <w:szCs w:val="22"/>
        </w:rPr>
      </w:pPr>
      <w:r w:rsidRPr="008C5B1B">
        <w:rPr>
          <w:szCs w:val="22"/>
        </w:rPr>
        <w:t>Port of Rast</w:t>
      </w:r>
    </w:p>
    <w:p w:rsidR="00660414" w:rsidRPr="000A76BD" w:rsidRDefault="00660414" w:rsidP="00A4081F">
      <w:pPr>
        <w:pStyle w:val="NumberedParas"/>
      </w:pPr>
      <w:r w:rsidRPr="008C5B1B">
        <w:t>Rast port is on the River Danube in the shared Romanian-Bulgarian section. The port is a very small operation.</w:t>
      </w:r>
    </w:p>
    <w:p w:rsidR="00660414" w:rsidRPr="000A76BD" w:rsidRDefault="00660414" w:rsidP="00660414">
      <w:pPr>
        <w:pStyle w:val="Heading7"/>
        <w:rPr>
          <w:szCs w:val="22"/>
        </w:rPr>
      </w:pPr>
      <w:r w:rsidRPr="008C5B1B">
        <w:rPr>
          <w:szCs w:val="22"/>
        </w:rPr>
        <w:t>Port of Bazias</w:t>
      </w:r>
    </w:p>
    <w:p w:rsidR="00660414" w:rsidRPr="000A76BD" w:rsidRDefault="00660414" w:rsidP="00A4081F">
      <w:pPr>
        <w:pStyle w:val="NumberedParas"/>
      </w:pPr>
      <w:r w:rsidRPr="008C5B1B">
        <w:t>Bazias port is on the River Danube close to the border with Serbia. The port is a very small operation.</w:t>
      </w:r>
    </w:p>
    <w:p w:rsidR="00660414" w:rsidRPr="000A76BD" w:rsidRDefault="00660414" w:rsidP="00660414">
      <w:pPr>
        <w:pStyle w:val="Heading7"/>
        <w:rPr>
          <w:szCs w:val="22"/>
        </w:rPr>
      </w:pPr>
      <w:r w:rsidRPr="008C5B1B">
        <w:rPr>
          <w:szCs w:val="22"/>
        </w:rPr>
        <w:t>Port of Luminita</w:t>
      </w:r>
    </w:p>
    <w:p w:rsidR="00660414" w:rsidRPr="000A76BD" w:rsidRDefault="00660414" w:rsidP="00A4081F">
      <w:pPr>
        <w:pStyle w:val="NumberedParas"/>
      </w:pPr>
      <w:r w:rsidRPr="008C5B1B">
        <w:t>Luminita port is part of the Danube-Black Sea Canal authority’s (ACN) network of ports. It is close to Midia port (Constanta’s satellite port). Whilst Luminita handles some freight, this is mainly mineral products. Luminita’s proximity to Midia and Constanta means most freight generated in the area would be handled at these ports.</w:t>
      </w:r>
    </w:p>
    <w:p w:rsidR="00660414" w:rsidRDefault="00660414" w:rsidP="00660414">
      <w:pPr>
        <w:rPr>
          <w:sz w:val="22"/>
          <w:szCs w:val="22"/>
        </w:rPr>
      </w:pPr>
      <w:r>
        <w:br w:type="page"/>
      </w:r>
    </w:p>
    <w:p w:rsidR="00660414" w:rsidRPr="000A76BD" w:rsidRDefault="00660414" w:rsidP="00A4081F">
      <w:pPr>
        <w:pStyle w:val="NumberedParas"/>
        <w:numPr>
          <w:ilvl w:val="0"/>
          <w:numId w:val="0"/>
        </w:numPr>
      </w:pPr>
      <w:r w:rsidRPr="008C5B1B">
        <w:t>Waterways</w:t>
      </w:r>
    </w:p>
    <w:p w:rsidR="00660414" w:rsidRPr="000A76BD" w:rsidRDefault="00660414" w:rsidP="00660414">
      <w:pPr>
        <w:pStyle w:val="Heading7"/>
        <w:rPr>
          <w:szCs w:val="22"/>
        </w:rPr>
      </w:pPr>
      <w:r w:rsidRPr="008C5B1B">
        <w:rPr>
          <w:szCs w:val="22"/>
        </w:rPr>
        <w:t>River Danube</w:t>
      </w:r>
    </w:p>
    <w:p w:rsidR="00660414" w:rsidRPr="000A76BD" w:rsidRDefault="00660414" w:rsidP="00A4081F">
      <w:pPr>
        <w:pStyle w:val="NumberedParas"/>
      </w:pPr>
      <w:r w:rsidRPr="008C5B1B">
        <w:t>The Danube is a Class VII river under UN categorisation. It flows for approximately 1,075km within Romania and hence is a significant natural transport corridor forming much of Romania’s southern border with Bulgaria. The Danube-Black Sea Canal directly links Romania’s major seaport Constanta to the Danube. The Danube carries 9% of all freight in Romania (source: INSSE, year 2011), in terms of tonnes of transported commodities. There are some major settlements and industries located along the Danube corridor but many major settlements are not located on the waterway network (including Bucharest) and much of the country is poorly connected to the river.</w:t>
      </w:r>
    </w:p>
    <w:p w:rsidR="00660414" w:rsidRPr="000A76BD" w:rsidRDefault="00660414" w:rsidP="00660414">
      <w:pPr>
        <w:pStyle w:val="Heading7"/>
        <w:rPr>
          <w:szCs w:val="22"/>
        </w:rPr>
      </w:pPr>
      <w:r w:rsidRPr="008C5B1B">
        <w:rPr>
          <w:szCs w:val="22"/>
        </w:rPr>
        <w:t>Danube – Black Sea Canal</w:t>
      </w:r>
    </w:p>
    <w:p w:rsidR="00660414" w:rsidRPr="000A76BD" w:rsidRDefault="00660414" w:rsidP="00A4081F">
      <w:pPr>
        <w:pStyle w:val="NumberedParas"/>
      </w:pPr>
      <w:r w:rsidRPr="008C5B1B">
        <w:t>The Danube-Black Sea Canal was created to provide a shorter link to the Black Sea from the Danube, thereby avoiding having to navigate the difficult Danube delta. The canal bifurcates with the main canal going south towards the port of Constanta at Agigea. The north canal reaches the Black Sea at Midia port.</w:t>
      </w:r>
    </w:p>
    <w:p w:rsidR="00660414" w:rsidRPr="000A76BD" w:rsidRDefault="00660414" w:rsidP="00A4081F">
      <w:pPr>
        <w:pStyle w:val="NumberedParas"/>
      </w:pPr>
      <w:r w:rsidRPr="008C5B1B">
        <w:t>The Danube-Black Sea Canal was designed to facilitate the transit of convoys comprising as much as 6 towed barges, up to 3,000 tonnes each (therefore up to 18,000 tonnes per convoy). Ships of up to 5,000 tonnes (as well as respecting the maximum dimensions) can pass through the canal.</w:t>
      </w:r>
    </w:p>
    <w:p w:rsidR="00660414" w:rsidRPr="000A76BD" w:rsidRDefault="00660414" w:rsidP="00A4081F">
      <w:pPr>
        <w:pStyle w:val="NumberedParas"/>
      </w:pPr>
      <w:r w:rsidRPr="008C5B1B">
        <w:t>The Danube-Black Sea Canal has handled the following domestic and international tonnages (Figure 6.</w:t>
      </w:r>
      <w:r>
        <w:t>3</w:t>
      </w:r>
      <w:r w:rsidRPr="008C5B1B">
        <w:t>)</w:t>
      </w:r>
    </w:p>
    <w:p w:rsidR="00660414" w:rsidRDefault="00660414" w:rsidP="00A4081F">
      <w:pPr>
        <w:pStyle w:val="NumberedParas"/>
        <w:numPr>
          <w:ilvl w:val="0"/>
          <w:numId w:val="0"/>
        </w:numPr>
      </w:pPr>
      <w:r w:rsidRPr="008C5B1B">
        <w:rPr>
          <w:noProof/>
          <w:lang w:val="ro-RO" w:eastAsia="ro-RO"/>
        </w:rPr>
        <w:drawing>
          <wp:inline distT="0" distB="0" distL="0" distR="0" wp14:anchorId="1BD4835F" wp14:editId="42C0881D">
            <wp:extent cx="4572000" cy="2743200"/>
            <wp:effectExtent l="19050" t="0" r="19050" b="0"/>
            <wp:docPr id="1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3</w:t>
      </w:r>
      <w:r w:rsidRPr="008C5B1B">
        <w:rPr>
          <w:b/>
          <w:noProof/>
          <w:sz w:val="22"/>
          <w:szCs w:val="22"/>
          <w:lang w:eastAsia="en-GB"/>
        </w:rPr>
        <w:t xml:space="preserve"> – Annual Water Freight Tonnes Handled by Danube-Black Sea Canal</w:t>
      </w:r>
    </w:p>
    <w:p w:rsidR="00660414" w:rsidRPr="008C5B1B" w:rsidRDefault="00660414" w:rsidP="00A4081F">
      <w:pPr>
        <w:pStyle w:val="NumberedParas"/>
        <w:rPr>
          <w:b/>
          <w:i/>
          <w:noProof/>
          <w:lang w:eastAsia="en-GB"/>
        </w:rPr>
      </w:pPr>
      <w:r w:rsidRPr="008C5B1B">
        <w:rPr>
          <w:noProof/>
          <w:lang w:eastAsia="en-GB"/>
        </w:rPr>
        <w:t xml:space="preserve">A high proportion of the 2013 tonnes are international in nature and this reflects the fact that the Danube-Black Sea Canal (and the River Danube it connects) is an international waterway allowing landlocked countries access to the </w:t>
      </w:r>
      <w:r w:rsidRPr="008C5B1B">
        <w:t>rest</w:t>
      </w:r>
      <w:r w:rsidRPr="008C5B1B">
        <w:rPr>
          <w:noProof/>
          <w:lang w:eastAsia="en-GB"/>
        </w:rPr>
        <w:t xml:space="preserve"> of the world. Tonnages have increased between 2009 and 2013 and this will be due to recovery from the economic crisis. The Danube-Black Sea Canal’s peak year was in 2005 when it handled over 15m tonnes. 2013 was its second busiest year on record (by tonnage handled).</w:t>
      </w:r>
    </w:p>
    <w:p w:rsidR="00660414" w:rsidRPr="008C5B1B" w:rsidRDefault="00660414" w:rsidP="00660414">
      <w:pPr>
        <w:pStyle w:val="Heading7"/>
        <w:rPr>
          <w:noProof/>
          <w:szCs w:val="22"/>
          <w:lang w:eastAsia="en-GB"/>
        </w:rPr>
      </w:pPr>
      <w:r w:rsidRPr="008C5B1B">
        <w:rPr>
          <w:noProof/>
          <w:szCs w:val="22"/>
          <w:lang w:eastAsia="en-GB"/>
        </w:rPr>
        <w:t>Sulina Channel</w:t>
      </w:r>
    </w:p>
    <w:p w:rsidR="00660414" w:rsidRDefault="00660414" w:rsidP="00A4081F">
      <w:pPr>
        <w:pStyle w:val="NumberedParas"/>
        <w:rPr>
          <w:noProof/>
          <w:lang w:eastAsia="en-GB"/>
        </w:rPr>
      </w:pPr>
      <w:r w:rsidRPr="008C5B1B">
        <w:rPr>
          <w:noProof/>
          <w:lang w:eastAsia="en-GB"/>
        </w:rPr>
        <w:t>The Sulina Channel (also referred to as the Sulina Branch) is located in the Danube Delta.</w:t>
      </w:r>
      <w:r w:rsidRPr="009B62A9">
        <w:rPr>
          <w:noProof/>
          <w:lang w:eastAsia="en-GB"/>
        </w:rPr>
        <w:t xml:space="preserve"> </w:t>
      </w:r>
      <w:r w:rsidRPr="00D601AC">
        <w:rPr>
          <w:noProof/>
          <w:lang w:eastAsia="en-GB"/>
        </w:rPr>
        <w:t>The town of Sulina sits at the mouth of the Sulina Channel, on the Black Sea.</w:t>
      </w:r>
      <w:r>
        <w:rPr>
          <w:noProof/>
          <w:lang w:eastAsia="en-GB"/>
        </w:rPr>
        <w:t xml:space="preserve"> Sulina</w:t>
      </w:r>
      <w:r w:rsidRPr="008C5B1B">
        <w:rPr>
          <w:noProof/>
          <w:lang w:eastAsia="en-GB"/>
        </w:rPr>
        <w:t xml:space="preserve"> is </w:t>
      </w:r>
      <w:r>
        <w:rPr>
          <w:noProof/>
          <w:lang w:eastAsia="en-GB"/>
        </w:rPr>
        <w:t>the shortest</w:t>
      </w:r>
      <w:r w:rsidRPr="008C5B1B">
        <w:rPr>
          <w:noProof/>
          <w:lang w:eastAsia="en-GB"/>
        </w:rPr>
        <w:t xml:space="preserve"> of the three main branches</w:t>
      </w:r>
      <w:r>
        <w:rPr>
          <w:noProof/>
          <w:lang w:eastAsia="en-GB"/>
        </w:rPr>
        <w:t xml:space="preserve"> (the others being Chilia branch and Sfantul Gheorghe branch)</w:t>
      </w:r>
      <w:r w:rsidRPr="008C5B1B">
        <w:rPr>
          <w:noProof/>
          <w:lang w:eastAsia="en-GB"/>
        </w:rPr>
        <w:t xml:space="preserve">. </w:t>
      </w:r>
      <w:r>
        <w:rPr>
          <w:noProof/>
          <w:lang w:eastAsia="en-GB"/>
        </w:rPr>
        <w:t>Its short length means it is the preferred choice for navigation (navigation for major vessels is not recommended on the other channels) and Sulina has received dredging to ensure navigability.</w:t>
      </w:r>
    </w:p>
    <w:p w:rsidR="00660414" w:rsidRDefault="00660414" w:rsidP="00A4081F">
      <w:pPr>
        <w:pStyle w:val="NumberedParas"/>
        <w:rPr>
          <w:noProof/>
          <w:lang w:eastAsia="en-GB"/>
        </w:rPr>
      </w:pPr>
      <w:r w:rsidRPr="008C5B1B">
        <w:rPr>
          <w:noProof/>
          <w:lang w:eastAsia="en-GB"/>
        </w:rPr>
        <w:t xml:space="preserve">Depths in the </w:t>
      </w:r>
      <w:r>
        <w:rPr>
          <w:noProof/>
          <w:lang w:eastAsia="en-GB"/>
        </w:rPr>
        <w:t>Sulina Channe</w:t>
      </w:r>
      <w:r w:rsidRPr="008C5B1B">
        <w:rPr>
          <w:noProof/>
          <w:lang w:eastAsia="en-GB"/>
        </w:rPr>
        <w:t>l range from 10m to 14m</w:t>
      </w:r>
      <w:r>
        <w:rPr>
          <w:noProof/>
          <w:lang w:eastAsia="en-GB"/>
        </w:rPr>
        <w:t xml:space="preserve"> and</w:t>
      </w:r>
      <w:r w:rsidRPr="008C5B1B">
        <w:rPr>
          <w:noProof/>
          <w:lang w:eastAsia="en-GB"/>
        </w:rPr>
        <w:t xml:space="preserve"> </w:t>
      </w:r>
      <w:r>
        <w:rPr>
          <w:noProof/>
          <w:lang w:eastAsia="en-GB"/>
        </w:rPr>
        <w:t>repeated</w:t>
      </w:r>
      <w:r w:rsidRPr="008C5B1B">
        <w:rPr>
          <w:noProof/>
          <w:lang w:eastAsia="en-GB"/>
        </w:rPr>
        <w:t xml:space="preserve"> dredging allows vessels of max</w:t>
      </w:r>
      <w:r>
        <w:rPr>
          <w:noProof/>
          <w:lang w:eastAsia="en-GB"/>
        </w:rPr>
        <w:t>imum</w:t>
      </w:r>
      <w:r w:rsidRPr="008C5B1B">
        <w:rPr>
          <w:noProof/>
          <w:lang w:eastAsia="en-GB"/>
        </w:rPr>
        <w:t xml:space="preserve"> draft 7.32m to berth.</w:t>
      </w:r>
      <w:r>
        <w:rPr>
          <w:noProof/>
          <w:lang w:eastAsia="en-GB"/>
        </w:rPr>
        <w:t xml:space="preserve"> Varying draught restrictions can be enforced and so vessel captains must check before using the channel.</w:t>
      </w:r>
      <w:r w:rsidRPr="008C5B1B">
        <w:rPr>
          <w:noProof/>
          <w:lang w:eastAsia="en-GB"/>
        </w:rPr>
        <w:t xml:space="preserve"> Ice may form during Feb</w:t>
      </w:r>
      <w:r>
        <w:rPr>
          <w:noProof/>
          <w:lang w:eastAsia="en-GB"/>
        </w:rPr>
        <w:t>ruary</w:t>
      </w:r>
      <w:r w:rsidRPr="008C5B1B">
        <w:rPr>
          <w:noProof/>
          <w:lang w:eastAsia="en-GB"/>
        </w:rPr>
        <w:t xml:space="preserve"> and Mar</w:t>
      </w:r>
      <w:r>
        <w:rPr>
          <w:noProof/>
          <w:lang w:eastAsia="en-GB"/>
        </w:rPr>
        <w:t>ch</w:t>
      </w:r>
      <w:r w:rsidRPr="008C5B1B">
        <w:rPr>
          <w:noProof/>
          <w:lang w:eastAsia="en-GB"/>
        </w:rPr>
        <w:t xml:space="preserve"> </w:t>
      </w:r>
      <w:r>
        <w:rPr>
          <w:noProof/>
          <w:lang w:eastAsia="en-GB"/>
        </w:rPr>
        <w:t>and</w:t>
      </w:r>
      <w:r w:rsidRPr="008C5B1B">
        <w:rPr>
          <w:noProof/>
          <w:lang w:eastAsia="en-GB"/>
        </w:rPr>
        <w:t xml:space="preserve"> the port</w:t>
      </w:r>
      <w:r>
        <w:rPr>
          <w:noProof/>
          <w:lang w:eastAsia="en-GB"/>
        </w:rPr>
        <w:t xml:space="preserve"> at Sulina is kept open by icebreakers.</w:t>
      </w:r>
    </w:p>
    <w:p w:rsidR="00660414" w:rsidRPr="008C5B1B" w:rsidRDefault="00660414" w:rsidP="00A4081F">
      <w:pPr>
        <w:pStyle w:val="NumberedParas"/>
        <w:rPr>
          <w:noProof/>
          <w:lang w:eastAsia="en-GB"/>
        </w:rPr>
      </w:pPr>
      <w:r>
        <w:rPr>
          <w:noProof/>
          <w:lang w:eastAsia="en-GB"/>
        </w:rPr>
        <w:t>Vessels are charged a transit fee (based on vessel weight) to use the Sulina Channel.</w:t>
      </w:r>
    </w:p>
    <w:p w:rsidR="00660414" w:rsidRDefault="00660414" w:rsidP="00660414">
      <w:pPr>
        <w:rPr>
          <w:b/>
          <w:i/>
          <w:noProof/>
          <w:color w:val="9E0880"/>
          <w:sz w:val="22"/>
          <w:szCs w:val="22"/>
          <w:lang w:val="ro-RO" w:eastAsia="en-GB"/>
        </w:rPr>
      </w:pPr>
      <w:r>
        <w:rPr>
          <w:noProof/>
          <w:lang w:eastAsia="en-GB"/>
        </w:rPr>
        <w:br w:type="page"/>
      </w:r>
    </w:p>
    <w:p w:rsidR="00660414" w:rsidRPr="008C5B1B" w:rsidRDefault="00660414" w:rsidP="00660414">
      <w:pPr>
        <w:pStyle w:val="Hdg3"/>
        <w:rPr>
          <w:noProof/>
          <w:lang w:eastAsia="en-GB"/>
        </w:rPr>
      </w:pPr>
      <w:r w:rsidRPr="008C5B1B">
        <w:rPr>
          <w:noProof/>
          <w:lang w:eastAsia="en-GB"/>
        </w:rPr>
        <w:t>Futur</w:t>
      </w:r>
      <w:r w:rsidRPr="008C5B1B">
        <w:t>e Tr</w:t>
      </w:r>
      <w:r w:rsidRPr="008C5B1B">
        <w:rPr>
          <w:noProof/>
          <w:lang w:eastAsia="en-GB"/>
        </w:rPr>
        <w:t>ends in Water Freight Transport</w:t>
      </w:r>
    </w:p>
    <w:p w:rsidR="00660414" w:rsidRPr="008C5B1B" w:rsidRDefault="00660414" w:rsidP="00660414">
      <w:pPr>
        <w:pStyle w:val="Heading7"/>
        <w:rPr>
          <w:noProof/>
          <w:szCs w:val="22"/>
          <w:lang w:eastAsia="en-GB"/>
        </w:rPr>
      </w:pPr>
      <w:r w:rsidRPr="008C5B1B">
        <w:rPr>
          <w:noProof/>
          <w:szCs w:val="22"/>
          <w:lang w:eastAsia="en-GB"/>
        </w:rPr>
        <w:t>Constanta</w:t>
      </w:r>
    </w:p>
    <w:p w:rsidR="00660414" w:rsidRPr="008C5B1B" w:rsidRDefault="00660414" w:rsidP="00A4081F">
      <w:pPr>
        <w:pStyle w:val="NumberedParas"/>
        <w:rPr>
          <w:noProof/>
          <w:lang w:eastAsia="en-GB"/>
        </w:rPr>
      </w:pPr>
      <w:r w:rsidRPr="008C5B1B">
        <w:rPr>
          <w:noProof/>
          <w:lang w:eastAsia="en-GB"/>
        </w:rPr>
        <w:t>Figure 6.4 shows the future trends for Constanta port in terms of river freight</w:t>
      </w:r>
    </w:p>
    <w:p w:rsidR="00660414" w:rsidRPr="00D601AC"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6F3287A4" wp14:editId="008A86E2">
            <wp:extent cx="4572762" cy="2745975"/>
            <wp:effectExtent l="19050" t="0" r="18288" b="0"/>
            <wp:docPr id="144"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660414" w:rsidRPr="00D601AC"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4</w:t>
      </w:r>
      <w:r w:rsidRPr="008C5B1B">
        <w:rPr>
          <w:b/>
          <w:noProof/>
          <w:sz w:val="22"/>
          <w:szCs w:val="22"/>
          <w:lang w:eastAsia="en-GB"/>
        </w:rPr>
        <w:t xml:space="preserve"> – Annual Water Freight Tonnes Handled by Constanta</w:t>
      </w:r>
    </w:p>
    <w:p w:rsidR="00660414" w:rsidRPr="000A76BD" w:rsidRDefault="00660414" w:rsidP="00A4081F">
      <w:pPr>
        <w:pStyle w:val="NumberedParas"/>
        <w:rPr>
          <w:noProof/>
          <w:lang w:eastAsia="en-GB"/>
        </w:rPr>
      </w:pPr>
      <w:r w:rsidRPr="008C5B1B">
        <w:rPr>
          <w:noProof/>
          <w:lang w:eastAsia="en-GB"/>
        </w:rPr>
        <w:t>Figure 6.</w:t>
      </w:r>
      <w:r>
        <w:rPr>
          <w:noProof/>
          <w:lang w:eastAsia="en-GB"/>
        </w:rPr>
        <w:t>4</w:t>
      </w:r>
      <w:r w:rsidRPr="008C5B1B">
        <w:rPr>
          <w:noProof/>
          <w:lang w:eastAsia="en-GB"/>
        </w:rPr>
        <w:t xml:space="preserve"> shows that despite a slight drop in the number of tonnes handled b</w:t>
      </w:r>
      <w:r w:rsidRPr="008C5B1B">
        <w:rPr>
          <w:b/>
          <w:i/>
          <w:noProof/>
          <w:lang w:eastAsia="en-GB"/>
        </w:rPr>
        <w:t>y</w:t>
      </w:r>
      <w:r w:rsidRPr="008C5B1B">
        <w:rPr>
          <w:noProof/>
          <w:lang w:eastAsia="en-GB"/>
        </w:rPr>
        <w:t xml:space="preserve"> Constanta between 2011 and 2020, between 2020 and 2030 the number of water freight tonnes handled by the port</w:t>
      </w:r>
      <w:r>
        <w:rPr>
          <w:noProof/>
          <w:lang w:eastAsia="en-GB"/>
        </w:rPr>
        <w:t xml:space="preserve"> is forecast to</w:t>
      </w:r>
      <w:r w:rsidRPr="008C5B1B">
        <w:rPr>
          <w:noProof/>
          <w:lang w:eastAsia="en-GB"/>
        </w:rPr>
        <w:t xml:space="preserve"> increase.</w:t>
      </w:r>
    </w:p>
    <w:p w:rsidR="00660414" w:rsidRDefault="00660414" w:rsidP="00660414">
      <w:pPr>
        <w:rPr>
          <w:sz w:val="22"/>
          <w:szCs w:val="22"/>
        </w:rPr>
      </w:pPr>
      <w:r>
        <w:rPr>
          <w:sz w:val="22"/>
          <w:szCs w:val="22"/>
        </w:rPr>
        <w:br w:type="page"/>
      </w:r>
    </w:p>
    <w:p w:rsidR="00660414" w:rsidRPr="000A76BD" w:rsidRDefault="00660414" w:rsidP="00660414">
      <w:pPr>
        <w:spacing w:line="276" w:lineRule="auto"/>
        <w:rPr>
          <w:b/>
          <w:sz w:val="22"/>
          <w:szCs w:val="22"/>
          <w:u w:val="single"/>
          <w:lang w:val="ro-RO"/>
        </w:rPr>
      </w:pPr>
      <w:r w:rsidRPr="008C5B1B">
        <w:rPr>
          <w:b/>
          <w:sz w:val="22"/>
          <w:szCs w:val="22"/>
          <w:u w:val="single"/>
          <w:lang w:val="ro-RO"/>
        </w:rPr>
        <w:t>Danube Ports</w:t>
      </w:r>
    </w:p>
    <w:p w:rsidR="00660414" w:rsidRPr="000A76BD" w:rsidRDefault="00660414" w:rsidP="00A4081F">
      <w:pPr>
        <w:pStyle w:val="NumberedParas"/>
      </w:pPr>
      <w:r w:rsidRPr="008C5B1B">
        <w:t>Figure 6.</w:t>
      </w:r>
      <w:r>
        <w:t>5</w:t>
      </w:r>
      <w:r w:rsidRPr="008C5B1B">
        <w:t xml:space="preserve"> shows that the future trends for the Danube ports that are part of the Primary Economic Network (see section </w:t>
      </w:r>
      <w:r>
        <w:t>6</w:t>
      </w:r>
      <w:r w:rsidRPr="008C5B1B">
        <w:t>.1.2 for further information on the Primary Economic Network).</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5D653995" wp14:editId="0F5EECCA">
            <wp:extent cx="4572762" cy="2802691"/>
            <wp:effectExtent l="19050" t="0" r="18288" b="0"/>
            <wp:docPr id="145"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.5</w:t>
      </w:r>
      <w:r w:rsidRPr="008C5B1B">
        <w:rPr>
          <w:b/>
          <w:noProof/>
          <w:sz w:val="22"/>
          <w:szCs w:val="22"/>
          <w:lang w:eastAsia="en-GB"/>
        </w:rPr>
        <w:t xml:space="preserve"> – Annual Water Freight Tonnes Handled by Danube Ports that are part of the Primary Economic Network</w:t>
      </w:r>
    </w:p>
    <w:p w:rsidR="00660414" w:rsidRPr="000A76BD" w:rsidRDefault="00660414" w:rsidP="00A4081F">
      <w:pPr>
        <w:pStyle w:val="NumberedParas"/>
        <w:rPr>
          <w:noProof/>
          <w:lang w:eastAsia="en-GB"/>
        </w:rPr>
      </w:pPr>
      <w:r w:rsidRPr="008C5B1B">
        <w:rPr>
          <w:noProof/>
          <w:lang w:eastAsia="en-GB"/>
        </w:rPr>
        <w:t>Figure 6.</w:t>
      </w:r>
      <w:r>
        <w:rPr>
          <w:noProof/>
          <w:lang w:eastAsia="en-GB"/>
        </w:rPr>
        <w:t>5</w:t>
      </w:r>
      <w:r w:rsidRPr="008C5B1B">
        <w:rPr>
          <w:noProof/>
          <w:lang w:eastAsia="en-GB"/>
        </w:rPr>
        <w:t xml:space="preserve"> shows that despite a slight drop in the number of tonnes handled by the Danube Ports between 2011 and 2020, between 2020 and 2030 the number of water freight tonnes handled by the ports</w:t>
      </w:r>
      <w:r>
        <w:rPr>
          <w:noProof/>
          <w:lang w:eastAsia="en-GB"/>
        </w:rPr>
        <w:t xml:space="preserve"> is forecast to</w:t>
      </w:r>
      <w:r w:rsidRPr="008C5B1B">
        <w:rPr>
          <w:noProof/>
          <w:lang w:eastAsia="en-GB"/>
        </w:rPr>
        <w:t xml:space="preserve"> increase.</w:t>
      </w:r>
    </w:p>
    <w:p w:rsidR="00660414" w:rsidRDefault="00660414" w:rsidP="00660414">
      <w:pPr>
        <w:rPr>
          <w:b/>
          <w:i/>
          <w:color w:val="9E0880"/>
          <w:sz w:val="22"/>
          <w:szCs w:val="22"/>
          <w:lang w:val="ro-RO"/>
        </w:rPr>
      </w:pPr>
      <w:r>
        <w:br w:type="page"/>
      </w:r>
    </w:p>
    <w:p w:rsidR="00660414" w:rsidRPr="000A76BD" w:rsidRDefault="00660414" w:rsidP="00660414">
      <w:pPr>
        <w:pStyle w:val="Hdg3"/>
      </w:pPr>
      <w:r w:rsidRPr="008C5B1B">
        <w:t>Existing Conditions of the Selected Ports and Waterways</w:t>
      </w:r>
    </w:p>
    <w:p w:rsidR="00660414" w:rsidRPr="000A76BD" w:rsidRDefault="00660414" w:rsidP="00A4081F">
      <w:pPr>
        <w:pStyle w:val="NumberedParas"/>
        <w:rPr>
          <w:lang w:val="ro-RO"/>
        </w:rPr>
      </w:pPr>
      <w:r w:rsidRPr="008C5B1B">
        <w:rPr>
          <w:lang w:val="ro-RO"/>
        </w:rPr>
        <w:t>The selected ports come from AECOM’s Primary Economic Network. AECOM defined the Primary Economic Network as a mechanism for where we believe investment should be focused. This network was devised using a number of criteria:</w:t>
      </w:r>
    </w:p>
    <w:p w:rsidR="00660414" w:rsidRPr="000A76BD" w:rsidRDefault="00660414" w:rsidP="00273D5E">
      <w:pPr>
        <w:pStyle w:val="BulletLevel1"/>
      </w:pPr>
      <w:r w:rsidRPr="008C5B1B">
        <w:t>The existing designated TEN-T Ports</w:t>
      </w:r>
    </w:p>
    <w:p w:rsidR="00660414" w:rsidRPr="000A76BD" w:rsidRDefault="00660414" w:rsidP="00273D5E">
      <w:pPr>
        <w:pStyle w:val="BulletLevel1"/>
      </w:pPr>
      <w:r w:rsidRPr="008C5B1B">
        <w:t>Existing and predicted future volume of tonnage</w:t>
      </w:r>
    </w:p>
    <w:p w:rsidR="00660414" w:rsidRPr="000A76BD" w:rsidRDefault="00660414" w:rsidP="00273D5E">
      <w:pPr>
        <w:pStyle w:val="BulletLevel1"/>
      </w:pPr>
      <w:r w:rsidRPr="008C5B1B">
        <w:t>Connectivity with the rest of Romania</w:t>
      </w:r>
    </w:p>
    <w:p w:rsidR="00660414" w:rsidRPr="000A76BD" w:rsidRDefault="00660414" w:rsidP="00273D5E">
      <w:pPr>
        <w:pStyle w:val="BulletLevel1"/>
      </w:pPr>
      <w:r w:rsidRPr="008C5B1B">
        <w:t>Connectivity with key border crossing points (for other modes)</w:t>
      </w:r>
    </w:p>
    <w:p w:rsidR="00660414" w:rsidRPr="000A76BD" w:rsidRDefault="00660414" w:rsidP="00273D5E">
      <w:pPr>
        <w:pStyle w:val="BulletLevel1"/>
      </w:pPr>
      <w:r w:rsidRPr="008C5B1B">
        <w:t>Economically significant corridors, defined as those which carry high volumes of goods traffic</w:t>
      </w:r>
    </w:p>
    <w:p w:rsidR="00660414" w:rsidRPr="000A76BD" w:rsidRDefault="00660414" w:rsidP="00A4081F">
      <w:pPr>
        <w:pStyle w:val="NumberedParas"/>
        <w:rPr>
          <w:lang w:val="ro-RO"/>
        </w:rPr>
      </w:pPr>
      <w:r w:rsidRPr="008C5B1B">
        <w:rPr>
          <w:lang w:val="ro-RO"/>
        </w:rPr>
        <w:t>The selected Ports form a coherent network that provides convenient mooring and servicing facilities for river traffic. The ports are shown on Figure 6.</w:t>
      </w:r>
      <w:r>
        <w:rPr>
          <w:lang w:val="ro-RO"/>
        </w:rPr>
        <w:t>6</w:t>
      </w:r>
      <w:r w:rsidRPr="008C5B1B">
        <w:rPr>
          <w:lang w:val="ro-RO"/>
        </w:rPr>
        <w:t>:</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46810EEB" wp14:editId="602629C2">
            <wp:extent cx="5276850" cy="3733800"/>
            <wp:effectExtent l="19050" t="0" r="0" b="0"/>
            <wp:docPr id="146" name="Picture 4" descr="C:\Users\turpinm\AppData\Local\Microsoft\Windows\Temporary Internet Files\Content.Outlook\RQJO0V1E\Ports_categories_primary_economic_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pinm\AppData\Local\Microsoft\Windows\Temporary Internet Files\Content.Outlook\RQJO0V1E\Ports_categories_primary_economic_network.jpg"/>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5276850" cy="3733800"/>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sz w:val="22"/>
          <w:szCs w:val="22"/>
          <w:lang w:val="ro-RO"/>
        </w:rPr>
      </w:pPr>
      <w:r w:rsidRPr="008C5B1B">
        <w:rPr>
          <w:b/>
          <w:sz w:val="22"/>
          <w:szCs w:val="22"/>
          <w:lang w:val="ro-RO"/>
        </w:rPr>
        <w:t>Figure 6.</w:t>
      </w:r>
      <w:r>
        <w:rPr>
          <w:b/>
          <w:sz w:val="22"/>
          <w:szCs w:val="22"/>
          <w:lang w:val="ro-RO"/>
        </w:rPr>
        <w:t>6</w:t>
      </w:r>
      <w:r w:rsidRPr="008C5B1B">
        <w:rPr>
          <w:b/>
          <w:sz w:val="22"/>
          <w:szCs w:val="22"/>
          <w:lang w:val="ro-RO"/>
        </w:rPr>
        <w:t>: Romanian Water Freight Primary Economic Network</w:t>
      </w:r>
    </w:p>
    <w:p w:rsidR="00660414" w:rsidRPr="000A76BD" w:rsidRDefault="00660414" w:rsidP="00A4081F">
      <w:pPr>
        <w:pStyle w:val="NumberedParas"/>
        <w:rPr>
          <w:lang w:val="ro-RO"/>
        </w:rPr>
      </w:pPr>
      <w:r w:rsidRPr="008C5B1B">
        <w:rPr>
          <w:lang w:val="ro-RO"/>
        </w:rPr>
        <w:t>Note that the choice of Primary Economic Network ports does not mean that the remaining ports should be neglected. Many are tactical for one or two commodities and even those that that see little freight should be safeguarded for the future.</w:t>
      </w:r>
    </w:p>
    <w:p w:rsidR="00660414" w:rsidRDefault="00660414" w:rsidP="00660414">
      <w:pPr>
        <w:rPr>
          <w:b/>
          <w:i/>
          <w:color w:val="9E0880"/>
          <w:sz w:val="22"/>
          <w:szCs w:val="22"/>
          <w:lang w:val="ro-RO"/>
        </w:rPr>
      </w:pPr>
      <w:r>
        <w:br w:type="page"/>
      </w:r>
    </w:p>
    <w:p w:rsidR="00660414" w:rsidRPr="000A76BD" w:rsidRDefault="00660414" w:rsidP="00660414">
      <w:pPr>
        <w:pStyle w:val="Hdg3"/>
      </w:pPr>
      <w:r w:rsidRPr="008C5B1B">
        <w:t>Tri-Modal Terminals</w:t>
      </w:r>
    </w:p>
    <w:p w:rsidR="00660414" w:rsidRDefault="00660414" w:rsidP="00A4081F">
      <w:pPr>
        <w:pStyle w:val="NumberedParas"/>
      </w:pPr>
      <w:r w:rsidRPr="003B3E0A">
        <w:t xml:space="preserve">Currently there are a limited number of containers moving inland by water freight. There are only a few ports handling this type of cargo on a regular basis. Containerisation has been growing on a </w:t>
      </w:r>
      <w:r>
        <w:t>global</w:t>
      </w:r>
      <w:r w:rsidRPr="003B3E0A">
        <w:t xml:space="preserve"> basis and  growth is expected to continue in Romania. It is important for sustainability and environmental reasons that any growth is shared around the most appropriate mode of transport - road, rail and barge depending on customer requirements and suitability. To facilitate this it is important to have a network of river ports strategically located to act as tri-modal terminals. These terminals should be able to accommodate any combination of modal transfer between water, road and rail.</w:t>
      </w:r>
    </w:p>
    <w:p w:rsidR="00660414" w:rsidRDefault="00660414" w:rsidP="00A4081F">
      <w:pPr>
        <w:pStyle w:val="NumberedParas"/>
      </w:pPr>
      <w:r w:rsidRPr="008C5B1B">
        <w:t xml:space="preserve">It is recommended that as well as having port terminals at Constanta, which is the main generator/attractor of maritime containers there should be intermodal terminals serving the east, central and western parts of Romania. This provides customers with an access point to the hinterland. These are explored fully below. </w:t>
      </w:r>
    </w:p>
    <w:p w:rsidR="00660414" w:rsidRPr="008C5B1B" w:rsidRDefault="00660414" w:rsidP="00A4081F">
      <w:pPr>
        <w:pStyle w:val="NumberedParas"/>
        <w:numPr>
          <w:ilvl w:val="0"/>
          <w:numId w:val="0"/>
        </w:numPr>
      </w:pPr>
      <w:r w:rsidRPr="008C5B1B">
        <w:t>East Romania</w:t>
      </w:r>
    </w:p>
    <w:p w:rsidR="00660414" w:rsidRDefault="00660414" w:rsidP="00A4081F">
      <w:pPr>
        <w:pStyle w:val="NumberedParas"/>
      </w:pPr>
      <w:r w:rsidRPr="008C5B1B">
        <w:t>It is considered that the most likely point for a tri-modal terminal at the eastern end of the Danube is at the Port of Galati. The reasons are that this is already the biggest port on the River Danube in Romania and has the infrastructure necessary for a tri-modal terminal, which however requires modernisation and improvements. Galati Port has land available for refurbishment and expansion including the Free Zone and the Industrial Park for supporting logistics activities. 2 million people live within 100km of the port and it is the best located port to serve the North East which is the least prosperous part of Romania. Galati is the only port in Romania with both Russian and European gauge internal rail track and is well connected to serve Moldova and Ukraine. A terminal here could attract significant amounts of tonnage. In addition, due to the reduction in volume of commodities, traditionally handled at the port, the facility now needs restructuring to handle emerging flows.</w:t>
      </w:r>
    </w:p>
    <w:p w:rsidR="00660414" w:rsidRDefault="00660414" w:rsidP="00A4081F">
      <w:pPr>
        <w:pStyle w:val="NumberedParas"/>
      </w:pPr>
      <w:r w:rsidRPr="008C5B1B">
        <w:t xml:space="preserve">AECOM recommend that the eastern tri-modal terminal is </w:t>
      </w:r>
      <w:r>
        <w:t>situated</w:t>
      </w:r>
      <w:r w:rsidRPr="008C5B1B">
        <w:t xml:space="preserve"> at Galati.</w:t>
      </w:r>
    </w:p>
    <w:p w:rsidR="00660414" w:rsidRPr="008C5B1B" w:rsidRDefault="00660414" w:rsidP="00A4081F">
      <w:pPr>
        <w:pStyle w:val="NumberedParas"/>
        <w:numPr>
          <w:ilvl w:val="0"/>
          <w:numId w:val="0"/>
        </w:numPr>
      </w:pPr>
      <w:r w:rsidRPr="008C5B1B">
        <w:t>Central Southern Romania</w:t>
      </w:r>
    </w:p>
    <w:p w:rsidR="00660414" w:rsidRDefault="00660414" w:rsidP="00A4081F">
      <w:pPr>
        <w:pStyle w:val="NumberedParas"/>
      </w:pPr>
      <w:r w:rsidRPr="008C5B1B">
        <w:t xml:space="preserve">There are two ports well located to serve the southern central section of the Danube; Giurgiu and Oltenita. The Port of Giurgiu is on TEN-T Corridor IX which runs from the Baltics to Greece and Turkey. It is adjacent to the border crossing to Ruse and Bulgaria. Various routes within Bulgaria linking Ruse to their coastal ports and Sofia are being upgraded. Giurgiu already handles some containers but does not have modern, purpose built facilities for this, hence the potential scheme. Giurgiu is within an hour’s drive by truck to Bucharest on National road DN5 and as such has over 3 million people within a catchment area of 100km. Giurgiu is well located for freight and raw materials coming from the west along the Danube. </w:t>
      </w:r>
    </w:p>
    <w:p w:rsidR="00660414" w:rsidRDefault="00660414" w:rsidP="00A4081F">
      <w:pPr>
        <w:pStyle w:val="NumberedParas"/>
      </w:pPr>
      <w:r w:rsidRPr="008C5B1B">
        <w:t xml:space="preserve">The Port of Oltenita is also within an hour’s drive by truck to Bucharest, on National road DN4 and similar to Giurgiu has over 3 million people within a catchment area of 100km. As the port is nearer to the larger feeder ports of Constanta and Galati than Giurgiu it has attracted some tonnage destined for the Bucharest area. The distance by barge between Oltenita and Giurgiu is around 100km or about 8 hours sailing time upstream and hence is likely to attract cheaper shipping rates from the east than Giurgiu. However the opposite is also true from the west. More time sensitive containers are likely to travel by road or rail in the future so barge traffic needs to cater for less urgent traffic. </w:t>
      </w:r>
    </w:p>
    <w:p w:rsidR="00660414" w:rsidRDefault="00660414" w:rsidP="00A4081F">
      <w:pPr>
        <w:pStyle w:val="NumberedParas"/>
      </w:pPr>
      <w:r w:rsidRPr="008C5B1B">
        <w:t xml:space="preserve">AECOM recommend that the central tri-modal terminal is </w:t>
      </w:r>
      <w:r>
        <w:t>situated</w:t>
      </w:r>
      <w:r w:rsidRPr="008C5B1B">
        <w:t xml:space="preserve"> at Giurgiu</w:t>
      </w:r>
      <w:r>
        <w:t xml:space="preserve">. </w:t>
      </w:r>
    </w:p>
    <w:p w:rsidR="00660414" w:rsidRPr="008C5B1B" w:rsidRDefault="00660414" w:rsidP="00A4081F">
      <w:pPr>
        <w:pStyle w:val="NumberedParas"/>
        <w:numPr>
          <w:ilvl w:val="0"/>
          <w:numId w:val="0"/>
        </w:numPr>
      </w:pPr>
      <w:r w:rsidRPr="008C5B1B">
        <w:t>Western Romania</w:t>
      </w:r>
    </w:p>
    <w:p w:rsidR="00660414" w:rsidRDefault="00660414" w:rsidP="00A4081F">
      <w:pPr>
        <w:pStyle w:val="NumberedParas"/>
      </w:pPr>
      <w:r w:rsidRPr="008C5B1B">
        <w:t xml:space="preserve">There are a number of ports which would provide a suitable geographic location for a western intermodal terminal; these are assessed briefly below, with a summary of useful details in Table </w:t>
      </w:r>
      <w:r>
        <w:t>6</w:t>
      </w:r>
      <w:r w:rsidRPr="008C5B1B">
        <w:t>.1</w:t>
      </w:r>
      <w:r>
        <w:t>0</w:t>
      </w:r>
      <w:r w:rsidRPr="008C5B1B">
        <w:t xml:space="preserve">. </w:t>
      </w:r>
    </w:p>
    <w:p w:rsidR="00660414" w:rsidRPr="000A76BD" w:rsidRDefault="00660414" w:rsidP="00A4081F">
      <w:pPr>
        <w:pStyle w:val="NumberedParas"/>
        <w:numPr>
          <w:ilvl w:val="0"/>
          <w:numId w:val="0"/>
        </w:numPr>
        <w:ind w:left="851"/>
      </w:pPr>
      <w:r w:rsidRPr="008C5B1B">
        <w:t xml:space="preserve">Table </w:t>
      </w:r>
      <w:r>
        <w:t>6.10</w:t>
      </w:r>
      <w:r w:rsidRPr="008C5B1B">
        <w:t>: Summary of Distances to Western Hubs from Selected Danube Ports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21"/>
        <w:gridCol w:w="1839"/>
        <w:gridCol w:w="1421"/>
        <w:gridCol w:w="1840"/>
        <w:gridCol w:w="1426"/>
      </w:tblGrid>
      <w:tr w:rsidR="00660414" w:rsidRPr="000A76BD" w:rsidTr="007613DE">
        <w:tc>
          <w:tcPr>
            <w:tcW w:w="1276" w:type="dxa"/>
            <w:vMerge w:val="restart"/>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b/>
                <w:sz w:val="22"/>
                <w:szCs w:val="22"/>
              </w:rPr>
            </w:pPr>
            <w:r w:rsidRPr="008C5B1B">
              <w:rPr>
                <w:b/>
                <w:sz w:val="22"/>
                <w:szCs w:val="22"/>
              </w:rPr>
              <w:t>Port Name</w:t>
            </w:r>
          </w:p>
        </w:tc>
        <w:tc>
          <w:tcPr>
            <w:tcW w:w="3260"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ind w:hanging="709"/>
              <w:jc w:val="center"/>
              <w:rPr>
                <w:b/>
                <w:sz w:val="22"/>
                <w:szCs w:val="22"/>
              </w:rPr>
            </w:pPr>
            <w:r w:rsidRPr="008C5B1B">
              <w:rPr>
                <w:b/>
                <w:sz w:val="22"/>
                <w:szCs w:val="22"/>
              </w:rPr>
              <w:t>Timisoara</w:t>
            </w:r>
          </w:p>
        </w:tc>
        <w:tc>
          <w:tcPr>
            <w:tcW w:w="3261"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b/>
                <w:sz w:val="22"/>
                <w:szCs w:val="22"/>
              </w:rPr>
            </w:pPr>
            <w:r w:rsidRPr="008C5B1B">
              <w:rPr>
                <w:b/>
                <w:sz w:val="22"/>
                <w:szCs w:val="22"/>
              </w:rPr>
              <w:t>Craiova</w:t>
            </w:r>
          </w:p>
        </w:tc>
        <w:tc>
          <w:tcPr>
            <w:tcW w:w="1426" w:type="dxa"/>
            <w:vMerge w:val="restart"/>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b/>
                <w:sz w:val="22"/>
                <w:szCs w:val="22"/>
              </w:rPr>
            </w:pPr>
            <w:r w:rsidRPr="008C5B1B">
              <w:rPr>
                <w:b/>
                <w:sz w:val="22"/>
                <w:szCs w:val="22"/>
              </w:rPr>
              <w:t>Rail Connection</w:t>
            </w:r>
          </w:p>
        </w:tc>
      </w:tr>
      <w:tr w:rsidR="00660414" w:rsidRPr="000A76BD" w:rsidTr="007613DE">
        <w:tc>
          <w:tcPr>
            <w:tcW w:w="0" w:type="auto"/>
            <w:vMerge/>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rPr>
                <w:b/>
                <w:sz w:val="22"/>
                <w:szCs w:val="22"/>
              </w:rPr>
            </w:pPr>
          </w:p>
        </w:tc>
        <w:tc>
          <w:tcPr>
            <w:tcW w:w="1421"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ind w:firstLine="34"/>
              <w:jc w:val="center"/>
              <w:rPr>
                <w:sz w:val="22"/>
                <w:szCs w:val="22"/>
              </w:rPr>
            </w:pPr>
            <w:r w:rsidRPr="008C5B1B">
              <w:rPr>
                <w:sz w:val="22"/>
                <w:szCs w:val="22"/>
              </w:rPr>
              <w:t>Distance</w:t>
            </w:r>
          </w:p>
        </w:tc>
        <w:tc>
          <w:tcPr>
            <w:tcW w:w="1839"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sz w:val="22"/>
                <w:szCs w:val="22"/>
              </w:rPr>
            </w:pPr>
            <w:r w:rsidRPr="008C5B1B">
              <w:rPr>
                <w:sz w:val="22"/>
                <w:szCs w:val="22"/>
              </w:rPr>
              <w:t>HGV Driving Time</w:t>
            </w:r>
          </w:p>
        </w:tc>
        <w:tc>
          <w:tcPr>
            <w:tcW w:w="1421"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sz w:val="22"/>
                <w:szCs w:val="22"/>
              </w:rPr>
            </w:pPr>
            <w:r w:rsidRPr="008C5B1B">
              <w:rPr>
                <w:sz w:val="22"/>
                <w:szCs w:val="22"/>
              </w:rPr>
              <w:t>Distance</w:t>
            </w:r>
          </w:p>
        </w:tc>
        <w:tc>
          <w:tcPr>
            <w:tcW w:w="1840"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60414" w:rsidRPr="000A76BD" w:rsidRDefault="00660414" w:rsidP="007613DE">
            <w:pPr>
              <w:spacing w:line="276" w:lineRule="auto"/>
              <w:jc w:val="center"/>
              <w:rPr>
                <w:sz w:val="22"/>
                <w:szCs w:val="22"/>
              </w:rPr>
            </w:pPr>
            <w:r w:rsidRPr="008C5B1B">
              <w:rPr>
                <w:sz w:val="22"/>
                <w:szCs w:val="22"/>
              </w:rPr>
              <w:t>HGV Driving Time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rPr>
                <w:b/>
                <w:sz w:val="22"/>
                <w:szCs w:val="22"/>
              </w:rPr>
            </w:pPr>
          </w:p>
        </w:tc>
      </w:tr>
      <w:tr w:rsidR="00660414" w:rsidRPr="000A76BD" w:rsidTr="007613DE">
        <w:tc>
          <w:tcPr>
            <w:tcW w:w="127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t>Orsova</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hanging="709"/>
              <w:jc w:val="right"/>
              <w:rPr>
                <w:sz w:val="22"/>
                <w:szCs w:val="22"/>
              </w:rPr>
            </w:pPr>
            <w:r w:rsidRPr="008C5B1B">
              <w:rPr>
                <w:sz w:val="22"/>
                <w:szCs w:val="22"/>
              </w:rPr>
              <w:t>197km</w:t>
            </w:r>
          </w:p>
        </w:tc>
        <w:tc>
          <w:tcPr>
            <w:tcW w:w="1839"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hanging="709"/>
              <w:jc w:val="right"/>
              <w:rPr>
                <w:sz w:val="22"/>
                <w:szCs w:val="22"/>
              </w:rPr>
            </w:pPr>
            <w:r w:rsidRPr="008C5B1B">
              <w:rPr>
                <w:sz w:val="22"/>
                <w:szCs w:val="22"/>
              </w:rPr>
              <w:t>3h 00m</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jc w:val="right"/>
              <w:rPr>
                <w:sz w:val="22"/>
                <w:szCs w:val="22"/>
              </w:rPr>
            </w:pPr>
            <w:r w:rsidRPr="008C5B1B">
              <w:rPr>
                <w:sz w:val="22"/>
                <w:szCs w:val="22"/>
              </w:rPr>
              <w:t>144km</w:t>
            </w:r>
          </w:p>
        </w:tc>
        <w:tc>
          <w:tcPr>
            <w:tcW w:w="1840"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jc w:val="right"/>
              <w:rPr>
                <w:sz w:val="22"/>
                <w:szCs w:val="22"/>
              </w:rPr>
            </w:pPr>
            <w:r w:rsidRPr="008C5B1B">
              <w:rPr>
                <w:sz w:val="22"/>
                <w:szCs w:val="22"/>
              </w:rPr>
              <w:t>2h 15m</w:t>
            </w:r>
          </w:p>
        </w:tc>
        <w:tc>
          <w:tcPr>
            <w:tcW w:w="142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sym w:font="Wingdings" w:char="00FC"/>
            </w:r>
          </w:p>
        </w:tc>
      </w:tr>
      <w:tr w:rsidR="00660414" w:rsidRPr="000A76BD" w:rsidTr="007613DE">
        <w:tc>
          <w:tcPr>
            <w:tcW w:w="127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t>Drobeta</w:t>
            </w:r>
            <w:r>
              <w:rPr>
                <w:sz w:val="22"/>
                <w:szCs w:val="22"/>
              </w:rPr>
              <w:t xml:space="preserve"> </w:t>
            </w:r>
            <w:r w:rsidRPr="008C5B1B">
              <w:rPr>
                <w:sz w:val="22"/>
                <w:szCs w:val="22"/>
                <w:lang w:val="ro-RO"/>
              </w:rPr>
              <w:t>Turnu Severin</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hanging="709"/>
              <w:jc w:val="right"/>
              <w:rPr>
                <w:sz w:val="22"/>
                <w:szCs w:val="22"/>
              </w:rPr>
            </w:pPr>
            <w:r w:rsidRPr="008C5B1B">
              <w:rPr>
                <w:sz w:val="22"/>
                <w:szCs w:val="22"/>
              </w:rPr>
              <w:t>223km</w:t>
            </w:r>
          </w:p>
        </w:tc>
        <w:tc>
          <w:tcPr>
            <w:tcW w:w="1839"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hanging="709"/>
              <w:jc w:val="right"/>
              <w:rPr>
                <w:sz w:val="22"/>
                <w:szCs w:val="22"/>
              </w:rPr>
            </w:pPr>
            <w:r w:rsidRPr="008C5B1B">
              <w:rPr>
                <w:sz w:val="22"/>
                <w:szCs w:val="22"/>
              </w:rPr>
              <w:t>3h 20m</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jc w:val="right"/>
              <w:rPr>
                <w:sz w:val="22"/>
                <w:szCs w:val="22"/>
              </w:rPr>
            </w:pPr>
            <w:r w:rsidRPr="008C5B1B">
              <w:rPr>
                <w:sz w:val="22"/>
                <w:szCs w:val="22"/>
              </w:rPr>
              <w:t>114km</w:t>
            </w:r>
          </w:p>
        </w:tc>
        <w:tc>
          <w:tcPr>
            <w:tcW w:w="1840"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jc w:val="right"/>
              <w:rPr>
                <w:sz w:val="22"/>
                <w:szCs w:val="22"/>
              </w:rPr>
            </w:pPr>
            <w:r w:rsidRPr="008C5B1B">
              <w:rPr>
                <w:sz w:val="22"/>
                <w:szCs w:val="22"/>
              </w:rPr>
              <w:t>2h 00m</w:t>
            </w:r>
          </w:p>
        </w:tc>
        <w:tc>
          <w:tcPr>
            <w:tcW w:w="142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sym w:font="Wingdings" w:char="00FC"/>
            </w:r>
          </w:p>
        </w:tc>
      </w:tr>
      <w:tr w:rsidR="00660414" w:rsidRPr="000A76BD" w:rsidTr="007613DE">
        <w:tc>
          <w:tcPr>
            <w:tcW w:w="127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t>Calafat</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hanging="709"/>
              <w:jc w:val="right"/>
              <w:rPr>
                <w:sz w:val="22"/>
                <w:szCs w:val="22"/>
              </w:rPr>
            </w:pPr>
            <w:r w:rsidRPr="008C5B1B">
              <w:rPr>
                <w:sz w:val="22"/>
                <w:szCs w:val="22"/>
              </w:rPr>
              <w:t>323km</w:t>
            </w:r>
          </w:p>
        </w:tc>
        <w:tc>
          <w:tcPr>
            <w:tcW w:w="1839"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hanging="709"/>
              <w:jc w:val="right"/>
              <w:rPr>
                <w:sz w:val="22"/>
                <w:szCs w:val="22"/>
              </w:rPr>
            </w:pPr>
            <w:r w:rsidRPr="008C5B1B">
              <w:rPr>
                <w:sz w:val="22"/>
                <w:szCs w:val="22"/>
              </w:rPr>
              <w:t>5h 00m</w:t>
            </w:r>
          </w:p>
        </w:tc>
        <w:tc>
          <w:tcPr>
            <w:tcW w:w="1421"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ind w:right="321"/>
              <w:jc w:val="right"/>
              <w:rPr>
                <w:sz w:val="22"/>
                <w:szCs w:val="22"/>
              </w:rPr>
            </w:pPr>
            <w:r w:rsidRPr="008C5B1B">
              <w:rPr>
                <w:sz w:val="22"/>
                <w:szCs w:val="22"/>
              </w:rPr>
              <w:t>90km</w:t>
            </w:r>
          </w:p>
        </w:tc>
        <w:tc>
          <w:tcPr>
            <w:tcW w:w="1840" w:type="dxa"/>
            <w:tcBorders>
              <w:top w:val="single" w:sz="4" w:space="0" w:color="auto"/>
              <w:left w:val="single" w:sz="4" w:space="0" w:color="auto"/>
              <w:bottom w:val="single" w:sz="4" w:space="0" w:color="auto"/>
              <w:right w:val="single" w:sz="4" w:space="0" w:color="auto"/>
            </w:tcBorders>
            <w:vAlign w:val="center"/>
            <w:hideMark/>
          </w:tcPr>
          <w:p w:rsidR="00660414" w:rsidRDefault="00660414" w:rsidP="007613DE">
            <w:pPr>
              <w:spacing w:line="276" w:lineRule="auto"/>
              <w:jc w:val="right"/>
              <w:rPr>
                <w:sz w:val="22"/>
                <w:szCs w:val="22"/>
              </w:rPr>
            </w:pPr>
            <w:r w:rsidRPr="008C5B1B">
              <w:rPr>
                <w:sz w:val="22"/>
                <w:szCs w:val="22"/>
              </w:rPr>
              <w:t>1h 40m</w:t>
            </w:r>
          </w:p>
        </w:tc>
        <w:tc>
          <w:tcPr>
            <w:tcW w:w="1426" w:type="dxa"/>
            <w:tcBorders>
              <w:top w:val="single" w:sz="4" w:space="0" w:color="auto"/>
              <w:left w:val="single" w:sz="4" w:space="0" w:color="auto"/>
              <w:bottom w:val="single" w:sz="4" w:space="0" w:color="auto"/>
              <w:right w:val="single" w:sz="4" w:space="0" w:color="auto"/>
            </w:tcBorders>
            <w:vAlign w:val="center"/>
            <w:hideMark/>
          </w:tcPr>
          <w:p w:rsidR="00660414" w:rsidRPr="000A76BD" w:rsidRDefault="00660414" w:rsidP="007613DE">
            <w:pPr>
              <w:spacing w:line="276" w:lineRule="auto"/>
              <w:jc w:val="center"/>
              <w:rPr>
                <w:sz w:val="22"/>
                <w:szCs w:val="22"/>
              </w:rPr>
            </w:pPr>
            <w:r w:rsidRPr="008C5B1B">
              <w:rPr>
                <w:sz w:val="22"/>
                <w:szCs w:val="22"/>
              </w:rPr>
              <w:sym w:font="Wingdings" w:char="00FC"/>
            </w:r>
          </w:p>
        </w:tc>
      </w:tr>
    </w:tbl>
    <w:p w:rsidR="00660414" w:rsidRDefault="00660414" w:rsidP="00A4081F">
      <w:pPr>
        <w:pStyle w:val="NumberedParas"/>
      </w:pPr>
      <w:r w:rsidRPr="008C5B1B">
        <w:t xml:space="preserve">Orsova has both a large natural harbour and a rail connection, and whilst it handles a large range of different bulk materials, it currently handles little container tonnage. Whilst it is one of the better located ports for an intermodal terminal given the onward journey times, this location also means it is located above the Iron Gate II hydroelectric power plant, dam and border crossing, making it less attractive for traffic coming from the east and Constanta than ports below the Iron Gates, assuming that the vessel is not continuing upstream beyond Romania. </w:t>
      </w:r>
    </w:p>
    <w:p w:rsidR="00660414" w:rsidRDefault="00660414" w:rsidP="00A4081F">
      <w:pPr>
        <w:pStyle w:val="NumberedParas"/>
      </w:pPr>
      <w:r w:rsidRPr="008C5B1B">
        <w:t>The port of Drobeta</w:t>
      </w:r>
      <w:r>
        <w:t xml:space="preserve"> </w:t>
      </w:r>
      <w:r w:rsidRPr="008C5B1B">
        <w:t>Turnu</w:t>
      </w:r>
      <w:r>
        <w:t xml:space="preserve"> </w:t>
      </w:r>
      <w:r w:rsidRPr="008C5B1B">
        <w:t>Severin is located downstream of the Iron Gate II dam and is located on Corridor IV (S) electrified rail route, as well as being on the E70 road corridor. The port is capable of being developed to handle a growing amount and range of tonnage. Although the port is surrounded by the city of Turnu</w:t>
      </w:r>
      <w:r>
        <w:t xml:space="preserve"> </w:t>
      </w:r>
      <w:r w:rsidRPr="008C5B1B">
        <w:t>Severin, there is room for rationalisation and re-arrangement of port facilities to create a suitable space for an intermodal terminal. The port is able to serve both Craiova and Timisoara.</w:t>
      </w:r>
    </w:p>
    <w:p w:rsidR="00660414" w:rsidRDefault="00660414" w:rsidP="00A4081F">
      <w:pPr>
        <w:pStyle w:val="NumberedParas"/>
      </w:pPr>
      <w:r w:rsidRPr="008C5B1B">
        <w:t xml:space="preserve">Calafat, although currently a small port focusing on bulk transport has potential for growth following the construction of the Calafat-Vidin crossing of the Danube. This will be accompanied with an upgrade and rehabilitation of the currently, unelectrified rail link to Corridor IV (S) making this a potentially suitable location. However, it is envisaged that the port will continue to specialise in bulk goods, especially given that the port of Vidin across the Danube is developing a container terminal. This combined with its longer journey time to Timisoara, means that it is not recommended as a location for a western intermodal terminal. </w:t>
      </w:r>
    </w:p>
    <w:p w:rsidR="00660414" w:rsidRDefault="00660414" w:rsidP="00A4081F">
      <w:pPr>
        <w:pStyle w:val="NumberedParas"/>
      </w:pPr>
      <w:r w:rsidRPr="008C5B1B">
        <w:t xml:space="preserve">AECOM propose that the western tri-modal terminal is </w:t>
      </w:r>
      <w:r>
        <w:t>situat</w:t>
      </w:r>
      <w:r w:rsidRPr="008C5B1B">
        <w:t>ed at Drobeta</w:t>
      </w:r>
      <w:r w:rsidRPr="00C2696F">
        <w:rPr>
          <w:lang w:val="ro-RO"/>
        </w:rPr>
        <w:t xml:space="preserve"> </w:t>
      </w:r>
      <w:r>
        <w:rPr>
          <w:lang w:val="ro-RO"/>
        </w:rPr>
        <w:t>Turnu Severin</w:t>
      </w:r>
      <w:r w:rsidRPr="008C5B1B">
        <w:t>.</w:t>
      </w:r>
    </w:p>
    <w:p w:rsidR="00660414" w:rsidRDefault="00660414" w:rsidP="00660414">
      <w:pPr>
        <w:rPr>
          <w:sz w:val="22"/>
          <w:szCs w:val="22"/>
        </w:rPr>
      </w:pPr>
      <w:r>
        <w:br w:type="page"/>
      </w:r>
    </w:p>
    <w:p w:rsidR="00660414" w:rsidRDefault="00660414" w:rsidP="00A4081F">
      <w:pPr>
        <w:pStyle w:val="NumberedParas"/>
      </w:pPr>
      <w:r w:rsidRPr="008C5B1B">
        <w:t xml:space="preserve">This would result in the following tri-modal terminals (Figure </w:t>
      </w:r>
      <w:r>
        <w:t>6.7</w:t>
      </w:r>
      <w:r w:rsidRPr="008C5B1B">
        <w:t>):</w:t>
      </w:r>
    </w:p>
    <w:p w:rsidR="00660414" w:rsidRPr="008C5B1B" w:rsidRDefault="00660414" w:rsidP="00A4081F">
      <w:pPr>
        <w:pStyle w:val="NumberedParas"/>
        <w:numPr>
          <w:ilvl w:val="0"/>
          <w:numId w:val="0"/>
        </w:numPr>
        <w:ind w:left="851"/>
        <w:rPr>
          <w:lang w:val="ro-RO"/>
        </w:rPr>
      </w:pPr>
      <w:r w:rsidRPr="008C5B1B">
        <w:rPr>
          <w:noProof/>
          <w:lang w:val="ro-RO" w:eastAsia="ro-RO"/>
        </w:rPr>
        <w:drawing>
          <wp:inline distT="0" distB="0" distL="0" distR="0" wp14:anchorId="331CCFE5" wp14:editId="7360448D">
            <wp:extent cx="5384800" cy="3797300"/>
            <wp:effectExtent l="19050" t="0" r="6350" b="0"/>
            <wp:docPr id="1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cstate="print"/>
                    <a:srcRect/>
                    <a:stretch>
                      <a:fillRect/>
                    </a:stretch>
                  </pic:blipFill>
                  <pic:spPr bwMode="auto">
                    <a:xfrm>
                      <a:off x="0" y="0"/>
                      <a:ext cx="5384800" cy="3797300"/>
                    </a:xfrm>
                    <a:prstGeom prst="rect">
                      <a:avLst/>
                    </a:prstGeom>
                    <a:noFill/>
                    <a:ln w="9525">
                      <a:noFill/>
                      <a:miter lim="800000"/>
                      <a:headEnd/>
                      <a:tailEnd/>
                    </a:ln>
                  </pic:spPr>
                </pic:pic>
              </a:graphicData>
            </a:graphic>
          </wp:inline>
        </w:drawing>
      </w:r>
    </w:p>
    <w:p w:rsidR="00660414" w:rsidRPr="000A76BD" w:rsidRDefault="00660414" w:rsidP="00A4081F">
      <w:pPr>
        <w:pStyle w:val="NumberedParas"/>
        <w:numPr>
          <w:ilvl w:val="0"/>
          <w:numId w:val="0"/>
        </w:numPr>
        <w:ind w:left="851"/>
      </w:pPr>
      <w:r w:rsidRPr="008C5B1B">
        <w:rPr>
          <w:lang w:val="ro-RO"/>
        </w:rPr>
        <w:t>Figure 6.7</w:t>
      </w:r>
      <w:r w:rsidRPr="008C5B1B">
        <w:t>: Map of Tri-Modal Terminals in Romania (Current and Proposed)</w:t>
      </w:r>
    </w:p>
    <w:p w:rsidR="00660414" w:rsidRPr="008C5B1B" w:rsidRDefault="00660414" w:rsidP="00A4081F">
      <w:pPr>
        <w:pStyle w:val="NumberedParas"/>
      </w:pPr>
      <w:r w:rsidRPr="008C5B1B">
        <w:t>There are some terminal owners or operators associated with ports and the following table gives the location of these terminals. These cater for a range of commodities and many specialise in particular goods such as oil and grain.</w:t>
      </w:r>
    </w:p>
    <w:p w:rsidR="00660414" w:rsidRPr="000A76BD" w:rsidRDefault="00660414" w:rsidP="00660414">
      <w:pPr>
        <w:pStyle w:val="Body"/>
        <w:ind w:left="851"/>
        <w:rPr>
          <w:b/>
          <w:i w:val="0"/>
        </w:rPr>
      </w:pPr>
      <w:r w:rsidRPr="008C5B1B">
        <w:rPr>
          <w:b/>
          <w:i w:val="0"/>
        </w:rPr>
        <w:t xml:space="preserve">Table </w:t>
      </w:r>
      <w:r>
        <w:rPr>
          <w:b/>
          <w:i w:val="0"/>
        </w:rPr>
        <w:t>6.11</w:t>
      </w:r>
      <w:r w:rsidRPr="008C5B1B">
        <w:rPr>
          <w:b/>
          <w:i w:val="0"/>
        </w:rPr>
        <w:t xml:space="preserve"> Location of ports in Romania</w:t>
      </w:r>
      <w:r>
        <w:rPr>
          <w:b/>
          <w:i w:val="0"/>
        </w:rPr>
        <w:t xml:space="preserve"> with private terminals</w:t>
      </w:r>
    </w:p>
    <w:tbl>
      <w:tblPr>
        <w:tblStyle w:val="TableGrid"/>
        <w:tblW w:w="0" w:type="auto"/>
        <w:jc w:val="center"/>
        <w:tblLook w:val="04A0" w:firstRow="1" w:lastRow="0" w:firstColumn="1" w:lastColumn="0" w:noHBand="0" w:noVBand="1"/>
      </w:tblPr>
      <w:tblGrid>
        <w:gridCol w:w="3274"/>
        <w:gridCol w:w="2564"/>
      </w:tblGrid>
      <w:tr w:rsidR="00660414" w:rsidTr="007613DE">
        <w:trPr>
          <w:jc w:val="center"/>
        </w:trPr>
        <w:tc>
          <w:tcPr>
            <w:tcW w:w="3274" w:type="dxa"/>
            <w:shd w:val="clear" w:color="auto" w:fill="63C1DF"/>
            <w:vAlign w:val="center"/>
          </w:tcPr>
          <w:p w:rsidR="00660414" w:rsidRPr="008C5B1B" w:rsidRDefault="00660414" w:rsidP="007613DE">
            <w:pPr>
              <w:spacing w:line="276" w:lineRule="auto"/>
              <w:jc w:val="center"/>
              <w:rPr>
                <w:b/>
                <w:sz w:val="22"/>
                <w:szCs w:val="22"/>
              </w:rPr>
            </w:pPr>
            <w:r w:rsidRPr="008C5B1B">
              <w:rPr>
                <w:b/>
                <w:sz w:val="22"/>
                <w:szCs w:val="22"/>
              </w:rPr>
              <w:t>Terminal</w:t>
            </w:r>
          </w:p>
        </w:tc>
        <w:tc>
          <w:tcPr>
            <w:tcW w:w="2564" w:type="dxa"/>
            <w:shd w:val="clear" w:color="auto" w:fill="63C1DF"/>
            <w:vAlign w:val="center"/>
          </w:tcPr>
          <w:p w:rsidR="00660414" w:rsidRPr="008C5B1B" w:rsidRDefault="00660414" w:rsidP="007613DE">
            <w:pPr>
              <w:spacing w:line="276" w:lineRule="auto"/>
              <w:jc w:val="center"/>
              <w:rPr>
                <w:b/>
                <w:sz w:val="22"/>
                <w:szCs w:val="22"/>
              </w:rPr>
            </w:pPr>
            <w:r w:rsidRPr="008C5B1B">
              <w:rPr>
                <w:b/>
                <w:sz w:val="22"/>
                <w:szCs w:val="22"/>
              </w:rPr>
              <w:t>Location</w:t>
            </w:r>
          </w:p>
        </w:tc>
      </w:tr>
      <w:tr w:rsidR="00660414" w:rsidTr="007613DE">
        <w:trPr>
          <w:jc w:val="center"/>
        </w:trPr>
        <w:tc>
          <w:tcPr>
            <w:tcW w:w="3274" w:type="dxa"/>
          </w:tcPr>
          <w:p w:rsidR="00660414" w:rsidRDefault="00660414" w:rsidP="007613DE">
            <w:pPr>
              <w:spacing w:line="276" w:lineRule="auto"/>
              <w:rPr>
                <w:sz w:val="22"/>
                <w:szCs w:val="22"/>
              </w:rPr>
            </w:pPr>
            <w:r w:rsidRPr="002A5943">
              <w:rPr>
                <w:sz w:val="22"/>
                <w:szCs w:val="22"/>
              </w:rPr>
              <w:t>Port of Constanta</w:t>
            </w:r>
          </w:p>
        </w:tc>
        <w:tc>
          <w:tcPr>
            <w:tcW w:w="2564" w:type="dxa"/>
          </w:tcPr>
          <w:p w:rsidR="00660414" w:rsidRDefault="00660414" w:rsidP="007613DE">
            <w:pPr>
              <w:spacing w:line="276" w:lineRule="auto"/>
              <w:rPr>
                <w:sz w:val="22"/>
                <w:szCs w:val="22"/>
              </w:rPr>
            </w:pPr>
            <w:r w:rsidRPr="002A5943">
              <w:rPr>
                <w:sz w:val="22"/>
                <w:szCs w:val="22"/>
              </w:rPr>
              <w:t>Constanta</w:t>
            </w:r>
          </w:p>
        </w:tc>
      </w:tr>
      <w:tr w:rsidR="00660414" w:rsidTr="007613DE">
        <w:trPr>
          <w:jc w:val="center"/>
        </w:trPr>
        <w:tc>
          <w:tcPr>
            <w:tcW w:w="3274" w:type="dxa"/>
          </w:tcPr>
          <w:p w:rsidR="00660414" w:rsidRDefault="00660414" w:rsidP="007613DE">
            <w:pPr>
              <w:spacing w:line="276" w:lineRule="auto"/>
              <w:rPr>
                <w:sz w:val="22"/>
                <w:szCs w:val="22"/>
              </w:rPr>
            </w:pPr>
            <w:r w:rsidRPr="002A5943">
              <w:rPr>
                <w:sz w:val="22"/>
                <w:szCs w:val="22"/>
              </w:rPr>
              <w:t>Port of Galati</w:t>
            </w:r>
          </w:p>
        </w:tc>
        <w:tc>
          <w:tcPr>
            <w:tcW w:w="2564" w:type="dxa"/>
          </w:tcPr>
          <w:p w:rsidR="00660414" w:rsidRDefault="00660414" w:rsidP="007613DE">
            <w:pPr>
              <w:spacing w:line="276" w:lineRule="auto"/>
              <w:rPr>
                <w:sz w:val="22"/>
                <w:szCs w:val="22"/>
              </w:rPr>
            </w:pPr>
            <w:r w:rsidRPr="002A5943">
              <w:rPr>
                <w:sz w:val="22"/>
                <w:szCs w:val="22"/>
              </w:rPr>
              <w:t>Galati</w:t>
            </w:r>
          </w:p>
        </w:tc>
      </w:tr>
      <w:tr w:rsidR="00660414" w:rsidTr="007613DE">
        <w:trPr>
          <w:jc w:val="center"/>
        </w:trPr>
        <w:tc>
          <w:tcPr>
            <w:tcW w:w="3274" w:type="dxa"/>
          </w:tcPr>
          <w:p w:rsidR="00660414" w:rsidRDefault="00660414" w:rsidP="007613DE">
            <w:pPr>
              <w:spacing w:line="276" w:lineRule="auto"/>
              <w:rPr>
                <w:sz w:val="22"/>
                <w:szCs w:val="22"/>
              </w:rPr>
            </w:pPr>
            <w:r w:rsidRPr="002A5943">
              <w:rPr>
                <w:sz w:val="22"/>
                <w:szCs w:val="22"/>
              </w:rPr>
              <w:t>Port of Tulcea</w:t>
            </w:r>
          </w:p>
        </w:tc>
        <w:tc>
          <w:tcPr>
            <w:tcW w:w="2564" w:type="dxa"/>
          </w:tcPr>
          <w:p w:rsidR="00660414" w:rsidRDefault="00660414" w:rsidP="007613DE">
            <w:pPr>
              <w:spacing w:line="276" w:lineRule="auto"/>
              <w:rPr>
                <w:sz w:val="22"/>
                <w:szCs w:val="22"/>
              </w:rPr>
            </w:pPr>
            <w:r w:rsidRPr="002A5943">
              <w:rPr>
                <w:sz w:val="22"/>
                <w:szCs w:val="22"/>
              </w:rPr>
              <w:t>Tulcea</w:t>
            </w:r>
          </w:p>
        </w:tc>
      </w:tr>
      <w:tr w:rsidR="00660414" w:rsidTr="007613DE">
        <w:trPr>
          <w:jc w:val="center"/>
        </w:trPr>
        <w:tc>
          <w:tcPr>
            <w:tcW w:w="3274" w:type="dxa"/>
          </w:tcPr>
          <w:p w:rsidR="00660414" w:rsidRDefault="00660414" w:rsidP="007613DE">
            <w:pPr>
              <w:spacing w:line="276" w:lineRule="auto"/>
              <w:rPr>
                <w:sz w:val="22"/>
                <w:szCs w:val="22"/>
              </w:rPr>
            </w:pPr>
            <w:r w:rsidRPr="002A5943">
              <w:rPr>
                <w:sz w:val="22"/>
                <w:szCs w:val="22"/>
              </w:rPr>
              <w:t>Port of Braila</w:t>
            </w:r>
          </w:p>
        </w:tc>
        <w:tc>
          <w:tcPr>
            <w:tcW w:w="2564" w:type="dxa"/>
          </w:tcPr>
          <w:p w:rsidR="00660414" w:rsidRDefault="00660414" w:rsidP="007613DE">
            <w:pPr>
              <w:spacing w:line="276" w:lineRule="auto"/>
              <w:rPr>
                <w:sz w:val="22"/>
                <w:szCs w:val="22"/>
              </w:rPr>
            </w:pPr>
            <w:r w:rsidRPr="002A5943">
              <w:rPr>
                <w:sz w:val="22"/>
                <w:szCs w:val="22"/>
              </w:rPr>
              <w:t>Braila</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Giurgiu</w:t>
            </w:r>
          </w:p>
        </w:tc>
        <w:tc>
          <w:tcPr>
            <w:tcW w:w="2564" w:type="dxa"/>
            <w:vAlign w:val="center"/>
          </w:tcPr>
          <w:p w:rsidR="00660414" w:rsidRDefault="00660414" w:rsidP="007613DE">
            <w:pPr>
              <w:spacing w:line="276" w:lineRule="auto"/>
              <w:rPr>
                <w:sz w:val="22"/>
                <w:szCs w:val="22"/>
              </w:rPr>
            </w:pPr>
            <w:r w:rsidRPr="002A5943">
              <w:rPr>
                <w:sz w:val="22"/>
                <w:szCs w:val="22"/>
              </w:rPr>
              <w:t>Giurgiu</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Calarasi</w:t>
            </w:r>
          </w:p>
        </w:tc>
        <w:tc>
          <w:tcPr>
            <w:tcW w:w="2564" w:type="dxa"/>
            <w:vAlign w:val="center"/>
          </w:tcPr>
          <w:p w:rsidR="00660414" w:rsidRDefault="00660414" w:rsidP="007613DE">
            <w:pPr>
              <w:spacing w:line="276" w:lineRule="auto"/>
              <w:rPr>
                <w:sz w:val="22"/>
                <w:szCs w:val="22"/>
              </w:rPr>
            </w:pPr>
            <w:r w:rsidRPr="002A5943">
              <w:rPr>
                <w:sz w:val="22"/>
                <w:szCs w:val="22"/>
              </w:rPr>
              <w:t>Calarasi</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Oltenita</w:t>
            </w:r>
          </w:p>
        </w:tc>
        <w:tc>
          <w:tcPr>
            <w:tcW w:w="2564" w:type="dxa"/>
            <w:vAlign w:val="center"/>
          </w:tcPr>
          <w:p w:rsidR="00660414" w:rsidRDefault="00660414" w:rsidP="007613DE">
            <w:pPr>
              <w:spacing w:line="276" w:lineRule="auto"/>
              <w:rPr>
                <w:sz w:val="22"/>
                <w:szCs w:val="22"/>
              </w:rPr>
            </w:pPr>
            <w:r w:rsidRPr="002A5943">
              <w:rPr>
                <w:sz w:val="22"/>
                <w:szCs w:val="22"/>
              </w:rPr>
              <w:t>Oltenita</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Corabia</w:t>
            </w:r>
          </w:p>
        </w:tc>
        <w:tc>
          <w:tcPr>
            <w:tcW w:w="2564" w:type="dxa"/>
            <w:vAlign w:val="center"/>
          </w:tcPr>
          <w:p w:rsidR="00660414" w:rsidRDefault="00660414" w:rsidP="007613DE">
            <w:pPr>
              <w:spacing w:line="276" w:lineRule="auto"/>
              <w:rPr>
                <w:sz w:val="22"/>
                <w:szCs w:val="22"/>
              </w:rPr>
            </w:pPr>
            <w:r w:rsidRPr="002A5943">
              <w:rPr>
                <w:sz w:val="22"/>
                <w:szCs w:val="22"/>
              </w:rPr>
              <w:t>Corabia</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Drobeta Turnu Severin</w:t>
            </w:r>
          </w:p>
        </w:tc>
        <w:tc>
          <w:tcPr>
            <w:tcW w:w="2564" w:type="dxa"/>
            <w:vAlign w:val="center"/>
          </w:tcPr>
          <w:p w:rsidR="00660414" w:rsidRDefault="00660414" w:rsidP="007613DE">
            <w:pPr>
              <w:spacing w:line="276" w:lineRule="auto"/>
              <w:rPr>
                <w:sz w:val="22"/>
                <w:szCs w:val="22"/>
              </w:rPr>
            </w:pPr>
            <w:r w:rsidRPr="002A5943">
              <w:rPr>
                <w:sz w:val="22"/>
                <w:szCs w:val="22"/>
              </w:rPr>
              <w:t>Drobeta Turnu Severin</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Calafat</w:t>
            </w:r>
          </w:p>
        </w:tc>
        <w:tc>
          <w:tcPr>
            <w:tcW w:w="2564" w:type="dxa"/>
            <w:vAlign w:val="center"/>
          </w:tcPr>
          <w:p w:rsidR="00660414" w:rsidRDefault="00660414" w:rsidP="007613DE">
            <w:pPr>
              <w:spacing w:line="276" w:lineRule="auto"/>
              <w:rPr>
                <w:sz w:val="22"/>
                <w:szCs w:val="22"/>
              </w:rPr>
            </w:pPr>
            <w:r w:rsidRPr="002A5943">
              <w:rPr>
                <w:sz w:val="22"/>
                <w:szCs w:val="22"/>
              </w:rPr>
              <w:t>Calafat</w:t>
            </w:r>
          </w:p>
        </w:tc>
      </w:tr>
      <w:tr w:rsidR="00660414" w:rsidTr="007613DE">
        <w:trPr>
          <w:jc w:val="center"/>
        </w:trPr>
        <w:tc>
          <w:tcPr>
            <w:tcW w:w="3274" w:type="dxa"/>
            <w:vAlign w:val="center"/>
          </w:tcPr>
          <w:p w:rsidR="00660414" w:rsidRDefault="00660414" w:rsidP="007613DE">
            <w:pPr>
              <w:spacing w:line="276" w:lineRule="auto"/>
              <w:rPr>
                <w:sz w:val="22"/>
                <w:szCs w:val="22"/>
              </w:rPr>
            </w:pPr>
            <w:r w:rsidRPr="002A5943">
              <w:rPr>
                <w:sz w:val="22"/>
                <w:szCs w:val="22"/>
              </w:rPr>
              <w:t>Port of Orsova</w:t>
            </w:r>
          </w:p>
        </w:tc>
        <w:tc>
          <w:tcPr>
            <w:tcW w:w="2564" w:type="dxa"/>
            <w:vAlign w:val="center"/>
          </w:tcPr>
          <w:p w:rsidR="00660414" w:rsidRDefault="00660414" w:rsidP="007613DE">
            <w:pPr>
              <w:spacing w:line="276" w:lineRule="auto"/>
              <w:rPr>
                <w:sz w:val="22"/>
                <w:szCs w:val="22"/>
              </w:rPr>
            </w:pPr>
            <w:r w:rsidRPr="002A5943">
              <w:rPr>
                <w:sz w:val="22"/>
                <w:szCs w:val="22"/>
              </w:rPr>
              <w:t>Orsova</w:t>
            </w:r>
          </w:p>
        </w:tc>
      </w:tr>
    </w:tbl>
    <w:p w:rsidR="00660414" w:rsidRPr="000A76BD" w:rsidRDefault="00660414" w:rsidP="00660414">
      <w:pPr>
        <w:spacing w:line="276" w:lineRule="auto"/>
        <w:rPr>
          <w:sz w:val="22"/>
          <w:szCs w:val="22"/>
        </w:rPr>
      </w:pP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River Danube</w:t>
      </w:r>
    </w:p>
    <w:p w:rsidR="00660414" w:rsidRPr="000A76BD" w:rsidRDefault="00660414" w:rsidP="00A4081F">
      <w:pPr>
        <w:pStyle w:val="NumberedParas"/>
      </w:pPr>
      <w:r>
        <w:t>The R</w:t>
      </w:r>
      <w:r w:rsidRPr="008C5B1B">
        <w:t>iver Danube has few standard physical pinchpoints such as locks. The only lock on the Romanian section of the Danube is near the Iron Gates and is located 1,890km from the mouth of the river. Between the Iron Gates to Braila the Danube is more than 2km wide with numerous islands. The navigation channel moves several times per year due to the currents and remediation work is often needed to maintain the minimum 2.5m depth. There can also be problems with the width of the navigation channel which sometimes necessitates a single file direction flow operation (as opposed to two way flow).</w:t>
      </w:r>
    </w:p>
    <w:p w:rsidR="00660414" w:rsidRPr="000A76BD" w:rsidRDefault="00660414" w:rsidP="00A4081F">
      <w:pPr>
        <w:pStyle w:val="NumberedParas"/>
      </w:pPr>
      <w:r w:rsidRPr="008C5B1B">
        <w:t>The Danube is not always navigable 365 days a year. Weather related factors such as drought or flood or ice do affect the river’s navigation and the amount of traffic it can process. Ice is a problem during the winter months and in 2012 three months were lost as the Danube froze over which prohibited navigation. There is no dedicated ice breaker on the Danube. Water level is also an issue with the depth varying throughout the year. One operator estimated that full and efficient operation is only possible on about 250 days a year which means for the remaining 100 days operators need to make contingencies to get their loads delivered, either through sub-optimally loaded barges or in worst case scenarios having to use other modes of transport to deliver the goods.</w:t>
      </w:r>
    </w:p>
    <w:p w:rsidR="00660414" w:rsidRPr="000A76BD" w:rsidRDefault="00660414" w:rsidP="00A4081F">
      <w:pPr>
        <w:pStyle w:val="NumberedParas"/>
      </w:pPr>
      <w:r w:rsidRPr="008C5B1B">
        <w:t xml:space="preserve">The UN defines the Danube as an international waterway and the draught required for such status is 2.5m, although 2.8m is preferable. Seven sections of the Danube regularly fall below 2.5m draught and navigation was impossible on the lower river for more than 38 days in September and October 2011 because of insufficient water levels. A barge requires a draught of 0.5m when empty and up to 3m when fully laden. This variance allows an operator to vary how much load their barge can carry depending on the water levels. The only constant is the pushers that require between 1.8-2m of water. Shallow waters can make it impossible to push 2 or 3 barge-width convoys so some operators will split the convoy into two and double back. When this happens in the Zimnicea sector, the 150km stretch that should normally be traversed in 6 hours can take between 1 and 2 days. There is also the issue of barges having enough navigable ‘fairway’ in order to be able to pass each other. </w:t>
      </w:r>
    </w:p>
    <w:p w:rsidR="00660414" w:rsidRPr="000A76BD" w:rsidRDefault="00660414" w:rsidP="00A4081F">
      <w:pPr>
        <w:pStyle w:val="NumberedParas"/>
      </w:pPr>
      <w:r w:rsidRPr="008C5B1B">
        <w:t>Operators want a guarantee of water depth of 2.5 meters because otherwise they are not able to operate. Work is being done to try and obtain this through intensive dredging (section Călărași-Brăila) and then this will be maintained which will cost less on an annual basis. Romania is currently spending €4m annually on dredging the fairway whereas Bulgaria only spends €100,000.</w:t>
      </w:r>
    </w:p>
    <w:p w:rsidR="00660414" w:rsidRPr="000A76BD" w:rsidRDefault="00660414" w:rsidP="00A4081F">
      <w:pPr>
        <w:pStyle w:val="NumberedParas"/>
      </w:pPr>
      <w:r w:rsidRPr="008C5B1B">
        <w:t>Some sections of the Danube are particularly vulnerable to shifting sands, especially in the Zimnicea sector. Annual maintenance through dredging does help but this is very expensive and cannot always maintain the desired 2.5m depth. More effective management of water on the secondary arms is thought to be needed to effectively combat this.</w:t>
      </w:r>
    </w:p>
    <w:p w:rsidR="00660414" w:rsidRPr="008C5B1B"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4F32D68C" wp14:editId="6C5DA654">
            <wp:extent cx="5276850" cy="4000500"/>
            <wp:effectExtent l="19050" t="0" r="0" b="0"/>
            <wp:docPr id="148" name="Picture 3" descr="C:\Users\clarkegj\AppData\Local\Microsoft\Windows\Temporary Internet Files\Content.Outlook\TQMH87TY\Picture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rkegj\AppData\Local\Microsoft\Windows\Temporary Internet Files\Content.Outlook\TQMH87TY\Picture1.bmp"/>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5276850" cy="4000500"/>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8</w:t>
      </w:r>
      <w:r w:rsidRPr="008C5B1B">
        <w:rPr>
          <w:b/>
          <w:noProof/>
          <w:sz w:val="22"/>
          <w:szCs w:val="22"/>
          <w:lang w:eastAsia="en-GB"/>
        </w:rPr>
        <w:t xml:space="preserve"> – Critical Navigation Points on the River Danube</w:t>
      </w:r>
    </w:p>
    <w:p w:rsidR="00660414" w:rsidRPr="000A76BD" w:rsidRDefault="00660414" w:rsidP="00A4081F">
      <w:pPr>
        <w:pStyle w:val="NumberedParas"/>
      </w:pPr>
      <w:r w:rsidRPr="008C5B1B">
        <w:t>The Danube has pinchpoints along its length where the fairway depth or width is reduced to below optimal standards (Figure 6.</w:t>
      </w:r>
      <w:r>
        <w:t>8</w:t>
      </w:r>
      <w:r w:rsidRPr="008C5B1B">
        <w:t xml:space="preserve"> shows a snapshot of these). Low temperatures can cause the Danube to freeze and there is no dedicated ice breaking vessel for the Romanian section.</w:t>
      </w:r>
    </w:p>
    <w:p w:rsidR="00660414" w:rsidRPr="000A76BD" w:rsidRDefault="00660414" w:rsidP="00A4081F">
      <w:pPr>
        <w:pStyle w:val="NumberedParas"/>
      </w:pPr>
      <w:r w:rsidRPr="008C5B1B">
        <w:t xml:space="preserve">The maintenance budget Romania provides for the Danube is low compared to other countries which may be a contributory issue to the navigation problems on the Romania section. </w:t>
      </w:r>
    </w:p>
    <w:p w:rsidR="00660414" w:rsidRPr="000A76BD" w:rsidRDefault="00660414" w:rsidP="00A4081F">
      <w:pPr>
        <w:pStyle w:val="NumberedParas"/>
      </w:pPr>
      <w:r w:rsidRPr="008C5B1B">
        <w:t>As a consequence of the reduced navigability, vessels have had to make unscheduled stops and loads have sometimes been pilfered from them.</w:t>
      </w:r>
    </w:p>
    <w:p w:rsidR="00660414" w:rsidRPr="000A76BD" w:rsidRDefault="00660414" w:rsidP="00660414">
      <w:pPr>
        <w:pStyle w:val="Heading7"/>
        <w:rPr>
          <w:szCs w:val="22"/>
        </w:rPr>
      </w:pPr>
      <w:r w:rsidRPr="008C5B1B">
        <w:rPr>
          <w:szCs w:val="22"/>
        </w:rPr>
        <w:t>Danube – Black Sea Canal</w:t>
      </w:r>
    </w:p>
    <w:p w:rsidR="00660414" w:rsidRPr="000A76BD" w:rsidRDefault="00660414" w:rsidP="00A4081F">
      <w:pPr>
        <w:pStyle w:val="NumberedParas"/>
      </w:pPr>
      <w:r w:rsidRPr="008C5B1B">
        <w:t>The Danube – Black Sea Canal runs between Cernavoda on the River Danube to Constanta on the Black Sea. The Danube-Black Sea Canal was created to provide a shorter link to the Black Sea from the Danube, thereby avoiding having to navigate the difficult Danube delta. The canal bifurcates with the main canal going south towards the port of Constanta at Agigea. The north canal reaches the Black Sea at Midia port.</w:t>
      </w:r>
    </w:p>
    <w:p w:rsidR="00660414" w:rsidRPr="000A76BD" w:rsidRDefault="00660414" w:rsidP="00A4081F">
      <w:pPr>
        <w:pStyle w:val="NumberedParas"/>
      </w:pPr>
      <w:r w:rsidRPr="008C5B1B">
        <w:t>The Danube-Black Sea Canal was designed to facilitate the transit of convoys comprising as much as 6 towed barges, up to 3,000 tonnes each (therefore up to 18,000 tonnes per convoy). Ships of up to 5,000 tonnes (as well as respecting the maximum dimensions) can pass through the canal.</w:t>
      </w:r>
    </w:p>
    <w:p w:rsidR="00660414" w:rsidRPr="000A76BD" w:rsidRDefault="00660414" w:rsidP="00A4081F">
      <w:pPr>
        <w:pStyle w:val="NumberedParas"/>
      </w:pPr>
      <w:r w:rsidRPr="008C5B1B">
        <w:t>There are locks on the Canal at Cernavoda, Agigea, Navodari and Ovidiu. The Canal’s administrator ACN charges for transit of the Canal</w:t>
      </w:r>
    </w:p>
    <w:p w:rsidR="00660414" w:rsidRDefault="00660414" w:rsidP="00660414">
      <w:pPr>
        <w:rPr>
          <w:b/>
          <w:i/>
          <w:noProof/>
          <w:sz w:val="22"/>
          <w:szCs w:val="22"/>
          <w:lang w:eastAsia="en-GB"/>
        </w:rPr>
      </w:pPr>
      <w:r>
        <w:rPr>
          <w:noProof/>
          <w:szCs w:val="22"/>
          <w:lang w:eastAsia="en-GB"/>
        </w:rPr>
        <w:br w:type="page"/>
      </w:r>
    </w:p>
    <w:p w:rsidR="00660414" w:rsidRPr="00D601AC" w:rsidRDefault="00660414" w:rsidP="00660414">
      <w:pPr>
        <w:pStyle w:val="Heading7"/>
        <w:rPr>
          <w:noProof/>
          <w:szCs w:val="22"/>
          <w:lang w:eastAsia="en-GB"/>
        </w:rPr>
      </w:pPr>
      <w:r w:rsidRPr="00D601AC">
        <w:rPr>
          <w:noProof/>
          <w:szCs w:val="22"/>
          <w:lang w:eastAsia="en-GB"/>
        </w:rPr>
        <w:t>Sulina Channel</w:t>
      </w:r>
    </w:p>
    <w:p w:rsidR="00660414" w:rsidRPr="00562970" w:rsidRDefault="00660414" w:rsidP="00A4081F">
      <w:pPr>
        <w:pStyle w:val="NumberedParas"/>
      </w:pPr>
      <w:r>
        <w:t>The Sulina Channel forms one of the three main branches of the Danube as it passes through the Danube Delta into the Black Sea. Due to the natural flow</w:t>
      </w:r>
      <w:r w:rsidRPr="00562970">
        <w:t xml:space="preserve"> of the Danube waters, along the course there is a continuous evolution of the morphology of the river.</w:t>
      </w:r>
      <w:r>
        <w:t xml:space="preserve"> The branches, in cluding the Sulina Channel, are particularly susceptible to these changes.</w:t>
      </w:r>
    </w:p>
    <w:p w:rsidR="00660414" w:rsidRDefault="00660414" w:rsidP="00A4081F">
      <w:pPr>
        <w:pStyle w:val="NumberedParas"/>
      </w:pPr>
      <w:r>
        <w:t>The morphological changes can be caused by a combination of changes in</w:t>
      </w:r>
      <w:r w:rsidRPr="00562970">
        <w:t xml:space="preserve"> land</w:t>
      </w:r>
      <w:r>
        <w:t xml:space="preserve"> use</w:t>
      </w:r>
      <w:r w:rsidRPr="00562970">
        <w:t xml:space="preserve">, </w:t>
      </w:r>
      <w:r>
        <w:t>changes in water level, changes in water flow velocity,</w:t>
      </w:r>
      <w:r w:rsidRPr="00562970">
        <w:t xml:space="preserve"> </w:t>
      </w:r>
      <w:r>
        <w:t>bow</w:t>
      </w:r>
      <w:r w:rsidRPr="00562970">
        <w:t xml:space="preserve"> waves from</w:t>
      </w:r>
      <w:r>
        <w:t xml:space="preserve"> passing</w:t>
      </w:r>
      <w:r w:rsidRPr="00562970">
        <w:t xml:space="preserve"> ships and ice can accelerate its morphological evolution of the riverbed in some sectors. </w:t>
      </w:r>
      <w:r>
        <w:t>T</w:t>
      </w:r>
      <w:r w:rsidRPr="00562970">
        <w:t>hese phenomena have influenced the Sulina C</w:t>
      </w:r>
      <w:r>
        <w:t>hanne</w:t>
      </w:r>
      <w:r w:rsidRPr="00562970">
        <w:t xml:space="preserve">l especially after floods in 1970 and 1975 that destroyed almost all </w:t>
      </w:r>
      <w:r>
        <w:t xml:space="preserve">of the </w:t>
      </w:r>
      <w:r w:rsidRPr="00562970">
        <w:t>old bank protection.</w:t>
      </w:r>
    </w:p>
    <w:p w:rsidR="00660414" w:rsidRDefault="00660414" w:rsidP="00273D5E">
      <w:pPr>
        <w:pStyle w:val="BulletLevel1"/>
      </w:pPr>
      <w:r w:rsidRPr="00AE06F3">
        <w:rPr>
          <w:b/>
        </w:rPr>
        <w:t>Problem:</w:t>
      </w:r>
      <w:r w:rsidRPr="00AE06F3">
        <w:t xml:space="preserve"> </w:t>
      </w:r>
      <w:r>
        <w:t>E</w:t>
      </w:r>
      <w:r w:rsidRPr="00562970">
        <w:t>rosion of</w:t>
      </w:r>
      <w:r>
        <w:t xml:space="preserve"> the</w:t>
      </w:r>
      <w:r w:rsidRPr="00562970">
        <w:t xml:space="preserve"> banks</w:t>
      </w:r>
      <w:r>
        <w:t xml:space="preserve"> of the Sulina Channel</w:t>
      </w:r>
      <w:r w:rsidRPr="00562970">
        <w:t xml:space="preserve"> </w:t>
      </w:r>
      <w:r>
        <w:t>threatens</w:t>
      </w:r>
      <w:r w:rsidRPr="00562970">
        <w:t xml:space="preserve"> the </w:t>
      </w:r>
      <w:r>
        <w:t>use</w:t>
      </w:r>
      <w:r w:rsidRPr="00562970">
        <w:t xml:space="preserve"> of the channel and adjacent facilities. The material eroded from banks is deposited at the mouth of the sea, which led to the development of Sulina bar.</w:t>
      </w:r>
      <w:r w:rsidRPr="00A55FA7">
        <w:t xml:space="preserve"> </w:t>
      </w:r>
      <w:r w:rsidRPr="00562970">
        <w:t xml:space="preserve">The </w:t>
      </w:r>
      <w:r>
        <w:t>erosion also</w:t>
      </w:r>
      <w:r w:rsidRPr="00562970">
        <w:t xml:space="preserve"> endangers large area</w:t>
      </w:r>
      <w:r>
        <w:t>s</w:t>
      </w:r>
      <w:r w:rsidRPr="00562970">
        <w:t xml:space="preserve"> of the Danube Delta Biosphere Reserve.</w:t>
      </w:r>
    </w:p>
    <w:p w:rsidR="00660414" w:rsidRDefault="00660414" w:rsidP="00273D5E">
      <w:pPr>
        <w:pStyle w:val="BulletLevel1"/>
      </w:pPr>
      <w:r w:rsidRPr="00AE06F3">
        <w:t>Potenti</w:t>
      </w:r>
      <w:r>
        <w:t>al Solution: Introducing m</w:t>
      </w:r>
      <w:r w:rsidRPr="00562970">
        <w:t xml:space="preserve">easures to restore and </w:t>
      </w:r>
      <w:r>
        <w:t>maintain</w:t>
      </w:r>
      <w:r w:rsidRPr="00562970">
        <w:t xml:space="preserve"> their shores</w:t>
      </w:r>
      <w:r>
        <w:t xml:space="preserve"> which are:</w:t>
      </w:r>
    </w:p>
    <w:p w:rsidR="00660414" w:rsidRDefault="00660414" w:rsidP="00A4081F">
      <w:pPr>
        <w:pStyle w:val="NumberedParas"/>
        <w:numPr>
          <w:ilvl w:val="0"/>
          <w:numId w:val="0"/>
        </w:numPr>
        <w:ind w:left="1673"/>
      </w:pPr>
      <w:r w:rsidRPr="00562970">
        <w:t xml:space="preserve">- Stopping the erosion in some areas </w:t>
      </w:r>
      <w:r>
        <w:t>by protecting the</w:t>
      </w:r>
      <w:r w:rsidRPr="00562970">
        <w:t xml:space="preserve"> banks of Sulina channel,</w:t>
      </w:r>
    </w:p>
    <w:p w:rsidR="00660414" w:rsidRDefault="00660414" w:rsidP="00A4081F">
      <w:pPr>
        <w:pStyle w:val="NumberedParas"/>
        <w:numPr>
          <w:ilvl w:val="0"/>
          <w:numId w:val="0"/>
        </w:numPr>
        <w:ind w:left="1673"/>
      </w:pPr>
      <w:r w:rsidRPr="00562970">
        <w:t xml:space="preserve">- </w:t>
      </w:r>
      <w:r>
        <w:t>S</w:t>
      </w:r>
      <w:r w:rsidRPr="00562970">
        <w:t>tabili</w:t>
      </w:r>
      <w:r>
        <w:t>sing</w:t>
      </w:r>
      <w:r w:rsidRPr="00562970">
        <w:t xml:space="preserve"> and securi</w:t>
      </w:r>
      <w:r>
        <w:t>ng the navigability</w:t>
      </w:r>
      <w:r w:rsidRPr="00562970">
        <w:t xml:space="preserve"> of the canal</w:t>
      </w:r>
    </w:p>
    <w:p w:rsidR="00660414" w:rsidRDefault="00660414" w:rsidP="00A4081F">
      <w:pPr>
        <w:pStyle w:val="NumberedParas"/>
        <w:numPr>
          <w:ilvl w:val="0"/>
          <w:numId w:val="0"/>
        </w:numPr>
        <w:ind w:left="1673"/>
      </w:pPr>
      <w:r w:rsidRPr="00562970">
        <w:t>- Reducing the risk of flooding of coastal settlements and economic facilities alo</w:t>
      </w:r>
      <w:r>
        <w:t>ng the canal</w:t>
      </w:r>
    </w:p>
    <w:p w:rsidR="00660414" w:rsidRDefault="00660414" w:rsidP="00A4081F">
      <w:pPr>
        <w:pStyle w:val="NumberedParas"/>
        <w:numPr>
          <w:ilvl w:val="0"/>
          <w:numId w:val="0"/>
        </w:numPr>
        <w:ind w:left="1673"/>
      </w:pPr>
      <w:r w:rsidRPr="00562970">
        <w:t>- Improving environmental protection in the secto</w:t>
      </w:r>
      <w:r>
        <w:t>r</w:t>
      </w:r>
      <w:r w:rsidRPr="00562970">
        <w:t>.</w:t>
      </w:r>
    </w:p>
    <w:p w:rsidR="00660414" w:rsidRDefault="00660414" w:rsidP="00A4081F">
      <w:pPr>
        <w:pStyle w:val="NumberedParas"/>
      </w:pPr>
      <w:r>
        <w:t>Adopting t</w:t>
      </w:r>
      <w:r w:rsidRPr="00BC44ED">
        <w:t>hese measures will lead to greater safety of navigation by providing general stability of</w:t>
      </w:r>
      <w:r w:rsidRPr="00DD3903">
        <w:t xml:space="preserve"> the canal</w:t>
      </w:r>
      <w:r>
        <w:t>. This is the second phase of an ongoing project on the Sulina Channel.</w:t>
      </w:r>
    </w:p>
    <w:p w:rsidR="00660414" w:rsidRDefault="00660414" w:rsidP="00660414">
      <w:pPr>
        <w:rPr>
          <w:b/>
          <w:i/>
          <w:sz w:val="22"/>
          <w:szCs w:val="22"/>
        </w:rPr>
      </w:pPr>
      <w:r>
        <w:rPr>
          <w:szCs w:val="22"/>
        </w:rPr>
        <w:br w:type="page"/>
      </w:r>
    </w:p>
    <w:p w:rsidR="00660414" w:rsidRPr="000A76BD" w:rsidRDefault="00660414" w:rsidP="00660414">
      <w:pPr>
        <w:pStyle w:val="Heading7"/>
        <w:rPr>
          <w:szCs w:val="22"/>
        </w:rPr>
      </w:pPr>
      <w:r w:rsidRPr="008C5B1B">
        <w:rPr>
          <w:szCs w:val="22"/>
        </w:rPr>
        <w:t>Summary</w:t>
      </w:r>
    </w:p>
    <w:p w:rsidR="00660414" w:rsidRDefault="00660414" w:rsidP="00A4081F">
      <w:pPr>
        <w:pStyle w:val="NumberedParas"/>
      </w:pPr>
      <w:r w:rsidRPr="008C5B1B">
        <w:t>T</w:t>
      </w:r>
      <w:r>
        <w:t>able 6.12 summarises the identified problems for each of the ports.</w:t>
      </w:r>
    </w:p>
    <w:p w:rsidR="00660414" w:rsidRPr="000A76BD" w:rsidRDefault="00660414" w:rsidP="00A4081F">
      <w:pPr>
        <w:pStyle w:val="NumberedParas"/>
        <w:numPr>
          <w:ilvl w:val="0"/>
          <w:numId w:val="0"/>
        </w:numPr>
        <w:ind w:left="851"/>
      </w:pPr>
      <w:r w:rsidRPr="008C5B1B">
        <w:rPr>
          <w:noProof/>
          <w:lang w:eastAsia="en-GB"/>
        </w:rPr>
        <w:t xml:space="preserve">Table </w:t>
      </w:r>
      <w:r>
        <w:rPr>
          <w:noProof/>
          <w:lang w:eastAsia="en-GB"/>
        </w:rPr>
        <w:t>6.12</w:t>
      </w:r>
      <w:r w:rsidRPr="008C5B1B">
        <w:rPr>
          <w:noProof/>
          <w:lang w:eastAsia="en-GB"/>
        </w:rPr>
        <w:t xml:space="preserve"> – Summary of the Identified Problems at the Ports</w:t>
      </w:r>
    </w:p>
    <w:tbl>
      <w:tblPr>
        <w:tblStyle w:val="TableGrid"/>
        <w:tblW w:w="0" w:type="auto"/>
        <w:tblLook w:val="04A0" w:firstRow="1" w:lastRow="0" w:firstColumn="1" w:lastColumn="0" w:noHBand="0" w:noVBand="1"/>
      </w:tblPr>
      <w:tblGrid>
        <w:gridCol w:w="2564"/>
        <w:gridCol w:w="1513"/>
        <w:gridCol w:w="1501"/>
        <w:gridCol w:w="1501"/>
        <w:gridCol w:w="1574"/>
        <w:gridCol w:w="1501"/>
      </w:tblGrid>
      <w:tr w:rsidR="00660414" w:rsidRPr="000A76BD" w:rsidTr="007613DE">
        <w:tc>
          <w:tcPr>
            <w:tcW w:w="2564" w:type="dxa"/>
            <w:vMerge w:val="restart"/>
          </w:tcPr>
          <w:p w:rsidR="00660414" w:rsidRPr="008C5B1B" w:rsidRDefault="00660414" w:rsidP="007613DE">
            <w:pPr>
              <w:rPr>
                <w:sz w:val="22"/>
                <w:szCs w:val="22"/>
              </w:rPr>
            </w:pPr>
            <w:r w:rsidRPr="008C5B1B">
              <w:rPr>
                <w:sz w:val="22"/>
                <w:szCs w:val="22"/>
              </w:rPr>
              <w:t>Port</w:t>
            </w:r>
          </w:p>
        </w:tc>
        <w:tc>
          <w:tcPr>
            <w:tcW w:w="7590" w:type="dxa"/>
            <w:gridSpan w:val="5"/>
          </w:tcPr>
          <w:p w:rsidR="00660414" w:rsidRPr="008C5B1B" w:rsidRDefault="00660414" w:rsidP="007613DE">
            <w:pPr>
              <w:rPr>
                <w:sz w:val="22"/>
                <w:szCs w:val="22"/>
              </w:rPr>
            </w:pPr>
            <w:r w:rsidRPr="008C5B1B">
              <w:rPr>
                <w:sz w:val="22"/>
                <w:szCs w:val="22"/>
              </w:rPr>
              <w:t>Identified Problems</w:t>
            </w:r>
          </w:p>
        </w:tc>
      </w:tr>
      <w:tr w:rsidR="00660414" w:rsidRPr="000A76BD" w:rsidTr="007613DE">
        <w:tc>
          <w:tcPr>
            <w:tcW w:w="2564" w:type="dxa"/>
            <w:vMerge/>
          </w:tcPr>
          <w:p w:rsidR="00660414" w:rsidRPr="008C5B1B" w:rsidRDefault="00660414" w:rsidP="007613DE">
            <w:pPr>
              <w:rPr>
                <w:sz w:val="22"/>
                <w:szCs w:val="22"/>
              </w:rPr>
            </w:pPr>
          </w:p>
        </w:tc>
        <w:tc>
          <w:tcPr>
            <w:tcW w:w="1513" w:type="dxa"/>
          </w:tcPr>
          <w:p w:rsidR="00660414" w:rsidRPr="008C5B1B" w:rsidRDefault="00660414" w:rsidP="007613DE">
            <w:pPr>
              <w:rPr>
                <w:sz w:val="22"/>
                <w:szCs w:val="22"/>
              </w:rPr>
            </w:pPr>
            <w:r w:rsidRPr="008C5B1B">
              <w:rPr>
                <w:sz w:val="22"/>
                <w:szCs w:val="22"/>
              </w:rPr>
              <w:t>Old or Undeveloped Infrastructure</w:t>
            </w:r>
          </w:p>
        </w:tc>
        <w:tc>
          <w:tcPr>
            <w:tcW w:w="1501" w:type="dxa"/>
          </w:tcPr>
          <w:p w:rsidR="00660414" w:rsidRPr="008C5B1B" w:rsidRDefault="00660414" w:rsidP="007613DE">
            <w:pPr>
              <w:rPr>
                <w:sz w:val="22"/>
                <w:szCs w:val="22"/>
              </w:rPr>
            </w:pPr>
            <w:r w:rsidRPr="008C5B1B">
              <w:rPr>
                <w:sz w:val="22"/>
                <w:szCs w:val="22"/>
              </w:rPr>
              <w:t>Poor Connectivity</w:t>
            </w:r>
          </w:p>
        </w:tc>
        <w:tc>
          <w:tcPr>
            <w:tcW w:w="1501" w:type="dxa"/>
          </w:tcPr>
          <w:p w:rsidR="00660414" w:rsidRPr="008C5B1B" w:rsidRDefault="00660414" w:rsidP="007613DE">
            <w:pPr>
              <w:rPr>
                <w:sz w:val="22"/>
                <w:szCs w:val="22"/>
              </w:rPr>
            </w:pPr>
            <w:r w:rsidRPr="008C5B1B">
              <w:rPr>
                <w:sz w:val="22"/>
                <w:szCs w:val="22"/>
              </w:rPr>
              <w:t>Unable to Handle New Flows</w:t>
            </w:r>
          </w:p>
        </w:tc>
        <w:tc>
          <w:tcPr>
            <w:tcW w:w="1574" w:type="dxa"/>
          </w:tcPr>
          <w:p w:rsidR="00660414" w:rsidRPr="008C5B1B" w:rsidRDefault="00660414" w:rsidP="007613DE">
            <w:pPr>
              <w:rPr>
                <w:sz w:val="22"/>
                <w:szCs w:val="22"/>
              </w:rPr>
            </w:pPr>
            <w:r w:rsidRPr="008C5B1B">
              <w:rPr>
                <w:sz w:val="22"/>
                <w:szCs w:val="22"/>
              </w:rPr>
              <w:t>Lacking Intermodal Functionality</w:t>
            </w:r>
          </w:p>
        </w:tc>
        <w:tc>
          <w:tcPr>
            <w:tcW w:w="1501" w:type="dxa"/>
          </w:tcPr>
          <w:p w:rsidR="00660414" w:rsidRPr="008C5B1B" w:rsidRDefault="00660414" w:rsidP="007613DE">
            <w:pPr>
              <w:rPr>
                <w:sz w:val="22"/>
                <w:szCs w:val="22"/>
              </w:rPr>
            </w:pPr>
            <w:r w:rsidRPr="008C5B1B">
              <w:rPr>
                <w:sz w:val="22"/>
                <w:szCs w:val="22"/>
              </w:rPr>
              <w:t>Lacking Capacity</w:t>
            </w:r>
          </w:p>
        </w:tc>
      </w:tr>
      <w:tr w:rsidR="00660414" w:rsidRPr="000A76BD" w:rsidTr="007613DE">
        <w:tc>
          <w:tcPr>
            <w:tcW w:w="2564" w:type="dxa"/>
          </w:tcPr>
          <w:p w:rsidR="00660414" w:rsidRPr="008C5B1B" w:rsidRDefault="00660414" w:rsidP="007613DE">
            <w:pPr>
              <w:rPr>
                <w:sz w:val="22"/>
                <w:szCs w:val="22"/>
              </w:rPr>
            </w:pPr>
            <w:r w:rsidRPr="008C5B1B">
              <w:rPr>
                <w:sz w:val="22"/>
                <w:szCs w:val="22"/>
              </w:rPr>
              <w:t>Constanta</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r>
      <w:tr w:rsidR="00660414" w:rsidRPr="000A76BD" w:rsidTr="007613DE">
        <w:tc>
          <w:tcPr>
            <w:tcW w:w="2564" w:type="dxa"/>
          </w:tcPr>
          <w:p w:rsidR="00660414" w:rsidRPr="008C5B1B" w:rsidRDefault="00660414" w:rsidP="007613DE">
            <w:pPr>
              <w:rPr>
                <w:sz w:val="22"/>
                <w:szCs w:val="22"/>
              </w:rPr>
            </w:pPr>
            <w:r w:rsidRPr="008C5B1B">
              <w:rPr>
                <w:sz w:val="22"/>
                <w:szCs w:val="22"/>
              </w:rPr>
              <w:t>Tulcea</w:t>
            </w:r>
          </w:p>
        </w:tc>
        <w:tc>
          <w:tcPr>
            <w:tcW w:w="1513"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sidRPr="001179E3">
              <w:rPr>
                <w:sz w:val="22"/>
                <w:szCs w:val="22"/>
              </w:rPr>
              <w:sym w:font="Wingdings" w:char="F0FC"/>
            </w: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Galati</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9C28D5" w:rsidRDefault="00660414" w:rsidP="007613DE">
            <w:r w:rsidRPr="001179E3">
              <w:rPr>
                <w:sz w:val="22"/>
                <w:szCs w:val="22"/>
              </w:rPr>
              <w:sym w:font="Wingdings" w:char="F0FC"/>
            </w:r>
          </w:p>
        </w:tc>
        <w:tc>
          <w:tcPr>
            <w:tcW w:w="1501" w:type="dxa"/>
          </w:tcPr>
          <w:p w:rsidR="00660414" w:rsidRPr="008C5B1B" w:rsidRDefault="00660414" w:rsidP="007613DE">
            <w:pPr>
              <w:rPr>
                <w:sz w:val="22"/>
                <w:szCs w:val="22"/>
              </w:rPr>
            </w:pPr>
            <w:r w:rsidRPr="001179E3">
              <w:rPr>
                <w:sz w:val="22"/>
                <w:szCs w:val="22"/>
              </w:rPr>
              <w:sym w:font="Wingdings" w:char="F0FC"/>
            </w:r>
          </w:p>
        </w:tc>
        <w:tc>
          <w:tcPr>
            <w:tcW w:w="1574"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Braila</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r>
      <w:tr w:rsidR="00660414" w:rsidRPr="000A76BD" w:rsidTr="007613DE">
        <w:tc>
          <w:tcPr>
            <w:tcW w:w="2564" w:type="dxa"/>
          </w:tcPr>
          <w:p w:rsidR="00660414" w:rsidRPr="008C5B1B" w:rsidRDefault="00660414" w:rsidP="007613DE">
            <w:pPr>
              <w:rPr>
                <w:sz w:val="22"/>
                <w:szCs w:val="22"/>
              </w:rPr>
            </w:pPr>
            <w:r w:rsidRPr="008C5B1B">
              <w:rPr>
                <w:sz w:val="22"/>
                <w:szCs w:val="22"/>
              </w:rPr>
              <w:t>Cernavoda</w:t>
            </w:r>
          </w:p>
        </w:tc>
        <w:tc>
          <w:tcPr>
            <w:tcW w:w="1513"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sidRPr="008C5B1B">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Calarasi</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sidRPr="008C5B1B">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Oltenita</w:t>
            </w:r>
          </w:p>
        </w:tc>
        <w:tc>
          <w:tcPr>
            <w:tcW w:w="1513"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sidRPr="008C5B1B">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Giurgiu</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sidRPr="008C5B1B">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Corabia</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Calafat</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Drobeta</w:t>
            </w:r>
            <w:r>
              <w:rPr>
                <w:sz w:val="22"/>
                <w:szCs w:val="22"/>
              </w:rPr>
              <w:t xml:space="preserve"> </w:t>
            </w:r>
            <w:r w:rsidRPr="008C5B1B">
              <w:rPr>
                <w:sz w:val="22"/>
                <w:szCs w:val="22"/>
                <w:lang w:val="ro-RO"/>
              </w:rPr>
              <w:t>Turnu Severin</w:t>
            </w:r>
          </w:p>
        </w:tc>
        <w:tc>
          <w:tcPr>
            <w:tcW w:w="1513" w:type="dxa"/>
          </w:tcPr>
          <w:p w:rsidR="00660414" w:rsidRPr="008C5B1B" w:rsidRDefault="00660414" w:rsidP="007613DE">
            <w:pPr>
              <w:rPr>
                <w:sz w:val="22"/>
                <w:szCs w:val="22"/>
              </w:rPr>
            </w:pPr>
            <w:r w:rsidRPr="001179E3">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Orsova</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r>
              <w:rPr>
                <w:sz w:val="22"/>
                <w:szCs w:val="22"/>
              </w:rPr>
              <w:sym w:font="Wingdings" w:char="F0FC"/>
            </w:r>
          </w:p>
        </w:tc>
      </w:tr>
      <w:tr w:rsidR="00660414" w:rsidRPr="000A76BD" w:rsidTr="007613DE">
        <w:tc>
          <w:tcPr>
            <w:tcW w:w="2564" w:type="dxa"/>
          </w:tcPr>
          <w:p w:rsidR="00660414" w:rsidRPr="008C5B1B" w:rsidRDefault="00660414" w:rsidP="007613DE">
            <w:pPr>
              <w:rPr>
                <w:sz w:val="22"/>
                <w:szCs w:val="22"/>
              </w:rPr>
            </w:pPr>
            <w:r w:rsidRPr="008C5B1B">
              <w:rPr>
                <w:sz w:val="22"/>
                <w:szCs w:val="22"/>
              </w:rPr>
              <w:t>Moldova Veche</w:t>
            </w:r>
          </w:p>
        </w:tc>
        <w:tc>
          <w:tcPr>
            <w:tcW w:w="1513" w:type="dxa"/>
          </w:tcPr>
          <w:p w:rsidR="00660414" w:rsidRPr="008C5B1B" w:rsidRDefault="00660414" w:rsidP="007613DE">
            <w:pPr>
              <w:rPr>
                <w:sz w:val="22"/>
                <w:szCs w:val="22"/>
              </w:rPr>
            </w:pPr>
            <w:r w:rsidRPr="008C5B1B">
              <w:rPr>
                <w:sz w:val="22"/>
                <w:szCs w:val="22"/>
              </w:rPr>
              <w:sym w:font="Wingdings" w:char="F0FC"/>
            </w:r>
          </w:p>
        </w:tc>
        <w:tc>
          <w:tcPr>
            <w:tcW w:w="1501"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c>
          <w:tcPr>
            <w:tcW w:w="1574" w:type="dxa"/>
          </w:tcPr>
          <w:p w:rsidR="00660414" w:rsidRPr="008C5B1B" w:rsidRDefault="00660414" w:rsidP="007613DE">
            <w:pPr>
              <w:rPr>
                <w:sz w:val="22"/>
                <w:szCs w:val="22"/>
              </w:rPr>
            </w:pPr>
          </w:p>
        </w:tc>
        <w:tc>
          <w:tcPr>
            <w:tcW w:w="1501" w:type="dxa"/>
          </w:tcPr>
          <w:p w:rsidR="00660414" w:rsidRPr="008C5B1B" w:rsidRDefault="00660414" w:rsidP="007613DE">
            <w:pPr>
              <w:rPr>
                <w:sz w:val="22"/>
                <w:szCs w:val="22"/>
              </w:rPr>
            </w:pPr>
          </w:p>
        </w:tc>
      </w:tr>
    </w:tbl>
    <w:p w:rsidR="00660414" w:rsidRPr="008C5B1B" w:rsidRDefault="00660414" w:rsidP="00660414">
      <w:pPr>
        <w:rPr>
          <w:sz w:val="22"/>
          <w:szCs w:val="22"/>
        </w:rPr>
      </w:pPr>
    </w:p>
    <w:p w:rsidR="00660414" w:rsidRPr="000A76BD" w:rsidRDefault="00660414" w:rsidP="00A4081F">
      <w:pPr>
        <w:pStyle w:val="NumberedParas"/>
      </w:pPr>
      <w:r w:rsidRPr="008C5B1B">
        <w:t>Problems identified on the River Danube include a lack of a consistent navigation, a low maintenance budget and poor safety and security.</w:t>
      </w:r>
    </w:p>
    <w:p w:rsidR="00660414" w:rsidRDefault="00660414" w:rsidP="00660414">
      <w:pPr>
        <w:rPr>
          <w:rFonts w:cs="Arial"/>
          <w:b/>
          <w:color w:val="9E0880"/>
          <w:sz w:val="22"/>
          <w:szCs w:val="22"/>
        </w:rPr>
      </w:pPr>
      <w:bookmarkStart w:id="7996" w:name="_Toc400538723"/>
      <w:r>
        <w:br w:type="page"/>
      </w:r>
    </w:p>
    <w:p w:rsidR="00660414" w:rsidRPr="000A76BD" w:rsidRDefault="00660414" w:rsidP="00045287">
      <w:pPr>
        <w:pStyle w:val="Hdg2"/>
      </w:pPr>
      <w:bookmarkStart w:id="7997" w:name="_Toc408990850"/>
      <w:bookmarkStart w:id="7998" w:name="_Toc413056060"/>
      <w:r w:rsidRPr="008C5B1B">
        <w:t>Strategic Objectives</w:t>
      </w:r>
      <w:bookmarkEnd w:id="7996"/>
      <w:bookmarkEnd w:id="7997"/>
      <w:bookmarkEnd w:id="7998"/>
    </w:p>
    <w:p w:rsidR="00660414" w:rsidRPr="000A76BD" w:rsidRDefault="00660414" w:rsidP="00660414">
      <w:pPr>
        <w:pStyle w:val="Hdg3"/>
      </w:pPr>
      <w:r w:rsidRPr="008C5B1B">
        <w:t>Strategic Vision</w:t>
      </w:r>
    </w:p>
    <w:p w:rsidR="00660414" w:rsidRPr="000A76BD" w:rsidRDefault="00660414" w:rsidP="00A4081F">
      <w:pPr>
        <w:pStyle w:val="NumberedParas"/>
      </w:pPr>
      <w:r w:rsidRPr="008C5B1B">
        <w:t>The strategic vision for Romania for water freight can be defined between the ports and its waterways. The strategic vision will satisfy the following strategic objectives:</w:t>
      </w:r>
    </w:p>
    <w:p w:rsidR="00660414" w:rsidRPr="000A76BD" w:rsidRDefault="00660414" w:rsidP="00273D5E">
      <w:pPr>
        <w:pStyle w:val="BulletLevel1"/>
      </w:pPr>
      <w:r w:rsidRPr="008C5B1B">
        <w:t>Economic Development</w:t>
      </w:r>
    </w:p>
    <w:p w:rsidR="00660414" w:rsidRPr="000A76BD" w:rsidRDefault="00660414" w:rsidP="00273D5E">
      <w:pPr>
        <w:pStyle w:val="BulletLevel1"/>
      </w:pPr>
      <w:r w:rsidRPr="008C5B1B">
        <w:t>Economic Efficiency</w:t>
      </w:r>
    </w:p>
    <w:p w:rsidR="00660414" w:rsidRPr="000A76BD" w:rsidRDefault="00660414" w:rsidP="00273D5E">
      <w:pPr>
        <w:pStyle w:val="BulletLevel1"/>
      </w:pPr>
      <w:r w:rsidRPr="008C5B1B">
        <w:t>Safety</w:t>
      </w:r>
    </w:p>
    <w:p w:rsidR="00660414" w:rsidRPr="000A76BD" w:rsidRDefault="00660414" w:rsidP="00273D5E">
      <w:pPr>
        <w:pStyle w:val="BulletLevel1"/>
      </w:pPr>
      <w:r w:rsidRPr="008C5B1B">
        <w:t>Sustainability</w:t>
      </w:r>
    </w:p>
    <w:p w:rsidR="00660414" w:rsidRPr="000A76BD" w:rsidRDefault="00660414" w:rsidP="00273D5E">
      <w:pPr>
        <w:pStyle w:val="BulletLevel1"/>
      </w:pPr>
      <w:r w:rsidRPr="008C5B1B">
        <w:t>Environmental Impact</w:t>
      </w:r>
    </w:p>
    <w:p w:rsidR="00660414" w:rsidRPr="000A76BD" w:rsidRDefault="00660414" w:rsidP="00A4081F">
      <w:pPr>
        <w:pStyle w:val="NumberedParas"/>
      </w:pPr>
      <w:r w:rsidRPr="008C5B1B">
        <w:t>For Romania’s ports the strategic vision is a core network of ports (called the Primary Economic Network – Figure 6.</w:t>
      </w:r>
      <w:r>
        <w:t>9</w:t>
      </w:r>
      <w:r w:rsidRPr="008C5B1B">
        <w:t>) that strategically serves Romania with modern and efficient equipment and logistics practices. These ports have been chosen based on specified criteria such as their status as TEN-T ports, scale, current and potential for freight operations and location.</w:t>
      </w:r>
    </w:p>
    <w:p w:rsidR="00660414" w:rsidRPr="008C5B1B"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2DB34914" wp14:editId="5207545D">
            <wp:extent cx="5276850" cy="3733800"/>
            <wp:effectExtent l="19050" t="0" r="0" b="0"/>
            <wp:docPr id="149" name="Picture 4" descr="C:\Users\turpinm\AppData\Local\Microsoft\Windows\Temporary Internet Files\Content.Outlook\RQJO0V1E\Ports_categories_primary_economic_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pinm\AppData\Local\Microsoft\Windows\Temporary Internet Files\Content.Outlook\RQJO0V1E\Ports_categories_primary_economic_network.jpg"/>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5276850" cy="3733800"/>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sz w:val="22"/>
          <w:szCs w:val="22"/>
        </w:rPr>
      </w:pPr>
      <w:r w:rsidRPr="008C5B1B">
        <w:rPr>
          <w:b/>
          <w:noProof/>
          <w:sz w:val="22"/>
          <w:szCs w:val="22"/>
          <w:lang w:eastAsia="en-GB"/>
        </w:rPr>
        <w:t>Figure 6.</w:t>
      </w:r>
      <w:r>
        <w:rPr>
          <w:b/>
          <w:noProof/>
          <w:sz w:val="22"/>
          <w:szCs w:val="22"/>
          <w:lang w:eastAsia="en-GB"/>
        </w:rPr>
        <w:t>9</w:t>
      </w:r>
      <w:r w:rsidRPr="008C5B1B">
        <w:rPr>
          <w:b/>
          <w:noProof/>
          <w:sz w:val="22"/>
          <w:szCs w:val="22"/>
          <w:lang w:eastAsia="en-GB"/>
        </w:rPr>
        <w:t xml:space="preserve"> – the Primary Economic Network</w:t>
      </w:r>
    </w:p>
    <w:p w:rsidR="00660414" w:rsidRPr="008C5B1B" w:rsidRDefault="00660414" w:rsidP="00660414">
      <w:pPr>
        <w:spacing w:line="276" w:lineRule="auto"/>
        <w:rPr>
          <w:sz w:val="22"/>
          <w:szCs w:val="22"/>
        </w:rPr>
      </w:pPr>
    </w:p>
    <w:p w:rsidR="00660414" w:rsidRPr="000A76BD" w:rsidRDefault="00660414" w:rsidP="00A4081F">
      <w:pPr>
        <w:pStyle w:val="NumberedParas"/>
      </w:pPr>
      <w:r w:rsidRPr="008C5B1B">
        <w:t>For Romania’s port the strategic objectives that will be satisfied are:</w:t>
      </w:r>
    </w:p>
    <w:p w:rsidR="00660414" w:rsidRPr="000A76BD" w:rsidRDefault="00660414" w:rsidP="00273D5E">
      <w:pPr>
        <w:pStyle w:val="BulletLevel1"/>
      </w:pPr>
      <w:r w:rsidRPr="008C5B1B">
        <w:t>Economic Development</w:t>
      </w:r>
    </w:p>
    <w:p w:rsidR="00660414" w:rsidRPr="000A76BD" w:rsidRDefault="00660414" w:rsidP="00273D5E">
      <w:pPr>
        <w:pStyle w:val="BulletLevel1"/>
      </w:pPr>
      <w:r w:rsidRPr="008C5B1B">
        <w:t>Economic Efficiency</w:t>
      </w:r>
    </w:p>
    <w:p w:rsidR="00660414" w:rsidRPr="000A76BD" w:rsidRDefault="00660414" w:rsidP="00273D5E">
      <w:pPr>
        <w:pStyle w:val="BulletLevel1"/>
      </w:pPr>
      <w:r w:rsidRPr="008C5B1B">
        <w:t>Sustainability</w:t>
      </w:r>
    </w:p>
    <w:p w:rsidR="00660414" w:rsidRPr="000A76BD" w:rsidRDefault="00660414" w:rsidP="00273D5E">
      <w:pPr>
        <w:pStyle w:val="BulletLevel1"/>
      </w:pPr>
      <w:r w:rsidRPr="008C5B1B">
        <w:t>Environmental Impact</w:t>
      </w:r>
    </w:p>
    <w:p w:rsidR="00660414" w:rsidRPr="000A76BD" w:rsidRDefault="00660414" w:rsidP="00A4081F">
      <w:pPr>
        <w:pStyle w:val="NumberedParas"/>
      </w:pPr>
      <w:r w:rsidRPr="008C5B1B">
        <w:t>For Romania’s waterways the strategic vision is a network that provides 24/7 access to all waterways users. This will ensure a common service level that is of a high standard that gives operators and passengers and freight confidence to use the waterways. This will be achieved by improving and maintaining the fairway to the 2.5m depth required as well as investing in features that will reduce or eliminate any impact of avoidable instances of reduced navigation such as dedicated ice breaking vessels.</w:t>
      </w:r>
    </w:p>
    <w:p w:rsidR="00660414" w:rsidRPr="000A76BD" w:rsidRDefault="00660414" w:rsidP="00045287">
      <w:pPr>
        <w:pStyle w:val="Hdg2"/>
      </w:pPr>
      <w:bookmarkStart w:id="7999" w:name="_Toc408990851"/>
      <w:bookmarkStart w:id="8000" w:name="_Toc408990852"/>
      <w:bookmarkStart w:id="8001" w:name="_Toc408990853"/>
      <w:bookmarkStart w:id="8002" w:name="_Toc408990854"/>
      <w:bookmarkStart w:id="8003" w:name="_Toc408990855"/>
      <w:bookmarkStart w:id="8004" w:name="_Toc400538724"/>
      <w:bookmarkStart w:id="8005" w:name="_Toc408990856"/>
      <w:bookmarkStart w:id="8006" w:name="_Toc413056061"/>
      <w:bookmarkEnd w:id="7999"/>
      <w:bookmarkEnd w:id="8000"/>
      <w:bookmarkEnd w:id="8001"/>
      <w:bookmarkEnd w:id="8002"/>
      <w:bookmarkEnd w:id="8003"/>
      <w:r w:rsidRPr="008C5B1B">
        <w:t>Operational Objectives</w:t>
      </w:r>
      <w:bookmarkEnd w:id="8004"/>
      <w:bookmarkEnd w:id="8005"/>
      <w:bookmarkEnd w:id="8006"/>
    </w:p>
    <w:p w:rsidR="00660414" w:rsidRPr="000A76BD" w:rsidRDefault="00660414" w:rsidP="00A4081F">
      <w:pPr>
        <w:pStyle w:val="NumberedParas"/>
      </w:pPr>
      <w:r w:rsidRPr="008C5B1B">
        <w:t>The water based operational objectives are:</w:t>
      </w:r>
    </w:p>
    <w:p w:rsidR="00660414" w:rsidRPr="000A76BD" w:rsidRDefault="00660414" w:rsidP="00273D5E">
      <w:pPr>
        <w:pStyle w:val="BulletLevel1"/>
      </w:pPr>
      <w:r w:rsidRPr="008C5B1B">
        <w:t>OW1 – Improve availability of the Danube</w:t>
      </w:r>
    </w:p>
    <w:p w:rsidR="00660414" w:rsidRPr="000A76BD" w:rsidRDefault="00660414" w:rsidP="00273D5E">
      <w:pPr>
        <w:pStyle w:val="BulletLevel1"/>
      </w:pPr>
      <w:r w:rsidRPr="008C5B1B">
        <w:t>OW2 – Improve Danube connectivity to reduce cost and time</w:t>
      </w:r>
    </w:p>
    <w:p w:rsidR="00660414" w:rsidRPr="000A76BD" w:rsidRDefault="00660414" w:rsidP="00273D5E">
      <w:pPr>
        <w:pStyle w:val="BulletLevel1"/>
      </w:pPr>
      <w:r w:rsidRPr="008C5B1B">
        <w:t>OW3 – Unblock barriers to operational efficiency</w:t>
      </w:r>
    </w:p>
    <w:p w:rsidR="00660414" w:rsidRPr="000A76BD" w:rsidRDefault="00660414" w:rsidP="00273D5E">
      <w:pPr>
        <w:pStyle w:val="BulletLevel1"/>
      </w:pPr>
      <w:r w:rsidRPr="008C5B1B">
        <w:t>OW4 – Reduce costs through operational efficiency</w:t>
      </w:r>
    </w:p>
    <w:p w:rsidR="00660414" w:rsidRPr="000A76BD" w:rsidRDefault="00660414" w:rsidP="00273D5E">
      <w:pPr>
        <w:pStyle w:val="BulletLevel1"/>
      </w:pPr>
      <w:r w:rsidRPr="008C5B1B">
        <w:t>OW5 – Improve coordination between levels of government and enable investment</w:t>
      </w:r>
    </w:p>
    <w:p w:rsidR="00660414" w:rsidRPr="000A76BD" w:rsidRDefault="00660414" w:rsidP="00273D5E">
      <w:pPr>
        <w:pStyle w:val="BulletLevel1"/>
      </w:pPr>
      <w:r w:rsidRPr="008C5B1B">
        <w:t>OW6 – Review existing assets to focus intervention to increase capacity</w:t>
      </w:r>
    </w:p>
    <w:p w:rsidR="00660414" w:rsidRPr="000A76BD" w:rsidRDefault="00660414" w:rsidP="00273D5E">
      <w:pPr>
        <w:pStyle w:val="BulletLevel1"/>
      </w:pPr>
      <w:r w:rsidRPr="008C5B1B">
        <w:t>OW7 – Reduce procedural delays to water freight</w:t>
      </w:r>
    </w:p>
    <w:p w:rsidR="00660414" w:rsidRPr="000A76BD" w:rsidRDefault="00660414" w:rsidP="00273D5E">
      <w:pPr>
        <w:pStyle w:val="BulletLevel1"/>
      </w:pPr>
      <w:r w:rsidRPr="008C5B1B">
        <w:t>OW8 – Reduce number and cost of accidents on Danube</w:t>
      </w:r>
    </w:p>
    <w:p w:rsidR="00660414" w:rsidRPr="000A76BD" w:rsidRDefault="00660414" w:rsidP="00273D5E">
      <w:pPr>
        <w:pStyle w:val="BulletLevel1"/>
      </w:pPr>
      <w:r w:rsidRPr="008C5B1B">
        <w:t>OW9 – Reduce emissions of CO2 and Sulphur Dioxide</w:t>
      </w:r>
    </w:p>
    <w:p w:rsidR="00660414" w:rsidRPr="000A76BD" w:rsidRDefault="00660414" w:rsidP="00273D5E">
      <w:pPr>
        <w:pStyle w:val="BulletLevel1"/>
      </w:pPr>
      <w:r w:rsidRPr="008C5B1B">
        <w:t>OW10 – Increase the amount of freight moved by sustainable modes</w:t>
      </w:r>
    </w:p>
    <w:p w:rsidR="00660414" w:rsidRPr="000A76BD" w:rsidRDefault="00660414" w:rsidP="00273D5E">
      <w:pPr>
        <w:pStyle w:val="BulletLevel1"/>
      </w:pPr>
      <w:r w:rsidRPr="008C5B1B">
        <w:t xml:space="preserve">OW11 – Make efficient use of port land and facilities </w:t>
      </w:r>
    </w:p>
    <w:p w:rsidR="00660414" w:rsidRPr="000A76BD" w:rsidRDefault="00660414" w:rsidP="00273D5E">
      <w:pPr>
        <w:pStyle w:val="BulletLevel1"/>
      </w:pPr>
      <w:r w:rsidRPr="008C5B1B">
        <w:t>OW12 – Increase use of intermodal transport</w:t>
      </w:r>
    </w:p>
    <w:p w:rsidR="00660414" w:rsidRPr="000A76BD" w:rsidRDefault="00660414" w:rsidP="00A4081F">
      <w:pPr>
        <w:pStyle w:val="NumberedParas"/>
      </w:pPr>
      <w:r w:rsidRPr="008C5B1B">
        <w:t>Each intervention has been rated against the operational objectives to determine validity. This is demonstrated in Section 6.4.</w:t>
      </w:r>
    </w:p>
    <w:p w:rsidR="00660414" w:rsidRPr="000A76BD" w:rsidRDefault="00660414" w:rsidP="00045287">
      <w:pPr>
        <w:pStyle w:val="Hdg2"/>
      </w:pPr>
      <w:bookmarkStart w:id="8007" w:name="_Toc400538725"/>
      <w:bookmarkStart w:id="8008" w:name="_Toc408990857"/>
      <w:bookmarkStart w:id="8009" w:name="_Toc413056062"/>
      <w:r w:rsidRPr="008C5B1B">
        <w:t>Testing Interventions</w:t>
      </w:r>
      <w:bookmarkEnd w:id="8007"/>
      <w:bookmarkEnd w:id="8008"/>
      <w:bookmarkEnd w:id="8009"/>
    </w:p>
    <w:p w:rsidR="00660414" w:rsidRDefault="00660414" w:rsidP="00A4081F">
      <w:pPr>
        <w:pStyle w:val="NumberedParas"/>
      </w:pPr>
      <w:r w:rsidRPr="008C5B1B">
        <w:t>This section considers the results from the National Transport Model on the interventions. Note that certain interventions were not able to be been tested by the model. It should be noted that whilst the certain interventions have been tested as part of the National Transport Master Plan, more detailed feasibility studies should be conducted for the interventions listed and tested against prevailing market conditions.</w:t>
      </w:r>
    </w:p>
    <w:p w:rsidR="00660414" w:rsidRPr="000A76BD" w:rsidRDefault="00660414" w:rsidP="00A4081F">
      <w:pPr>
        <w:pStyle w:val="NumberedParas"/>
      </w:pPr>
      <w:r>
        <w:t>Where ports have multiple projects there may be scope for synergies such as cost. However such synergies will be planned through detailed feasibility studies. For the purposes of the Masterplan project costs have been considered in isolation.</w:t>
      </w:r>
    </w:p>
    <w:p w:rsidR="00660414" w:rsidRPr="000A76BD" w:rsidRDefault="00660414" w:rsidP="00660414">
      <w:pPr>
        <w:spacing w:line="276" w:lineRule="auto"/>
        <w:rPr>
          <w:sz w:val="22"/>
          <w:szCs w:val="22"/>
        </w:rPr>
      </w:pPr>
    </w:p>
    <w:p w:rsidR="00660414" w:rsidRPr="000A76BD" w:rsidRDefault="00660414" w:rsidP="00660414">
      <w:pPr>
        <w:rPr>
          <w:b/>
          <w:sz w:val="22"/>
          <w:szCs w:val="22"/>
        </w:rPr>
      </w:pPr>
      <w:r w:rsidRPr="008C5B1B">
        <w:rPr>
          <w:b/>
          <w:sz w:val="22"/>
          <w:szCs w:val="22"/>
        </w:rPr>
        <w:br w:type="page"/>
      </w:r>
    </w:p>
    <w:p w:rsidR="00660414" w:rsidRPr="008C5B1B" w:rsidRDefault="00660414" w:rsidP="00660414">
      <w:pPr>
        <w:rPr>
          <w:sz w:val="22"/>
          <w:szCs w:val="22"/>
        </w:rPr>
      </w:pPr>
      <w:r w:rsidRPr="008C5B1B">
        <w:rPr>
          <w:b/>
          <w:sz w:val="22"/>
          <w:szCs w:val="22"/>
        </w:rPr>
        <w:t>Constanta:</w:t>
      </w:r>
    </w:p>
    <w:p w:rsidR="00660414" w:rsidRPr="000A76BD" w:rsidRDefault="00660414" w:rsidP="00660414">
      <w:pPr>
        <w:spacing w:line="276" w:lineRule="auto"/>
        <w:rPr>
          <w:b/>
          <w:sz w:val="22"/>
          <w:szCs w:val="22"/>
        </w:rPr>
      </w:pPr>
      <w:r w:rsidRPr="008C5B1B">
        <w:rPr>
          <w:b/>
          <w:sz w:val="22"/>
          <w:szCs w:val="22"/>
        </w:rPr>
        <w:t>Build a new container terminal at Constanta (III &amp; IVS)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Default="00660414" w:rsidP="00A4081F">
      <w:pPr>
        <w:pStyle w:val="NumberedParas"/>
      </w:pPr>
      <w:r w:rsidRPr="008C5B1B">
        <w:t xml:space="preserve">The south of Constanta Port offers development potential for a container terminal, with the main advantage conferred by large depths for berths. </w:t>
      </w:r>
      <w:r>
        <w:t xml:space="preserve">There is some intermodal infrastructure already in place with three container handling facilities at Constanta, however only one has relatively modern equipment. </w:t>
      </w:r>
      <w:r w:rsidRPr="008C5B1B">
        <w:t xml:space="preserve">The port can currently process 400 containers a day but increasing containerisation is likely to require the port to process larger numbers in the future. A range of full and empty container handling should be developed in accordance with traffic projections to ensure Constanta competes with other major container ports. Whilst current capacity at Constanta is sufficient it is considered inadequate for long term future growth. Any such solution should be phased according to market conditions. </w:t>
      </w:r>
    </w:p>
    <w:p w:rsidR="00660414" w:rsidRPr="000A76BD" w:rsidRDefault="00660414" w:rsidP="00A4081F">
      <w:pPr>
        <w:pStyle w:val="NumberedParas"/>
      </w:pPr>
      <w:r w:rsidRPr="008C5B1B">
        <w:t>Specifically the project will incorporate:</w:t>
      </w:r>
    </w:p>
    <w:p w:rsidR="00660414" w:rsidRPr="000A76BD" w:rsidRDefault="00660414" w:rsidP="00273D5E">
      <w:pPr>
        <w:pStyle w:val="BulletLevel1"/>
      </w:pPr>
      <w:r w:rsidRPr="008C5B1B">
        <w:t>Safe handling and storage facilities</w:t>
      </w:r>
    </w:p>
    <w:p w:rsidR="00660414" w:rsidRPr="000A76BD" w:rsidRDefault="00660414" w:rsidP="00273D5E">
      <w:pPr>
        <w:pStyle w:val="BulletLevel1"/>
      </w:pPr>
      <w:r w:rsidRPr="008C5B1B">
        <w:t>Mobile or STS cranes for vessel loading and unloading</w:t>
      </w:r>
    </w:p>
    <w:p w:rsidR="00660414" w:rsidRPr="008C5B1B" w:rsidRDefault="00660414" w:rsidP="00660414">
      <w:pPr>
        <w:pStyle w:val="ListParagraph"/>
        <w:spacing w:before="120" w:after="120" w:line="276" w:lineRule="auto"/>
        <w:ind w:left="0"/>
        <w:rPr>
          <w:noProof/>
          <w:sz w:val="22"/>
          <w:szCs w:val="22"/>
          <w:lang w:eastAsia="en-GB"/>
        </w:rPr>
      </w:pPr>
      <w:r w:rsidRPr="008C5B1B">
        <w:rPr>
          <w:noProof/>
          <w:sz w:val="22"/>
          <w:szCs w:val="22"/>
          <w:lang w:val="ro-RO" w:eastAsia="ro-RO"/>
        </w:rPr>
        <w:drawing>
          <wp:inline distT="0" distB="0" distL="0" distR="0" wp14:anchorId="0AC9E43D" wp14:editId="7E45B287">
            <wp:extent cx="5241925" cy="4582795"/>
            <wp:effectExtent l="19050" t="19050" r="15875" b="27305"/>
            <wp:docPr id="1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5241925" cy="4582795"/>
                    </a:xfrm>
                    <a:prstGeom prst="rect">
                      <a:avLst/>
                    </a:prstGeom>
                    <a:noFill/>
                    <a:ln w="6350" cmpd="sng">
                      <a:solidFill>
                        <a:srgbClr val="000000"/>
                      </a:solidFill>
                      <a:miter lim="800000"/>
                      <a:headEnd/>
                      <a:tailEnd/>
                    </a:ln>
                    <a:effectLst/>
                  </pic:spPr>
                </pic:pic>
              </a:graphicData>
            </a:graphic>
          </wp:inline>
        </w:drawing>
      </w:r>
    </w:p>
    <w:p w:rsidR="00660414" w:rsidRPr="008C5B1B" w:rsidRDefault="00660414" w:rsidP="00660414">
      <w:pPr>
        <w:pStyle w:val="Frspaiere1"/>
        <w:rPr>
          <w:rFonts w:ascii="Arial" w:hAnsi="Arial" w:cs="Arial"/>
          <w:b/>
          <w:noProof/>
          <w:lang w:eastAsia="en-GB"/>
        </w:rPr>
      </w:pPr>
      <w:r w:rsidRPr="008C5B1B">
        <w:rPr>
          <w:rFonts w:ascii="Arial" w:hAnsi="Arial" w:cs="Arial"/>
          <w:b/>
          <w:noProof/>
          <w:lang w:eastAsia="en-GB"/>
        </w:rPr>
        <w:t>Figure 6.10 – Plans for a New Container Terminal at Constanta</w:t>
      </w:r>
    </w:p>
    <w:p w:rsidR="00660414" w:rsidRPr="000A76BD" w:rsidRDefault="00660414" w:rsidP="00660414">
      <w:pPr>
        <w:pStyle w:val="Frspaiere1"/>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This intervention addresses the following issues at Constanta:</w:t>
      </w:r>
    </w:p>
    <w:p w:rsidR="00660414" w:rsidRPr="000A76BD" w:rsidRDefault="00660414" w:rsidP="00273D5E">
      <w:pPr>
        <w:pStyle w:val="BulletLevel1"/>
      </w:pPr>
      <w:r w:rsidRPr="008C5B1B">
        <w:t>A lack of modern infrastructure at the port</w:t>
      </w:r>
    </w:p>
    <w:p w:rsidR="00660414" w:rsidRPr="000A76BD" w:rsidRDefault="00660414" w:rsidP="00273D5E">
      <w:pPr>
        <w:pStyle w:val="BulletLevel1"/>
      </w:pPr>
      <w:r w:rsidRPr="008C5B1B">
        <w:t>A forecast lack of future capacity at Constanta</w:t>
      </w:r>
    </w:p>
    <w:p w:rsidR="00660414" w:rsidRPr="000A76BD" w:rsidRDefault="00660414" w:rsidP="00273D5E">
      <w:pPr>
        <w:pStyle w:val="BulletLevel1"/>
      </w:pPr>
      <w:r w:rsidRPr="008C5B1B">
        <w:t>The increasing competition from other ports by ensuring Constanta remains an attractive choice to international freight movers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10" w:name="_Toc408990858"/>
      <w:r w:rsidRPr="008C5B1B">
        <w:t>OW3 – Unblock barriers to operational efficiency</w:t>
      </w:r>
      <w:bookmarkEnd w:id="8010"/>
    </w:p>
    <w:p w:rsidR="00660414" w:rsidRPr="000A76BD" w:rsidRDefault="00660414" w:rsidP="00273D5E">
      <w:pPr>
        <w:pStyle w:val="BulletLevel1"/>
        <w:rPr>
          <w:b/>
        </w:rPr>
      </w:pPr>
      <w:bookmarkStart w:id="8011" w:name="_Toc408990859"/>
      <w:r w:rsidRPr="008C5B1B">
        <w:t>OW4 – Reduce costs through operational efficiency</w:t>
      </w:r>
      <w:bookmarkEnd w:id="8011"/>
    </w:p>
    <w:p w:rsidR="00660414" w:rsidRPr="000A76BD" w:rsidRDefault="00660414" w:rsidP="00273D5E">
      <w:pPr>
        <w:pStyle w:val="BulletLevel1"/>
        <w:rPr>
          <w:b/>
        </w:rPr>
      </w:pPr>
      <w:bookmarkStart w:id="8012" w:name="_Toc408990860"/>
      <w:r w:rsidRPr="008C5B1B">
        <w:t>OW10 – Increase the amount of freight moved by sustainable modes</w:t>
      </w:r>
      <w:bookmarkEnd w:id="8012"/>
    </w:p>
    <w:p w:rsidR="00660414" w:rsidRPr="000A76BD" w:rsidRDefault="00660414" w:rsidP="00273D5E">
      <w:pPr>
        <w:pStyle w:val="BulletLevel1"/>
        <w:rPr>
          <w:b/>
        </w:rPr>
      </w:pPr>
      <w:bookmarkStart w:id="8013" w:name="_Toc408990861"/>
      <w:r w:rsidRPr="008C5B1B">
        <w:t>OW12 – Increase use of intermodal transport</w:t>
      </w:r>
      <w:bookmarkEnd w:id="8013"/>
    </w:p>
    <w:p w:rsidR="00660414" w:rsidRPr="000A76BD"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Constanta’s large container operations. </w:t>
      </w:r>
    </w:p>
    <w:p w:rsidR="00660414" w:rsidRPr="000A76BD" w:rsidRDefault="00660414" w:rsidP="00660414">
      <w:pPr>
        <w:spacing w:line="276" w:lineRule="auto"/>
        <w:rPr>
          <w:sz w:val="22"/>
          <w:szCs w:val="22"/>
        </w:rPr>
      </w:pP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0A76BD" w:rsidRDefault="00660414" w:rsidP="00A4081F">
      <w:pPr>
        <w:pStyle w:val="NumberedParas"/>
        <w:rPr>
          <w:i/>
          <w:u w:val="single"/>
        </w:rPr>
      </w:pPr>
      <w:r w:rsidRPr="008C5B1B">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6.13</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Costs</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351</w:t>
            </w:r>
            <w:r>
              <w:rPr>
                <w:b/>
                <w:bCs/>
                <w:sz w:val="22"/>
                <w:szCs w:val="22"/>
              </w:rPr>
              <w:t>.1</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New container terminal</w:t>
            </w:r>
          </w:p>
          <w:p w:rsidR="00660414" w:rsidRPr="008C5B1B" w:rsidRDefault="00660414" w:rsidP="007613DE">
            <w:pPr>
              <w:spacing w:before="120" w:line="276" w:lineRule="auto"/>
              <w:rPr>
                <w:b/>
                <w:bCs/>
                <w:sz w:val="22"/>
                <w:szCs w:val="22"/>
              </w:rPr>
            </w:pPr>
            <w:r w:rsidRPr="008C5B1B">
              <w:rPr>
                <w:b/>
                <w:bCs/>
                <w:sz w:val="22"/>
                <w:szCs w:val="22"/>
              </w:rPr>
              <w:t>Handling and storage area</w:t>
            </w:r>
          </w:p>
          <w:p w:rsidR="00660414" w:rsidRPr="008C5B1B" w:rsidRDefault="00660414" w:rsidP="007613DE">
            <w:pPr>
              <w:spacing w:before="120" w:line="276" w:lineRule="auto"/>
              <w:rPr>
                <w:b/>
                <w:bCs/>
                <w:sz w:val="22"/>
                <w:szCs w:val="22"/>
              </w:rPr>
            </w:pPr>
            <w:r w:rsidRPr="008C5B1B">
              <w:rPr>
                <w:b/>
                <w:bCs/>
                <w:sz w:val="22"/>
                <w:szCs w:val="22"/>
              </w:rPr>
              <w:t>Mobile or STS cranes</w:t>
            </w:r>
          </w:p>
        </w:tc>
      </w:tr>
    </w:tbl>
    <w:p w:rsidR="00660414" w:rsidRPr="008C5B1B" w:rsidRDefault="00660414" w:rsidP="00660414">
      <w:pPr>
        <w:spacing w:line="276" w:lineRule="auto"/>
        <w:rPr>
          <w:sz w:val="22"/>
          <w:szCs w:val="22"/>
        </w:rPr>
      </w:pP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2.02. The terminal is anticipated to generate just short of a further 600,000 tonnes of containerised freight through Constanta in 2020. Based on these favourable results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6.14</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1628"/>
      </w:tblGrid>
      <w:tr w:rsidR="00660414" w:rsidRPr="000A76BD" w:rsidTr="007613DE">
        <w:tc>
          <w:tcPr>
            <w:tcW w:w="3447" w:type="dxa"/>
            <w:vAlign w:val="center"/>
          </w:tcPr>
          <w:p w:rsidR="00660414" w:rsidRPr="008C5B1B" w:rsidRDefault="00660414" w:rsidP="007613DE">
            <w:pPr>
              <w:rPr>
                <w:sz w:val="22"/>
                <w:szCs w:val="22"/>
              </w:rPr>
            </w:pPr>
            <w:r w:rsidRPr="008C5B1B">
              <w:rPr>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P-CO-S (W25)</w:t>
            </w:r>
          </w:p>
        </w:tc>
      </w:tr>
      <w:tr w:rsidR="00660414" w:rsidRPr="000A76BD" w:rsidTr="007613DE">
        <w:tc>
          <w:tcPr>
            <w:tcW w:w="3447" w:type="dxa"/>
          </w:tcPr>
          <w:p w:rsidR="00660414" w:rsidRPr="008C5B1B" w:rsidRDefault="00660414" w:rsidP="007613DE">
            <w:pPr>
              <w:rPr>
                <w:sz w:val="22"/>
                <w:szCs w:val="22"/>
              </w:rPr>
            </w:pPr>
            <w:r w:rsidRPr="008C5B1B">
              <w:rPr>
                <w:sz w:val="22"/>
                <w:szCs w:val="22"/>
              </w:rPr>
              <w:t>Annual Water Tonnes Change (2020)</w:t>
            </w:r>
            <w:r>
              <w:rPr>
                <w:sz w:val="22"/>
                <w:szCs w:val="22"/>
              </w:rPr>
              <w:t xml:space="preserve"> </w:t>
            </w:r>
          </w:p>
        </w:tc>
        <w:tc>
          <w:tcPr>
            <w:tcW w:w="1628" w:type="dxa"/>
          </w:tcPr>
          <w:p w:rsidR="00660414" w:rsidRPr="008C5B1B" w:rsidRDefault="00660414" w:rsidP="007613DE">
            <w:pPr>
              <w:rPr>
                <w:i/>
                <w:sz w:val="22"/>
                <w:szCs w:val="22"/>
                <w:u w:val="single"/>
              </w:rPr>
            </w:pPr>
            <w:r w:rsidRPr="008C5B1B">
              <w:rPr>
                <w:sz w:val="22"/>
                <w:szCs w:val="22"/>
              </w:rPr>
              <w:t>599,554</w:t>
            </w:r>
          </w:p>
        </w:tc>
      </w:tr>
      <w:tr w:rsidR="00660414" w:rsidRPr="000A76BD" w:rsidTr="007613DE">
        <w:tc>
          <w:tcPr>
            <w:tcW w:w="3447" w:type="dxa"/>
            <w:vAlign w:val="center"/>
          </w:tcPr>
          <w:p w:rsidR="00660414" w:rsidRPr="008C5B1B" w:rsidRDefault="00660414" w:rsidP="007613DE">
            <w:pPr>
              <w:rPr>
                <w:sz w:val="22"/>
                <w:szCs w:val="22"/>
              </w:rPr>
            </w:pPr>
            <w:r w:rsidRPr="008C5B1B">
              <w:rPr>
                <w:sz w:val="22"/>
                <w:szCs w:val="22"/>
              </w:rPr>
              <w:t>NPV € Mill (2014 Prices)</w:t>
            </w:r>
          </w:p>
        </w:tc>
        <w:tc>
          <w:tcPr>
            <w:tcW w:w="1628" w:type="dxa"/>
          </w:tcPr>
          <w:p w:rsidR="00660414" w:rsidRPr="008C5B1B" w:rsidRDefault="00660414" w:rsidP="007613DE">
            <w:pPr>
              <w:rPr>
                <w:sz w:val="22"/>
                <w:szCs w:val="22"/>
              </w:rPr>
            </w:pPr>
            <w:r w:rsidRPr="008C5B1B">
              <w:rPr>
                <w:sz w:val="22"/>
                <w:szCs w:val="22"/>
              </w:rPr>
              <w:t>228</w:t>
            </w:r>
          </w:p>
        </w:tc>
      </w:tr>
      <w:tr w:rsidR="00660414" w:rsidRPr="000A76BD" w:rsidTr="007613DE">
        <w:tc>
          <w:tcPr>
            <w:tcW w:w="3447" w:type="dxa"/>
            <w:vAlign w:val="center"/>
          </w:tcPr>
          <w:p w:rsidR="00660414" w:rsidRPr="008C5B1B" w:rsidRDefault="00660414" w:rsidP="007613DE">
            <w:pPr>
              <w:rPr>
                <w:sz w:val="22"/>
                <w:szCs w:val="22"/>
              </w:rPr>
            </w:pPr>
            <w:r w:rsidRPr="008C5B1B">
              <w:rPr>
                <w:sz w:val="22"/>
                <w:szCs w:val="22"/>
              </w:rPr>
              <w:t>BCR</w:t>
            </w:r>
          </w:p>
        </w:tc>
        <w:tc>
          <w:tcPr>
            <w:tcW w:w="1628" w:type="dxa"/>
          </w:tcPr>
          <w:p w:rsidR="00660414" w:rsidRPr="008C5B1B" w:rsidRDefault="00660414" w:rsidP="007613DE">
            <w:pPr>
              <w:rPr>
                <w:i/>
                <w:sz w:val="22"/>
                <w:szCs w:val="22"/>
                <w:u w:val="single"/>
              </w:rPr>
            </w:pPr>
            <w:r w:rsidRPr="008C5B1B">
              <w:rPr>
                <w:sz w:val="22"/>
                <w:szCs w:val="22"/>
              </w:rPr>
              <w:t>2.02</w:t>
            </w:r>
          </w:p>
        </w:tc>
      </w:tr>
      <w:tr w:rsidR="00660414" w:rsidRPr="000A76BD" w:rsidTr="007613DE">
        <w:tc>
          <w:tcPr>
            <w:tcW w:w="3447" w:type="dxa"/>
            <w:vAlign w:val="center"/>
          </w:tcPr>
          <w:p w:rsidR="00660414" w:rsidRPr="008C5B1B" w:rsidRDefault="00660414" w:rsidP="007613DE">
            <w:pPr>
              <w:rPr>
                <w:sz w:val="22"/>
                <w:szCs w:val="22"/>
              </w:rPr>
            </w:pPr>
            <w:r w:rsidRPr="008C5B1B">
              <w:rPr>
                <w:sz w:val="22"/>
                <w:szCs w:val="22"/>
              </w:rPr>
              <w:t>EIRR</w:t>
            </w:r>
          </w:p>
        </w:tc>
        <w:tc>
          <w:tcPr>
            <w:tcW w:w="1628" w:type="dxa"/>
          </w:tcPr>
          <w:p w:rsidR="00660414" w:rsidRPr="008C5B1B" w:rsidRDefault="00660414" w:rsidP="007613DE">
            <w:pPr>
              <w:rPr>
                <w:i/>
                <w:sz w:val="22"/>
                <w:szCs w:val="22"/>
                <w:u w:val="single"/>
              </w:rPr>
            </w:pPr>
            <w:r w:rsidRPr="008C5B1B">
              <w:rPr>
                <w:sz w:val="22"/>
                <w:szCs w:val="22"/>
              </w:rPr>
              <w:t>8.9%</w:t>
            </w:r>
          </w:p>
        </w:tc>
      </w:tr>
      <w:tr w:rsidR="00660414" w:rsidRPr="000A76BD" w:rsidTr="007613DE">
        <w:tc>
          <w:tcPr>
            <w:tcW w:w="3447" w:type="dxa"/>
            <w:vAlign w:val="center"/>
          </w:tcPr>
          <w:p w:rsidR="00660414" w:rsidRPr="008C5B1B" w:rsidRDefault="00660414" w:rsidP="007613DE">
            <w:pPr>
              <w:rPr>
                <w:sz w:val="22"/>
                <w:szCs w:val="22"/>
              </w:rPr>
            </w:pPr>
            <w:r w:rsidRPr="008C5B1B">
              <w:rPr>
                <w:sz w:val="22"/>
                <w:szCs w:val="22"/>
              </w:rPr>
              <w:t>Masterplan Recommendation</w:t>
            </w:r>
          </w:p>
        </w:tc>
        <w:tc>
          <w:tcPr>
            <w:tcW w:w="1628" w:type="dxa"/>
          </w:tcPr>
          <w:p w:rsidR="00660414" w:rsidRPr="008C5B1B" w:rsidRDefault="00660414" w:rsidP="007613DE">
            <w:pPr>
              <w:rPr>
                <w:sz w:val="22"/>
                <w:szCs w:val="22"/>
              </w:rPr>
            </w:pPr>
            <w:r w:rsidRPr="008C5B1B">
              <w:rPr>
                <w:color w:val="00B050"/>
                <w:sz w:val="22"/>
                <w:szCs w:val="22"/>
              </w:rPr>
              <w:sym w:font="Wingdings" w:char="F0FC"/>
            </w:r>
          </w:p>
        </w:tc>
      </w:tr>
    </w:tbl>
    <w:p w:rsidR="00660414" w:rsidRPr="008C5B1B" w:rsidRDefault="00660414" w:rsidP="00660414">
      <w:pPr>
        <w:spacing w:line="276" w:lineRule="auto"/>
        <w:rPr>
          <w:i/>
          <w:sz w:val="22"/>
          <w:szCs w:val="22"/>
          <w:u w:val="single"/>
        </w:rPr>
      </w:pPr>
    </w:p>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2B86B0AB" wp14:editId="69346563">
            <wp:extent cx="5275963" cy="2385946"/>
            <wp:effectExtent l="19050" t="0" r="19937" b="0"/>
            <wp:docPr id="151" name="Char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11</w:t>
      </w:r>
      <w:r w:rsidRPr="008C5B1B">
        <w:rPr>
          <w:b/>
          <w:noProof/>
          <w:sz w:val="22"/>
          <w:szCs w:val="22"/>
          <w:lang w:eastAsia="en-GB"/>
        </w:rPr>
        <w:t xml:space="preserve"> – Water Freight Tonnes Handled at Constanta 2007-2011 and Forecast in 2020</w:t>
      </w:r>
    </w:p>
    <w:p w:rsidR="00660414" w:rsidRPr="008C5B1B" w:rsidRDefault="00660414" w:rsidP="00660414">
      <w:pPr>
        <w:spacing w:line="276" w:lineRule="auto"/>
        <w:rPr>
          <w:i/>
          <w:sz w:val="22"/>
          <w:szCs w:val="22"/>
          <w:u w:val="single"/>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Constanta Port Authority in conjunction with private terminal operators.</w:t>
      </w:r>
    </w:p>
    <w:p w:rsidR="00660414" w:rsidRPr="000A76BD" w:rsidRDefault="00660414" w:rsidP="00660414">
      <w:pPr>
        <w:spacing w:line="276" w:lineRule="auto"/>
        <w:rPr>
          <w:bCs/>
          <w:i/>
          <w:sz w:val="22"/>
          <w:szCs w:val="22"/>
          <w:u w:val="single"/>
        </w:rPr>
      </w:pPr>
    </w:p>
    <w:p w:rsidR="00660414" w:rsidRPr="000A76BD" w:rsidRDefault="00660414" w:rsidP="00660414">
      <w:pPr>
        <w:spacing w:line="276" w:lineRule="auto"/>
        <w:rPr>
          <w:bCs/>
          <w:i/>
          <w:sz w:val="22"/>
          <w:szCs w:val="22"/>
          <w:u w:val="single"/>
        </w:rPr>
      </w:pPr>
      <w:r>
        <w:rPr>
          <w:bCs/>
          <w:i/>
          <w:noProof/>
          <w:sz w:val="22"/>
          <w:szCs w:val="22"/>
          <w:u w:val="single"/>
          <w:lang w:val="ro-RO" w:eastAsia="ro-RO"/>
        </w:rPr>
        <mc:AlternateContent>
          <mc:Choice Requires="wps">
            <w:drawing>
              <wp:inline distT="0" distB="0" distL="0" distR="0" wp14:anchorId="1A227BEE" wp14:editId="37F921B1">
                <wp:extent cx="6419215" cy="3750310"/>
                <wp:effectExtent l="13970" t="9525" r="5715" b="12065"/>
                <wp:docPr id="140"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215" cy="3750310"/>
                        </a:xfrm>
                        <a:prstGeom prst="rect">
                          <a:avLst/>
                        </a:prstGeom>
                        <a:solidFill>
                          <a:srgbClr val="FFFFFF"/>
                        </a:solidFill>
                        <a:ln w="9525">
                          <a:solidFill>
                            <a:srgbClr val="000000"/>
                          </a:solidFill>
                          <a:miter lim="800000"/>
                          <a:headEnd/>
                          <a:tailEnd/>
                        </a:ln>
                      </wps:spPr>
                      <wps:txbx>
                        <w:txbxContent>
                          <w:p w:rsidR="008B57DD" w:rsidRPr="007A3854" w:rsidRDefault="008B57DD" w:rsidP="00660414">
                            <w:pPr>
                              <w:rPr>
                                <w:b/>
                                <w:sz w:val="22"/>
                                <w:szCs w:val="22"/>
                              </w:rPr>
                            </w:pPr>
                            <w:r w:rsidRPr="00010C25">
                              <w:rPr>
                                <w:b/>
                                <w:sz w:val="22"/>
                                <w:szCs w:val="22"/>
                              </w:rPr>
                              <w:t>Potential Ownership Models</w:t>
                            </w:r>
                          </w:p>
                          <w:p w:rsidR="008B57DD" w:rsidRPr="007A3854" w:rsidRDefault="008B57DD" w:rsidP="00660414">
                            <w:pPr>
                              <w:rPr>
                                <w:sz w:val="22"/>
                                <w:szCs w:val="22"/>
                              </w:rPr>
                            </w:pPr>
                            <w:r w:rsidRPr="007A3854">
                              <w:rPr>
                                <w:sz w:val="22"/>
                                <w:szCs w:val="22"/>
                              </w:rPr>
                              <w:t>There are three potential models suggested by as options in terms of implementation and ownership.</w:t>
                            </w:r>
                          </w:p>
                          <w:p w:rsidR="008B57DD" w:rsidRDefault="008B57DD" w:rsidP="0085264B">
                            <w:pPr>
                              <w:pStyle w:val="ListParagraph"/>
                              <w:numPr>
                                <w:ilvl w:val="0"/>
                                <w:numId w:val="72"/>
                              </w:numPr>
                              <w:rPr>
                                <w:sz w:val="22"/>
                                <w:szCs w:val="22"/>
                              </w:rPr>
                            </w:pPr>
                            <w:r w:rsidRPr="007A3854">
                              <w:rPr>
                                <w:b/>
                                <w:sz w:val="22"/>
                                <w:szCs w:val="22"/>
                              </w:rPr>
                              <w:t>Port Authority develops, builds and operates the terminal as a going concern:</w:t>
                            </w:r>
                            <w:r w:rsidRPr="007A3854">
                              <w:rPr>
                                <w:sz w:val="22"/>
                                <w:szCs w:val="22"/>
                              </w:rPr>
                              <w:t xml:space="preserve"> This model sees the Port Authority take all of the risk due to investing all of the money, but benefit from all of any gain</w:t>
                            </w:r>
                          </w:p>
                          <w:p w:rsidR="008B57DD" w:rsidRDefault="008B57DD" w:rsidP="0085264B">
                            <w:pPr>
                              <w:pStyle w:val="ListParagraph"/>
                              <w:numPr>
                                <w:ilvl w:val="0"/>
                                <w:numId w:val="72"/>
                              </w:numPr>
                              <w:rPr>
                                <w:b/>
                                <w:sz w:val="22"/>
                                <w:szCs w:val="22"/>
                              </w:rPr>
                            </w:pPr>
                            <w:r w:rsidRPr="007A3854">
                              <w:rPr>
                                <w:b/>
                                <w:sz w:val="22"/>
                                <w:szCs w:val="22"/>
                              </w:rPr>
                              <w:t xml:space="preserve">Port Authority develops and builds the terminal but the terminal is operated by a third party: </w:t>
                            </w:r>
                            <w:r w:rsidRPr="007A3854">
                              <w:rPr>
                                <w:sz w:val="22"/>
                                <w:szCs w:val="22"/>
                              </w:rPr>
                              <w:t>This model sees the Port Authority take on some of the capital risk, in that they might invest their money in creating a terminal, but none of the operational risk as a third party would take on responsibility for managing the terminal on a day to day basis. The third party would pay the Port Authority in order to manage the terminal. This option could be considered medium risk with medium gain.</w:t>
                            </w:r>
                          </w:p>
                          <w:p w:rsidR="008B57DD" w:rsidRDefault="008B57DD" w:rsidP="0085264B">
                            <w:pPr>
                              <w:pStyle w:val="ListParagraph"/>
                              <w:numPr>
                                <w:ilvl w:val="0"/>
                                <w:numId w:val="72"/>
                              </w:numPr>
                              <w:rPr>
                                <w:b/>
                                <w:sz w:val="22"/>
                                <w:szCs w:val="22"/>
                              </w:rPr>
                            </w:pPr>
                            <w:r w:rsidRPr="007A3854">
                              <w:rPr>
                                <w:b/>
                                <w:sz w:val="22"/>
                                <w:szCs w:val="22"/>
                              </w:rPr>
                              <w:t xml:space="preserve">Port Authority leases the land upon which a third party builds and operates the terminal: </w:t>
                            </w:r>
                            <w:r w:rsidRPr="007A3854">
                              <w:rPr>
                                <w:sz w:val="22"/>
                                <w:szCs w:val="22"/>
                              </w:rPr>
                              <w:t>This model sees the Port Authority lease the land to a third party. The third party then builds the terminal to their specifications and operates the terminal with minimal interference from the Port Authority. This option is low risk to the Port Authority however it is also low gain as the third party would only be renting the land upon which the terminal stands and not the terminal itself like in the option above.</w:t>
                            </w:r>
                          </w:p>
                          <w:p w:rsidR="008B57DD" w:rsidRPr="007A3854" w:rsidRDefault="008B57DD" w:rsidP="00660414">
                            <w:pPr>
                              <w:rPr>
                                <w:sz w:val="22"/>
                                <w:szCs w:val="22"/>
                              </w:rPr>
                            </w:pPr>
                            <w:r w:rsidRPr="007A3854">
                              <w:rPr>
                                <w:sz w:val="22"/>
                                <w:szCs w:val="22"/>
                              </w:rPr>
                              <w:t>Any of these ownership models (or variant thereof) could be chosen by any of the ports in this National Transport Master Plan. It is up to the Port Authority to consider which option is best for them.</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A227BEE" id="Rectangle 78" o:spid="_x0000_s1117" style="width:505.45pt;height:2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">
                <v:textbox>
                  <w:txbxContent>
                    <w:p w:rsidR="008B57DD" w:rsidRPr="007A3854" w:rsidRDefault="008B57DD" w:rsidP="00660414">
                      <w:pPr>
                        <w:rPr>
                          <w:b/>
                          <w:sz w:val="22"/>
                          <w:szCs w:val="22"/>
                        </w:rPr>
                      </w:pPr>
                      <w:r w:rsidRPr="00010C25">
                        <w:rPr>
                          <w:b/>
                          <w:sz w:val="22"/>
                          <w:szCs w:val="22"/>
                        </w:rPr>
                        <w:t>Potential Ownership Models</w:t>
                      </w:r>
                    </w:p>
                    <w:p w:rsidR="008B57DD" w:rsidRPr="007A3854" w:rsidRDefault="008B57DD" w:rsidP="00660414">
                      <w:pPr>
                        <w:rPr>
                          <w:sz w:val="22"/>
                          <w:szCs w:val="22"/>
                        </w:rPr>
                      </w:pPr>
                      <w:r w:rsidRPr="007A3854">
                        <w:rPr>
                          <w:sz w:val="22"/>
                          <w:szCs w:val="22"/>
                        </w:rPr>
                        <w:t>There are three potential models suggested by as options in terms of implementation and ownership.</w:t>
                      </w:r>
                    </w:p>
                    <w:p w:rsidR="008B57DD" w:rsidRDefault="008B57DD" w:rsidP="0085264B">
                      <w:pPr>
                        <w:pStyle w:val="ListParagraph"/>
                        <w:numPr>
                          <w:ilvl w:val="0"/>
                          <w:numId w:val="72"/>
                        </w:numPr>
                        <w:rPr>
                          <w:sz w:val="22"/>
                          <w:szCs w:val="22"/>
                        </w:rPr>
                      </w:pPr>
                      <w:r w:rsidRPr="007A3854">
                        <w:rPr>
                          <w:b/>
                          <w:sz w:val="22"/>
                          <w:szCs w:val="22"/>
                        </w:rPr>
                        <w:t>Port Authority develops, builds and operates the terminal as a going concern:</w:t>
                      </w:r>
                      <w:r w:rsidRPr="007A3854">
                        <w:rPr>
                          <w:sz w:val="22"/>
                          <w:szCs w:val="22"/>
                        </w:rPr>
                        <w:t xml:space="preserve"> This model sees the Port Authority take all of the risk due to investing all of the money, but benefit from all of any gain</w:t>
                      </w:r>
                    </w:p>
                    <w:p w:rsidR="008B57DD" w:rsidRDefault="008B57DD" w:rsidP="0085264B">
                      <w:pPr>
                        <w:pStyle w:val="ListParagraph"/>
                        <w:numPr>
                          <w:ilvl w:val="0"/>
                          <w:numId w:val="72"/>
                        </w:numPr>
                        <w:rPr>
                          <w:b/>
                          <w:sz w:val="22"/>
                          <w:szCs w:val="22"/>
                        </w:rPr>
                      </w:pPr>
                      <w:r w:rsidRPr="007A3854">
                        <w:rPr>
                          <w:b/>
                          <w:sz w:val="22"/>
                          <w:szCs w:val="22"/>
                        </w:rPr>
                        <w:t xml:space="preserve">Port Authority develops and builds the terminal but the terminal is operated by a third party: </w:t>
                      </w:r>
                      <w:r w:rsidRPr="007A3854">
                        <w:rPr>
                          <w:sz w:val="22"/>
                          <w:szCs w:val="22"/>
                        </w:rPr>
                        <w:t>This model sees the Port Authority take on some of the capital risk, in that they might invest their money in creating a terminal, but none of the operational risk as a third party would take on responsibility for managing the terminal on a day to day basis. The third party would pay the Port Authority in order to manage the terminal. This option could be considered medium risk with medium gain.</w:t>
                      </w:r>
                    </w:p>
                    <w:p w:rsidR="008B57DD" w:rsidRDefault="008B57DD" w:rsidP="0085264B">
                      <w:pPr>
                        <w:pStyle w:val="ListParagraph"/>
                        <w:numPr>
                          <w:ilvl w:val="0"/>
                          <w:numId w:val="72"/>
                        </w:numPr>
                        <w:rPr>
                          <w:b/>
                          <w:sz w:val="22"/>
                          <w:szCs w:val="22"/>
                        </w:rPr>
                      </w:pPr>
                      <w:r w:rsidRPr="007A3854">
                        <w:rPr>
                          <w:b/>
                          <w:sz w:val="22"/>
                          <w:szCs w:val="22"/>
                        </w:rPr>
                        <w:t xml:space="preserve">Port Authority leases the land upon which a third party builds and operates the terminal: </w:t>
                      </w:r>
                      <w:r w:rsidRPr="007A3854">
                        <w:rPr>
                          <w:sz w:val="22"/>
                          <w:szCs w:val="22"/>
                        </w:rPr>
                        <w:t>This model sees the Port Authority lease the land to a third party. The third party then builds the terminal to their specifications and operates the terminal with minimal interference from the Port Authority. This option is low risk to the Port Authority however it is also low gain as the third party would only be renting the land upon which the terminal stands and not the terminal itself like in the option above.</w:t>
                      </w:r>
                    </w:p>
                    <w:p w:rsidR="008B57DD" w:rsidRPr="007A3854" w:rsidRDefault="008B57DD" w:rsidP="00660414">
                      <w:pPr>
                        <w:rPr>
                          <w:sz w:val="22"/>
                          <w:szCs w:val="22"/>
                        </w:rPr>
                      </w:pPr>
                      <w:r w:rsidRPr="007A3854">
                        <w:rPr>
                          <w:sz w:val="22"/>
                          <w:szCs w:val="22"/>
                        </w:rPr>
                        <w:t>Any of these ownership models (or variant thereof) could be chosen by any of the ports in this National Transport Master Plan. It is up to the Port Authority to consider which option is best for them.</w:t>
                      </w:r>
                    </w:p>
                  </w:txbxContent>
                </v:textbox>
                <w10:anchorlock/>
              </v:rect>
            </w:pict>
          </mc:Fallback>
        </mc:AlternateConten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r w:rsidRPr="008C5B1B">
        <w:rPr>
          <w:bCs/>
          <w:i/>
          <w:sz w:val="22"/>
          <w:szCs w:val="22"/>
        </w:rPr>
        <w:t xml:space="preserve"> 2021-2030</w:t>
      </w:r>
    </w:p>
    <w:p w:rsidR="00660414" w:rsidRDefault="00660414" w:rsidP="00A4081F">
      <w:pPr>
        <w:pStyle w:val="NumberedParas"/>
        <w:rPr>
          <w:b/>
        </w:rPr>
      </w:pPr>
      <w:r w:rsidRPr="008C5B1B">
        <w:t>The port is still below its peak handling figure for containers (which was in 200</w:t>
      </w:r>
      <w:r>
        <w:t>7</w:t>
      </w:r>
      <w:r w:rsidRPr="008C5B1B">
        <w:t>), however it is forecast that the port will exceed 200</w:t>
      </w:r>
      <w:r>
        <w:t>7</w:t>
      </w:r>
      <w:r w:rsidRPr="008C5B1B">
        <w:t>’s peak by the end of the decade. The consequences of this would mean that Constanta would exceed its current available capacity to handle containers. Therefore Constanta should begin to build this terminal by the end of the decade. The implementation schedule should be subject to market conditions at the port and adjusted accordingly.</w:t>
      </w:r>
      <w:r w:rsidRPr="008C5B1B">
        <w:rPr>
          <w:b/>
        </w:rPr>
        <w:br w:type="page"/>
      </w:r>
    </w:p>
    <w:p w:rsidR="00660414" w:rsidRDefault="00660414" w:rsidP="00660414">
      <w:pPr>
        <w:rPr>
          <w:b/>
          <w:sz w:val="22"/>
          <w:szCs w:val="22"/>
        </w:rPr>
      </w:pPr>
      <w:r>
        <w:rPr>
          <w:b/>
          <w:sz w:val="22"/>
          <w:szCs w:val="22"/>
        </w:rPr>
        <w:t>Page intentionally left blank</w:t>
      </w:r>
      <w:r>
        <w:rPr>
          <w:b/>
          <w:sz w:val="22"/>
          <w:szCs w:val="22"/>
        </w:rPr>
        <w:br w:type="page"/>
      </w:r>
    </w:p>
    <w:p w:rsidR="00660414" w:rsidRPr="000A76BD" w:rsidRDefault="00660414" w:rsidP="00660414">
      <w:pPr>
        <w:spacing w:line="276" w:lineRule="auto"/>
        <w:rPr>
          <w:b/>
          <w:sz w:val="22"/>
          <w:szCs w:val="22"/>
        </w:rPr>
      </w:pPr>
      <w:r w:rsidRPr="008C5B1B">
        <w:rPr>
          <w:b/>
          <w:sz w:val="22"/>
          <w:szCs w:val="22"/>
        </w:rPr>
        <w:t>Tulcea:</w:t>
      </w:r>
    </w:p>
    <w:p w:rsidR="00660414" w:rsidRPr="000A76BD" w:rsidRDefault="00660414" w:rsidP="00660414">
      <w:pPr>
        <w:spacing w:line="276" w:lineRule="auto"/>
        <w:rPr>
          <w:b/>
          <w:sz w:val="22"/>
          <w:szCs w:val="22"/>
        </w:rPr>
      </w:pPr>
      <w:r w:rsidRPr="008C5B1B">
        <w:rPr>
          <w:b/>
          <w:sz w:val="22"/>
          <w:szCs w:val="22"/>
        </w:rPr>
        <w:t xml:space="preserve">Development of a </w:t>
      </w:r>
      <w:r>
        <w:rPr>
          <w:b/>
          <w:sz w:val="22"/>
          <w:szCs w:val="22"/>
        </w:rPr>
        <w:t>general cargo</w:t>
      </w:r>
      <w:r w:rsidRPr="008C5B1B">
        <w:rPr>
          <w:b/>
          <w:sz w:val="22"/>
          <w:szCs w:val="22"/>
        </w:rPr>
        <w:t xml:space="preserve"> terminal</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This would see the construction of a new terminal</w:t>
      </w:r>
      <w:r>
        <w:t xml:space="preserve"> which will handle general cargo but also have the ability to handle grain</w:t>
      </w:r>
      <w:r w:rsidRPr="008C5B1B">
        <w:t xml:space="preserve"> fo</w:t>
      </w:r>
      <w:r w:rsidRPr="008C5B1B">
        <w:rPr>
          <w:b/>
        </w:rPr>
        <w:t xml:space="preserve">r </w:t>
      </w:r>
      <w:r w:rsidRPr="008C5B1B">
        <w:t>which the port does not currently have. Specifically the project will incorporate:</w:t>
      </w:r>
    </w:p>
    <w:p w:rsidR="00660414" w:rsidRPr="000A76BD" w:rsidRDefault="00660414" w:rsidP="00273D5E">
      <w:pPr>
        <w:pStyle w:val="BulletLevel1"/>
      </w:pPr>
      <w:r w:rsidRPr="008C5B1B">
        <w:t>Modernisation of 3 berths for the direct loading of ships with grain.</w:t>
      </w:r>
    </w:p>
    <w:p w:rsidR="00660414" w:rsidRPr="000A76BD" w:rsidRDefault="00660414" w:rsidP="00273D5E">
      <w:pPr>
        <w:pStyle w:val="BulletLevel1"/>
      </w:pPr>
      <w:r w:rsidRPr="008C5B1B">
        <w:t xml:space="preserve">Construction of suitable operating/loading facilities </w:t>
      </w:r>
    </w:p>
    <w:p w:rsidR="00660414" w:rsidRPr="000A76BD" w:rsidRDefault="00660414" w:rsidP="00273D5E">
      <w:pPr>
        <w:pStyle w:val="BulletLevel1"/>
      </w:pPr>
      <w:r w:rsidRPr="008C5B1B">
        <w:t>Dredging to provide adequate depth to the berths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Currently the grain from Dobrogea area is transported by road where ultimately much of it ends up at Constanta to be exported around the world. This intervention would address the following issues:</w:t>
      </w:r>
    </w:p>
    <w:p w:rsidR="00660414" w:rsidRPr="000A76BD" w:rsidRDefault="00660414" w:rsidP="00273D5E">
      <w:pPr>
        <w:pStyle w:val="BulletLevel1"/>
      </w:pPr>
      <w:r w:rsidRPr="008C5B1B">
        <w:t>A lack of grain handling infrastructure at the port</w:t>
      </w:r>
    </w:p>
    <w:p w:rsidR="00660414" w:rsidRPr="000A76BD" w:rsidRDefault="00660414" w:rsidP="00273D5E">
      <w:pPr>
        <w:pStyle w:val="BulletLevel1"/>
      </w:pPr>
      <w:r w:rsidRPr="008C5B1B">
        <w:t>Reduction in road freight miles</w:t>
      </w:r>
    </w:p>
    <w:p w:rsidR="00660414" w:rsidRPr="000A76BD" w:rsidRDefault="00660414" w:rsidP="00273D5E">
      <w:pPr>
        <w:pStyle w:val="BulletLevel1"/>
      </w:pPr>
      <w:r w:rsidRPr="008C5B1B">
        <w:t>Maintain Tulcea’s viability and competitiveness as a port</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14" w:name="_Toc408990862"/>
      <w:r w:rsidRPr="008C5B1B">
        <w:t>OW3 – Unblock barriers to operational efficiency</w:t>
      </w:r>
      <w:bookmarkEnd w:id="8014"/>
    </w:p>
    <w:p w:rsidR="00660414" w:rsidRPr="000A76BD" w:rsidRDefault="00660414" w:rsidP="00273D5E">
      <w:pPr>
        <w:pStyle w:val="BulletLevel1"/>
        <w:rPr>
          <w:b/>
        </w:rPr>
      </w:pPr>
      <w:bookmarkStart w:id="8015" w:name="_Toc408990863"/>
      <w:r w:rsidRPr="008C5B1B">
        <w:t>OW4 – Reduce costs through operational efficiency</w:t>
      </w:r>
      <w:bookmarkEnd w:id="8015"/>
    </w:p>
    <w:p w:rsidR="00660414" w:rsidRPr="000A76BD" w:rsidRDefault="00660414" w:rsidP="00273D5E">
      <w:pPr>
        <w:pStyle w:val="BulletLevel1"/>
        <w:rPr>
          <w:b/>
        </w:rPr>
      </w:pPr>
      <w:bookmarkStart w:id="8016" w:name="_Toc408990864"/>
      <w:r w:rsidRPr="008C5B1B">
        <w:t>OW10 – Increase the amount of freight moved by sustainable modes</w:t>
      </w:r>
      <w:bookmarkEnd w:id="8016"/>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grain operations.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Default="00660414" w:rsidP="00A4081F">
      <w:pPr>
        <w:pStyle w:val="NumberedParas"/>
      </w:pPr>
      <w:r w:rsidRPr="008C5B1B">
        <w:t>It has been estimated that the project will incur the following costs:</w:t>
      </w:r>
    </w:p>
    <w:p w:rsidR="00660414" w:rsidRPr="000A76BD" w:rsidRDefault="00660414" w:rsidP="00A4081F">
      <w:pPr>
        <w:pStyle w:val="NumberedParas"/>
        <w:numPr>
          <w:ilvl w:val="0"/>
          <w:numId w:val="0"/>
        </w:numPr>
      </w:pPr>
      <w:r w:rsidRPr="00AA40A9">
        <w:rPr>
          <w:noProof/>
          <w:lang w:eastAsia="en-GB"/>
        </w:rPr>
        <w:t xml:space="preserve">Table </w:t>
      </w:r>
      <w:r>
        <w:rPr>
          <w:noProof/>
          <w:lang w:eastAsia="en-GB"/>
        </w:rPr>
        <w:t>6.15</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Costs</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16</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New grain terminal</w:t>
            </w:r>
          </w:p>
          <w:p w:rsidR="00660414" w:rsidRPr="008C5B1B" w:rsidRDefault="00660414" w:rsidP="007613DE">
            <w:pPr>
              <w:spacing w:before="120" w:line="276" w:lineRule="auto"/>
              <w:rPr>
                <w:b/>
                <w:bCs/>
                <w:sz w:val="22"/>
                <w:szCs w:val="22"/>
              </w:rPr>
            </w:pPr>
            <w:r w:rsidRPr="008C5B1B">
              <w:rPr>
                <w:b/>
                <w:bCs/>
                <w:sz w:val="22"/>
                <w:szCs w:val="22"/>
              </w:rPr>
              <w:t>Handling and storage area</w:t>
            </w:r>
          </w:p>
          <w:p w:rsidR="00660414" w:rsidRPr="008C5B1B" w:rsidRDefault="00660414" w:rsidP="007613DE">
            <w:pPr>
              <w:spacing w:before="120" w:line="276" w:lineRule="auto"/>
              <w:rPr>
                <w:b/>
                <w:bCs/>
                <w:sz w:val="22"/>
                <w:szCs w:val="22"/>
              </w:rPr>
            </w:pPr>
            <w:r w:rsidRPr="008C5B1B">
              <w:rPr>
                <w:b/>
                <w:bCs/>
                <w:sz w:val="22"/>
                <w:szCs w:val="22"/>
              </w:rPr>
              <w:t>Mobile or STS cranes</w:t>
            </w:r>
          </w:p>
        </w:tc>
      </w:tr>
    </w:tbl>
    <w:p w:rsidR="00660414" w:rsidRPr="000A76BD" w:rsidRDefault="00660414" w:rsidP="00660414">
      <w:pPr>
        <w:spacing w:line="276" w:lineRule="auto"/>
        <w:rPr>
          <w:sz w:val="22"/>
          <w:szCs w:val="22"/>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limited return with a benefit-cost ratio (BCR) of 0.59. The terminal is anticipated to generate over 328,000 tonnes of additional freight in 2020. As the EIRR is less than 3% this project is not recommended for inclusion in the Masterplan.</w:t>
      </w:r>
      <w:r>
        <w:t xml:space="preserve"> However due to the scheme being of regional importance the decision below is reversed in the final table.</w:t>
      </w:r>
    </w:p>
    <w:p w:rsidR="00660414" w:rsidRDefault="00660414" w:rsidP="00A4081F">
      <w:pPr>
        <w:pStyle w:val="NumberedParas"/>
        <w:numPr>
          <w:ilvl w:val="0"/>
          <w:numId w:val="0"/>
        </w:numPr>
      </w:pPr>
      <w:r w:rsidRPr="00AA40A9">
        <w:rPr>
          <w:noProof/>
          <w:lang w:eastAsia="en-GB"/>
        </w:rPr>
        <w:t xml:space="preserve">Table </w:t>
      </w:r>
      <w:r>
        <w:rPr>
          <w:noProof/>
          <w:lang w:eastAsia="en-GB"/>
        </w:rPr>
        <w:t>6.16</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1628"/>
      </w:tblGrid>
      <w:tr w:rsidR="00660414" w:rsidRPr="000A76BD" w:rsidTr="007613DE">
        <w:tc>
          <w:tcPr>
            <w:tcW w:w="3447"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P-TL-S (W41)</w:t>
            </w:r>
          </w:p>
        </w:tc>
      </w:tr>
      <w:tr w:rsidR="00660414" w:rsidRPr="000A76BD" w:rsidTr="007613DE">
        <w:tc>
          <w:tcPr>
            <w:tcW w:w="3447"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328,527</w:t>
            </w:r>
          </w:p>
        </w:tc>
      </w:tr>
      <w:tr w:rsidR="00660414" w:rsidRPr="000A76BD" w:rsidTr="007613DE">
        <w:tc>
          <w:tcPr>
            <w:tcW w:w="3447"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-4</w:t>
            </w:r>
          </w:p>
        </w:tc>
      </w:tr>
      <w:tr w:rsidR="00660414" w:rsidRPr="000A76BD" w:rsidTr="007613DE">
        <w:tc>
          <w:tcPr>
            <w:tcW w:w="3447"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0.59</w:t>
            </w:r>
          </w:p>
        </w:tc>
      </w:tr>
      <w:tr w:rsidR="00660414" w:rsidRPr="000A76BD" w:rsidTr="007613DE">
        <w:tc>
          <w:tcPr>
            <w:tcW w:w="3447"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-1.1%</w:t>
            </w:r>
          </w:p>
        </w:tc>
      </w:tr>
      <w:tr w:rsidR="00660414" w:rsidRPr="000A76BD" w:rsidTr="007613DE">
        <w:tc>
          <w:tcPr>
            <w:tcW w:w="3447"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FF0000"/>
                <w:sz w:val="22"/>
                <w:szCs w:val="22"/>
              </w:rPr>
              <w:sym w:font="Wingdings" w:char="F0FB"/>
            </w:r>
          </w:p>
        </w:tc>
      </w:tr>
    </w:tbl>
    <w:p w:rsidR="00660414" w:rsidRPr="008C5B1B" w:rsidRDefault="00660414" w:rsidP="00660414">
      <w:pPr>
        <w:spacing w:line="276" w:lineRule="auto"/>
        <w:rPr>
          <w:sz w:val="22"/>
          <w:szCs w:val="22"/>
        </w:rPr>
      </w:pPr>
    </w:p>
    <w:p w:rsidR="00660414" w:rsidRPr="008C5B1B"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399A5117" wp14:editId="7025BD03">
            <wp:extent cx="4574659" cy="2747896"/>
            <wp:effectExtent l="19050" t="0" r="16391" b="0"/>
            <wp:docPr id="152"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12</w:t>
      </w:r>
      <w:r w:rsidRPr="008C5B1B">
        <w:rPr>
          <w:b/>
          <w:noProof/>
          <w:sz w:val="22"/>
          <w:szCs w:val="22"/>
          <w:lang w:eastAsia="en-GB"/>
        </w:rPr>
        <w:t xml:space="preserve"> –Tonnes Handled at Tulcea in 2008 and 2011 and Forecast in 2020</w:t>
      </w:r>
    </w:p>
    <w:p w:rsidR="00660414" w:rsidRDefault="00660414" w:rsidP="00660414">
      <w:pPr>
        <w:spacing w:line="276" w:lineRule="auto"/>
        <w:rPr>
          <w:noProof/>
          <w:sz w:val="22"/>
          <w:szCs w:val="22"/>
          <w:lang w:eastAsia="en-GB"/>
        </w:rPr>
      </w:pPr>
    </w:p>
    <w:p w:rsidR="00660414" w:rsidRDefault="00660414" w:rsidP="00660414">
      <w:pPr>
        <w:rPr>
          <w:noProof/>
          <w:sz w:val="22"/>
          <w:szCs w:val="22"/>
          <w:lang w:eastAsia="en-GB"/>
        </w:rPr>
      </w:pPr>
      <w:r>
        <w:rPr>
          <w:noProof/>
          <w:lang w:eastAsia="en-GB"/>
        </w:rPr>
        <w:br w:type="page"/>
      </w:r>
    </w:p>
    <w:p w:rsidR="00660414" w:rsidRDefault="00660414" w:rsidP="00A4081F">
      <w:pPr>
        <w:pStyle w:val="NumberedParas"/>
        <w:rPr>
          <w:noProof/>
          <w:lang w:eastAsia="en-GB"/>
        </w:rPr>
      </w:pPr>
      <w:r>
        <w:rPr>
          <w:noProof/>
          <w:lang w:eastAsia="en-GB"/>
        </w:rPr>
        <w:t xml:space="preserve">Tulcea does not currently have </w:t>
      </w:r>
      <w:r>
        <w:t>facilities</w:t>
      </w:r>
      <w:r>
        <w:rPr>
          <w:noProof/>
          <w:lang w:eastAsia="en-GB"/>
        </w:rPr>
        <w:t xml:space="preserve"> that specialise in handling grain. Providing infrastructure that can handle grain will have the effcet of increasing the tonnage handled by over 328,000 tonnes.</w:t>
      </w:r>
    </w:p>
    <w:p w:rsidR="00660414" w:rsidRDefault="00660414" w:rsidP="00A4081F">
      <w:pPr>
        <w:pStyle w:val="NumberedParas"/>
        <w:numPr>
          <w:ilvl w:val="0"/>
          <w:numId w:val="0"/>
        </w:numPr>
        <w:ind w:left="1673"/>
      </w:pPr>
      <w:r w:rsidRPr="00AA40A9">
        <w:rPr>
          <w:noProof/>
          <w:lang w:eastAsia="en-GB"/>
        </w:rPr>
        <w:t xml:space="preserve">Table </w:t>
      </w:r>
      <w:r>
        <w:rPr>
          <w:noProof/>
          <w:lang w:eastAsia="en-GB"/>
        </w:rPr>
        <w:t>6.17</w:t>
      </w:r>
      <w:r w:rsidRPr="00AA40A9">
        <w:rPr>
          <w:noProof/>
          <w:lang w:eastAsia="en-GB"/>
        </w:rPr>
        <w:t xml:space="preserve"> – </w:t>
      </w:r>
      <w:r>
        <w:rPr>
          <w:noProof/>
          <w:lang w:eastAsia="en-GB"/>
        </w:rPr>
        <w:t>Forecast Utilisation at Tulcea</w:t>
      </w:r>
    </w:p>
    <w:tbl>
      <w:tblPr>
        <w:tblW w:w="6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CE711E" w:rsidTr="007613DE">
        <w:trPr>
          <w:trHeight w:val="315"/>
          <w:jc w:val="center"/>
        </w:trPr>
        <w:tc>
          <w:tcPr>
            <w:tcW w:w="1116" w:type="dxa"/>
            <w:shd w:val="clear" w:color="000000" w:fill="376091"/>
            <w:noWrap/>
            <w:vAlign w:val="bottom"/>
            <w:hideMark/>
          </w:tcPr>
          <w:p w:rsidR="00660414" w:rsidRPr="00CE711E"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CE711E"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CE711E" w:rsidTr="007613DE">
        <w:trPr>
          <w:trHeight w:val="315"/>
          <w:jc w:val="center"/>
        </w:trPr>
        <w:tc>
          <w:tcPr>
            <w:tcW w:w="1116" w:type="dxa"/>
            <w:shd w:val="clear" w:color="000000" w:fill="376091"/>
            <w:noWrap/>
            <w:vAlign w:val="bottom"/>
            <w:hideMark/>
          </w:tcPr>
          <w:p w:rsidR="00660414" w:rsidRPr="00CE711E" w:rsidRDefault="00660414" w:rsidP="007613DE">
            <w:pPr>
              <w:jc w:val="center"/>
              <w:rPr>
                <w:rFonts w:ascii="Calibri" w:hAnsi="Calibri"/>
                <w:color w:val="FFFFFF"/>
                <w:sz w:val="22"/>
                <w:szCs w:val="22"/>
                <w:lang w:eastAsia="en-GB"/>
              </w:rPr>
            </w:pPr>
            <w:r w:rsidRPr="00CE711E">
              <w:rPr>
                <w:rFonts w:ascii="Calibri" w:hAnsi="Calibri"/>
                <w:color w:val="FFFFFF"/>
                <w:sz w:val="22"/>
                <w:szCs w:val="22"/>
                <w:lang w:eastAsia="en-GB"/>
              </w:rPr>
              <w:t> </w:t>
            </w:r>
            <w:r>
              <w:rPr>
                <w:rFonts w:ascii="Calibri" w:hAnsi="Calibri"/>
                <w:color w:val="FFFFFF"/>
                <w:sz w:val="22"/>
                <w:szCs w:val="22"/>
                <w:lang w:eastAsia="en-GB"/>
              </w:rPr>
              <w:t>Terminal</w:t>
            </w:r>
          </w:p>
        </w:tc>
        <w:tc>
          <w:tcPr>
            <w:tcW w:w="1141"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2020</w:t>
            </w:r>
          </w:p>
        </w:tc>
        <w:tc>
          <w:tcPr>
            <w:tcW w:w="987"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2030</w:t>
            </w:r>
          </w:p>
        </w:tc>
        <w:tc>
          <w:tcPr>
            <w:tcW w:w="266" w:type="dxa"/>
            <w:shd w:val="clear" w:color="000000" w:fill="25406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 </w:t>
            </w:r>
          </w:p>
        </w:tc>
        <w:tc>
          <w:tcPr>
            <w:tcW w:w="1116"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 </w:t>
            </w:r>
          </w:p>
        </w:tc>
        <w:tc>
          <w:tcPr>
            <w:tcW w:w="1199"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2020</w:t>
            </w:r>
          </w:p>
        </w:tc>
        <w:tc>
          <w:tcPr>
            <w:tcW w:w="960" w:type="dxa"/>
            <w:shd w:val="clear" w:color="000000" w:fill="376091"/>
            <w:noWrap/>
            <w:vAlign w:val="bottom"/>
            <w:hideMark/>
          </w:tcPr>
          <w:p w:rsidR="00660414" w:rsidRPr="00CE711E" w:rsidRDefault="00660414" w:rsidP="007613DE">
            <w:pPr>
              <w:jc w:val="center"/>
              <w:rPr>
                <w:rFonts w:ascii="Calibri" w:hAnsi="Calibri"/>
                <w:b/>
                <w:bCs/>
                <w:color w:val="FFFFFF"/>
                <w:sz w:val="22"/>
                <w:szCs w:val="22"/>
                <w:lang w:eastAsia="en-GB"/>
              </w:rPr>
            </w:pPr>
            <w:r w:rsidRPr="00CE711E">
              <w:rPr>
                <w:rFonts w:ascii="Calibri" w:hAnsi="Calibri"/>
                <w:b/>
                <w:bCs/>
                <w:color w:val="FFFFFF"/>
                <w:sz w:val="22"/>
                <w:szCs w:val="22"/>
                <w:lang w:eastAsia="en-GB"/>
              </w:rPr>
              <w:t>2030</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1.32%</w:t>
            </w:r>
          </w:p>
        </w:tc>
        <w:tc>
          <w:tcPr>
            <w:tcW w:w="960"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1.00%</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117.47%</w:t>
            </w:r>
          </w:p>
        </w:tc>
        <w:tc>
          <w:tcPr>
            <w:tcW w:w="987"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113.69%</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83.63%</w:t>
            </w:r>
          </w:p>
        </w:tc>
        <w:tc>
          <w:tcPr>
            <w:tcW w:w="960"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63.20%</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Containers</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Containers</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Oil</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Oil</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Grain</w:t>
            </w:r>
          </w:p>
        </w:tc>
        <w:tc>
          <w:tcPr>
            <w:tcW w:w="1141"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1.79%</w:t>
            </w:r>
          </w:p>
        </w:tc>
        <w:tc>
          <w:tcPr>
            <w:tcW w:w="987"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1.73%</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Grain</w:t>
            </w:r>
          </w:p>
        </w:tc>
        <w:tc>
          <w:tcPr>
            <w:tcW w:w="1199"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1.27%</w:t>
            </w:r>
          </w:p>
        </w:tc>
        <w:tc>
          <w:tcPr>
            <w:tcW w:w="960"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0.96%</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Fertiliser</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Fertiliser</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Cement</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Cement</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Coal</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Coal</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Steel</w:t>
            </w:r>
          </w:p>
        </w:tc>
        <w:tc>
          <w:tcPr>
            <w:tcW w:w="1141"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Steel</w:t>
            </w:r>
          </w:p>
        </w:tc>
        <w:tc>
          <w:tcPr>
            <w:tcW w:w="1199" w:type="dxa"/>
            <w:shd w:val="clear" w:color="000000" w:fill="DBE5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xml:space="preserve"> </w:t>
            </w:r>
          </w:p>
        </w:tc>
      </w:tr>
      <w:tr w:rsidR="00660414" w:rsidRPr="00CE711E" w:rsidTr="007613DE">
        <w:trPr>
          <w:trHeight w:val="330"/>
          <w:jc w:val="center"/>
        </w:trPr>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Other</w:t>
            </w:r>
          </w:p>
        </w:tc>
        <w:tc>
          <w:tcPr>
            <w:tcW w:w="1141"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11.00%</w:t>
            </w:r>
          </w:p>
        </w:tc>
        <w:tc>
          <w:tcPr>
            <w:tcW w:w="987"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11.36%</w:t>
            </w:r>
          </w:p>
        </w:tc>
        <w:tc>
          <w:tcPr>
            <w:tcW w:w="266" w:type="dxa"/>
            <w:shd w:val="clear" w:color="000000" w:fill="254061"/>
            <w:noWrap/>
            <w:vAlign w:val="bottom"/>
            <w:hideMark/>
          </w:tcPr>
          <w:p w:rsidR="00660414" w:rsidRPr="00CE711E" w:rsidRDefault="00660414" w:rsidP="007613DE">
            <w:pPr>
              <w:rPr>
                <w:rFonts w:ascii="Calibri" w:hAnsi="Calibri"/>
                <w:color w:val="000000"/>
                <w:sz w:val="22"/>
                <w:szCs w:val="22"/>
                <w:lang w:eastAsia="en-GB"/>
              </w:rPr>
            </w:pPr>
            <w:r w:rsidRPr="00CE711E">
              <w:rPr>
                <w:rFonts w:ascii="Calibri" w:hAnsi="Calibri"/>
                <w:color w:val="000000"/>
                <w:sz w:val="22"/>
                <w:szCs w:val="22"/>
                <w:lang w:eastAsia="en-GB"/>
              </w:rPr>
              <w:t> </w:t>
            </w:r>
          </w:p>
        </w:tc>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CE711E">
              <w:rPr>
                <w:rFonts w:ascii="Gill Sans MT" w:hAnsi="Gill Sans MT"/>
                <w:color w:val="000000"/>
                <w:sz w:val="20"/>
                <w:szCs w:val="20"/>
                <w:lang w:eastAsia="en-GB"/>
              </w:rPr>
              <w:t>Other</w:t>
            </w:r>
          </w:p>
        </w:tc>
        <w:tc>
          <w:tcPr>
            <w:tcW w:w="1199" w:type="dxa"/>
            <w:shd w:val="clear" w:color="000000" w:fill="DBE5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3.04%</w:t>
            </w:r>
          </w:p>
        </w:tc>
        <w:tc>
          <w:tcPr>
            <w:tcW w:w="960" w:type="dxa"/>
            <w:shd w:val="clear" w:color="000000" w:fill="C5D9F1"/>
            <w:noWrap/>
            <w:vAlign w:val="bottom"/>
            <w:hideMark/>
          </w:tcPr>
          <w:p w:rsidR="00660414" w:rsidRPr="00CE711E" w:rsidRDefault="00660414" w:rsidP="007613DE">
            <w:pPr>
              <w:jc w:val="right"/>
              <w:rPr>
                <w:rFonts w:ascii="Calibri" w:hAnsi="Calibri"/>
                <w:color w:val="000000"/>
                <w:sz w:val="22"/>
                <w:szCs w:val="22"/>
                <w:lang w:eastAsia="en-GB"/>
              </w:rPr>
            </w:pPr>
            <w:r w:rsidRPr="00CE711E">
              <w:rPr>
                <w:rFonts w:ascii="Calibri" w:hAnsi="Calibri"/>
                <w:color w:val="000000"/>
                <w:sz w:val="22"/>
                <w:szCs w:val="22"/>
                <w:lang w:eastAsia="en-GB"/>
              </w:rPr>
              <w:t>4.70%</w:t>
            </w:r>
          </w:p>
        </w:tc>
      </w:tr>
    </w:tbl>
    <w:p w:rsidR="00660414" w:rsidRDefault="00660414" w:rsidP="00A4081F">
      <w:pPr>
        <w:pStyle w:val="NumberedParas"/>
        <w:rPr>
          <w:noProof/>
          <w:lang w:eastAsia="en-GB"/>
        </w:rPr>
      </w:pPr>
      <w:r>
        <w:rPr>
          <w:noProof/>
          <w:lang w:eastAsia="en-GB"/>
        </w:rPr>
        <w:t>By creating a terminal that can handle general cargo as well as having dedicated grain handling equipment, Tulcea’s forecast capacity issues are averted.</w:t>
      </w:r>
    </w:p>
    <w:p w:rsidR="00660414" w:rsidRDefault="00660414" w:rsidP="00660414">
      <w:pPr>
        <w:rPr>
          <w:b/>
          <w:sz w:val="22"/>
          <w:szCs w:val="22"/>
        </w:rPr>
      </w:pPr>
      <w:r>
        <w:rPr>
          <w:b/>
          <w:sz w:val="22"/>
          <w:szCs w:val="22"/>
        </w:rPr>
        <w:br w:type="page"/>
      </w:r>
    </w:p>
    <w:p w:rsidR="00660414" w:rsidRDefault="00660414" w:rsidP="00660414">
      <w:pPr>
        <w:rPr>
          <w:b/>
          <w:sz w:val="22"/>
          <w:szCs w:val="22"/>
        </w:rPr>
      </w:pPr>
      <w:r>
        <w:rPr>
          <w:b/>
          <w:sz w:val="22"/>
          <w:szCs w:val="22"/>
        </w:rPr>
        <w:t>Page intentionally left blank</w:t>
      </w:r>
      <w:r>
        <w:rPr>
          <w:b/>
          <w:sz w:val="22"/>
          <w:szCs w:val="22"/>
        </w:rPr>
        <w:br w:type="page"/>
      </w:r>
    </w:p>
    <w:p w:rsidR="00660414" w:rsidRPr="000A76BD" w:rsidRDefault="00660414" w:rsidP="00660414">
      <w:pPr>
        <w:spacing w:line="276" w:lineRule="auto"/>
        <w:rPr>
          <w:b/>
          <w:sz w:val="22"/>
          <w:szCs w:val="22"/>
        </w:rPr>
      </w:pPr>
      <w:r w:rsidRPr="008C5B1B">
        <w:rPr>
          <w:b/>
          <w:sz w:val="22"/>
          <w:szCs w:val="22"/>
        </w:rPr>
        <w:t>Improve the existing passenger ferry service running from Tulcea to Sulina</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This proposal involves an improved passenger ferry service running between Tulcea and Sulina and intermediate communities. Specifically the project will incorporate:</w:t>
      </w:r>
    </w:p>
    <w:p w:rsidR="00660414" w:rsidRPr="000A76BD" w:rsidRDefault="00660414" w:rsidP="00273D5E">
      <w:pPr>
        <w:pStyle w:val="BulletLevel1"/>
      </w:pPr>
      <w:r w:rsidRPr="008C5B1B">
        <w:t>The purchase of three new ferries</w:t>
      </w:r>
    </w:p>
    <w:p w:rsidR="00660414" w:rsidRPr="000A76BD" w:rsidRDefault="00660414" w:rsidP="00273D5E">
      <w:pPr>
        <w:pStyle w:val="BulletLevel1"/>
      </w:pPr>
      <w:r w:rsidRPr="008C5B1B">
        <w:t>The upgrade of 15 terminals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For several communities in the Danube Delta the most suitable method of transport is on water. This intervention would address the following issues:</w:t>
      </w:r>
    </w:p>
    <w:p w:rsidR="00660414" w:rsidRPr="000A76BD" w:rsidRDefault="00660414" w:rsidP="00273D5E">
      <w:pPr>
        <w:pStyle w:val="BulletLevel1"/>
      </w:pPr>
      <w:r w:rsidRPr="008C5B1B">
        <w:t>Poor and dilapidated state of some of the terminals</w:t>
      </w:r>
    </w:p>
    <w:p w:rsidR="00660414" w:rsidRPr="000A76BD" w:rsidRDefault="00660414" w:rsidP="00273D5E">
      <w:pPr>
        <w:pStyle w:val="BulletLevel1"/>
      </w:pPr>
      <w:r w:rsidRPr="008C5B1B">
        <w:t>Improved connectivity for those who rely on the Danube Delta as either their home or business</w:t>
      </w:r>
    </w:p>
    <w:p w:rsidR="00660414" w:rsidRPr="000A76BD" w:rsidRDefault="00660414" w:rsidP="00273D5E">
      <w:pPr>
        <w:pStyle w:val="BulletLevel1"/>
      </w:pPr>
      <w:r w:rsidRPr="008C5B1B">
        <w:t>Improved potential for tourism</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17" w:name="_Toc408990865"/>
      <w:r w:rsidRPr="008C5B1B">
        <w:t>OW3 – Unblock barriers to operational efficiency</w:t>
      </w:r>
      <w:bookmarkEnd w:id="8017"/>
    </w:p>
    <w:p w:rsidR="00660414" w:rsidRPr="000A76BD" w:rsidRDefault="00660414" w:rsidP="00273D5E">
      <w:pPr>
        <w:pStyle w:val="BulletLevel1"/>
        <w:rPr>
          <w:b/>
        </w:rPr>
      </w:pPr>
      <w:bookmarkStart w:id="8018" w:name="_Toc408990866"/>
      <w:r w:rsidRPr="008C5B1B">
        <w:t>OW4 – Reduce costs through operational efficiency</w:t>
      </w:r>
      <w:bookmarkEnd w:id="8018"/>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 for passenger operations and possibly some light freight (such as mail).</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0A76BD" w:rsidRDefault="00660414" w:rsidP="00A4081F">
      <w:pPr>
        <w:pStyle w:val="NumberedParas"/>
        <w:rPr>
          <w:i/>
          <w:u w:val="single"/>
        </w:rPr>
      </w:pPr>
      <w:r w:rsidRPr="008C5B1B">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6.18</w:t>
      </w:r>
      <w:r w:rsidRPr="00AA40A9">
        <w:rPr>
          <w:noProof/>
          <w:lang w:eastAsia="en-GB"/>
        </w:rPr>
        <w:t xml:space="preserve"> – </w:t>
      </w:r>
      <w:r>
        <w:rPr>
          <w:noProof/>
          <w:lang w:eastAsia="en-GB"/>
        </w:rPr>
        <w:t>Undiscounted project costs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4728"/>
        <w:gridCol w:w="4226"/>
      </w:tblGrid>
      <w:tr w:rsidR="00660414" w:rsidRPr="000A76BD" w:rsidTr="007613DE">
        <w:trPr>
          <w:cantSplit/>
          <w:tblHeader/>
        </w:trPr>
        <w:tc>
          <w:tcPr>
            <w:tcW w:w="0" w:type="auto"/>
            <w:vAlign w:val="center"/>
          </w:tcPr>
          <w:p w:rsidR="00660414" w:rsidRPr="008C5B1B" w:rsidRDefault="00660414" w:rsidP="007613DE">
            <w:pPr>
              <w:spacing w:before="120" w:line="276" w:lineRule="auto"/>
              <w:jc w:val="center"/>
              <w:rPr>
                <w:b/>
                <w:bCs/>
                <w:sz w:val="22"/>
                <w:szCs w:val="22"/>
              </w:rPr>
            </w:pPr>
          </w:p>
        </w:tc>
        <w:tc>
          <w:tcPr>
            <w:tcW w:w="0" w:type="auto"/>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0" w:type="auto"/>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0" w:type="auto"/>
            <w:vAlign w:val="center"/>
          </w:tcPr>
          <w:p w:rsidR="00660414" w:rsidRPr="008C5B1B" w:rsidRDefault="00660414" w:rsidP="007613DE">
            <w:pPr>
              <w:spacing w:before="120" w:line="276" w:lineRule="auto"/>
              <w:rPr>
                <w:b/>
                <w:bCs/>
                <w:sz w:val="22"/>
                <w:szCs w:val="22"/>
              </w:rPr>
            </w:pPr>
            <w:r w:rsidRPr="008C5B1B">
              <w:rPr>
                <w:b/>
                <w:bCs/>
                <w:sz w:val="22"/>
                <w:szCs w:val="22"/>
              </w:rPr>
              <w:t xml:space="preserve">Cost </w:t>
            </w:r>
          </w:p>
        </w:tc>
        <w:tc>
          <w:tcPr>
            <w:tcW w:w="0" w:type="auto"/>
            <w:vAlign w:val="center"/>
          </w:tcPr>
          <w:p w:rsidR="00660414" w:rsidRPr="008C5B1B" w:rsidRDefault="00660414" w:rsidP="007613DE">
            <w:pPr>
              <w:spacing w:before="120" w:line="276" w:lineRule="auto"/>
              <w:jc w:val="center"/>
              <w:rPr>
                <w:b/>
                <w:bCs/>
                <w:sz w:val="22"/>
                <w:szCs w:val="22"/>
              </w:rPr>
            </w:pPr>
            <w:r w:rsidRPr="008C5B1B">
              <w:rPr>
                <w:b/>
                <w:bCs/>
                <w:sz w:val="22"/>
                <w:szCs w:val="22"/>
              </w:rPr>
              <w:t>19.2</w:t>
            </w:r>
          </w:p>
        </w:tc>
        <w:tc>
          <w:tcPr>
            <w:tcW w:w="0" w:type="auto"/>
          </w:tcPr>
          <w:p w:rsidR="00660414" w:rsidRPr="008C5B1B" w:rsidRDefault="00660414" w:rsidP="007613DE">
            <w:pPr>
              <w:spacing w:before="120" w:line="276" w:lineRule="auto"/>
              <w:rPr>
                <w:b/>
                <w:bCs/>
                <w:sz w:val="22"/>
                <w:szCs w:val="22"/>
              </w:rPr>
            </w:pPr>
            <w:r w:rsidRPr="008C5B1B">
              <w:rPr>
                <w:b/>
                <w:bCs/>
                <w:sz w:val="22"/>
                <w:szCs w:val="22"/>
              </w:rPr>
              <w:t>15 upgraded passenger terminals</w:t>
            </w:r>
          </w:p>
          <w:p w:rsidR="00660414" w:rsidRPr="008C5B1B" w:rsidRDefault="00660414" w:rsidP="007613DE">
            <w:pPr>
              <w:spacing w:before="120" w:line="276" w:lineRule="auto"/>
              <w:rPr>
                <w:b/>
                <w:bCs/>
                <w:sz w:val="22"/>
                <w:szCs w:val="22"/>
              </w:rPr>
            </w:pPr>
            <w:r w:rsidRPr="008C5B1B">
              <w:rPr>
                <w:b/>
                <w:bCs/>
                <w:sz w:val="22"/>
                <w:szCs w:val="22"/>
              </w:rPr>
              <w:t>3 new ferries</w:t>
            </w:r>
          </w:p>
        </w:tc>
      </w:tr>
    </w:tbl>
    <w:p w:rsidR="00660414" w:rsidRPr="000A76BD" w:rsidRDefault="00660414" w:rsidP="00660414">
      <w:pPr>
        <w:spacing w:line="276" w:lineRule="auto"/>
        <w:rPr>
          <w:sz w:val="22"/>
          <w:szCs w:val="22"/>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1.47. The terminal is anticipated to generate over 176,000 passengers in 2020. This project is recommended for inclusion in the Masterplan due to its green credentials and the increased connectivity it would have to the region.</w:t>
      </w:r>
    </w:p>
    <w:p w:rsidR="00660414" w:rsidRDefault="00660414" w:rsidP="00A4081F">
      <w:pPr>
        <w:pStyle w:val="NumberedParas"/>
        <w:numPr>
          <w:ilvl w:val="0"/>
          <w:numId w:val="0"/>
        </w:numPr>
      </w:pPr>
      <w:r w:rsidRPr="00AA40A9">
        <w:rPr>
          <w:noProof/>
          <w:lang w:eastAsia="en-GB"/>
        </w:rPr>
        <w:t xml:space="preserve">Table </w:t>
      </w:r>
      <w:r>
        <w:rPr>
          <w:noProof/>
          <w:lang w:eastAsia="en-GB"/>
        </w:rPr>
        <w:t>6.19</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W101</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Number of Passengers per annum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176,713</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9</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1.47</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4.4%</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bCs/>
          <w:i/>
          <w:sz w:val="22"/>
          <w:szCs w:val="22"/>
          <w:u w:val="single"/>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the private passenger terminal operators through a franchising system.</w:t>
      </w:r>
    </w:p>
    <w:p w:rsidR="00660414" w:rsidRPr="000A76BD" w:rsidRDefault="00660414" w:rsidP="00660414">
      <w:pPr>
        <w:spacing w:line="276" w:lineRule="auto"/>
        <w:rPr>
          <w:bCs/>
          <w:i/>
          <w:sz w:val="22"/>
          <w:szCs w:val="22"/>
          <w:u w:val="single"/>
        </w:rPr>
      </w:pP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Pr="000A76BD" w:rsidRDefault="00660414" w:rsidP="00A4081F">
      <w:pPr>
        <w:pStyle w:val="NumberedParas"/>
      </w:pPr>
      <w:r w:rsidRPr="008C5B1B">
        <w:t>The implementation could happen as soon as project sign off is completed. It is not dependent on any other conditions.</w:t>
      </w:r>
    </w:p>
    <w:p w:rsidR="00660414" w:rsidRPr="000A76BD" w:rsidRDefault="00660414" w:rsidP="00660414">
      <w:pPr>
        <w:spacing w:line="276" w:lineRule="auto"/>
        <w:rPr>
          <w:b/>
          <w:sz w:val="22"/>
          <w:szCs w:val="22"/>
        </w:rPr>
      </w:pPr>
    </w:p>
    <w:p w:rsidR="00660414" w:rsidRPr="000A76BD" w:rsidRDefault="00660414" w:rsidP="00660414">
      <w:pPr>
        <w:rPr>
          <w:b/>
          <w:sz w:val="22"/>
          <w:szCs w:val="22"/>
        </w:rPr>
      </w:pPr>
      <w:r w:rsidRPr="008C5B1B">
        <w:rPr>
          <w:b/>
          <w:sz w:val="22"/>
          <w:szCs w:val="22"/>
        </w:rPr>
        <w:br w:type="page"/>
      </w:r>
    </w:p>
    <w:p w:rsidR="00660414" w:rsidRPr="000A76BD" w:rsidRDefault="00660414" w:rsidP="00660414">
      <w:pPr>
        <w:spacing w:line="276" w:lineRule="auto"/>
        <w:rPr>
          <w:b/>
          <w:sz w:val="22"/>
          <w:szCs w:val="22"/>
        </w:rPr>
      </w:pPr>
      <w:r w:rsidRPr="008C5B1B">
        <w:rPr>
          <w:b/>
          <w:sz w:val="22"/>
          <w:szCs w:val="22"/>
        </w:rPr>
        <w:t>Galati:</w:t>
      </w:r>
    </w:p>
    <w:p w:rsidR="00660414" w:rsidRPr="000A76BD" w:rsidRDefault="00660414" w:rsidP="00660414">
      <w:pPr>
        <w:spacing w:line="276" w:lineRule="auto"/>
        <w:rPr>
          <w:b/>
          <w:sz w:val="22"/>
          <w:szCs w:val="22"/>
        </w:rPr>
      </w:pPr>
      <w:r w:rsidRPr="008C5B1B">
        <w:rPr>
          <w:b/>
          <w:sz w:val="22"/>
          <w:szCs w:val="22"/>
        </w:rPr>
        <w:t>Build a new trimodal terminal</w:t>
      </w:r>
      <w:r>
        <w:rPr>
          <w:b/>
          <w:sz w:val="22"/>
          <w:szCs w:val="22"/>
        </w:rPr>
        <w:t xml:space="preserve"> (multimodal platform) </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As part of a strategic network of intermodal terminals throughout Romania, Galati has been identified as a key location for international freight movements. The proposal is to build a new trimodal terminal at the port so that intermodal containers can take advantage of Galati’s road, rail and water connections. This would provide Galati with dedicated intermodal facilities and berths, which it currently does not have and for its connections to be improved as required by Regulation 1315/2013. Specifically the proposal will incorporate:</w:t>
      </w:r>
    </w:p>
    <w:p w:rsidR="00660414" w:rsidRPr="000A76BD" w:rsidRDefault="00660414" w:rsidP="00273D5E">
      <w:pPr>
        <w:pStyle w:val="BulletLevel1"/>
      </w:pPr>
      <w:r w:rsidRPr="008C5B1B">
        <w:t>A new intermodal terminal 7 hectares in size, including handling equipment, with modern infrastructure including quays that will allow the direct mooring of ships.</w:t>
      </w:r>
    </w:p>
    <w:p w:rsidR="00660414" w:rsidRPr="000A76BD" w:rsidRDefault="00660414" w:rsidP="00273D5E">
      <w:pPr>
        <w:pStyle w:val="BulletLevel1"/>
      </w:pPr>
      <w:r w:rsidRPr="008C5B1B">
        <w:t>Links to both European and Russian gauge railway lines</w:t>
      </w:r>
    </w:p>
    <w:p w:rsidR="00660414" w:rsidRPr="000A76BD" w:rsidRDefault="00660414" w:rsidP="00273D5E">
      <w:pPr>
        <w:pStyle w:val="BulletLevel1"/>
      </w:pPr>
      <w:r w:rsidRPr="008C5B1B">
        <w:t>RoRo facilities for trucks</w:t>
      </w:r>
    </w:p>
    <w:p w:rsidR="00660414" w:rsidRPr="000A76BD" w:rsidRDefault="00660414" w:rsidP="00273D5E">
      <w:pPr>
        <w:pStyle w:val="BulletLevel1"/>
      </w:pPr>
      <w:r w:rsidRPr="008C5B1B">
        <w:t>Logistics facilities</w:t>
      </w:r>
    </w:p>
    <w:p w:rsidR="00660414" w:rsidRDefault="00660414" w:rsidP="00273D5E">
      <w:pPr>
        <w:pStyle w:val="BulletLevel1"/>
      </w:pPr>
      <w:r w:rsidRPr="008C5B1B">
        <w:t>Connectivity to the port’s Free Trade Zone and modernisation of the road and rail links to a standard that complies with Regulation 1315/2013 which includes a dual carriageway that does not intersect with the railway network, reconfiguration of therail marshalling yard to allow the operation of 750m long trains, electrification and signalling works.</w:t>
      </w:r>
    </w:p>
    <w:p w:rsidR="00660414" w:rsidRDefault="00660414" w:rsidP="00A4081F">
      <w:pPr>
        <w:pStyle w:val="NumberedParas"/>
      </w:pPr>
      <w:r>
        <w:t xml:space="preserve">Galati has proposed a project called </w:t>
      </w:r>
      <w:r w:rsidRPr="003F20F6">
        <w:t>"Multimodal Platform Galati - removing major bottlenecks by upgrading existing infrastructure and providing missing links to the core network Rhine-Danube / Alps"</w:t>
      </w:r>
      <w:r>
        <w:t xml:space="preserve"> which is targetting CEF funding. AECOM’s proposal is suggested to act as Phase 1 of this project. If AECOM’s proposal is successful then further developments should occur as and when market conditions make it suitable to do so.</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port does not currently have a dedicated intermodal terminal which is limiting its potential. This intervention would address the following issues:</w:t>
      </w:r>
    </w:p>
    <w:p w:rsidR="00660414" w:rsidRPr="000A76BD" w:rsidRDefault="00660414" w:rsidP="00273D5E">
      <w:pPr>
        <w:pStyle w:val="BulletLevel1"/>
      </w:pPr>
      <w:r w:rsidRPr="008C5B1B">
        <w:t>Lack of a dedicated intermodal terminal</w:t>
      </w:r>
    </w:p>
    <w:p w:rsidR="00660414" w:rsidRDefault="00660414" w:rsidP="00273D5E">
      <w:pPr>
        <w:pStyle w:val="BulletLevel1"/>
      </w:pPr>
      <w:r w:rsidRPr="008C5B1B">
        <w:t>Lack of an intermodal terminal network in Romania</w:t>
      </w:r>
    </w:p>
    <w:p w:rsidR="00660414" w:rsidRPr="000A76BD" w:rsidRDefault="00660414" w:rsidP="00273D5E">
      <w:pPr>
        <w:pStyle w:val="BulletLevel1"/>
      </w:pPr>
      <w:r>
        <w:t>Bottlenecks in the local transport network</w:t>
      </w:r>
    </w:p>
    <w:p w:rsidR="00660414" w:rsidRDefault="00660414" w:rsidP="00660414">
      <w:pPr>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19" w:name="_Toc408990867"/>
      <w:r w:rsidRPr="008C5B1B">
        <w:t>OW3 – Unblock barriers to operational efficiency</w:t>
      </w:r>
      <w:bookmarkEnd w:id="8019"/>
    </w:p>
    <w:p w:rsidR="00660414" w:rsidRPr="000A76BD" w:rsidRDefault="00660414" w:rsidP="00273D5E">
      <w:pPr>
        <w:pStyle w:val="BulletLevel1"/>
        <w:rPr>
          <w:b/>
        </w:rPr>
      </w:pPr>
      <w:bookmarkStart w:id="8020" w:name="_Toc408990868"/>
      <w:r w:rsidRPr="008C5B1B">
        <w:t>OW4 – Reduce costs through operational efficiency</w:t>
      </w:r>
      <w:bookmarkEnd w:id="8020"/>
    </w:p>
    <w:p w:rsidR="00660414" w:rsidRPr="000A76BD" w:rsidRDefault="00660414" w:rsidP="00273D5E">
      <w:pPr>
        <w:pStyle w:val="BulletLevel1"/>
        <w:rPr>
          <w:b/>
        </w:rPr>
      </w:pPr>
      <w:bookmarkStart w:id="8021" w:name="_Toc408990869"/>
      <w:r w:rsidRPr="008C5B1B">
        <w:t>OW10 – Increase the amount of freight moved by sustainable modes</w:t>
      </w:r>
      <w:bookmarkEnd w:id="8021"/>
    </w:p>
    <w:p w:rsidR="00660414" w:rsidRPr="008C5B1B" w:rsidRDefault="00660414" w:rsidP="00273D5E">
      <w:pPr>
        <w:pStyle w:val="BulletLevel1"/>
        <w:rPr>
          <w:i/>
          <w:u w:val="single"/>
        </w:rPr>
      </w:pPr>
      <w:bookmarkStart w:id="8022" w:name="_Toc408990870"/>
      <w:r w:rsidRPr="008C5B1B">
        <w:t>OW12 – Increase use of intermodal transport</w:t>
      </w:r>
      <w:bookmarkStart w:id="8023" w:name="_Toc408990871"/>
      <w:bookmarkEnd w:id="8022"/>
      <w:bookmarkEnd w:id="8023"/>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container operations.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6.20</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23</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Trimodal terminal including handling equipment</w:t>
            </w:r>
          </w:p>
          <w:p w:rsidR="00660414" w:rsidRPr="008C5B1B" w:rsidRDefault="00660414" w:rsidP="007613DE">
            <w:pPr>
              <w:spacing w:before="120" w:line="276" w:lineRule="auto"/>
              <w:rPr>
                <w:b/>
                <w:bCs/>
                <w:sz w:val="22"/>
                <w:szCs w:val="22"/>
              </w:rPr>
            </w:pPr>
            <w:r w:rsidRPr="008C5B1B">
              <w:rPr>
                <w:b/>
                <w:bCs/>
                <w:sz w:val="22"/>
                <w:szCs w:val="22"/>
              </w:rPr>
              <w:t>Links to European and Russian gauge railways</w:t>
            </w:r>
          </w:p>
          <w:p w:rsidR="00660414" w:rsidRPr="008C5B1B" w:rsidRDefault="00660414" w:rsidP="007613DE">
            <w:pPr>
              <w:spacing w:before="120" w:line="276" w:lineRule="auto"/>
              <w:rPr>
                <w:b/>
                <w:bCs/>
                <w:sz w:val="22"/>
                <w:szCs w:val="22"/>
              </w:rPr>
            </w:pPr>
            <w:r w:rsidRPr="008C5B1B">
              <w:rPr>
                <w:b/>
                <w:bCs/>
                <w:sz w:val="22"/>
                <w:szCs w:val="22"/>
              </w:rPr>
              <w:t>Logistics facilities</w:t>
            </w:r>
          </w:p>
        </w:tc>
      </w:tr>
    </w:tbl>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limited return with a benefit-cost ratio (BCR) of 0.94. The terminal is anticipated to generate over 186,000 of containerised freight in 2020. Whilst the modelled outputs are not entirely favourable this project is recommended for inclusion in the Masterplan as it is considered an important node in Romania’s intermodal network and a port of Galati’s size should be able to handle containers using modern methods.</w:t>
      </w:r>
    </w:p>
    <w:p w:rsidR="00660414" w:rsidRDefault="00660414" w:rsidP="00A4081F">
      <w:pPr>
        <w:pStyle w:val="NumberedParas"/>
        <w:numPr>
          <w:ilvl w:val="0"/>
          <w:numId w:val="0"/>
        </w:numPr>
      </w:pPr>
      <w:r w:rsidRPr="00AA40A9">
        <w:rPr>
          <w:noProof/>
          <w:lang w:eastAsia="en-GB"/>
        </w:rPr>
        <w:t xml:space="preserve">Table </w:t>
      </w:r>
      <w:r>
        <w:rPr>
          <w:noProof/>
          <w:lang w:eastAsia="en-GB"/>
        </w:rPr>
        <w:t>6.21</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I-GL-S (W18)</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186,743</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0.94</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4.7%</w:t>
            </w:r>
          </w:p>
        </w:tc>
      </w:tr>
      <w:tr w:rsidR="00660414" w:rsidRPr="000A76BD" w:rsidTr="007613DE">
        <w:tc>
          <w:tcPr>
            <w:tcW w:w="3818" w:type="dxa"/>
          </w:tcPr>
          <w:p w:rsidR="00660414" w:rsidRPr="000A76BD"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0A76BD" w:rsidRDefault="00660414" w:rsidP="007613DE">
            <w:pPr>
              <w:spacing w:line="276" w:lineRule="auto"/>
              <w:jc w:val="center"/>
              <w:rPr>
                <w:sz w:val="22"/>
                <w:szCs w:val="22"/>
              </w:rPr>
            </w:pPr>
            <w:r w:rsidRPr="008C5B1B">
              <w:rPr>
                <w:b/>
                <w:color w:val="00B050"/>
                <w:sz w:val="22"/>
                <w:szCs w:val="22"/>
              </w:rPr>
              <w:sym w:font="Wingdings" w:char="F0FC"/>
            </w:r>
            <w:r>
              <w:rPr>
                <w:rStyle w:val="FootnoteReference"/>
                <w:b/>
                <w:sz w:val="22"/>
                <w:szCs w:val="22"/>
              </w:rPr>
              <w:footnoteReference w:id="29"/>
            </w:r>
          </w:p>
        </w:tc>
      </w:tr>
    </w:tbl>
    <w:p w:rsidR="00660414" w:rsidRPr="000A76BD" w:rsidRDefault="00660414" w:rsidP="00660414">
      <w:pPr>
        <w:spacing w:line="276" w:lineRule="auto"/>
        <w:rPr>
          <w:i/>
          <w:sz w:val="22"/>
          <w:szCs w:val="22"/>
          <w:u w:val="single"/>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 partnership consisting of the port administrator, APDM Galati with a private port operator and other relevant stakeholders.</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2021-2030</w:t>
      </w:r>
    </w:p>
    <w:p w:rsidR="00660414" w:rsidRPr="000A76BD" w:rsidRDefault="00660414" w:rsidP="00A4081F">
      <w:pPr>
        <w:pStyle w:val="NumberedParas"/>
        <w:rPr>
          <w:b/>
        </w:rPr>
      </w:pPr>
      <w:r w:rsidRPr="008C5B1B">
        <w:t>The implementation could happen as soon as project sign off is completed however it is recommended that development of the intermodal terminal is phased to suit prevailing market conditions.</w:t>
      </w:r>
    </w:p>
    <w:p w:rsidR="00660414" w:rsidRDefault="00660414" w:rsidP="00660414">
      <w:pPr>
        <w:rPr>
          <w:b/>
          <w:sz w:val="22"/>
          <w:szCs w:val="22"/>
        </w:rPr>
      </w:pPr>
      <w:r>
        <w:rPr>
          <w:b/>
          <w:sz w:val="22"/>
          <w:szCs w:val="22"/>
        </w:rPr>
        <w:br w:type="page"/>
      </w:r>
    </w:p>
    <w:p w:rsidR="00660414" w:rsidRDefault="00660414" w:rsidP="00660414">
      <w:pPr>
        <w:rPr>
          <w:b/>
          <w:sz w:val="22"/>
          <w:szCs w:val="22"/>
        </w:rPr>
      </w:pPr>
      <w:r w:rsidRPr="008C5B1B">
        <w:rPr>
          <w:b/>
          <w:sz w:val="22"/>
          <w:szCs w:val="22"/>
        </w:rPr>
        <w:t>Modernisation of existing bulk terminals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There are bulk terminal facilities at Galati that are old and inefficient. This inefficiency is leading to an underutilisation of the port due to limiting the amount of bulk freight that can be handled by port in comparison to the available demand. Modernising these facilities will improve options and handling capacity at the port. Specifically the project will include:</w:t>
      </w:r>
    </w:p>
    <w:p w:rsidR="00660414" w:rsidRPr="000A76BD" w:rsidRDefault="00660414" w:rsidP="00273D5E">
      <w:pPr>
        <w:pStyle w:val="BulletLevel1"/>
      </w:pPr>
      <w:r w:rsidRPr="008C5B1B">
        <w:t>Quay modernization to allow ships to undertake direct mooring as well as providing services to ships</w:t>
      </w:r>
    </w:p>
    <w:p w:rsidR="00660414" w:rsidRPr="000A76BD" w:rsidRDefault="00660414" w:rsidP="00273D5E">
      <w:pPr>
        <w:pStyle w:val="BulletLevel1"/>
      </w:pPr>
      <w:r w:rsidRPr="008C5B1B">
        <w:t>Upgrading the loading and unloading operations</w:t>
      </w:r>
    </w:p>
    <w:p w:rsidR="00660414" w:rsidRPr="000A76BD" w:rsidRDefault="00660414" w:rsidP="00273D5E">
      <w:pPr>
        <w:pStyle w:val="BulletLevel1"/>
      </w:pPr>
      <w:r w:rsidRPr="008C5B1B">
        <w:t>Rehabilitation of the storage areas and the utilities at the port</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Current facilities are old and not suitable for modern logistics practices. Whilst the port has spare capacity on paper, this is not realised in reality due to the condition of some of the facilities which prevents their use by freight traffic. This proposal would address the following problems:</w:t>
      </w:r>
    </w:p>
    <w:p w:rsidR="00660414" w:rsidRPr="000A76BD" w:rsidRDefault="00660414" w:rsidP="00273D5E">
      <w:pPr>
        <w:pStyle w:val="BulletLevel1"/>
      </w:pPr>
      <w:r w:rsidRPr="008C5B1B">
        <w:t>Give a new lease of life for old infrastructure and terminals by making it suitable for modern logistics requirements</w:t>
      </w:r>
    </w:p>
    <w:p w:rsidR="00660414" w:rsidRPr="000A76BD" w:rsidRDefault="00660414" w:rsidP="00273D5E">
      <w:pPr>
        <w:pStyle w:val="BulletLevel1"/>
      </w:pPr>
      <w:r w:rsidRPr="008C5B1B">
        <w:t>Turn over underutilised capacity to industries and commodities that need additional capacity</w:t>
      </w:r>
    </w:p>
    <w:p w:rsidR="00660414" w:rsidRPr="000A76BD" w:rsidRDefault="00660414" w:rsidP="00273D5E">
      <w:pPr>
        <w:pStyle w:val="BulletLevel1"/>
      </w:pPr>
      <w:r w:rsidRPr="008C5B1B">
        <w:t>Realign the basin to allow modern vessels to easily use the port</w:t>
      </w:r>
    </w:p>
    <w:p w:rsidR="00660414" w:rsidRPr="000A76BD" w:rsidRDefault="00660414" w:rsidP="00273D5E">
      <w:pPr>
        <w:pStyle w:val="BulletLevel1"/>
      </w:pPr>
      <w:r w:rsidRPr="008C5B1B">
        <w:t>Prevent further decay of the port and secure the port’s long term future and viability</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24" w:name="_Toc408990872"/>
      <w:r w:rsidRPr="008C5B1B">
        <w:t>OW3 – Unblock barriers to operational efficiency</w:t>
      </w:r>
      <w:bookmarkEnd w:id="8024"/>
    </w:p>
    <w:p w:rsidR="00660414" w:rsidRPr="000A76BD" w:rsidRDefault="00660414" w:rsidP="00273D5E">
      <w:pPr>
        <w:pStyle w:val="BulletLevel1"/>
        <w:rPr>
          <w:b/>
        </w:rPr>
      </w:pPr>
      <w:bookmarkStart w:id="8025" w:name="_Toc408990873"/>
      <w:r w:rsidRPr="008C5B1B">
        <w:t>OW4 – Reduce costs through operational efficiency</w:t>
      </w:r>
      <w:bookmarkEnd w:id="8025"/>
    </w:p>
    <w:p w:rsidR="00660414" w:rsidRDefault="00660414" w:rsidP="00273D5E">
      <w:pPr>
        <w:pStyle w:val="BulletLevel1"/>
      </w:pPr>
      <w:bookmarkStart w:id="8026" w:name="_Toc408990874"/>
      <w:r w:rsidRPr="008C5B1B">
        <w:t>OW10 – Increase the amount of freight moved by sustainable modes</w:t>
      </w:r>
      <w:bookmarkEnd w:id="8026"/>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Galati’s bulk operations such as grain, aggregate and steel. </w:t>
      </w: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6.22</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w:t>
            </w:r>
            <w:r>
              <w:rPr>
                <w:b/>
                <w:bCs/>
                <w:sz w:val="22"/>
                <w:szCs w:val="22"/>
              </w:rPr>
              <w:t>7.6</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Modernised bulk terminal</w:t>
            </w:r>
          </w:p>
          <w:p w:rsidR="00660414" w:rsidRPr="008C5B1B" w:rsidRDefault="00660414" w:rsidP="007613DE">
            <w:pPr>
              <w:spacing w:before="120" w:line="276" w:lineRule="auto"/>
              <w:rPr>
                <w:b/>
                <w:bCs/>
                <w:sz w:val="22"/>
                <w:szCs w:val="22"/>
              </w:rPr>
            </w:pPr>
            <w:r w:rsidRPr="008C5B1B">
              <w:rPr>
                <w:b/>
                <w:bCs/>
                <w:sz w:val="22"/>
                <w:szCs w:val="22"/>
              </w:rPr>
              <w:t>Dredging and basin realignment</w:t>
            </w:r>
          </w:p>
          <w:p w:rsidR="00660414" w:rsidRPr="008C5B1B" w:rsidRDefault="00660414" w:rsidP="007613DE">
            <w:pPr>
              <w:spacing w:before="120" w:line="276" w:lineRule="auto"/>
              <w:rPr>
                <w:b/>
                <w:bCs/>
                <w:sz w:val="22"/>
                <w:szCs w:val="22"/>
              </w:rPr>
            </w:pPr>
            <w:r w:rsidRPr="008C5B1B">
              <w:rPr>
                <w:b/>
                <w:bCs/>
                <w:sz w:val="22"/>
                <w:szCs w:val="22"/>
              </w:rPr>
              <w:t>Reinforced structures</w:t>
            </w:r>
          </w:p>
        </w:tc>
      </w:tr>
    </w:tbl>
    <w:p w:rsidR="00660414"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32.89. The terminal is anticipated to generate over 618,000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6.23</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P-GL-S (W34)</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618,501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348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32.89</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39.9%</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sz w:val="22"/>
          <w:szCs w:val="22"/>
          <w:u w:val="single"/>
        </w:rPr>
      </w:pPr>
    </w:p>
    <w:p w:rsidR="00660414" w:rsidRPr="008C5B1B" w:rsidRDefault="00660414" w:rsidP="00660414">
      <w:pPr>
        <w:spacing w:line="276" w:lineRule="auto"/>
        <w:rPr>
          <w:i/>
          <w:noProof/>
          <w:sz w:val="22"/>
          <w:szCs w:val="22"/>
          <w:u w:val="single"/>
          <w:lang w:eastAsia="en-GB"/>
        </w:rPr>
      </w:pPr>
      <w:r w:rsidRPr="008C5B1B">
        <w:rPr>
          <w:i/>
          <w:noProof/>
          <w:sz w:val="22"/>
          <w:szCs w:val="22"/>
          <w:u w:val="single"/>
          <w:lang w:val="ro-RO" w:eastAsia="ro-RO"/>
        </w:rPr>
        <w:drawing>
          <wp:inline distT="0" distB="0" distL="0" distR="0" wp14:anchorId="7592951B" wp14:editId="136F16AF">
            <wp:extent cx="4922244" cy="3082542"/>
            <wp:effectExtent l="19050" t="0" r="11706" b="3558"/>
            <wp:docPr id="15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6.1</w:t>
      </w:r>
      <w:r>
        <w:rPr>
          <w:b/>
          <w:noProof/>
          <w:sz w:val="22"/>
          <w:szCs w:val="22"/>
          <w:lang w:eastAsia="en-GB"/>
        </w:rPr>
        <w:t>3</w:t>
      </w:r>
      <w:r w:rsidRPr="008C5B1B">
        <w:rPr>
          <w:b/>
          <w:noProof/>
          <w:sz w:val="22"/>
          <w:szCs w:val="22"/>
          <w:lang w:eastAsia="en-GB"/>
        </w:rPr>
        <w:t xml:space="preserve"> –Tonnes Handled at Galati 2007-2011 and Forecast in 2020</w:t>
      </w:r>
    </w:p>
    <w:p w:rsidR="00660414" w:rsidRDefault="00660414" w:rsidP="00A4081F">
      <w:pPr>
        <w:pStyle w:val="NumberedParas"/>
      </w:pPr>
      <w:r>
        <w:t>Galati has a theoretical capacity of 7.8 million tonnes per year however 6.8 million tonnes are for handling coal and steel associated with the declining steel industry in the area. The steel production is just 25% of the originally designed capacity. So the operating capacity can be calculated as 2 million tonnes per year (1 million tonnes associated with steel production and 1 million tonnes of other goods). As such Galati needs to refit and modernise the existing terminals and berths for new traffic from other commodities.</w:t>
      </w:r>
    </w:p>
    <w:p w:rsidR="00660414" w:rsidRDefault="00660414" w:rsidP="00A4081F">
      <w:pPr>
        <w:pStyle w:val="NumberedParas"/>
        <w:numPr>
          <w:ilvl w:val="0"/>
          <w:numId w:val="0"/>
        </w:numPr>
        <w:ind w:left="1673"/>
      </w:pPr>
      <w:r w:rsidRPr="00AA40A9">
        <w:rPr>
          <w:noProof/>
          <w:lang w:eastAsia="en-GB"/>
        </w:rPr>
        <w:t xml:space="preserve">Table </w:t>
      </w:r>
      <w:r>
        <w:rPr>
          <w:noProof/>
          <w:lang w:eastAsia="en-GB"/>
        </w:rPr>
        <w:t>6.24</w:t>
      </w:r>
      <w:r w:rsidRPr="00AA40A9">
        <w:rPr>
          <w:noProof/>
          <w:lang w:eastAsia="en-GB"/>
        </w:rPr>
        <w:t xml:space="preserve"> – </w:t>
      </w:r>
      <w:r>
        <w:rPr>
          <w:noProof/>
          <w:lang w:eastAsia="en-GB"/>
        </w:rPr>
        <w:t>Forecast Utilisation at Galati</w:t>
      </w:r>
    </w:p>
    <w:tbl>
      <w:tblPr>
        <w:tblW w:w="6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211DF7" w:rsidTr="007613DE">
        <w:trPr>
          <w:trHeight w:val="315"/>
          <w:jc w:val="center"/>
        </w:trPr>
        <w:tc>
          <w:tcPr>
            <w:tcW w:w="1116"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211DF7" w:rsidTr="007613DE">
        <w:trPr>
          <w:trHeight w:val="315"/>
          <w:jc w:val="center"/>
        </w:trPr>
        <w:tc>
          <w:tcPr>
            <w:tcW w:w="1116"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r w:rsidRPr="00211DF7">
              <w:rPr>
                <w:rFonts w:ascii="Calibri" w:hAnsi="Calibri"/>
                <w:color w:val="FFFFFF"/>
                <w:sz w:val="22"/>
                <w:szCs w:val="22"/>
                <w:lang w:eastAsia="en-GB"/>
              </w:rPr>
              <w:t> </w:t>
            </w:r>
            <w:r>
              <w:rPr>
                <w:rFonts w:ascii="Calibri" w:hAnsi="Calibri"/>
                <w:color w:val="FFFFFF"/>
                <w:sz w:val="22"/>
                <w:szCs w:val="22"/>
                <w:lang w:eastAsia="en-GB"/>
              </w:rPr>
              <w:t>Terminal</w:t>
            </w:r>
          </w:p>
        </w:tc>
        <w:tc>
          <w:tcPr>
            <w:tcW w:w="1141"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87"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 </w:t>
            </w:r>
          </w:p>
        </w:tc>
        <w:tc>
          <w:tcPr>
            <w:tcW w:w="1116"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60"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45.39%</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49.49%</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15.17%</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21.33%</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109.37%</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119.26%</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63.97%</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89.93%</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Containers</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Containers</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7.80%</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12.00%</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Oil</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Oil</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Grain</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32.78%</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35.74%</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Grain</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21.91%</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30.80%</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Fertiliser</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Fertiliser</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Cement</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Cement</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Coal</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7.84%</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8.54%</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Coal</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5.24%</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7.36%</w:t>
            </w:r>
          </w:p>
        </w:tc>
      </w:tr>
      <w:tr w:rsidR="00660414" w:rsidRPr="00211DF7" w:rsidTr="007613DE">
        <w:trPr>
          <w:trHeight w:val="300"/>
          <w:jc w:val="center"/>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Steel</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0.00%</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0.00%</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Steel</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0.00%</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0.00%</w:t>
            </w:r>
          </w:p>
        </w:tc>
      </w:tr>
      <w:tr w:rsidR="00660414" w:rsidRPr="00211DF7" w:rsidTr="007613DE">
        <w:trPr>
          <w:trHeight w:val="330"/>
          <w:jc w:val="center"/>
        </w:trPr>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Other</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1.90%</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2.62%</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Other</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0.65%</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0.91%</w:t>
            </w:r>
          </w:p>
        </w:tc>
      </w:tr>
    </w:tbl>
    <w:p w:rsidR="00660414" w:rsidRPr="008C5B1B" w:rsidRDefault="00660414" w:rsidP="00A4081F">
      <w:pPr>
        <w:pStyle w:val="NumberedParas"/>
      </w:pPr>
      <w:r>
        <w:t>Modernising the bulk handling terminals so that they more efficient means that Galati has increased its capacity so that it is able to handle the forecast demand. The creation of a trimodal terminal also allows for the handling of containers.</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APDM Galati,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rPr>
          <w:b/>
        </w:rPr>
      </w:pPr>
      <w:r w:rsidRPr="008C5B1B">
        <w:t>The implementation could happen as soon as project sign off is completed however it is recommended that any terminal upgrades are phased to suit prevailing market conditions.</w:t>
      </w:r>
      <w:r w:rsidRPr="008C5B1B">
        <w:rPr>
          <w:b/>
        </w:rPr>
        <w:br w:type="page"/>
      </w:r>
    </w:p>
    <w:p w:rsidR="00660414" w:rsidRDefault="00660414" w:rsidP="00660414">
      <w:pPr>
        <w:rPr>
          <w:b/>
          <w:sz w:val="22"/>
          <w:szCs w:val="22"/>
        </w:rPr>
      </w:pPr>
      <w:r>
        <w:rPr>
          <w:b/>
          <w:sz w:val="22"/>
          <w:szCs w:val="22"/>
        </w:rPr>
        <w:t>Page intentionally left blank</w:t>
      </w:r>
      <w:r>
        <w:rPr>
          <w:b/>
          <w:sz w:val="22"/>
          <w:szCs w:val="22"/>
        </w:rPr>
        <w:br w:type="page"/>
      </w:r>
    </w:p>
    <w:p w:rsidR="00660414" w:rsidRPr="000A76BD" w:rsidRDefault="00660414" w:rsidP="00660414">
      <w:pPr>
        <w:spacing w:line="276" w:lineRule="auto"/>
        <w:rPr>
          <w:b/>
          <w:sz w:val="22"/>
          <w:szCs w:val="22"/>
        </w:rPr>
      </w:pPr>
      <w:r w:rsidRPr="008C5B1B">
        <w:rPr>
          <w:b/>
          <w:sz w:val="22"/>
          <w:szCs w:val="22"/>
        </w:rPr>
        <w:t>Cernavoda:</w:t>
      </w:r>
    </w:p>
    <w:p w:rsidR="00660414" w:rsidRPr="000A76BD" w:rsidRDefault="00660414" w:rsidP="00660414">
      <w:pPr>
        <w:spacing w:line="276" w:lineRule="auto"/>
        <w:rPr>
          <w:b/>
          <w:sz w:val="22"/>
          <w:szCs w:val="22"/>
        </w:rPr>
      </w:pPr>
      <w:r w:rsidRPr="008C5B1B">
        <w:rPr>
          <w:b/>
          <w:sz w:val="22"/>
          <w:szCs w:val="22"/>
        </w:rPr>
        <w:t>Develop the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Cernavoda could do with its infrastructure being developed. The volumes that the port has handled over the period 2007-2011 are low compared to overall potential capacity and volatile in volume. A sensible conclusion of this is that Cernavoda is too reliant on a small range of commodities. This proposal will include:</w:t>
      </w:r>
    </w:p>
    <w:p w:rsidR="00660414" w:rsidRPr="000A76BD" w:rsidRDefault="00660414" w:rsidP="00273D5E">
      <w:pPr>
        <w:pStyle w:val="BulletLevel1"/>
      </w:pPr>
      <w:r w:rsidRPr="008C5B1B">
        <w:t>Modernisation and refurbishment of the berths so that it can handle multiple commodities</w:t>
      </w:r>
    </w:p>
    <w:p w:rsidR="00660414" w:rsidRPr="000A76BD" w:rsidRDefault="00660414" w:rsidP="00273D5E">
      <w:pPr>
        <w:pStyle w:val="BulletLevel1"/>
      </w:pPr>
      <w:r w:rsidRPr="008C5B1B">
        <w:t>Dredging of its basin</w:t>
      </w:r>
    </w:p>
    <w:p w:rsidR="00660414" w:rsidRPr="000A76BD" w:rsidRDefault="00660414" w:rsidP="00273D5E">
      <w:pPr>
        <w:pStyle w:val="BulletLevel1"/>
      </w:pPr>
      <w:r w:rsidRPr="008C5B1B">
        <w:t>Improved navigation signals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Undertaking this proposal would address the following problem:</w:t>
      </w:r>
    </w:p>
    <w:p w:rsidR="00660414" w:rsidRPr="000A76BD" w:rsidRDefault="00660414" w:rsidP="00660414">
      <w:pPr>
        <w:numPr>
          <w:ilvl w:val="0"/>
          <w:numId w:val="55"/>
        </w:numPr>
        <w:spacing w:line="276" w:lineRule="auto"/>
        <w:jc w:val="both"/>
        <w:rPr>
          <w:sz w:val="22"/>
          <w:szCs w:val="22"/>
        </w:rPr>
      </w:pPr>
      <w:r w:rsidRPr="00BB0FCC">
        <w:rPr>
          <w:rStyle w:val="BulletLevel1Char"/>
          <w:szCs w:val="22"/>
        </w:rPr>
        <w:t>A reliability on a small range of commodity types which has lead to high volatility in freight volumes</w:t>
      </w:r>
      <w:r w:rsidRPr="008C5B1B">
        <w:rPr>
          <w:sz w:val="22"/>
          <w:szCs w:val="22"/>
        </w:rPr>
        <w:t xml:space="preserve"> handled in the past</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27" w:name="_Toc408990875"/>
      <w:r w:rsidRPr="008C5B1B">
        <w:t>OW3 – Unblock barriers to operational efficiency</w:t>
      </w:r>
      <w:bookmarkEnd w:id="8027"/>
    </w:p>
    <w:p w:rsidR="00660414" w:rsidRPr="000A76BD" w:rsidRDefault="00660414" w:rsidP="00273D5E">
      <w:pPr>
        <w:pStyle w:val="BulletLevel1"/>
        <w:rPr>
          <w:b/>
        </w:rPr>
      </w:pPr>
      <w:bookmarkStart w:id="8028" w:name="_Toc408990876"/>
      <w:r w:rsidRPr="008C5B1B">
        <w:t>OW4 – Reduce costs through operational efficiency</w:t>
      </w:r>
      <w:bookmarkEnd w:id="8028"/>
    </w:p>
    <w:p w:rsidR="00660414" w:rsidRPr="000A76BD" w:rsidRDefault="00660414" w:rsidP="00273D5E">
      <w:pPr>
        <w:pStyle w:val="BulletLevel1"/>
        <w:rPr>
          <w:b/>
        </w:rPr>
      </w:pPr>
      <w:bookmarkStart w:id="8029" w:name="_Toc408990877"/>
      <w:r w:rsidRPr="008C5B1B">
        <w:t>OW10 – Increase the amount of freight moved by sustainable modes</w:t>
      </w:r>
      <w:bookmarkEnd w:id="8029"/>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 for Cernavoda’s raw minerals as well as potential new commodities like aggregates. New markets would be determined by a future feasibility study.</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Default="00660414" w:rsidP="00A4081F">
      <w:pPr>
        <w:pStyle w:val="NumberedParas"/>
        <w:rPr>
          <w:i/>
          <w:u w:val="single"/>
        </w:rPr>
      </w:pPr>
      <w:r w:rsidRPr="00BB0FCC">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6.25</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Pr>
                <w:b/>
                <w:bCs/>
                <w:sz w:val="22"/>
                <w:szCs w:val="22"/>
              </w:rPr>
              <w:t>6.9</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Modernised and refurbished berths</w:t>
            </w:r>
          </w:p>
          <w:p w:rsidR="00660414" w:rsidRPr="008C5B1B" w:rsidRDefault="00660414" w:rsidP="007613DE">
            <w:pPr>
              <w:spacing w:before="120" w:line="276" w:lineRule="auto"/>
              <w:rPr>
                <w:b/>
                <w:bCs/>
                <w:sz w:val="22"/>
                <w:szCs w:val="22"/>
              </w:rPr>
            </w:pPr>
            <w:r w:rsidRPr="008C5B1B">
              <w:rPr>
                <w:b/>
                <w:bCs/>
                <w:sz w:val="22"/>
                <w:szCs w:val="22"/>
              </w:rPr>
              <w:t>Basin dredging</w:t>
            </w:r>
          </w:p>
          <w:p w:rsidR="00660414" w:rsidRPr="008C5B1B" w:rsidRDefault="00660414" w:rsidP="007613DE">
            <w:pPr>
              <w:spacing w:before="120" w:line="276" w:lineRule="auto"/>
              <w:rPr>
                <w:b/>
                <w:bCs/>
                <w:sz w:val="22"/>
                <w:szCs w:val="22"/>
              </w:rPr>
            </w:pPr>
            <w:r w:rsidRPr="008C5B1B">
              <w:rPr>
                <w:b/>
                <w:bCs/>
                <w:sz w:val="22"/>
                <w:szCs w:val="22"/>
              </w:rPr>
              <w:t>Navigation signals</w:t>
            </w:r>
          </w:p>
        </w:tc>
      </w:tr>
    </w:tbl>
    <w:p w:rsidR="00660414"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Pr="000A76BD" w:rsidRDefault="00660414" w:rsidP="00A4081F">
      <w:pPr>
        <w:pStyle w:val="NumberedParas"/>
      </w:pPr>
      <w:r w:rsidRPr="008C5B1B">
        <w:t>The intervention gives a good return with a benefit-cost ratio (BCR) of 6.98. The terminal is anticipated to generate over 365,000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6.26</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P-CV-S (W28)</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365,350</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26</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6.98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22.4%</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sz w:val="22"/>
          <w:szCs w:val="22"/>
          <w:u w:val="single"/>
        </w:rPr>
      </w:pPr>
    </w:p>
    <w:p w:rsidR="00660414" w:rsidRPr="008C5B1B" w:rsidRDefault="00660414" w:rsidP="00660414">
      <w:pPr>
        <w:spacing w:line="276" w:lineRule="auto"/>
        <w:rPr>
          <w:i/>
          <w:noProof/>
          <w:sz w:val="22"/>
          <w:szCs w:val="22"/>
          <w:u w:val="single"/>
          <w:lang w:eastAsia="en-GB"/>
        </w:rPr>
      </w:pPr>
      <w:r w:rsidRPr="008C5B1B">
        <w:rPr>
          <w:i/>
          <w:noProof/>
          <w:sz w:val="22"/>
          <w:szCs w:val="22"/>
          <w:u w:val="single"/>
          <w:lang w:val="ro-RO" w:eastAsia="ro-RO"/>
        </w:rPr>
        <w:drawing>
          <wp:inline distT="0" distB="0" distL="0" distR="0" wp14:anchorId="42B73EF5" wp14:editId="0AF714E6">
            <wp:extent cx="4574659" cy="2747896"/>
            <wp:effectExtent l="19050" t="0" r="16391" b="0"/>
            <wp:docPr id="155"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27</w:t>
      </w:r>
      <w:r w:rsidRPr="008C5B1B">
        <w:rPr>
          <w:b/>
          <w:noProof/>
          <w:sz w:val="22"/>
          <w:szCs w:val="22"/>
          <w:lang w:eastAsia="en-GB"/>
        </w:rPr>
        <w:t xml:space="preserve"> –Tonnes Handled at Cernavoda 2007-2011 and Forecast in 2020</w:t>
      </w:r>
    </w:p>
    <w:p w:rsidR="00660414" w:rsidRPr="008C5B1B" w:rsidRDefault="00660414" w:rsidP="00A4081F">
      <w:pPr>
        <w:pStyle w:val="NumberedParas"/>
        <w:numPr>
          <w:ilvl w:val="0"/>
          <w:numId w:val="0"/>
        </w:numPr>
        <w:rPr>
          <w:i/>
          <w:u w:val="single"/>
        </w:rPr>
      </w:pPr>
      <w:r w:rsidRPr="00AA40A9">
        <w:rPr>
          <w:noProof/>
          <w:lang w:eastAsia="en-GB"/>
        </w:rPr>
        <w:t xml:space="preserve">Table </w:t>
      </w:r>
      <w:r>
        <w:rPr>
          <w:noProof/>
          <w:lang w:eastAsia="en-GB"/>
        </w:rPr>
        <w:t>6.27</w:t>
      </w:r>
      <w:r w:rsidRPr="00AA40A9">
        <w:rPr>
          <w:noProof/>
          <w:lang w:eastAsia="en-GB"/>
        </w:rPr>
        <w:t xml:space="preserve"> – </w:t>
      </w:r>
      <w:r>
        <w:rPr>
          <w:noProof/>
          <w:lang w:eastAsia="en-GB"/>
        </w:rPr>
        <w:t>Forecast Utilisation at Cernavoda</w:t>
      </w:r>
    </w:p>
    <w:tbl>
      <w:tblPr>
        <w:tblW w:w="6980"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141"/>
        <w:gridCol w:w="960"/>
        <w:gridCol w:w="266"/>
        <w:gridCol w:w="1227"/>
        <w:gridCol w:w="1199"/>
        <w:gridCol w:w="960"/>
      </w:tblGrid>
      <w:tr w:rsidR="00660414" w:rsidRPr="00211DF7" w:rsidTr="007613DE">
        <w:trPr>
          <w:trHeight w:val="315"/>
        </w:trPr>
        <w:tc>
          <w:tcPr>
            <w:tcW w:w="1227"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p>
        </w:tc>
        <w:tc>
          <w:tcPr>
            <w:tcW w:w="2101"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p>
        </w:tc>
        <w:tc>
          <w:tcPr>
            <w:tcW w:w="1227"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211DF7" w:rsidTr="007613DE">
        <w:trPr>
          <w:trHeight w:val="315"/>
        </w:trPr>
        <w:tc>
          <w:tcPr>
            <w:tcW w:w="1227"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r w:rsidRPr="00211DF7">
              <w:rPr>
                <w:rFonts w:ascii="Calibri" w:hAnsi="Calibri"/>
                <w:color w:val="FFFFFF"/>
                <w:sz w:val="22"/>
                <w:szCs w:val="22"/>
                <w:lang w:eastAsia="en-GB"/>
              </w:rPr>
              <w:t> </w:t>
            </w:r>
            <w:r>
              <w:rPr>
                <w:rFonts w:ascii="Calibri" w:hAnsi="Calibri"/>
                <w:color w:val="FFFFFF"/>
                <w:sz w:val="22"/>
                <w:szCs w:val="22"/>
                <w:lang w:eastAsia="en-GB"/>
              </w:rPr>
              <w:t>Terminal</w:t>
            </w:r>
          </w:p>
        </w:tc>
        <w:tc>
          <w:tcPr>
            <w:tcW w:w="1141"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60"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 </w:t>
            </w:r>
          </w:p>
        </w:tc>
        <w:tc>
          <w:tcPr>
            <w:tcW w:w="1227"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60"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r>
      <w:tr w:rsidR="00660414" w:rsidRPr="00211DF7" w:rsidTr="007613DE">
        <w:trPr>
          <w:trHeight w:val="300"/>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64.63%</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68.13%</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46.89</w:t>
            </w:r>
            <w:r w:rsidRPr="00211DF7">
              <w:rPr>
                <w:rFonts w:ascii="Calibri" w:hAnsi="Calibri"/>
                <w:color w:val="000000"/>
                <w:sz w:val="22"/>
                <w:szCs w:val="22"/>
                <w:lang w:eastAsia="en-GB"/>
              </w:rPr>
              <w:t>%</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53.24</w:t>
            </w:r>
            <w:r w:rsidRPr="00211DF7">
              <w:rPr>
                <w:rFonts w:ascii="Calibri" w:hAnsi="Calibri"/>
                <w:color w:val="000000"/>
                <w:sz w:val="22"/>
                <w:szCs w:val="22"/>
                <w:lang w:eastAsia="en-GB"/>
              </w:rPr>
              <w:t>%</w:t>
            </w:r>
          </w:p>
        </w:tc>
      </w:tr>
      <w:tr w:rsidR="00660414" w:rsidRPr="00211DF7" w:rsidTr="007613DE">
        <w:trPr>
          <w:trHeight w:val="300"/>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r w:rsidR="00660414" w:rsidRPr="00211DF7" w:rsidTr="007613DE">
        <w:trPr>
          <w:trHeight w:val="317"/>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Containers</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Containers</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r w:rsidR="00660414" w:rsidRPr="00211DF7" w:rsidTr="007613DE">
        <w:trPr>
          <w:trHeight w:val="300"/>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Oil</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Oil</w:t>
            </w:r>
          </w:p>
        </w:tc>
        <w:tc>
          <w:tcPr>
            <w:tcW w:w="1199"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xml:space="preserve"> </w:t>
            </w:r>
          </w:p>
        </w:tc>
      </w:tr>
    </w:tbl>
    <w:p w:rsidR="00660414" w:rsidRDefault="00660414" w:rsidP="00A4081F">
      <w:pPr>
        <w:pStyle w:val="NumberedParas"/>
        <w:rPr>
          <w:i/>
          <w:u w:val="single"/>
        </w:rPr>
      </w:pPr>
      <w:r>
        <w:t>The table shows that by developing the infrastructure at Cernavoda the port can increase its handling capacity and better handle forecasted future flows.</w:t>
      </w:r>
    </w:p>
    <w:p w:rsidR="00660414" w:rsidRPr="008C5B1B" w:rsidRDefault="00660414" w:rsidP="00660414">
      <w:pPr>
        <w:spacing w:line="276" w:lineRule="auto"/>
        <w:rPr>
          <w:i/>
          <w:sz w:val="22"/>
          <w:szCs w:val="22"/>
          <w:u w:val="single"/>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7C173F" w:rsidRDefault="00660414" w:rsidP="00273D5E">
      <w:pPr>
        <w:pStyle w:val="BulletLevel1"/>
      </w:pPr>
      <w:r w:rsidRPr="00BB0FCC">
        <w:t>This scheme would be implemented by APDM Galati,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Pr="008C5B1B" w:rsidRDefault="00660414" w:rsidP="00273D5E">
      <w:pPr>
        <w:pStyle w:val="BulletLevel1"/>
        <w:rPr>
          <w:b/>
        </w:rPr>
      </w:pPr>
      <w:r w:rsidRPr="00BB0FCC">
        <w:t xml:space="preserve">The implementation could happen as soon as project sign off is </w:t>
      </w:r>
      <w:r w:rsidRPr="007C173F">
        <w:t>completed.</w:t>
      </w:r>
      <w:r w:rsidRPr="008C5B1B">
        <w:rPr>
          <w:b/>
          <w:lang w:val="en-GB"/>
        </w:rPr>
        <w:br w:type="page"/>
      </w:r>
    </w:p>
    <w:p w:rsidR="00660414" w:rsidRPr="000A76BD" w:rsidRDefault="00660414" w:rsidP="00660414">
      <w:pPr>
        <w:spacing w:line="276" w:lineRule="auto"/>
        <w:rPr>
          <w:b/>
          <w:sz w:val="22"/>
          <w:szCs w:val="22"/>
        </w:rPr>
      </w:pPr>
      <w:r w:rsidRPr="008C5B1B">
        <w:rPr>
          <w:b/>
          <w:sz w:val="22"/>
          <w:szCs w:val="22"/>
        </w:rPr>
        <w:t>Basarabi:</w:t>
      </w:r>
    </w:p>
    <w:p w:rsidR="00660414" w:rsidRPr="000A76BD" w:rsidRDefault="00660414" w:rsidP="00660414">
      <w:pPr>
        <w:spacing w:line="276" w:lineRule="auto"/>
        <w:rPr>
          <w:b/>
          <w:sz w:val="22"/>
          <w:szCs w:val="22"/>
        </w:rPr>
      </w:pPr>
      <w:r w:rsidRPr="008C5B1B">
        <w:rPr>
          <w:b/>
          <w:sz w:val="22"/>
          <w:szCs w:val="22"/>
        </w:rPr>
        <w:t>Modernise the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This scheme would see the some of the port infrastructure being modernised. Specifically the proposal includes:</w:t>
      </w:r>
    </w:p>
    <w:p w:rsidR="00660414" w:rsidRPr="000A76BD" w:rsidRDefault="00660414" w:rsidP="00273D5E">
      <w:pPr>
        <w:pStyle w:val="BulletLevel1"/>
      </w:pPr>
      <w:r>
        <w:t>Modernisation of some port infrastructure</w:t>
      </w:r>
    </w:p>
    <w:p w:rsidR="00660414" w:rsidRPr="000A76BD" w:rsidRDefault="00660414" w:rsidP="00273D5E">
      <w:pPr>
        <w:pStyle w:val="BulletLevel1"/>
      </w:pPr>
      <w:r>
        <w:t>Rehabilitation of 1,000m of road to improve connectivity to the port</w:t>
      </w:r>
    </w:p>
    <w:p w:rsidR="00660414" w:rsidRPr="000A76BD" w:rsidRDefault="00660414" w:rsidP="00273D5E">
      <w:pPr>
        <w:pStyle w:val="BulletLevel1"/>
      </w:pPr>
      <w:r>
        <w:t>Improved security and provision of port services</w:t>
      </w:r>
    </w:p>
    <w:p w:rsidR="00660414" w:rsidRPr="000A76BD" w:rsidRDefault="00660414" w:rsidP="00660414">
      <w:pPr>
        <w:spacing w:line="276" w:lineRule="auto"/>
        <w:rPr>
          <w:sz w:val="22"/>
          <w:szCs w:val="22"/>
        </w:rPr>
      </w:pP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Basarabi has recently handled large volumes of freight related to local road building. Now that this is complete the volumes to be handled by the port are forecast to drop. Undertaking this proposal will address the following problems:</w:t>
      </w:r>
    </w:p>
    <w:p w:rsidR="00660414" w:rsidRPr="000A76BD" w:rsidRDefault="00660414" w:rsidP="00273D5E">
      <w:pPr>
        <w:pStyle w:val="BulletLevel1"/>
      </w:pPr>
      <w:r>
        <w:t>A limitation in the current port infrastructure to handle modern freight</w:t>
      </w:r>
    </w:p>
    <w:p w:rsidR="00660414" w:rsidRPr="000A76BD" w:rsidRDefault="00660414" w:rsidP="00273D5E">
      <w:pPr>
        <w:pStyle w:val="BulletLevel1"/>
      </w:pPr>
      <w:r>
        <w:t>Poor connectivity to the road network</w:t>
      </w:r>
    </w:p>
    <w:p w:rsidR="00660414" w:rsidRPr="000A76BD" w:rsidRDefault="00660414" w:rsidP="00273D5E">
      <w:pPr>
        <w:pStyle w:val="BulletLevel1"/>
      </w:pPr>
      <w:r>
        <w:t>Forecast low volumes for the future</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30" w:name="_Toc408990878"/>
      <w:r w:rsidRPr="008C5B1B">
        <w:t>OW3 – Unblock barriers to operational efficiency</w:t>
      </w:r>
      <w:bookmarkEnd w:id="8030"/>
    </w:p>
    <w:p w:rsidR="00660414" w:rsidRPr="000A76BD" w:rsidRDefault="00660414" w:rsidP="00273D5E">
      <w:pPr>
        <w:pStyle w:val="BulletLevel1"/>
        <w:rPr>
          <w:b/>
        </w:rPr>
      </w:pPr>
      <w:bookmarkStart w:id="8031" w:name="_Toc408990879"/>
      <w:r w:rsidRPr="008C5B1B">
        <w:t>OW4 – Reduce costs through operational efficiency</w:t>
      </w:r>
      <w:bookmarkEnd w:id="8031"/>
    </w:p>
    <w:p w:rsidR="00660414" w:rsidRPr="000A76BD" w:rsidRDefault="00660414" w:rsidP="00273D5E">
      <w:pPr>
        <w:pStyle w:val="BulletLevel1"/>
        <w:rPr>
          <w:b/>
        </w:rPr>
      </w:pPr>
      <w:bookmarkStart w:id="8032" w:name="_Toc408990880"/>
      <w:r w:rsidRPr="008C5B1B">
        <w:t>OW10 – Increase the amount of freight moved by sustainable modes</w:t>
      </w:r>
      <w:bookmarkEnd w:id="8032"/>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 for the port’s existing operations.</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6.28</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6</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Modernise some of the port infrastructure</w:t>
            </w:r>
          </w:p>
          <w:p w:rsidR="00660414" w:rsidRPr="008C5B1B" w:rsidRDefault="00660414" w:rsidP="007613DE">
            <w:pPr>
              <w:spacing w:before="120" w:line="276" w:lineRule="auto"/>
              <w:rPr>
                <w:b/>
                <w:bCs/>
                <w:sz w:val="22"/>
                <w:szCs w:val="22"/>
              </w:rPr>
            </w:pPr>
            <w:r w:rsidRPr="008C5B1B">
              <w:rPr>
                <w:b/>
                <w:bCs/>
                <w:sz w:val="22"/>
                <w:szCs w:val="22"/>
              </w:rPr>
              <w:t>Rehabilitate main connecting road</w:t>
            </w:r>
          </w:p>
          <w:p w:rsidR="00660414" w:rsidRPr="008C5B1B" w:rsidRDefault="00660414" w:rsidP="007613DE">
            <w:pPr>
              <w:spacing w:before="120" w:line="276" w:lineRule="auto"/>
              <w:rPr>
                <w:b/>
                <w:bCs/>
                <w:sz w:val="22"/>
                <w:szCs w:val="22"/>
              </w:rPr>
            </w:pPr>
            <w:r w:rsidRPr="008C5B1B">
              <w:rPr>
                <w:b/>
                <w:bCs/>
                <w:sz w:val="22"/>
                <w:szCs w:val="22"/>
              </w:rPr>
              <w:t>Improve security and port services</w:t>
            </w:r>
          </w:p>
        </w:tc>
      </w:tr>
    </w:tbl>
    <w:p w:rsidR="00660414" w:rsidRPr="000A76BD"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Pr="000A76BD" w:rsidRDefault="00660414" w:rsidP="00A4081F">
      <w:pPr>
        <w:pStyle w:val="NumberedParas"/>
      </w:pPr>
      <w:r w:rsidRPr="008C5B1B">
        <w:t>The intervention gives a limited return with a benefit-cost ratio (BCR) of 0.46. The terminal is anticipated to generate just over 5,000 tonnes of freight in 2020. Because of the poor modelled results this project is not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6.29</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P-BS-S (W26)</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5,145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-2</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0.46</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1.2%</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FF0000"/>
                <w:sz w:val="22"/>
                <w:szCs w:val="22"/>
              </w:rPr>
              <w:sym w:font="Wingdings" w:char="F0FB"/>
            </w:r>
          </w:p>
        </w:tc>
      </w:tr>
    </w:tbl>
    <w:p w:rsidR="00660414" w:rsidRPr="008C5B1B" w:rsidRDefault="00660414" w:rsidP="00660414">
      <w:pPr>
        <w:spacing w:line="276" w:lineRule="auto"/>
        <w:rPr>
          <w:i/>
          <w:noProof/>
          <w:sz w:val="22"/>
          <w:szCs w:val="22"/>
          <w:u w:val="single"/>
          <w:lang w:eastAsia="en-GB"/>
        </w:rPr>
      </w:pPr>
    </w:p>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58BF2313" wp14:editId="37B1828B">
            <wp:extent cx="4574659" cy="2747896"/>
            <wp:effectExtent l="19050" t="0" r="16391" b="0"/>
            <wp:docPr id="15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660414" w:rsidRPr="008C5B1B" w:rsidRDefault="00660414" w:rsidP="00660414">
      <w:pPr>
        <w:spacing w:line="276" w:lineRule="auto"/>
        <w:rPr>
          <w:b/>
          <w:noProof/>
          <w:sz w:val="22"/>
          <w:szCs w:val="22"/>
          <w:lang w:eastAsia="en-GB"/>
        </w:rPr>
      </w:pPr>
      <w:r w:rsidRPr="008C5B1B">
        <w:rPr>
          <w:b/>
          <w:noProof/>
          <w:sz w:val="22"/>
          <w:szCs w:val="22"/>
          <w:lang w:eastAsia="en-GB"/>
        </w:rPr>
        <w:t>Figure 6.15 –Tonnes Handled at Basarabi 2007-2011 and Forecast in 2020</w:t>
      </w:r>
    </w:p>
    <w:p w:rsidR="00660414" w:rsidRPr="008C5B1B" w:rsidRDefault="00660414" w:rsidP="00A4081F">
      <w:pPr>
        <w:pStyle w:val="NumberedParas"/>
        <w:rPr>
          <w:noProof/>
          <w:lang w:eastAsia="en-GB"/>
        </w:rPr>
      </w:pPr>
      <w:r>
        <w:rPr>
          <w:noProof/>
          <w:lang w:eastAsia="en-GB"/>
        </w:rPr>
        <w:t xml:space="preserve">Whilst Basarabi has a theoretical capacity of 700,000 tonnes per year, the port is not predicted to handle anywhere near that volume in the </w:t>
      </w:r>
      <w:r>
        <w:t>years</w:t>
      </w:r>
      <w:r>
        <w:rPr>
          <w:noProof/>
          <w:lang w:eastAsia="en-GB"/>
        </w:rPr>
        <w:t xml:space="preserve"> to come. Recent traffic has been due to construction which is now complete.</w:t>
      </w:r>
    </w:p>
    <w:p w:rsidR="00660414" w:rsidRPr="000A76BD" w:rsidRDefault="00660414" w:rsidP="00660414">
      <w:pPr>
        <w:rPr>
          <w:b/>
          <w:sz w:val="22"/>
          <w:szCs w:val="22"/>
        </w:rPr>
      </w:pPr>
      <w:r w:rsidRPr="008C5B1B">
        <w:rPr>
          <w:b/>
          <w:sz w:val="22"/>
          <w:szCs w:val="22"/>
        </w:rPr>
        <w:br w:type="page"/>
      </w:r>
    </w:p>
    <w:p w:rsidR="00660414" w:rsidRPr="000A76BD" w:rsidRDefault="00660414" w:rsidP="00660414">
      <w:pPr>
        <w:spacing w:line="276" w:lineRule="auto"/>
        <w:rPr>
          <w:b/>
          <w:sz w:val="22"/>
          <w:szCs w:val="22"/>
        </w:rPr>
      </w:pPr>
      <w:r w:rsidRPr="008C5B1B">
        <w:rPr>
          <w:b/>
          <w:sz w:val="22"/>
          <w:szCs w:val="22"/>
        </w:rPr>
        <w:t>Oltenita:</w:t>
      </w:r>
    </w:p>
    <w:p w:rsidR="00660414" w:rsidRPr="000A76BD" w:rsidRDefault="00660414" w:rsidP="00660414">
      <w:pPr>
        <w:spacing w:line="276" w:lineRule="auto"/>
        <w:rPr>
          <w:b/>
          <w:sz w:val="22"/>
          <w:szCs w:val="22"/>
        </w:rPr>
      </w:pPr>
      <w:r w:rsidRPr="008C5B1B">
        <w:rPr>
          <w:b/>
          <w:sz w:val="22"/>
          <w:szCs w:val="22"/>
        </w:rPr>
        <w:t>Develop the bulk handling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Default="00660414" w:rsidP="00A4081F">
      <w:pPr>
        <w:pStyle w:val="NumberedParas"/>
      </w:pPr>
      <w:r w:rsidRPr="008C5B1B">
        <w:t>Oltenita is close to Giurgiu. As Oltenita does not handle any containerised freight AECOM has designated Oltenita as the port to handle the region’s bulk freight, particularly that heading towards Bucharest. Oltenita can achieve this by developing its bulk handling infrastructure, for which more berths are currently orientated to handling. Specifically the proposal consists of:</w:t>
      </w:r>
    </w:p>
    <w:p w:rsidR="00660414" w:rsidRDefault="00660414" w:rsidP="00273D5E">
      <w:pPr>
        <w:pStyle w:val="BulletLevel1"/>
      </w:pPr>
      <w:r>
        <w:t>Improvements to six berths which would allow them to handle mixed freight</w:t>
      </w:r>
    </w:p>
    <w:p w:rsidR="00660414" w:rsidRDefault="00660414" w:rsidP="00273D5E">
      <w:pPr>
        <w:pStyle w:val="BulletLevel1"/>
      </w:pPr>
      <w:r>
        <w:t>Dredging of the port basin</w:t>
      </w:r>
    </w:p>
    <w:p w:rsidR="00660414" w:rsidRDefault="00660414" w:rsidP="00273D5E">
      <w:pPr>
        <w:pStyle w:val="BulletLevel1"/>
      </w:pPr>
      <w:r>
        <w:t>Improved port services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Default="00660414" w:rsidP="00A4081F">
      <w:pPr>
        <w:pStyle w:val="NumberedParas"/>
      </w:pPr>
      <w:r w:rsidRPr="008C5B1B">
        <w:t>Designating Oltenita as the regional bulk handling port means that it does not inadvertently compete with Giurgiu. Undertaking this proposal will address the following problems:</w:t>
      </w:r>
    </w:p>
    <w:p w:rsidR="00660414" w:rsidRPr="000A76BD" w:rsidRDefault="00660414" w:rsidP="00660414">
      <w:pPr>
        <w:numPr>
          <w:ilvl w:val="0"/>
          <w:numId w:val="56"/>
        </w:numPr>
        <w:spacing w:line="276" w:lineRule="auto"/>
        <w:jc w:val="both"/>
        <w:rPr>
          <w:sz w:val="22"/>
          <w:szCs w:val="22"/>
        </w:rPr>
      </w:pPr>
      <w:r w:rsidRPr="008C5B1B">
        <w:rPr>
          <w:sz w:val="22"/>
          <w:szCs w:val="22"/>
        </w:rPr>
        <w:t>Ensure that both Oltenita and Giurgiu have a role to play in Romania’s economy</w:t>
      </w:r>
    </w:p>
    <w:p w:rsidR="00660414" w:rsidRPr="000A76BD" w:rsidRDefault="00660414" w:rsidP="00660414">
      <w:pPr>
        <w:numPr>
          <w:ilvl w:val="0"/>
          <w:numId w:val="56"/>
        </w:numPr>
        <w:spacing w:line="276" w:lineRule="auto"/>
        <w:jc w:val="both"/>
        <w:rPr>
          <w:sz w:val="22"/>
          <w:szCs w:val="22"/>
        </w:rPr>
      </w:pPr>
      <w:r w:rsidRPr="008C5B1B">
        <w:rPr>
          <w:sz w:val="22"/>
          <w:szCs w:val="22"/>
        </w:rPr>
        <w:t>Gives Oltenita a clear purpose</w:t>
      </w:r>
    </w:p>
    <w:p w:rsidR="00660414" w:rsidRPr="000A76BD" w:rsidRDefault="00660414" w:rsidP="00660414">
      <w:pPr>
        <w:numPr>
          <w:ilvl w:val="0"/>
          <w:numId w:val="56"/>
        </w:numPr>
        <w:spacing w:line="276" w:lineRule="auto"/>
        <w:jc w:val="both"/>
        <w:rPr>
          <w:sz w:val="22"/>
          <w:szCs w:val="22"/>
        </w:rPr>
      </w:pPr>
      <w:r w:rsidRPr="008C5B1B">
        <w:rPr>
          <w:sz w:val="22"/>
          <w:szCs w:val="22"/>
        </w:rPr>
        <w:t>Enables the port to handle modern freight in an efficient manner</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33" w:name="_Toc408990881"/>
      <w:r w:rsidRPr="008C5B1B">
        <w:t>OW3 – Unblock barriers to operational efficiency</w:t>
      </w:r>
      <w:bookmarkEnd w:id="8033"/>
    </w:p>
    <w:p w:rsidR="00660414" w:rsidRPr="000A76BD" w:rsidRDefault="00660414" w:rsidP="00273D5E">
      <w:pPr>
        <w:pStyle w:val="BulletLevel1"/>
        <w:rPr>
          <w:b/>
        </w:rPr>
      </w:pPr>
      <w:bookmarkStart w:id="8034" w:name="_Toc408990882"/>
      <w:r w:rsidRPr="008C5B1B">
        <w:t>OW4 – Reduce costs through operational efficiency</w:t>
      </w:r>
      <w:bookmarkEnd w:id="8034"/>
    </w:p>
    <w:p w:rsidR="00660414" w:rsidRPr="000A76BD" w:rsidRDefault="00660414" w:rsidP="00273D5E">
      <w:pPr>
        <w:pStyle w:val="BulletLevel1"/>
        <w:rPr>
          <w:b/>
        </w:rPr>
      </w:pPr>
      <w:bookmarkStart w:id="8035" w:name="_Toc408990883"/>
      <w:r w:rsidRPr="008C5B1B">
        <w:t>OW10 – Increase the amount of freight moved by sustainable modes</w:t>
      </w:r>
      <w:bookmarkEnd w:id="8035"/>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Default="00660414" w:rsidP="00A4081F">
      <w:pPr>
        <w:pStyle w:val="NumberedParas"/>
      </w:pPr>
      <w:r w:rsidRPr="008C5B1B">
        <w:t xml:space="preserve">This proposal would be for Oltenita’s bulk handling operations.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Default="00660414" w:rsidP="00A4081F">
      <w:pPr>
        <w:pStyle w:val="NumberedParas"/>
        <w:rPr>
          <w:i/>
          <w:u w:val="single"/>
        </w:rPr>
      </w:pPr>
      <w:r w:rsidRPr="008C5B1B">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6.30</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 xml:space="preserve">Cost </w:t>
            </w:r>
          </w:p>
        </w:tc>
        <w:tc>
          <w:tcPr>
            <w:tcW w:w="1330" w:type="pct"/>
            <w:vAlign w:val="center"/>
          </w:tcPr>
          <w:p w:rsidR="00660414" w:rsidRPr="008C5B1B" w:rsidRDefault="00660414" w:rsidP="007613DE">
            <w:pPr>
              <w:spacing w:before="120" w:line="276" w:lineRule="auto"/>
              <w:jc w:val="center"/>
              <w:rPr>
                <w:b/>
                <w:bCs/>
                <w:sz w:val="22"/>
                <w:szCs w:val="22"/>
              </w:rPr>
            </w:pPr>
            <w:r>
              <w:rPr>
                <w:b/>
                <w:bCs/>
                <w:sz w:val="22"/>
                <w:szCs w:val="22"/>
              </w:rPr>
              <w:t>5.6</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Modernise some of the port infrastructure</w:t>
            </w:r>
          </w:p>
          <w:p w:rsidR="00660414" w:rsidRPr="008C5B1B" w:rsidRDefault="00660414" w:rsidP="007613DE">
            <w:pPr>
              <w:spacing w:before="120" w:line="276" w:lineRule="auto"/>
              <w:rPr>
                <w:b/>
                <w:bCs/>
                <w:sz w:val="22"/>
                <w:szCs w:val="22"/>
              </w:rPr>
            </w:pPr>
            <w:r w:rsidRPr="008C5B1B">
              <w:rPr>
                <w:b/>
                <w:bCs/>
                <w:sz w:val="22"/>
                <w:szCs w:val="22"/>
              </w:rPr>
              <w:t>Rehabilitate main connecting road</w:t>
            </w:r>
          </w:p>
          <w:p w:rsidR="00660414" w:rsidRPr="008C5B1B" w:rsidRDefault="00660414" w:rsidP="007613DE">
            <w:pPr>
              <w:spacing w:before="120" w:line="276" w:lineRule="auto"/>
              <w:rPr>
                <w:b/>
                <w:bCs/>
                <w:sz w:val="22"/>
                <w:szCs w:val="22"/>
              </w:rPr>
            </w:pPr>
            <w:r w:rsidRPr="008C5B1B">
              <w:rPr>
                <w:b/>
                <w:bCs/>
                <w:sz w:val="22"/>
                <w:szCs w:val="22"/>
              </w:rPr>
              <w:t>Improve security and port services</w:t>
            </w:r>
          </w:p>
        </w:tc>
      </w:tr>
    </w:tbl>
    <w:p w:rsidR="00660414" w:rsidRPr="000A76BD"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29.35. The terminal is anticipated to generate over 35,000 tonnes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6.31</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P-OT-S (W30)</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35,908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99</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29.35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30.1%</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noProof/>
          <w:sz w:val="22"/>
          <w:szCs w:val="22"/>
          <w:u w:val="single"/>
          <w:lang w:eastAsia="en-GB"/>
        </w:rPr>
      </w:pPr>
    </w:p>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0DBFB337" wp14:editId="0E4B0486">
            <wp:extent cx="4570796" cy="2303813"/>
            <wp:effectExtent l="19050" t="0" r="20254" b="1237"/>
            <wp:docPr id="15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660414" w:rsidRDefault="00660414" w:rsidP="00660414">
      <w:pPr>
        <w:spacing w:line="276" w:lineRule="auto"/>
        <w:rPr>
          <w:b/>
          <w:noProof/>
          <w:sz w:val="22"/>
          <w:szCs w:val="22"/>
          <w:lang w:eastAsia="en-GB"/>
        </w:rPr>
      </w:pPr>
      <w:r w:rsidRPr="008C5B1B">
        <w:rPr>
          <w:b/>
          <w:noProof/>
          <w:sz w:val="22"/>
          <w:szCs w:val="22"/>
          <w:lang w:eastAsia="en-GB"/>
        </w:rPr>
        <w:t>Figure 6.1</w:t>
      </w:r>
      <w:r>
        <w:rPr>
          <w:b/>
          <w:noProof/>
          <w:sz w:val="22"/>
          <w:szCs w:val="22"/>
          <w:lang w:eastAsia="en-GB"/>
        </w:rPr>
        <w:t>6</w:t>
      </w:r>
      <w:r w:rsidRPr="008C5B1B">
        <w:rPr>
          <w:b/>
          <w:noProof/>
          <w:sz w:val="22"/>
          <w:szCs w:val="22"/>
          <w:lang w:eastAsia="en-GB"/>
        </w:rPr>
        <w:t xml:space="preserve"> –Tonnes Handled at Oltenita 2007-2011 and Forecast in 2020</w:t>
      </w:r>
    </w:p>
    <w:p w:rsidR="00660414" w:rsidRDefault="00660414" w:rsidP="00A4081F">
      <w:pPr>
        <w:pStyle w:val="NumberedParas"/>
        <w:numPr>
          <w:ilvl w:val="0"/>
          <w:numId w:val="0"/>
        </w:numPr>
      </w:pPr>
      <w:r w:rsidRPr="00AA40A9">
        <w:rPr>
          <w:noProof/>
          <w:lang w:eastAsia="en-GB"/>
        </w:rPr>
        <w:t xml:space="preserve">Table </w:t>
      </w:r>
      <w:r>
        <w:rPr>
          <w:noProof/>
          <w:lang w:eastAsia="en-GB"/>
        </w:rPr>
        <w:t>6.32</w:t>
      </w:r>
      <w:r w:rsidRPr="00AA40A9">
        <w:rPr>
          <w:noProof/>
          <w:lang w:eastAsia="en-GB"/>
        </w:rPr>
        <w:t xml:space="preserve"> – </w:t>
      </w:r>
      <w:r>
        <w:rPr>
          <w:noProof/>
          <w:lang w:eastAsia="en-GB"/>
        </w:rPr>
        <w:t>Forecast Utilisation at Oltenita</w:t>
      </w:r>
    </w:p>
    <w:tbl>
      <w:tblPr>
        <w:tblW w:w="7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141"/>
        <w:gridCol w:w="987"/>
        <w:gridCol w:w="266"/>
        <w:gridCol w:w="1227"/>
        <w:gridCol w:w="1199"/>
        <w:gridCol w:w="960"/>
      </w:tblGrid>
      <w:tr w:rsidR="00660414" w:rsidRPr="00211DF7" w:rsidTr="007613DE">
        <w:trPr>
          <w:trHeight w:val="315"/>
          <w:jc w:val="center"/>
        </w:trPr>
        <w:tc>
          <w:tcPr>
            <w:tcW w:w="1227"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p>
        </w:tc>
        <w:tc>
          <w:tcPr>
            <w:tcW w:w="1227" w:type="dxa"/>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211DF7" w:rsidTr="007613DE">
        <w:trPr>
          <w:trHeight w:val="315"/>
          <w:jc w:val="center"/>
        </w:trPr>
        <w:tc>
          <w:tcPr>
            <w:tcW w:w="1227" w:type="dxa"/>
            <w:shd w:val="clear" w:color="000000" w:fill="376091"/>
            <w:noWrap/>
            <w:vAlign w:val="bottom"/>
            <w:hideMark/>
          </w:tcPr>
          <w:p w:rsidR="00660414" w:rsidRPr="00211DF7" w:rsidRDefault="00660414" w:rsidP="007613DE">
            <w:pPr>
              <w:jc w:val="center"/>
              <w:rPr>
                <w:rFonts w:ascii="Calibri" w:hAnsi="Calibri"/>
                <w:color w:val="FFFFFF"/>
                <w:sz w:val="22"/>
                <w:szCs w:val="22"/>
                <w:lang w:eastAsia="en-GB"/>
              </w:rPr>
            </w:pPr>
            <w:r w:rsidRPr="00211DF7">
              <w:rPr>
                <w:rFonts w:ascii="Calibri" w:hAnsi="Calibri"/>
                <w:color w:val="FFFFFF"/>
                <w:sz w:val="22"/>
                <w:szCs w:val="22"/>
                <w:lang w:eastAsia="en-GB"/>
              </w:rPr>
              <w:t> </w:t>
            </w:r>
            <w:r>
              <w:rPr>
                <w:rFonts w:ascii="Calibri" w:hAnsi="Calibri"/>
                <w:color w:val="FFFFFF"/>
                <w:sz w:val="22"/>
                <w:szCs w:val="22"/>
                <w:lang w:eastAsia="en-GB"/>
              </w:rPr>
              <w:t>Terminal</w:t>
            </w:r>
          </w:p>
        </w:tc>
        <w:tc>
          <w:tcPr>
            <w:tcW w:w="1141"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87"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c>
          <w:tcPr>
            <w:tcW w:w="266" w:type="dxa"/>
            <w:shd w:val="clear" w:color="000000" w:fill="25406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 </w:t>
            </w:r>
          </w:p>
        </w:tc>
        <w:tc>
          <w:tcPr>
            <w:tcW w:w="1227"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2020</w:t>
            </w:r>
          </w:p>
        </w:tc>
        <w:tc>
          <w:tcPr>
            <w:tcW w:w="960" w:type="dxa"/>
            <w:shd w:val="clear" w:color="000000" w:fill="376091"/>
            <w:noWrap/>
            <w:vAlign w:val="bottom"/>
            <w:hideMark/>
          </w:tcPr>
          <w:p w:rsidR="00660414" w:rsidRPr="00211DF7" w:rsidRDefault="00660414" w:rsidP="007613DE">
            <w:pPr>
              <w:jc w:val="center"/>
              <w:rPr>
                <w:rFonts w:ascii="Calibri" w:hAnsi="Calibri"/>
                <w:b/>
                <w:bCs/>
                <w:color w:val="FFFFFF"/>
                <w:sz w:val="22"/>
                <w:szCs w:val="22"/>
                <w:lang w:eastAsia="en-GB"/>
              </w:rPr>
            </w:pPr>
            <w:r w:rsidRPr="00211DF7">
              <w:rPr>
                <w:rFonts w:ascii="Calibri" w:hAnsi="Calibri"/>
                <w:b/>
                <w:bCs/>
                <w:color w:val="FFFFFF"/>
                <w:sz w:val="22"/>
                <w:szCs w:val="22"/>
                <w:lang w:eastAsia="en-GB"/>
              </w:rPr>
              <w:t>2030</w:t>
            </w:r>
          </w:p>
        </w:tc>
      </w:tr>
      <w:tr w:rsidR="00660414" w:rsidRPr="00211DF7" w:rsidTr="007613DE">
        <w:trPr>
          <w:trHeight w:val="300"/>
          <w:jc w:val="center"/>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211DF7" w:rsidRDefault="00660414" w:rsidP="007613DE">
            <w:pPr>
              <w:rPr>
                <w:rFonts w:ascii="Calibri" w:hAnsi="Calibri"/>
                <w:color w:val="000000"/>
                <w:sz w:val="22"/>
                <w:szCs w:val="22"/>
                <w:lang w:eastAsia="en-GB"/>
              </w:rPr>
            </w:pPr>
          </w:p>
        </w:tc>
        <w:tc>
          <w:tcPr>
            <w:tcW w:w="987" w:type="dxa"/>
            <w:shd w:val="clear" w:color="000000" w:fill="C5D9F1"/>
            <w:noWrap/>
            <w:vAlign w:val="bottom"/>
            <w:hideMark/>
          </w:tcPr>
          <w:p w:rsidR="00660414" w:rsidRPr="00211DF7" w:rsidRDefault="00660414" w:rsidP="007613DE">
            <w:pPr>
              <w:rPr>
                <w:rFonts w:ascii="Calibri" w:hAnsi="Calibri"/>
                <w:color w:val="000000"/>
                <w:sz w:val="22"/>
                <w:szCs w:val="22"/>
                <w:lang w:eastAsia="en-GB"/>
              </w:rPr>
            </w:pP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p>
        </w:tc>
      </w:tr>
      <w:tr w:rsidR="00660414" w:rsidRPr="00211DF7" w:rsidTr="007613DE">
        <w:trPr>
          <w:trHeight w:val="300"/>
          <w:jc w:val="center"/>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41" w:type="dxa"/>
            <w:shd w:val="clear" w:color="000000" w:fill="DBE5F1"/>
            <w:noWrap/>
            <w:vAlign w:val="bottom"/>
            <w:hideMark/>
          </w:tcPr>
          <w:p w:rsidR="00660414"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196.01%</w:t>
            </w:r>
          </w:p>
        </w:tc>
        <w:tc>
          <w:tcPr>
            <w:tcW w:w="987" w:type="dxa"/>
            <w:shd w:val="clear" w:color="000000" w:fill="C5D9F1"/>
            <w:noWrap/>
            <w:vAlign w:val="bottom"/>
            <w:hideMark/>
          </w:tcPr>
          <w:p w:rsidR="00660414"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269.73%</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Bulk</w:t>
            </w:r>
          </w:p>
        </w:tc>
        <w:tc>
          <w:tcPr>
            <w:tcW w:w="1199" w:type="dxa"/>
            <w:shd w:val="clear" w:color="000000" w:fill="DBE5F1"/>
            <w:noWrap/>
            <w:vAlign w:val="bottom"/>
            <w:hideMark/>
          </w:tcPr>
          <w:p w:rsidR="00660414"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44.98%</w:t>
            </w:r>
          </w:p>
        </w:tc>
        <w:tc>
          <w:tcPr>
            <w:tcW w:w="960" w:type="dxa"/>
            <w:shd w:val="clear" w:color="000000" w:fill="C5D9F1"/>
            <w:noWrap/>
            <w:vAlign w:val="bottom"/>
            <w:hideMark/>
          </w:tcPr>
          <w:p w:rsidR="00660414"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75.85%</w:t>
            </w:r>
          </w:p>
        </w:tc>
      </w:tr>
      <w:tr w:rsidR="00660414" w:rsidRPr="00211DF7" w:rsidTr="007613DE">
        <w:trPr>
          <w:trHeight w:val="300"/>
          <w:jc w:val="center"/>
        </w:trPr>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Grain</w:t>
            </w:r>
          </w:p>
        </w:tc>
        <w:tc>
          <w:tcPr>
            <w:tcW w:w="1141"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70.69%</w:t>
            </w:r>
          </w:p>
        </w:tc>
        <w:tc>
          <w:tcPr>
            <w:tcW w:w="987"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97.01%</w:t>
            </w:r>
          </w:p>
        </w:tc>
        <w:tc>
          <w:tcPr>
            <w:tcW w:w="266" w:type="dxa"/>
            <w:shd w:val="clear" w:color="000000" w:fill="254061"/>
            <w:noWrap/>
            <w:vAlign w:val="bottom"/>
            <w:hideMark/>
          </w:tcPr>
          <w:p w:rsidR="00660414" w:rsidRPr="00211DF7" w:rsidRDefault="00660414" w:rsidP="007613DE">
            <w:pPr>
              <w:rPr>
                <w:rFonts w:ascii="Calibri" w:hAnsi="Calibri"/>
                <w:color w:val="000000"/>
                <w:sz w:val="22"/>
                <w:szCs w:val="22"/>
                <w:lang w:eastAsia="en-GB"/>
              </w:rPr>
            </w:pPr>
            <w:r w:rsidRPr="00211DF7">
              <w:rPr>
                <w:rFonts w:ascii="Calibri" w:hAnsi="Calibri"/>
                <w:color w:val="000000"/>
                <w:sz w:val="22"/>
                <w:szCs w:val="22"/>
                <w:lang w:eastAsia="en-GB"/>
              </w:rPr>
              <w:t> </w:t>
            </w:r>
          </w:p>
        </w:tc>
        <w:tc>
          <w:tcPr>
            <w:tcW w:w="1227"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11DF7">
              <w:rPr>
                <w:rFonts w:ascii="Gill Sans MT" w:hAnsi="Gill Sans MT"/>
                <w:color w:val="000000"/>
                <w:sz w:val="20"/>
                <w:szCs w:val="20"/>
                <w:lang w:eastAsia="en-GB"/>
              </w:rPr>
              <w:t>Grain</w:t>
            </w:r>
          </w:p>
        </w:tc>
        <w:tc>
          <w:tcPr>
            <w:tcW w:w="1199" w:type="dxa"/>
            <w:shd w:val="clear" w:color="000000" w:fill="DBE5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40.99%</w:t>
            </w:r>
          </w:p>
        </w:tc>
        <w:tc>
          <w:tcPr>
            <w:tcW w:w="960" w:type="dxa"/>
            <w:shd w:val="clear" w:color="000000" w:fill="C5D9F1"/>
            <w:noWrap/>
            <w:vAlign w:val="bottom"/>
            <w:hideMark/>
          </w:tcPr>
          <w:p w:rsidR="00660414" w:rsidRPr="00211DF7" w:rsidRDefault="00660414" w:rsidP="007613DE">
            <w:pPr>
              <w:jc w:val="right"/>
              <w:rPr>
                <w:rFonts w:ascii="Calibri" w:hAnsi="Calibri"/>
                <w:color w:val="000000"/>
                <w:sz w:val="22"/>
                <w:szCs w:val="22"/>
                <w:lang w:eastAsia="en-GB"/>
              </w:rPr>
            </w:pPr>
            <w:r w:rsidRPr="00211DF7">
              <w:rPr>
                <w:rFonts w:ascii="Calibri" w:hAnsi="Calibri"/>
                <w:color w:val="000000"/>
                <w:sz w:val="22"/>
                <w:szCs w:val="22"/>
                <w:lang w:eastAsia="en-GB"/>
              </w:rPr>
              <w:t>69.11%</w:t>
            </w:r>
          </w:p>
        </w:tc>
      </w:tr>
    </w:tbl>
    <w:p w:rsidR="00660414" w:rsidRPr="008C5B1B" w:rsidRDefault="00660414" w:rsidP="00A4081F">
      <w:pPr>
        <w:pStyle w:val="NumberedParas"/>
        <w:rPr>
          <w:noProof/>
          <w:lang w:eastAsia="en-GB"/>
        </w:rPr>
      </w:pPr>
      <w:r>
        <w:rPr>
          <w:noProof/>
          <w:lang w:eastAsia="en-GB"/>
        </w:rPr>
        <w:t>The table shows that by developing the bulk handling terminal capacity at Oltenita the forecast over utilisation is no longer a problem.</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rPr>
          <w:b/>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w:t>
      </w:r>
      <w:r>
        <w:t>.</w:t>
      </w:r>
      <w:r w:rsidRPr="008C5B1B">
        <w:rPr>
          <w:b/>
        </w:rPr>
        <w:br w:type="page"/>
      </w:r>
    </w:p>
    <w:p w:rsidR="00660414" w:rsidRPr="000A76BD" w:rsidRDefault="00660414" w:rsidP="00660414">
      <w:pPr>
        <w:spacing w:line="276" w:lineRule="auto"/>
        <w:rPr>
          <w:b/>
          <w:sz w:val="22"/>
          <w:szCs w:val="22"/>
        </w:rPr>
      </w:pPr>
      <w:r w:rsidRPr="008C5B1B">
        <w:rPr>
          <w:b/>
          <w:sz w:val="22"/>
          <w:szCs w:val="22"/>
        </w:rPr>
        <w:t>Giurgiu:</w:t>
      </w:r>
    </w:p>
    <w:p w:rsidR="00660414" w:rsidRPr="000A76BD" w:rsidRDefault="00660414" w:rsidP="00660414">
      <w:pPr>
        <w:spacing w:line="276" w:lineRule="auto"/>
        <w:rPr>
          <w:b/>
          <w:sz w:val="22"/>
          <w:szCs w:val="22"/>
        </w:rPr>
      </w:pPr>
      <w:r w:rsidRPr="008C5B1B">
        <w:rPr>
          <w:b/>
          <w:sz w:val="22"/>
          <w:szCs w:val="22"/>
        </w:rPr>
        <w:t>Build a new tri-modal terminal</w:t>
      </w:r>
      <w:r>
        <w:rPr>
          <w:b/>
          <w:sz w:val="22"/>
          <w:szCs w:val="22"/>
        </w:rPr>
        <w:t xml:space="preserve"> </w:t>
      </w:r>
      <w:r w:rsidRPr="00727E55">
        <w:rPr>
          <w:b/>
          <w:sz w:val="22"/>
          <w:szCs w:val="22"/>
        </w:rPr>
        <w:t>in the port of Giurgiu and connections with the hinterland</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As part of a strategic network of intermodal terminals throughout Romania, Giurgiu has been identified as a key location. The proposal is to build a new trimodal terminal at the port so that intermodal containers can take advantage of Giurgiu’s road, rail and water connections. By specialising Giurgiu to handle containers this ensures that the port does not inadvertently compete with the geographically close by port of Oltenita. Giurgiu’s proximity to Bucharest makes it a</w:t>
      </w:r>
      <w:r>
        <w:t>n</w:t>
      </w:r>
      <w:r w:rsidRPr="008C5B1B">
        <w:t xml:space="preserve"> ideal choice for inclusion on Romania’s intermodal network. Specifically the proposal will incorporate:</w:t>
      </w:r>
    </w:p>
    <w:p w:rsidR="00660414" w:rsidRPr="007C173F" w:rsidRDefault="00660414" w:rsidP="00273D5E">
      <w:pPr>
        <w:pStyle w:val="BulletLevel1"/>
      </w:pPr>
      <w:r w:rsidRPr="00BB0FCC">
        <w:t>A new intermodal terminal 6-8 hectares in size, including handling equipment</w:t>
      </w:r>
    </w:p>
    <w:p w:rsidR="00660414" w:rsidRPr="000A76BD" w:rsidRDefault="00660414" w:rsidP="00273D5E">
      <w:pPr>
        <w:pStyle w:val="BulletLevel1"/>
      </w:pPr>
      <w:r w:rsidRPr="003B3E0A">
        <w:t>Logistics facilities</w:t>
      </w:r>
    </w:p>
    <w:p w:rsidR="00660414" w:rsidRPr="000A76BD" w:rsidRDefault="00660414" w:rsidP="00273D5E">
      <w:pPr>
        <w:pStyle w:val="BulletLevel1"/>
      </w:pPr>
      <w:r w:rsidRPr="003B3E0A">
        <w:t>Connectivity to the port’s Free Trade Zone</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port currently has the ability to handle containers but would benefit from a modern and dedicated intermodal terminal operation to achieve its potential. This intervention would address the following issues:</w:t>
      </w:r>
    </w:p>
    <w:p w:rsidR="00660414" w:rsidRPr="007C173F" w:rsidRDefault="00660414" w:rsidP="00273D5E">
      <w:pPr>
        <w:pStyle w:val="BulletLevel1"/>
      </w:pPr>
      <w:r w:rsidRPr="00BB0FCC">
        <w:t>Lack of a large and modern dedicated intermodal terminal</w:t>
      </w:r>
    </w:p>
    <w:p w:rsidR="00660414" w:rsidRPr="000A76BD" w:rsidRDefault="00660414" w:rsidP="00273D5E">
      <w:pPr>
        <w:pStyle w:val="BulletLevel1"/>
      </w:pPr>
      <w:r w:rsidRPr="003B3E0A">
        <w:t>Lack of an intermodal terminal network in Romania</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36" w:name="_Toc408990884"/>
      <w:r w:rsidRPr="008C5B1B">
        <w:t>OW3 – Unblock barriers to operational efficiency</w:t>
      </w:r>
      <w:bookmarkEnd w:id="8036"/>
    </w:p>
    <w:p w:rsidR="00660414" w:rsidRPr="000A76BD" w:rsidRDefault="00660414" w:rsidP="00273D5E">
      <w:pPr>
        <w:pStyle w:val="BulletLevel1"/>
        <w:rPr>
          <w:b/>
        </w:rPr>
      </w:pPr>
      <w:bookmarkStart w:id="8037" w:name="_Toc408990885"/>
      <w:r w:rsidRPr="008C5B1B">
        <w:t>OW4 – Reduce costs through operational efficiency</w:t>
      </w:r>
      <w:bookmarkEnd w:id="8037"/>
    </w:p>
    <w:p w:rsidR="00660414" w:rsidRPr="000A76BD" w:rsidRDefault="00660414" w:rsidP="00273D5E">
      <w:pPr>
        <w:pStyle w:val="BulletLevel1"/>
        <w:rPr>
          <w:b/>
        </w:rPr>
      </w:pPr>
      <w:bookmarkStart w:id="8038" w:name="_Toc408990886"/>
      <w:r w:rsidRPr="008C5B1B">
        <w:t>OW10 – Increase the amount of freight moved by sustainable modes</w:t>
      </w:r>
      <w:bookmarkEnd w:id="8038"/>
    </w:p>
    <w:p w:rsidR="00660414" w:rsidRPr="000A76BD" w:rsidRDefault="00660414" w:rsidP="00273D5E">
      <w:pPr>
        <w:pStyle w:val="BulletLevel1"/>
        <w:rPr>
          <w:b/>
        </w:rPr>
      </w:pPr>
      <w:bookmarkStart w:id="8039" w:name="_Toc408990887"/>
      <w:r w:rsidRPr="008C5B1B">
        <w:t>OW12 – Increase use of intermodal transport</w:t>
      </w:r>
      <w:bookmarkEnd w:id="8039"/>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container operations.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0A76BD" w:rsidRDefault="00660414" w:rsidP="00A4081F">
      <w:pPr>
        <w:pStyle w:val="NumberedParas"/>
        <w:rPr>
          <w:i/>
          <w:u w:val="single"/>
        </w:rPr>
      </w:pPr>
      <w:r w:rsidRPr="008C5B1B">
        <w:t>It has been estimated that the project will incur the following costs:</w:t>
      </w:r>
    </w:p>
    <w:p w:rsidR="00660414" w:rsidRPr="008C5B1B" w:rsidRDefault="00660414" w:rsidP="00660414">
      <w:pPr>
        <w:rPr>
          <w:sz w:val="22"/>
          <w:szCs w:val="22"/>
        </w:rPr>
      </w:pPr>
      <w:r w:rsidRPr="008C5B1B">
        <w:rPr>
          <w:sz w:val="22"/>
          <w:szCs w:val="22"/>
        </w:rPr>
        <w:br w:type="page"/>
      </w:r>
    </w:p>
    <w:p w:rsidR="00660414" w:rsidRDefault="00660414" w:rsidP="00A4081F">
      <w:pPr>
        <w:pStyle w:val="NumberedParas"/>
        <w:numPr>
          <w:ilvl w:val="0"/>
          <w:numId w:val="0"/>
        </w:numPr>
      </w:pPr>
      <w:r w:rsidRPr="00AA40A9">
        <w:rPr>
          <w:noProof/>
          <w:lang w:eastAsia="en-GB"/>
        </w:rPr>
        <w:t xml:space="preserve">Table </w:t>
      </w:r>
      <w:r>
        <w:rPr>
          <w:noProof/>
          <w:lang w:eastAsia="en-GB"/>
        </w:rPr>
        <w:t>6.33</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10</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New intermodal terminal 6-8 hectares in size</w:t>
            </w:r>
          </w:p>
          <w:p w:rsidR="00660414" w:rsidRPr="008C5B1B" w:rsidRDefault="00660414" w:rsidP="007613DE">
            <w:pPr>
              <w:spacing w:before="120" w:line="276" w:lineRule="auto"/>
              <w:rPr>
                <w:b/>
                <w:bCs/>
                <w:sz w:val="22"/>
                <w:szCs w:val="22"/>
              </w:rPr>
            </w:pPr>
            <w:r w:rsidRPr="008C5B1B">
              <w:rPr>
                <w:b/>
                <w:bCs/>
                <w:sz w:val="22"/>
                <w:szCs w:val="22"/>
              </w:rPr>
              <w:t>Logistics facilities</w:t>
            </w:r>
          </w:p>
          <w:p w:rsidR="00660414" w:rsidRPr="008C5B1B" w:rsidRDefault="00660414" w:rsidP="007613DE">
            <w:pPr>
              <w:spacing w:before="120" w:line="276" w:lineRule="auto"/>
              <w:rPr>
                <w:b/>
                <w:bCs/>
                <w:sz w:val="22"/>
                <w:szCs w:val="22"/>
              </w:rPr>
            </w:pPr>
            <w:r w:rsidRPr="008C5B1B">
              <w:rPr>
                <w:b/>
                <w:bCs/>
                <w:sz w:val="22"/>
                <w:szCs w:val="22"/>
              </w:rPr>
              <w:t>Improved connectivity</w:t>
            </w:r>
          </w:p>
        </w:tc>
      </w:tr>
    </w:tbl>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Pr="000A76BD" w:rsidRDefault="00660414" w:rsidP="00A4081F">
      <w:pPr>
        <w:pStyle w:val="NumberedParas"/>
      </w:pPr>
      <w:r w:rsidRPr="008C5B1B">
        <w:t>The intervention gives a limited return with a benefit-cost ratio (BCR) of 0.56. The terminal is anticipated to generate over 69,000 tonnes of intermodal freight in 2020. Even though the modelled outputs suggest a limited return, this project is of strategic importance for Romani and so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6.34</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I-GR-S (W20)</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69,803</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0.56</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1.4%</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i/>
          <w:noProof/>
          <w:sz w:val="22"/>
          <w:szCs w:val="22"/>
          <w:u w:val="single"/>
          <w:lang w:eastAsia="en-GB"/>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A4081F">
      <w:pPr>
        <w:pStyle w:val="NumberedParas"/>
        <w:rPr>
          <w:b/>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 Given that the port currently handles containers, the project should be phased in scale to suit prevailing market conditions.</w:t>
      </w:r>
    </w:p>
    <w:p w:rsidR="00660414" w:rsidRDefault="00660414" w:rsidP="00660414">
      <w:pPr>
        <w:rPr>
          <w:b/>
          <w:sz w:val="22"/>
          <w:szCs w:val="22"/>
        </w:rPr>
      </w:pPr>
      <w:r>
        <w:rPr>
          <w:b/>
          <w:sz w:val="22"/>
          <w:szCs w:val="22"/>
        </w:rPr>
        <w:br w:type="page"/>
      </w:r>
    </w:p>
    <w:p w:rsidR="00660414" w:rsidRPr="000A76BD" w:rsidRDefault="00660414" w:rsidP="00660414">
      <w:pPr>
        <w:spacing w:line="276" w:lineRule="auto"/>
        <w:rPr>
          <w:b/>
          <w:sz w:val="22"/>
          <w:szCs w:val="22"/>
        </w:rPr>
      </w:pPr>
      <w:r w:rsidRPr="008C5B1B">
        <w:rPr>
          <w:b/>
          <w:sz w:val="22"/>
          <w:szCs w:val="22"/>
        </w:rPr>
        <w:t>Infrastructure and modernisation works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Giurgiu is a large and strategically important port that counts Bucharest as part of its hinterland. Some of its infrastructure is no longer suitable to accommodate modern logistics requirements. This proposal will incorporate:</w:t>
      </w:r>
    </w:p>
    <w:p w:rsidR="00660414" w:rsidRPr="007C173F" w:rsidRDefault="00660414" w:rsidP="00273D5E">
      <w:pPr>
        <w:pStyle w:val="BulletLevel1"/>
      </w:pPr>
      <w:r w:rsidRPr="00BB0FCC">
        <w:t>Improvements to the berths</w:t>
      </w:r>
      <w:r>
        <w:t xml:space="preserve"> as mentioned in the project </w:t>
      </w:r>
      <w:r w:rsidRPr="00A86A7C">
        <w:t>"D.A.N.U.B.E- Access network to the Danube</w:t>
      </w:r>
      <w:r>
        <w:t>”</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630F1A6B" wp14:editId="55756C89">
            <wp:extent cx="4730285" cy="1520042"/>
            <wp:effectExtent l="19050" t="0" r="0" b="0"/>
            <wp:docPr id="1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4733925" cy="1521212"/>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6.1</w:t>
      </w:r>
      <w:r>
        <w:rPr>
          <w:b/>
          <w:noProof/>
          <w:sz w:val="22"/>
          <w:szCs w:val="22"/>
          <w:lang w:eastAsia="en-GB"/>
        </w:rPr>
        <w:t>7</w:t>
      </w:r>
      <w:r w:rsidRPr="008C5B1B">
        <w:rPr>
          <w:b/>
          <w:noProof/>
          <w:sz w:val="22"/>
          <w:szCs w:val="22"/>
          <w:lang w:eastAsia="en-GB"/>
        </w:rPr>
        <w:t xml:space="preserve"> – Infrastructure and Modernisation Plans at Giurgiu</w:t>
      </w:r>
    </w:p>
    <w:p w:rsidR="00660414" w:rsidRPr="000A76BD" w:rsidRDefault="00660414" w:rsidP="00660414">
      <w:pPr>
        <w:spacing w:line="276" w:lineRule="auto"/>
        <w:rPr>
          <w:sz w:val="22"/>
          <w:szCs w:val="22"/>
        </w:rPr>
      </w:pP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port intends to increase its ability to handle containers but must ensure that its infrastructure can cope. This intervention would address the following issues:</w:t>
      </w:r>
    </w:p>
    <w:p w:rsidR="00660414" w:rsidRPr="007C173F" w:rsidRDefault="00660414" w:rsidP="00273D5E">
      <w:pPr>
        <w:pStyle w:val="BulletLevel1"/>
      </w:pPr>
      <w:r w:rsidRPr="00BB0FCC">
        <w:t>Old infrastructure that is ill equipped for modern logistics needs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40" w:name="_Toc408990888"/>
      <w:r w:rsidRPr="008C5B1B">
        <w:t>OW3 – Unblock barriers to operational efficiency</w:t>
      </w:r>
      <w:bookmarkEnd w:id="8040"/>
    </w:p>
    <w:p w:rsidR="00660414" w:rsidRPr="000A76BD" w:rsidRDefault="00660414" w:rsidP="00273D5E">
      <w:pPr>
        <w:pStyle w:val="BulletLevel1"/>
        <w:rPr>
          <w:b/>
        </w:rPr>
      </w:pPr>
      <w:bookmarkStart w:id="8041" w:name="_Toc408990889"/>
      <w:r w:rsidRPr="008C5B1B">
        <w:t>OW4 – Reduce costs through operational efficiency</w:t>
      </w:r>
      <w:bookmarkEnd w:id="8041"/>
    </w:p>
    <w:p w:rsidR="00660414" w:rsidRPr="000A76BD" w:rsidRDefault="00660414" w:rsidP="00273D5E">
      <w:pPr>
        <w:pStyle w:val="BulletLevel1"/>
        <w:rPr>
          <w:b/>
        </w:rPr>
      </w:pPr>
      <w:bookmarkStart w:id="8042" w:name="_Toc408990890"/>
      <w:r w:rsidRPr="008C5B1B">
        <w:t>OW10 – Increase the amount of freight moved by sustainable modes</w:t>
      </w:r>
      <w:bookmarkEnd w:id="8042"/>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7C173F" w:rsidRDefault="00660414" w:rsidP="00273D5E">
      <w:pPr>
        <w:pStyle w:val="BulletLevel1"/>
      </w:pPr>
      <w:r w:rsidRPr="00BB0FCC">
        <w:t xml:space="preserve">This proposal would be for all operations at Giurgiu including grains and cereals.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6.35</w:t>
      </w:r>
      <w:r w:rsidRPr="00AA40A9">
        <w:rPr>
          <w:noProof/>
          <w:lang w:eastAsia="en-GB"/>
        </w:rPr>
        <w:t xml:space="preserve"> –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keepNext/>
              <w:spacing w:before="120" w:line="276" w:lineRule="auto"/>
              <w:jc w:val="center"/>
              <w:outlineLvl w:val="3"/>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4</w:t>
            </w:r>
            <w:r>
              <w:rPr>
                <w:b/>
                <w:bCs/>
                <w:sz w:val="22"/>
                <w:szCs w:val="22"/>
              </w:rPr>
              <w:t>.3</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Rehabilitated berths</w:t>
            </w:r>
          </w:p>
        </w:tc>
      </w:tr>
    </w:tbl>
    <w:p w:rsidR="00660414"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17.53. The proposal is anticipated to generate over 54,000 tonnes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6.36</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P-GR-S (W37)</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54,372</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46</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17.53</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24.3%</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38ED4EF4" wp14:editId="02FAC7FA">
            <wp:extent cx="4733430" cy="2303813"/>
            <wp:effectExtent l="19050" t="0" r="10020" b="1237"/>
            <wp:docPr id="159"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6.1</w:t>
      </w:r>
      <w:r>
        <w:rPr>
          <w:b/>
          <w:noProof/>
          <w:sz w:val="22"/>
          <w:szCs w:val="22"/>
          <w:lang w:eastAsia="en-GB"/>
        </w:rPr>
        <w:t>8</w:t>
      </w:r>
      <w:r w:rsidRPr="008C5B1B">
        <w:rPr>
          <w:b/>
          <w:noProof/>
          <w:sz w:val="22"/>
          <w:szCs w:val="22"/>
          <w:lang w:eastAsia="en-GB"/>
        </w:rPr>
        <w:t xml:space="preserve"> –Tonnes Handled at Giurgiu 2007-2011 and Forecast in 2020</w:t>
      </w:r>
    </w:p>
    <w:p w:rsidR="00660414" w:rsidRDefault="00660414" w:rsidP="00A4081F">
      <w:pPr>
        <w:pStyle w:val="NumberedParas"/>
        <w:rPr>
          <w:noProof/>
          <w:lang w:eastAsia="en-GB"/>
        </w:rPr>
      </w:pPr>
      <w:r>
        <w:rPr>
          <w:noProof/>
          <w:lang w:eastAsia="en-GB"/>
        </w:rPr>
        <w:t>Based upon the capacity figures Giurgiu has a theoretical maximum capacity of 2.5 million tonnes per year. The port is not achieveing these levels because the current infrastructure is not suitable. Refurbishing the terminal and replacing the equipment will help to boost volumes at the port.</w:t>
      </w:r>
    </w:p>
    <w:p w:rsidR="00660414" w:rsidRDefault="00660414" w:rsidP="00A4081F">
      <w:pPr>
        <w:pStyle w:val="NumberedParas"/>
        <w:numPr>
          <w:ilvl w:val="0"/>
          <w:numId w:val="0"/>
        </w:numPr>
      </w:pPr>
      <w:r w:rsidRPr="00AA40A9">
        <w:rPr>
          <w:noProof/>
          <w:lang w:eastAsia="en-GB"/>
        </w:rPr>
        <w:t xml:space="preserve">Table </w:t>
      </w:r>
      <w:r>
        <w:rPr>
          <w:noProof/>
          <w:lang w:eastAsia="en-GB"/>
        </w:rPr>
        <w:t>6.37</w:t>
      </w:r>
      <w:r w:rsidRPr="00AA40A9">
        <w:rPr>
          <w:noProof/>
          <w:lang w:eastAsia="en-GB"/>
        </w:rPr>
        <w:t xml:space="preserve"> – </w:t>
      </w:r>
      <w:r>
        <w:rPr>
          <w:noProof/>
          <w:lang w:eastAsia="en-GB"/>
        </w:rPr>
        <w:t>Forecast Utilisation at Giurgiu</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224809" w:rsidTr="007613DE">
        <w:trPr>
          <w:trHeight w:val="315"/>
        </w:trPr>
        <w:tc>
          <w:tcPr>
            <w:tcW w:w="1116" w:type="dxa"/>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224809"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224809" w:rsidTr="007613DE">
        <w:trPr>
          <w:trHeight w:val="315"/>
        </w:trPr>
        <w:tc>
          <w:tcPr>
            <w:tcW w:w="1116" w:type="dxa"/>
            <w:shd w:val="clear" w:color="000000" w:fill="376091"/>
            <w:noWrap/>
            <w:vAlign w:val="bottom"/>
            <w:hideMark/>
          </w:tcPr>
          <w:p w:rsidR="00660414" w:rsidRPr="00224809"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r w:rsidRPr="00224809">
              <w:rPr>
                <w:rFonts w:ascii="Calibri" w:hAnsi="Calibri"/>
                <w:color w:val="FFFFFF"/>
                <w:sz w:val="22"/>
                <w:szCs w:val="22"/>
                <w:lang w:eastAsia="en-GB"/>
              </w:rPr>
              <w:t> </w:t>
            </w:r>
          </w:p>
        </w:tc>
        <w:tc>
          <w:tcPr>
            <w:tcW w:w="1141"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2020</w:t>
            </w:r>
          </w:p>
        </w:tc>
        <w:tc>
          <w:tcPr>
            <w:tcW w:w="987"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2030</w:t>
            </w:r>
          </w:p>
        </w:tc>
        <w:tc>
          <w:tcPr>
            <w:tcW w:w="266" w:type="dxa"/>
            <w:shd w:val="clear" w:color="000000" w:fill="25406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 </w:t>
            </w:r>
          </w:p>
        </w:tc>
        <w:tc>
          <w:tcPr>
            <w:tcW w:w="1116"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2020</w:t>
            </w:r>
          </w:p>
        </w:tc>
        <w:tc>
          <w:tcPr>
            <w:tcW w:w="960"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2030</w:t>
            </w:r>
          </w:p>
        </w:tc>
      </w:tr>
      <w:tr w:rsidR="00660414" w:rsidRPr="00224809"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General</w:t>
            </w:r>
          </w:p>
        </w:tc>
        <w:tc>
          <w:tcPr>
            <w:tcW w:w="1141" w:type="dxa"/>
            <w:shd w:val="clear" w:color="000000" w:fill="DBE5F1"/>
            <w:noWrap/>
            <w:vAlign w:val="bottom"/>
            <w:hideMark/>
          </w:tcPr>
          <w:p w:rsidR="00660414"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84.58%</w:t>
            </w:r>
          </w:p>
        </w:tc>
        <w:tc>
          <w:tcPr>
            <w:tcW w:w="987" w:type="dxa"/>
            <w:shd w:val="clear" w:color="000000" w:fill="C5D9F1"/>
            <w:noWrap/>
            <w:vAlign w:val="bottom"/>
            <w:hideMark/>
          </w:tcPr>
          <w:p w:rsidR="00660414"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126.48%</w:t>
            </w:r>
          </w:p>
        </w:tc>
        <w:tc>
          <w:tcPr>
            <w:tcW w:w="266" w:type="dxa"/>
            <w:shd w:val="clear" w:color="000000" w:fill="254061"/>
            <w:noWrap/>
            <w:vAlign w:val="bottom"/>
            <w:hideMark/>
          </w:tcPr>
          <w:p w:rsidR="00660414"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General</w:t>
            </w:r>
          </w:p>
        </w:tc>
        <w:tc>
          <w:tcPr>
            <w:tcW w:w="1199" w:type="dxa"/>
            <w:shd w:val="clear" w:color="000000" w:fill="DBE5F1"/>
            <w:noWrap/>
            <w:vAlign w:val="bottom"/>
            <w:hideMark/>
          </w:tcPr>
          <w:p w:rsidR="00660414"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33.90</w:t>
            </w:r>
            <w:r w:rsidRPr="00224809">
              <w:rPr>
                <w:rFonts w:ascii="Calibri" w:hAnsi="Calibri"/>
                <w:color w:val="000000"/>
                <w:sz w:val="22"/>
                <w:szCs w:val="22"/>
                <w:lang w:eastAsia="en-GB"/>
              </w:rPr>
              <w:t>%</w:t>
            </w:r>
          </w:p>
        </w:tc>
        <w:tc>
          <w:tcPr>
            <w:tcW w:w="960" w:type="dxa"/>
            <w:shd w:val="clear" w:color="000000" w:fill="C5D9F1"/>
            <w:noWrap/>
            <w:vAlign w:val="bottom"/>
            <w:hideMark/>
          </w:tcPr>
          <w:p w:rsidR="00660414"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57.29</w:t>
            </w:r>
            <w:r w:rsidRPr="00224809">
              <w:rPr>
                <w:rFonts w:ascii="Calibri" w:hAnsi="Calibri"/>
                <w:color w:val="000000"/>
                <w:sz w:val="22"/>
                <w:szCs w:val="22"/>
                <w:lang w:eastAsia="en-GB"/>
              </w:rPr>
              <w:t>%</w:t>
            </w:r>
          </w:p>
        </w:tc>
      </w:tr>
      <w:tr w:rsidR="00660414" w:rsidRPr="00224809"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Containers</w:t>
            </w:r>
          </w:p>
        </w:tc>
        <w:tc>
          <w:tcPr>
            <w:tcW w:w="1141" w:type="dxa"/>
            <w:shd w:val="clear" w:color="000000" w:fill="DBE5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Containers</w:t>
            </w:r>
          </w:p>
        </w:tc>
        <w:tc>
          <w:tcPr>
            <w:tcW w:w="1199" w:type="dxa"/>
            <w:shd w:val="clear" w:color="000000" w:fill="DBE5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4.52%</w:t>
            </w:r>
          </w:p>
        </w:tc>
        <w:tc>
          <w:tcPr>
            <w:tcW w:w="960" w:type="dxa"/>
            <w:shd w:val="clear" w:color="000000" w:fill="C5D9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5.69%</w:t>
            </w:r>
          </w:p>
        </w:tc>
      </w:tr>
      <w:tr w:rsidR="00660414" w:rsidRPr="00224809"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Grain</w:t>
            </w:r>
          </w:p>
        </w:tc>
        <w:tc>
          <w:tcPr>
            <w:tcW w:w="1141" w:type="dxa"/>
            <w:shd w:val="clear" w:color="000000" w:fill="DBE5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55.47%</w:t>
            </w:r>
          </w:p>
        </w:tc>
        <w:tc>
          <w:tcPr>
            <w:tcW w:w="987" w:type="dxa"/>
            <w:shd w:val="clear" w:color="000000" w:fill="C5D9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86.31%</w:t>
            </w:r>
          </w:p>
        </w:tc>
        <w:tc>
          <w:tcPr>
            <w:tcW w:w="266" w:type="dxa"/>
            <w:shd w:val="clear" w:color="000000" w:fill="25406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Grain</w:t>
            </w:r>
          </w:p>
        </w:tc>
        <w:tc>
          <w:tcPr>
            <w:tcW w:w="1199" w:type="dxa"/>
            <w:shd w:val="clear" w:color="000000" w:fill="DBE5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33.05%</w:t>
            </w:r>
          </w:p>
        </w:tc>
        <w:tc>
          <w:tcPr>
            <w:tcW w:w="960" w:type="dxa"/>
            <w:shd w:val="clear" w:color="000000" w:fill="C5D9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55.87%</w:t>
            </w:r>
          </w:p>
        </w:tc>
      </w:tr>
    </w:tbl>
    <w:p w:rsidR="00660414" w:rsidRPr="008C5B1B" w:rsidRDefault="00660414" w:rsidP="00A4081F">
      <w:pPr>
        <w:pStyle w:val="NumberedParas"/>
        <w:rPr>
          <w:noProof/>
          <w:lang w:eastAsia="en-GB"/>
        </w:rPr>
      </w:pPr>
      <w:r>
        <w:rPr>
          <w:noProof/>
          <w:lang w:eastAsia="en-GB"/>
        </w:rPr>
        <w:t>The table shows that refurbishing the terminal and replacing the equipment will help to improve capacity at the port so that the forecast over utilisation is no longer an issue.</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rPr>
          <w:b/>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r w:rsidRPr="008C5B1B">
        <w:rPr>
          <w:b/>
        </w:rPr>
        <w:br w:type="page"/>
      </w:r>
    </w:p>
    <w:p w:rsidR="00660414" w:rsidRPr="000A76BD" w:rsidRDefault="00660414" w:rsidP="00660414">
      <w:pPr>
        <w:spacing w:line="276" w:lineRule="auto"/>
        <w:rPr>
          <w:b/>
          <w:sz w:val="22"/>
          <w:szCs w:val="22"/>
        </w:rPr>
      </w:pPr>
      <w:r w:rsidRPr="008C5B1B">
        <w:rPr>
          <w:b/>
          <w:sz w:val="22"/>
          <w:szCs w:val="22"/>
        </w:rPr>
        <w:t>Corabia:</w:t>
      </w:r>
    </w:p>
    <w:p w:rsidR="00660414" w:rsidRPr="000A76BD" w:rsidRDefault="00660414" w:rsidP="00660414">
      <w:pPr>
        <w:spacing w:line="276" w:lineRule="auto"/>
        <w:rPr>
          <w:b/>
          <w:sz w:val="22"/>
          <w:szCs w:val="22"/>
        </w:rPr>
      </w:pPr>
      <w:r w:rsidRPr="008C5B1B">
        <w:rPr>
          <w:b/>
          <w:sz w:val="22"/>
          <w:szCs w:val="22"/>
        </w:rPr>
        <w:t>Modernisation and rehabilitation of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Corabia is well located but currently handles little freight traffic and is in a relatively severe state of dilapidation, with the exception of some grain and cereal traffic and storage facilities. This proposal will see the rehabilitation of its dilapidated infrastructure and modernised to suit current logistics practices. Specifically the proposal incorporates:</w:t>
      </w:r>
    </w:p>
    <w:p w:rsidR="00660414" w:rsidRPr="007C173F" w:rsidRDefault="00660414" w:rsidP="00273D5E">
      <w:pPr>
        <w:pStyle w:val="BulletLevel1"/>
      </w:pPr>
      <w:r w:rsidRPr="00BB0FCC">
        <w:t>Rehabilitation of the berths</w:t>
      </w:r>
    </w:p>
    <w:p w:rsidR="00660414" w:rsidRPr="000A76BD" w:rsidRDefault="00660414" w:rsidP="00273D5E">
      <w:pPr>
        <w:pStyle w:val="BulletLevel1"/>
      </w:pPr>
      <w:r w:rsidRPr="003B3E0A">
        <w:t>Remediation work to some of the infrastructure</w:t>
      </w:r>
    </w:p>
    <w:p w:rsidR="00660414" w:rsidRPr="000A76BD" w:rsidRDefault="00660414" w:rsidP="00273D5E">
      <w:pPr>
        <w:pStyle w:val="BulletLevel1"/>
      </w:pPr>
      <w:r w:rsidRPr="003B3E0A">
        <w:t>Modernisation to accommodate modern logistics requirements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7C173F" w:rsidRDefault="00660414" w:rsidP="00273D5E">
      <w:pPr>
        <w:pStyle w:val="BulletLevel1"/>
      </w:pPr>
      <w:r w:rsidRPr="00BB0FCC">
        <w:t>Modernisation will attract other freight flows increasing the tonnage handled by the port</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43" w:name="_Toc408990891"/>
      <w:r w:rsidRPr="008C5B1B">
        <w:t>OW3 – Unblock barriers to operational efficiency</w:t>
      </w:r>
      <w:bookmarkEnd w:id="8043"/>
    </w:p>
    <w:p w:rsidR="00660414" w:rsidRPr="000A76BD" w:rsidRDefault="00660414" w:rsidP="00273D5E">
      <w:pPr>
        <w:pStyle w:val="BulletLevel1"/>
        <w:rPr>
          <w:b/>
        </w:rPr>
      </w:pPr>
      <w:bookmarkStart w:id="8044" w:name="_Toc408990892"/>
      <w:r w:rsidRPr="008C5B1B">
        <w:t>OW4 – Reduce costs through operational efficiency</w:t>
      </w:r>
      <w:bookmarkEnd w:id="8044"/>
    </w:p>
    <w:p w:rsidR="00660414" w:rsidRPr="000A76BD" w:rsidRDefault="00660414" w:rsidP="00273D5E">
      <w:pPr>
        <w:pStyle w:val="BulletLevel1"/>
        <w:rPr>
          <w:b/>
        </w:rPr>
      </w:pPr>
      <w:bookmarkStart w:id="8045" w:name="_Toc408990893"/>
      <w:r w:rsidRPr="008C5B1B">
        <w:t>OW10 – Increase the amount of freight moved by sustainable modes</w:t>
      </w:r>
      <w:bookmarkEnd w:id="8045"/>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benefit Corabia’s current operations in cereals and grain but also any other potential commodities identified in a feasibility study.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0A76BD" w:rsidRDefault="00660414" w:rsidP="00A4081F">
      <w:pPr>
        <w:pStyle w:val="NumberedParas"/>
        <w:rPr>
          <w:i/>
          <w:u w:val="single"/>
        </w:rPr>
      </w:pPr>
      <w:r w:rsidRPr="008C5B1B">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 xml:space="preserve">6.38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4</w:t>
            </w:r>
            <w:r>
              <w:rPr>
                <w:b/>
                <w:bCs/>
                <w:sz w:val="22"/>
                <w:szCs w:val="22"/>
              </w:rPr>
              <w:t>.5</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Rehabilitated berths</w:t>
            </w:r>
          </w:p>
          <w:p w:rsidR="00660414" w:rsidRPr="008C5B1B" w:rsidRDefault="00660414" w:rsidP="007613DE">
            <w:pPr>
              <w:spacing w:before="120" w:line="276" w:lineRule="auto"/>
              <w:rPr>
                <w:b/>
                <w:bCs/>
                <w:sz w:val="22"/>
                <w:szCs w:val="22"/>
              </w:rPr>
            </w:pPr>
            <w:r w:rsidRPr="008C5B1B">
              <w:rPr>
                <w:b/>
                <w:bCs/>
                <w:sz w:val="22"/>
                <w:szCs w:val="22"/>
              </w:rPr>
              <w:t>Remediated and modernised infrastructure</w:t>
            </w:r>
          </w:p>
          <w:p w:rsidR="00660414" w:rsidRPr="008C5B1B" w:rsidRDefault="00660414" w:rsidP="007613DE">
            <w:pPr>
              <w:spacing w:before="120" w:line="276" w:lineRule="auto"/>
              <w:rPr>
                <w:b/>
                <w:bCs/>
                <w:sz w:val="22"/>
                <w:szCs w:val="22"/>
              </w:rPr>
            </w:pPr>
          </w:p>
        </w:tc>
      </w:tr>
    </w:tbl>
    <w:p w:rsidR="00660414"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11.04. The proposal is anticipated to generate over 73,000 tonnes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6.39</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P-CB-S (W32)</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73,848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29</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11.04</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25.1%</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noProof/>
          <w:sz w:val="22"/>
          <w:szCs w:val="22"/>
          <w:u w:val="single"/>
          <w:lang w:eastAsia="en-GB"/>
        </w:rPr>
      </w:pPr>
    </w:p>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5FF3587D" wp14:editId="15969798">
            <wp:extent cx="4570796" cy="2066306"/>
            <wp:effectExtent l="19050" t="0" r="20254" b="0"/>
            <wp:docPr id="208"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660414" w:rsidRDefault="00660414" w:rsidP="00660414">
      <w:pPr>
        <w:spacing w:line="276" w:lineRule="auto"/>
        <w:rPr>
          <w:b/>
          <w:noProof/>
          <w:sz w:val="22"/>
          <w:szCs w:val="22"/>
          <w:lang w:eastAsia="en-GB"/>
        </w:rPr>
      </w:pPr>
      <w:r w:rsidRPr="008C5B1B">
        <w:rPr>
          <w:b/>
          <w:noProof/>
          <w:sz w:val="22"/>
          <w:szCs w:val="22"/>
          <w:lang w:eastAsia="en-GB"/>
        </w:rPr>
        <w:t>Figure 6.1</w:t>
      </w:r>
      <w:r>
        <w:rPr>
          <w:b/>
          <w:noProof/>
          <w:sz w:val="22"/>
          <w:szCs w:val="22"/>
          <w:lang w:eastAsia="en-GB"/>
        </w:rPr>
        <w:t>9</w:t>
      </w:r>
      <w:r w:rsidRPr="008C5B1B">
        <w:rPr>
          <w:b/>
          <w:noProof/>
          <w:sz w:val="22"/>
          <w:szCs w:val="22"/>
          <w:lang w:eastAsia="en-GB"/>
        </w:rPr>
        <w:t xml:space="preserve"> –Tonnes Handled at Corabia 2007-2011 and Forecast in 2020</w:t>
      </w:r>
    </w:p>
    <w:p w:rsidR="00660414" w:rsidRDefault="00660414" w:rsidP="00A4081F">
      <w:pPr>
        <w:pStyle w:val="NumberedParas"/>
        <w:numPr>
          <w:ilvl w:val="0"/>
          <w:numId w:val="0"/>
        </w:numPr>
        <w:rPr>
          <w:noProof/>
          <w:lang w:eastAsia="en-GB"/>
        </w:rPr>
      </w:pPr>
      <w:r w:rsidRPr="00AA40A9">
        <w:rPr>
          <w:noProof/>
          <w:lang w:eastAsia="en-GB"/>
        </w:rPr>
        <w:t xml:space="preserve">Table </w:t>
      </w:r>
      <w:r>
        <w:rPr>
          <w:noProof/>
          <w:lang w:eastAsia="en-GB"/>
        </w:rPr>
        <w:t>6.40</w:t>
      </w:r>
      <w:r w:rsidRPr="00AA40A9">
        <w:rPr>
          <w:noProof/>
          <w:lang w:eastAsia="en-GB"/>
        </w:rPr>
        <w:t xml:space="preserve"> – </w:t>
      </w:r>
      <w:r>
        <w:rPr>
          <w:noProof/>
          <w:lang w:eastAsia="en-GB"/>
        </w:rPr>
        <w:t>Forecast Utilisation at Corabia</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224809" w:rsidTr="007613DE">
        <w:trPr>
          <w:trHeight w:val="315"/>
        </w:trPr>
        <w:tc>
          <w:tcPr>
            <w:tcW w:w="1116" w:type="dxa"/>
            <w:shd w:val="clear" w:color="000000" w:fill="376091"/>
            <w:noWrap/>
            <w:vAlign w:val="bottom"/>
            <w:hideMark/>
          </w:tcPr>
          <w:p w:rsidR="00660414" w:rsidRPr="00224809" w:rsidRDefault="00660414" w:rsidP="007613DE">
            <w:pPr>
              <w:jc w:val="center"/>
              <w:rPr>
                <w:rFonts w:ascii="Calibri" w:hAnsi="Calibri"/>
                <w:color w:val="FFFFFF"/>
                <w:sz w:val="22"/>
                <w:szCs w:val="22"/>
                <w:lang w:eastAsia="en-GB"/>
              </w:rPr>
            </w:pPr>
          </w:p>
        </w:tc>
        <w:tc>
          <w:tcPr>
            <w:tcW w:w="1141"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987"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p>
        </w:tc>
        <w:tc>
          <w:tcPr>
            <w:tcW w:w="266" w:type="dxa"/>
            <w:shd w:val="clear" w:color="000000" w:fill="254061"/>
            <w:noWrap/>
            <w:vAlign w:val="bottom"/>
            <w:hideMark/>
          </w:tcPr>
          <w:p w:rsidR="00660414" w:rsidRPr="00224809"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p>
        </w:tc>
        <w:tc>
          <w:tcPr>
            <w:tcW w:w="1199"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c>
          <w:tcPr>
            <w:tcW w:w="960"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p>
        </w:tc>
      </w:tr>
      <w:tr w:rsidR="00660414" w:rsidRPr="00224809" w:rsidTr="007613DE">
        <w:trPr>
          <w:trHeight w:val="315"/>
        </w:trPr>
        <w:tc>
          <w:tcPr>
            <w:tcW w:w="1116" w:type="dxa"/>
            <w:shd w:val="clear" w:color="000000" w:fill="376091"/>
            <w:noWrap/>
            <w:vAlign w:val="bottom"/>
            <w:hideMark/>
          </w:tcPr>
          <w:p w:rsidR="00660414" w:rsidRPr="00224809"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1141"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2020</w:t>
            </w:r>
          </w:p>
        </w:tc>
        <w:tc>
          <w:tcPr>
            <w:tcW w:w="987"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2030</w:t>
            </w:r>
          </w:p>
        </w:tc>
        <w:tc>
          <w:tcPr>
            <w:tcW w:w="266" w:type="dxa"/>
            <w:shd w:val="clear" w:color="000000" w:fill="25406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 </w:t>
            </w:r>
          </w:p>
        </w:tc>
        <w:tc>
          <w:tcPr>
            <w:tcW w:w="1116"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2020</w:t>
            </w:r>
          </w:p>
        </w:tc>
        <w:tc>
          <w:tcPr>
            <w:tcW w:w="960" w:type="dxa"/>
            <w:shd w:val="clear" w:color="000000" w:fill="376091"/>
            <w:noWrap/>
            <w:vAlign w:val="bottom"/>
            <w:hideMark/>
          </w:tcPr>
          <w:p w:rsidR="00660414" w:rsidRPr="00224809" w:rsidRDefault="00660414" w:rsidP="007613DE">
            <w:pPr>
              <w:jc w:val="center"/>
              <w:rPr>
                <w:rFonts w:ascii="Calibri" w:hAnsi="Calibri"/>
                <w:b/>
                <w:bCs/>
                <w:color w:val="FFFFFF"/>
                <w:sz w:val="22"/>
                <w:szCs w:val="22"/>
                <w:lang w:eastAsia="en-GB"/>
              </w:rPr>
            </w:pPr>
            <w:r w:rsidRPr="00224809">
              <w:rPr>
                <w:rFonts w:ascii="Calibri" w:hAnsi="Calibri"/>
                <w:b/>
                <w:bCs/>
                <w:color w:val="FFFFFF"/>
                <w:sz w:val="22"/>
                <w:szCs w:val="22"/>
                <w:lang w:eastAsia="en-GB"/>
              </w:rPr>
              <w:t>2030</w:t>
            </w:r>
          </w:p>
        </w:tc>
      </w:tr>
      <w:tr w:rsidR="00660414" w:rsidRPr="00224809"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58.21%</w:t>
            </w:r>
          </w:p>
        </w:tc>
        <w:tc>
          <w:tcPr>
            <w:tcW w:w="987" w:type="dxa"/>
            <w:shd w:val="clear" w:color="000000" w:fill="C5D9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107.16%</w:t>
            </w:r>
          </w:p>
        </w:tc>
        <w:tc>
          <w:tcPr>
            <w:tcW w:w="266" w:type="dxa"/>
            <w:shd w:val="clear" w:color="000000" w:fill="25406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12.16%</w:t>
            </w:r>
          </w:p>
        </w:tc>
        <w:tc>
          <w:tcPr>
            <w:tcW w:w="960" w:type="dxa"/>
            <w:shd w:val="clear" w:color="000000" w:fill="C5D9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20.76%</w:t>
            </w:r>
          </w:p>
        </w:tc>
      </w:tr>
      <w:tr w:rsidR="00660414" w:rsidRPr="00224809"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Grain</w:t>
            </w:r>
          </w:p>
        </w:tc>
        <w:tc>
          <w:tcPr>
            <w:tcW w:w="1141" w:type="dxa"/>
            <w:shd w:val="clear" w:color="000000" w:fill="DBE5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224809" w:rsidRDefault="00660414" w:rsidP="007613DE">
            <w:pPr>
              <w:rPr>
                <w:rFonts w:ascii="Calibri" w:hAnsi="Calibri"/>
                <w:color w:val="000000"/>
                <w:sz w:val="22"/>
                <w:szCs w:val="22"/>
                <w:lang w:eastAsia="en-GB"/>
              </w:rPr>
            </w:pPr>
            <w:r w:rsidRPr="00224809">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224809">
              <w:rPr>
                <w:rFonts w:ascii="Gill Sans MT" w:hAnsi="Gill Sans MT"/>
                <w:color w:val="000000"/>
                <w:sz w:val="20"/>
                <w:szCs w:val="20"/>
                <w:lang w:eastAsia="en-GB"/>
              </w:rPr>
              <w:t>Grain</w:t>
            </w:r>
          </w:p>
        </w:tc>
        <w:tc>
          <w:tcPr>
            <w:tcW w:w="1199" w:type="dxa"/>
            <w:shd w:val="clear" w:color="000000" w:fill="DBE5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0.54%</w:t>
            </w:r>
          </w:p>
        </w:tc>
        <w:tc>
          <w:tcPr>
            <w:tcW w:w="960" w:type="dxa"/>
            <w:shd w:val="clear" w:color="000000" w:fill="C5D9F1"/>
            <w:noWrap/>
            <w:vAlign w:val="bottom"/>
            <w:hideMark/>
          </w:tcPr>
          <w:p w:rsidR="00660414" w:rsidRPr="00224809" w:rsidRDefault="00660414" w:rsidP="007613DE">
            <w:pPr>
              <w:jc w:val="right"/>
              <w:rPr>
                <w:rFonts w:ascii="Calibri" w:hAnsi="Calibri"/>
                <w:color w:val="000000"/>
                <w:sz w:val="22"/>
                <w:szCs w:val="22"/>
                <w:lang w:eastAsia="en-GB"/>
              </w:rPr>
            </w:pPr>
            <w:r w:rsidRPr="00224809">
              <w:rPr>
                <w:rFonts w:ascii="Calibri" w:hAnsi="Calibri"/>
                <w:color w:val="000000"/>
                <w:sz w:val="22"/>
                <w:szCs w:val="22"/>
                <w:lang w:eastAsia="en-GB"/>
              </w:rPr>
              <w:t>1.03%</w:t>
            </w:r>
          </w:p>
        </w:tc>
      </w:tr>
    </w:tbl>
    <w:p w:rsidR="00660414" w:rsidRDefault="00660414" w:rsidP="00A4081F">
      <w:pPr>
        <w:pStyle w:val="NumberedParas"/>
        <w:rPr>
          <w:i/>
          <w:noProof/>
          <w:u w:val="single"/>
          <w:lang w:eastAsia="en-GB"/>
        </w:rPr>
      </w:pPr>
      <w:r>
        <w:t>The table shows that by modernisation and rehabilitation of Corabia’s infrastructure will improve effiency thereby improving capacity so that the forecast over utilisation is no longer a problem</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r w:rsidRPr="008C5B1B">
        <w:br w:type="page"/>
      </w:r>
    </w:p>
    <w:p w:rsidR="00660414" w:rsidRPr="000A76BD" w:rsidRDefault="00660414" w:rsidP="00660414">
      <w:pPr>
        <w:spacing w:line="276" w:lineRule="auto"/>
        <w:rPr>
          <w:b/>
          <w:sz w:val="22"/>
          <w:szCs w:val="22"/>
        </w:rPr>
      </w:pPr>
      <w:r w:rsidRPr="008C5B1B">
        <w:rPr>
          <w:b/>
          <w:sz w:val="22"/>
          <w:szCs w:val="22"/>
        </w:rPr>
        <w:t>Calafat:</w:t>
      </w:r>
    </w:p>
    <w:p w:rsidR="00660414" w:rsidRPr="000A76BD" w:rsidRDefault="00660414" w:rsidP="00660414">
      <w:pPr>
        <w:spacing w:line="276" w:lineRule="auto"/>
        <w:rPr>
          <w:b/>
          <w:sz w:val="22"/>
          <w:szCs w:val="22"/>
        </w:rPr>
      </w:pPr>
      <w:r w:rsidRPr="008C5B1B">
        <w:rPr>
          <w:b/>
          <w:sz w:val="22"/>
          <w:szCs w:val="22"/>
        </w:rPr>
        <w:t>Develop bulk handling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Calafat is linked to Vidin, Bulgaria and the port is located near to the newly opened bridge. To maximise the benefit of this new link the port needs to develop its bulk handling infrastructure. The proposal would incorporate:</w:t>
      </w:r>
    </w:p>
    <w:p w:rsidR="00660414" w:rsidRPr="007C173F" w:rsidRDefault="00660414" w:rsidP="00273D5E">
      <w:pPr>
        <w:pStyle w:val="BulletLevel1"/>
      </w:pPr>
      <w:r w:rsidRPr="00BB0FCC">
        <w:t>Restoration and extension of the berths</w:t>
      </w:r>
    </w:p>
    <w:p w:rsidR="00660414" w:rsidRPr="000A76BD" w:rsidRDefault="00660414" w:rsidP="00273D5E">
      <w:pPr>
        <w:pStyle w:val="BulletLevel1"/>
      </w:pPr>
      <w:r w:rsidRPr="003B3E0A">
        <w:t>New berths to accommodate new freight</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1D6D71FC" wp14:editId="0ABA939C">
            <wp:extent cx="4343400" cy="1547389"/>
            <wp:effectExtent l="19050" t="0" r="0" b="0"/>
            <wp:docPr id="20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4353741" cy="1551073"/>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sz w:val="22"/>
          <w:szCs w:val="22"/>
        </w:rPr>
      </w:pPr>
      <w:r w:rsidRPr="008C5B1B">
        <w:rPr>
          <w:b/>
          <w:noProof/>
          <w:sz w:val="22"/>
          <w:szCs w:val="22"/>
          <w:lang w:eastAsia="en-GB"/>
        </w:rPr>
        <w:t>Figure 6.</w:t>
      </w:r>
      <w:r>
        <w:rPr>
          <w:b/>
          <w:noProof/>
          <w:sz w:val="22"/>
          <w:szCs w:val="22"/>
          <w:lang w:eastAsia="en-GB"/>
        </w:rPr>
        <w:t>20</w:t>
      </w:r>
      <w:r w:rsidRPr="008C5B1B">
        <w:rPr>
          <w:b/>
          <w:noProof/>
          <w:sz w:val="22"/>
          <w:szCs w:val="22"/>
          <w:lang w:eastAsia="en-GB"/>
        </w:rPr>
        <w:t xml:space="preserve"> – Plans to Develop Bulk Handling Infrastructure at Calafat</w:t>
      </w:r>
    </w:p>
    <w:p w:rsidR="00660414" w:rsidRPr="000A76BD"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0A76BD" w:rsidRDefault="00660414" w:rsidP="00273D5E">
      <w:pPr>
        <w:pStyle w:val="BulletLevel1"/>
      </w:pPr>
      <w:r w:rsidRPr="00BB0FCC">
        <w:t xml:space="preserve">Current growth trends </w:t>
      </w:r>
      <w:r w:rsidRPr="007C173F">
        <w:t>suggest that the port will run out of capacity</w:t>
      </w:r>
    </w:p>
    <w:p w:rsidR="00660414" w:rsidRPr="000A76BD" w:rsidRDefault="00660414" w:rsidP="00273D5E">
      <w:pPr>
        <w:pStyle w:val="BulletLevel1"/>
      </w:pPr>
      <w:r w:rsidRPr="003B3E0A">
        <w:t>Some of the berths are not set up for modern logistics needs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46" w:name="_Toc408990894"/>
      <w:r w:rsidRPr="008C5B1B">
        <w:t>OW3 – Unblock barriers to operational efficiency</w:t>
      </w:r>
      <w:bookmarkEnd w:id="8046"/>
    </w:p>
    <w:p w:rsidR="00660414" w:rsidRPr="000A76BD" w:rsidRDefault="00660414" w:rsidP="00273D5E">
      <w:pPr>
        <w:pStyle w:val="BulletLevel1"/>
        <w:rPr>
          <w:b/>
        </w:rPr>
      </w:pPr>
      <w:bookmarkStart w:id="8047" w:name="_Toc408990895"/>
      <w:r w:rsidRPr="008C5B1B">
        <w:t>OW4 – Reduce costs through operational efficiency</w:t>
      </w:r>
      <w:bookmarkEnd w:id="8047"/>
    </w:p>
    <w:p w:rsidR="00660414" w:rsidRPr="000A76BD" w:rsidRDefault="00660414" w:rsidP="00273D5E">
      <w:pPr>
        <w:pStyle w:val="BulletLevel1"/>
        <w:rPr>
          <w:b/>
        </w:rPr>
      </w:pPr>
      <w:bookmarkStart w:id="8048" w:name="_Toc408990896"/>
      <w:r w:rsidRPr="008C5B1B">
        <w:t>OW10 – Increase the amount of freight moved by sustainable modes</w:t>
      </w:r>
      <w:bookmarkEnd w:id="8048"/>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Calafat’s current operations as well as new flows that will arrive due to the construction of the bridge.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6.41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keepNext/>
              <w:spacing w:before="120" w:line="276" w:lineRule="auto"/>
              <w:jc w:val="center"/>
              <w:outlineLvl w:val="3"/>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20</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Rehabilitated berths</w:t>
            </w:r>
          </w:p>
          <w:p w:rsidR="00660414" w:rsidRPr="008C5B1B" w:rsidRDefault="00660414" w:rsidP="007613DE">
            <w:pPr>
              <w:spacing w:before="120" w:line="276" w:lineRule="auto"/>
              <w:rPr>
                <w:b/>
                <w:bCs/>
                <w:sz w:val="22"/>
                <w:szCs w:val="22"/>
              </w:rPr>
            </w:pPr>
            <w:r w:rsidRPr="008C5B1B">
              <w:rPr>
                <w:b/>
                <w:bCs/>
                <w:sz w:val="22"/>
                <w:szCs w:val="22"/>
              </w:rPr>
              <w:t>New berths</w:t>
            </w:r>
          </w:p>
          <w:p w:rsidR="00660414" w:rsidRPr="008C5B1B" w:rsidRDefault="00660414" w:rsidP="007613DE">
            <w:pPr>
              <w:spacing w:before="120" w:line="276" w:lineRule="auto"/>
              <w:rPr>
                <w:b/>
                <w:bCs/>
                <w:sz w:val="22"/>
                <w:szCs w:val="22"/>
              </w:rPr>
            </w:pPr>
          </w:p>
        </w:tc>
      </w:tr>
    </w:tbl>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Pr="000A76BD" w:rsidRDefault="00660414" w:rsidP="00A4081F">
      <w:pPr>
        <w:pStyle w:val="NumberedParas"/>
      </w:pPr>
      <w:r w:rsidRPr="008C5B1B">
        <w:t>The intervention gives a limited return with a benefit-cost ratio (BCR) of 0.6. The proposal is anticipated to generate over 11,000 tonnes of freight in 2020. Since the EIRR is less than 3% this project is not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6.42</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P-CF-S (W27)</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11,871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0.60</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2.4%</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FF0000"/>
                <w:sz w:val="22"/>
                <w:szCs w:val="22"/>
              </w:rPr>
              <w:sym w:font="Wingdings" w:char="F0FB"/>
            </w:r>
          </w:p>
        </w:tc>
      </w:tr>
    </w:tbl>
    <w:p w:rsidR="00660414" w:rsidRPr="008C5B1B" w:rsidRDefault="00660414" w:rsidP="00660414">
      <w:pPr>
        <w:spacing w:line="276" w:lineRule="auto"/>
        <w:rPr>
          <w:i/>
          <w:noProof/>
          <w:sz w:val="22"/>
          <w:szCs w:val="22"/>
          <w:u w:val="single"/>
          <w:lang w:eastAsia="en-GB"/>
        </w:rPr>
      </w:pPr>
    </w:p>
    <w:p w:rsidR="00660414" w:rsidRPr="008C5B1B"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35288900" wp14:editId="6F1CA3DB">
            <wp:extent cx="4574659" cy="2747896"/>
            <wp:effectExtent l="19050" t="0" r="16391" b="0"/>
            <wp:docPr id="21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w:t>
      </w:r>
      <w:r>
        <w:rPr>
          <w:b/>
          <w:noProof/>
          <w:sz w:val="22"/>
          <w:szCs w:val="22"/>
          <w:lang w:eastAsia="en-GB"/>
        </w:rPr>
        <w:t>20</w:t>
      </w:r>
      <w:r w:rsidRPr="008C5B1B">
        <w:rPr>
          <w:b/>
          <w:noProof/>
          <w:sz w:val="22"/>
          <w:szCs w:val="22"/>
          <w:lang w:eastAsia="en-GB"/>
        </w:rPr>
        <w:t xml:space="preserve"> –Tonnes Handled at Calafat 2007-2011 and Forecast in 2020</w:t>
      </w:r>
    </w:p>
    <w:p w:rsidR="00660414" w:rsidRDefault="00660414" w:rsidP="00660414">
      <w:pPr>
        <w:spacing w:line="276" w:lineRule="auto"/>
        <w:rPr>
          <w:sz w:val="22"/>
          <w:szCs w:val="22"/>
        </w:rPr>
      </w:pPr>
    </w:p>
    <w:p w:rsidR="00660414" w:rsidRDefault="00660414" w:rsidP="00A4081F">
      <w:pPr>
        <w:pStyle w:val="NumberedParas"/>
      </w:pPr>
      <w:r>
        <w:t xml:space="preserve">Based upon the capacity figures Calafat port has a theoretical maximum capacity of 518,000 tonnes per year. </w:t>
      </w:r>
    </w:p>
    <w:p w:rsidR="00660414" w:rsidRDefault="00660414" w:rsidP="00A4081F">
      <w:pPr>
        <w:pStyle w:val="NumberedParas"/>
        <w:numPr>
          <w:ilvl w:val="0"/>
          <w:numId w:val="0"/>
        </w:numPr>
      </w:pPr>
      <w:r w:rsidRPr="00AA40A9">
        <w:rPr>
          <w:noProof/>
          <w:lang w:eastAsia="en-GB"/>
        </w:rPr>
        <w:t xml:space="preserve">Table </w:t>
      </w:r>
      <w:r>
        <w:rPr>
          <w:noProof/>
          <w:lang w:eastAsia="en-GB"/>
        </w:rPr>
        <w:t>6.43</w:t>
      </w:r>
      <w:r w:rsidRPr="00AA40A9">
        <w:rPr>
          <w:noProof/>
          <w:lang w:eastAsia="en-GB"/>
        </w:rPr>
        <w:t xml:space="preserve"> – </w:t>
      </w:r>
      <w:r>
        <w:rPr>
          <w:noProof/>
          <w:lang w:eastAsia="en-GB"/>
        </w:rPr>
        <w:t>Forecast Utilisation at Calafat</w:t>
      </w:r>
    </w:p>
    <w:tbl>
      <w:tblPr>
        <w:tblW w:w="67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EE29FD" w:rsidTr="007613DE">
        <w:trPr>
          <w:trHeight w:val="315"/>
        </w:trPr>
        <w:tc>
          <w:tcPr>
            <w:tcW w:w="1116" w:type="dxa"/>
            <w:shd w:val="clear" w:color="000000" w:fill="376091"/>
            <w:noWrap/>
            <w:vAlign w:val="bottom"/>
            <w:hideMark/>
          </w:tcPr>
          <w:p w:rsidR="00660414" w:rsidRPr="00EE29FD"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EE29FD" w:rsidTr="007613DE">
        <w:trPr>
          <w:trHeight w:val="315"/>
        </w:trPr>
        <w:tc>
          <w:tcPr>
            <w:tcW w:w="1116" w:type="dxa"/>
            <w:shd w:val="clear" w:color="000000" w:fill="376091"/>
            <w:noWrap/>
            <w:vAlign w:val="bottom"/>
            <w:hideMark/>
          </w:tcPr>
          <w:p w:rsidR="00660414" w:rsidRPr="00EE29FD"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1141"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87"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 </w:t>
            </w:r>
          </w:p>
        </w:tc>
        <w:tc>
          <w:tcPr>
            <w:tcW w:w="1116"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60"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90.98%</w:t>
            </w:r>
          </w:p>
        </w:tc>
        <w:tc>
          <w:tcPr>
            <w:tcW w:w="987" w:type="dxa"/>
            <w:shd w:val="clear" w:color="000000" w:fill="C5D9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113.51%</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32.63%</w:t>
            </w:r>
          </w:p>
        </w:tc>
        <w:tc>
          <w:tcPr>
            <w:tcW w:w="960" w:type="dxa"/>
            <w:shd w:val="clear" w:color="000000" w:fill="C5D9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43.55%</w:t>
            </w:r>
          </w:p>
        </w:tc>
      </w:tr>
    </w:tbl>
    <w:p w:rsidR="00660414" w:rsidRDefault="00660414" w:rsidP="00A4081F">
      <w:pPr>
        <w:pStyle w:val="NumberedParas"/>
      </w:pPr>
      <w:r>
        <w:t>The table above shows that by developing the bulk handling infrastructure at Calafat the port will have sufficient capacity to handle forecast demand.</w:t>
      </w:r>
    </w:p>
    <w:p w:rsidR="00660414" w:rsidRPr="000A76BD" w:rsidRDefault="00660414" w:rsidP="00660414">
      <w:pPr>
        <w:rPr>
          <w:b/>
          <w:sz w:val="22"/>
          <w:szCs w:val="22"/>
        </w:rPr>
      </w:pPr>
      <w:r w:rsidRPr="008C5B1B">
        <w:rPr>
          <w:b/>
          <w:sz w:val="22"/>
          <w:szCs w:val="22"/>
        </w:rPr>
        <w:br w:type="page"/>
      </w:r>
    </w:p>
    <w:p w:rsidR="00660414" w:rsidRPr="000A76BD" w:rsidRDefault="00660414" w:rsidP="00660414">
      <w:pPr>
        <w:spacing w:line="276" w:lineRule="auto"/>
        <w:rPr>
          <w:b/>
          <w:sz w:val="22"/>
          <w:szCs w:val="22"/>
        </w:rPr>
      </w:pPr>
      <w:r w:rsidRPr="008C5B1B">
        <w:rPr>
          <w:b/>
          <w:sz w:val="22"/>
          <w:szCs w:val="22"/>
        </w:rPr>
        <w:t>Drobeta</w:t>
      </w:r>
      <w:r w:rsidRPr="00C2696F">
        <w:rPr>
          <w:lang w:val="ro-RO"/>
        </w:rPr>
        <w:t xml:space="preserve"> </w:t>
      </w:r>
      <w:r w:rsidRPr="008C5B1B">
        <w:rPr>
          <w:b/>
          <w:sz w:val="22"/>
          <w:szCs w:val="22"/>
          <w:lang w:val="ro-RO"/>
        </w:rPr>
        <w:t>Turnu Severin</w:t>
      </w:r>
      <w:r w:rsidRPr="008C5B1B">
        <w:rPr>
          <w:b/>
          <w:sz w:val="22"/>
          <w:szCs w:val="22"/>
        </w:rPr>
        <w:t>:</w:t>
      </w:r>
    </w:p>
    <w:p w:rsidR="00660414" w:rsidRPr="000A76BD" w:rsidRDefault="00660414" w:rsidP="00660414">
      <w:pPr>
        <w:spacing w:line="276" w:lineRule="auto"/>
        <w:rPr>
          <w:b/>
          <w:sz w:val="22"/>
          <w:szCs w:val="22"/>
        </w:rPr>
      </w:pPr>
      <w:r w:rsidRPr="008C5B1B">
        <w:rPr>
          <w:b/>
          <w:sz w:val="22"/>
          <w:szCs w:val="22"/>
        </w:rPr>
        <w:t>Build a new trimodal terminal</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 xml:space="preserve">Drobeta </w:t>
      </w:r>
      <w:r>
        <w:rPr>
          <w:lang w:val="ro-RO"/>
        </w:rPr>
        <w:t>Turnu Severin</w:t>
      </w:r>
      <w:r w:rsidRPr="00EE10B4">
        <w:rPr>
          <w:lang w:val="ro-RO"/>
        </w:rPr>
        <w:t xml:space="preserve"> </w:t>
      </w:r>
      <w:r w:rsidRPr="008C5B1B">
        <w:t>is strategically place to benefit from a trimodal intermodal terminal as part of Romania’s intermodal network. Developing intermodal facilities will boost the port and provide its hinterland a useful asset. Specifically the proposal will incorporate:</w:t>
      </w:r>
    </w:p>
    <w:p w:rsidR="00660414" w:rsidRPr="007C173F" w:rsidRDefault="00660414" w:rsidP="00273D5E">
      <w:pPr>
        <w:pStyle w:val="BulletLevel1"/>
      </w:pPr>
      <w:r w:rsidRPr="00BB0FCC">
        <w:t>An intermodal 6-8 hectares in size with accompanying handling equipment</w:t>
      </w:r>
    </w:p>
    <w:p w:rsidR="00660414" w:rsidRPr="000A76BD" w:rsidRDefault="00660414" w:rsidP="00273D5E">
      <w:pPr>
        <w:pStyle w:val="BulletLevel1"/>
      </w:pPr>
      <w:r w:rsidRPr="003B3E0A">
        <w:t>2 gauge cleared rail lines of 750m in length</w:t>
      </w:r>
    </w:p>
    <w:p w:rsidR="00660414" w:rsidRPr="000A76BD" w:rsidRDefault="00660414" w:rsidP="00273D5E">
      <w:pPr>
        <w:pStyle w:val="BulletLevel1"/>
      </w:pPr>
      <w:r w:rsidRPr="003B3E0A">
        <w:t>Improved road connections</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1A1D454A" wp14:editId="6FF7EAA4">
            <wp:extent cx="5241925" cy="1839595"/>
            <wp:effectExtent l="19050" t="0" r="0" b="0"/>
            <wp:docPr id="211" name="Picture 13" descr="DTS Inte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S InterM.png"/>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5241925" cy="1839595"/>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1</w:t>
      </w:r>
      <w:r w:rsidRPr="008C5B1B">
        <w:rPr>
          <w:b/>
          <w:noProof/>
          <w:sz w:val="22"/>
          <w:szCs w:val="22"/>
          <w:lang w:eastAsia="en-GB"/>
        </w:rPr>
        <w:t xml:space="preserve"> – Trimodal Terminal Plans at Drobeta</w:t>
      </w:r>
      <w:r w:rsidRPr="00C2696F">
        <w:rPr>
          <w:lang w:val="ro-RO"/>
        </w:rPr>
        <w:t xml:space="preserve"> </w:t>
      </w:r>
      <w:r w:rsidRPr="008C5B1B">
        <w:rPr>
          <w:b/>
          <w:noProof/>
          <w:sz w:val="22"/>
          <w:szCs w:val="22"/>
          <w:lang w:val="ro-RO" w:eastAsia="en-GB"/>
        </w:rPr>
        <w:t>Turnu Severin</w:t>
      </w:r>
    </w:p>
    <w:p w:rsidR="00660414" w:rsidRPr="000A76BD" w:rsidRDefault="00660414" w:rsidP="00660414">
      <w:pPr>
        <w:rPr>
          <w:sz w:val="22"/>
          <w:szCs w:val="22"/>
        </w:rPr>
      </w:pP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 xml:space="preserve">Drobeta </w:t>
      </w:r>
      <w:r>
        <w:rPr>
          <w:lang w:val="ro-RO"/>
        </w:rPr>
        <w:t>Turnu Severin</w:t>
      </w:r>
      <w:r w:rsidRPr="00EE10B4">
        <w:rPr>
          <w:lang w:val="ro-RO"/>
        </w:rPr>
        <w:t xml:space="preserve"> </w:t>
      </w:r>
      <w:r w:rsidRPr="008C5B1B">
        <w:t>port is not currently well set up to handle containers. The problems addressed by this proposal are:</w:t>
      </w:r>
    </w:p>
    <w:p w:rsidR="00660414" w:rsidRPr="000A76BD" w:rsidRDefault="00660414" w:rsidP="00273D5E">
      <w:pPr>
        <w:pStyle w:val="BulletLevel1"/>
      </w:pPr>
      <w:r w:rsidRPr="00BB0FCC">
        <w:t xml:space="preserve">A modern </w:t>
      </w:r>
      <w:r w:rsidRPr="007C173F">
        <w:t>container terminal that can handle containers efficiently and effec</w:t>
      </w:r>
      <w:r w:rsidRPr="003B3E0A">
        <w:t>tively</w:t>
      </w:r>
    </w:p>
    <w:p w:rsidR="00660414" w:rsidRPr="000A76BD" w:rsidRDefault="00660414" w:rsidP="00273D5E">
      <w:pPr>
        <w:pStyle w:val="BulletLevel1"/>
      </w:pPr>
      <w:r w:rsidRPr="003B3E0A">
        <w:t>Establish Drobeta as the regional container port</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49" w:name="_Toc408990897"/>
      <w:r w:rsidRPr="008C5B1B">
        <w:t>OW3 – Unblock barriers to operational efficiency</w:t>
      </w:r>
      <w:bookmarkEnd w:id="8049"/>
    </w:p>
    <w:p w:rsidR="00660414" w:rsidRPr="000A76BD" w:rsidRDefault="00660414" w:rsidP="00273D5E">
      <w:pPr>
        <w:pStyle w:val="BulletLevel1"/>
        <w:rPr>
          <w:b/>
        </w:rPr>
      </w:pPr>
      <w:bookmarkStart w:id="8050" w:name="_Toc408990898"/>
      <w:r w:rsidRPr="008C5B1B">
        <w:t>OW4 – Reduce costs through operational efficiency</w:t>
      </w:r>
      <w:bookmarkEnd w:id="8050"/>
    </w:p>
    <w:p w:rsidR="00660414" w:rsidRPr="000A76BD" w:rsidRDefault="00660414" w:rsidP="00273D5E">
      <w:pPr>
        <w:pStyle w:val="BulletLevel1"/>
        <w:rPr>
          <w:b/>
        </w:rPr>
      </w:pPr>
      <w:bookmarkStart w:id="8051" w:name="_Toc408990899"/>
      <w:r w:rsidRPr="008C5B1B">
        <w:t>OW10 – Increase the amount of freight moved by sustainable modes</w:t>
      </w:r>
      <w:bookmarkEnd w:id="8051"/>
    </w:p>
    <w:p w:rsidR="00660414" w:rsidRPr="000A76BD" w:rsidRDefault="00660414" w:rsidP="00273D5E">
      <w:pPr>
        <w:pStyle w:val="BulletLevel1"/>
        <w:rPr>
          <w:b/>
        </w:rPr>
      </w:pPr>
      <w:bookmarkStart w:id="8052" w:name="_Toc408990900"/>
      <w:r w:rsidRPr="008C5B1B">
        <w:t>OW12 – Increase use of intermodal transport</w:t>
      </w:r>
      <w:bookmarkEnd w:id="8052"/>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for container operations.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6.44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keepNext/>
              <w:spacing w:before="120" w:line="276" w:lineRule="auto"/>
              <w:jc w:val="center"/>
              <w:outlineLvl w:val="3"/>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8</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Intermodal terminal 6-8 hectares</w:t>
            </w:r>
          </w:p>
          <w:p w:rsidR="00660414" w:rsidRPr="008C5B1B" w:rsidRDefault="00660414" w:rsidP="007613DE">
            <w:pPr>
              <w:spacing w:before="120" w:line="276" w:lineRule="auto"/>
              <w:rPr>
                <w:b/>
                <w:bCs/>
                <w:sz w:val="22"/>
                <w:szCs w:val="22"/>
              </w:rPr>
            </w:pPr>
            <w:r w:rsidRPr="008C5B1B">
              <w:rPr>
                <w:b/>
                <w:bCs/>
                <w:sz w:val="22"/>
                <w:szCs w:val="22"/>
              </w:rPr>
              <w:t>Handling equipment</w:t>
            </w:r>
          </w:p>
          <w:p w:rsidR="00660414" w:rsidRPr="008C5B1B" w:rsidRDefault="00660414" w:rsidP="007613DE">
            <w:pPr>
              <w:spacing w:before="120" w:line="276" w:lineRule="auto"/>
              <w:rPr>
                <w:b/>
                <w:bCs/>
                <w:sz w:val="22"/>
                <w:szCs w:val="22"/>
              </w:rPr>
            </w:pPr>
            <w:r w:rsidRPr="008C5B1B">
              <w:rPr>
                <w:b/>
                <w:bCs/>
                <w:sz w:val="22"/>
                <w:szCs w:val="22"/>
              </w:rPr>
              <w:t>2 gauge cleared railway lines</w:t>
            </w:r>
          </w:p>
          <w:p w:rsidR="00660414" w:rsidRPr="008C5B1B" w:rsidRDefault="00660414" w:rsidP="007613DE">
            <w:pPr>
              <w:spacing w:before="120" w:line="276" w:lineRule="auto"/>
              <w:rPr>
                <w:b/>
                <w:bCs/>
                <w:sz w:val="22"/>
                <w:szCs w:val="22"/>
              </w:rPr>
            </w:pPr>
            <w:r w:rsidRPr="008C5B1B">
              <w:rPr>
                <w:b/>
                <w:bCs/>
                <w:sz w:val="22"/>
                <w:szCs w:val="22"/>
              </w:rPr>
              <w:t>Improved road connections</w:t>
            </w:r>
          </w:p>
        </w:tc>
      </w:tr>
    </w:tbl>
    <w:p w:rsidR="00660414" w:rsidRPr="000A76BD" w:rsidRDefault="00660414" w:rsidP="00660414">
      <w:pPr>
        <w:spacing w:line="276" w:lineRule="auto"/>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Pr="000A76BD" w:rsidRDefault="00660414" w:rsidP="00A4081F">
      <w:pPr>
        <w:pStyle w:val="NumberedParas"/>
      </w:pPr>
      <w:r w:rsidRPr="008C5B1B">
        <w:t>The intervention gives a limited return with a benefit-cost ratio (BCR) of 0.6. The proposal is anticipated to generate over 11,000 tonnes of freight in 2020. Although the model outputs are limited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6.45</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I-DB-S (W19)</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100,5149</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1.11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5.6%</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u w:val="single"/>
        </w:rPr>
      </w:pP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2021-2030</w:t>
      </w:r>
    </w:p>
    <w:p w:rsidR="00660414" w:rsidRPr="000A76BD" w:rsidRDefault="00660414" w:rsidP="00A4081F">
      <w:pPr>
        <w:pStyle w:val="NumberedParas"/>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p>
    <w:p w:rsidR="00660414" w:rsidRPr="000A76BD" w:rsidRDefault="00660414" w:rsidP="00660414">
      <w:pPr>
        <w:spacing w:line="276" w:lineRule="auto"/>
        <w:rPr>
          <w:sz w:val="22"/>
          <w:szCs w:val="22"/>
        </w:rPr>
      </w:pPr>
    </w:p>
    <w:p w:rsidR="00660414" w:rsidRDefault="00660414" w:rsidP="00660414">
      <w:pPr>
        <w:rPr>
          <w:b/>
          <w:sz w:val="22"/>
          <w:szCs w:val="22"/>
        </w:rPr>
      </w:pPr>
      <w:r>
        <w:rPr>
          <w:b/>
          <w:sz w:val="22"/>
          <w:szCs w:val="22"/>
        </w:rPr>
        <w:br w:type="page"/>
      </w:r>
    </w:p>
    <w:p w:rsidR="00660414" w:rsidRPr="000A76BD" w:rsidRDefault="00660414" w:rsidP="00660414">
      <w:pPr>
        <w:spacing w:line="276" w:lineRule="auto"/>
        <w:rPr>
          <w:b/>
          <w:sz w:val="22"/>
          <w:szCs w:val="22"/>
        </w:rPr>
      </w:pPr>
      <w:r w:rsidRPr="008C5B1B">
        <w:rPr>
          <w:b/>
          <w:sz w:val="22"/>
          <w:szCs w:val="22"/>
        </w:rPr>
        <w:t>Develop the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Drobeta</w:t>
      </w:r>
      <w:r>
        <w:t xml:space="preserve"> </w:t>
      </w:r>
      <w:r>
        <w:rPr>
          <w:lang w:val="ro-RO"/>
        </w:rPr>
        <w:t>Turnu Severin</w:t>
      </w:r>
      <w:r w:rsidRPr="008C5B1B">
        <w:t>’s port infrastructure needs improving to be able to handle freight. Improved freight handling will increase the port’s handling capacity. The current general freight handling ability is just 30 tonnes per hour which is a limiting factor. This proposal will incorporate:</w:t>
      </w:r>
    </w:p>
    <w:p w:rsidR="00660414" w:rsidRPr="000A76BD" w:rsidRDefault="00660414" w:rsidP="00273D5E">
      <w:pPr>
        <w:pStyle w:val="BulletLevel1"/>
      </w:pPr>
      <w:r w:rsidRPr="00BB0FCC">
        <w:t>Improvements to existing handling equipment a</w:t>
      </w:r>
      <w:r w:rsidRPr="007C173F">
        <w:t>nd facilities</w:t>
      </w:r>
    </w:p>
    <w:p w:rsidR="00660414" w:rsidRPr="000A76BD" w:rsidRDefault="00660414" w:rsidP="00273D5E">
      <w:pPr>
        <w:pStyle w:val="BulletLevel1"/>
      </w:pPr>
      <w:r w:rsidRPr="003B3E0A">
        <w:t>New berths</w:t>
      </w:r>
    </w:p>
    <w:p w:rsidR="00660414" w:rsidRPr="000A76BD" w:rsidRDefault="00660414" w:rsidP="00273D5E">
      <w:pPr>
        <w:pStyle w:val="BulletLevel1"/>
      </w:pPr>
      <w:r w:rsidRPr="003B3E0A">
        <w:t>Additional freight handling areas through rearrangement of port facilities</w:t>
      </w:r>
    </w:p>
    <w:p w:rsidR="00660414" w:rsidRPr="008C5B1B" w:rsidRDefault="00660414" w:rsidP="00660414">
      <w:pPr>
        <w:spacing w:line="276" w:lineRule="auto"/>
        <w:jc w:val="center"/>
        <w:rPr>
          <w:noProof/>
          <w:sz w:val="22"/>
          <w:szCs w:val="22"/>
          <w:lang w:eastAsia="en-GB"/>
        </w:rPr>
      </w:pPr>
      <w:r w:rsidRPr="008C5B1B">
        <w:rPr>
          <w:noProof/>
          <w:sz w:val="22"/>
          <w:szCs w:val="22"/>
          <w:lang w:val="ro-RO" w:eastAsia="ro-RO"/>
        </w:rPr>
        <w:drawing>
          <wp:inline distT="0" distB="0" distL="0" distR="0" wp14:anchorId="48BBFB14" wp14:editId="6E9C0AF3">
            <wp:extent cx="3940875" cy="1440475"/>
            <wp:effectExtent l="19050" t="0" r="2475" b="0"/>
            <wp:docPr id="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3940875" cy="1440475"/>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2</w:t>
      </w:r>
      <w:r w:rsidRPr="008C5B1B">
        <w:rPr>
          <w:b/>
          <w:noProof/>
          <w:sz w:val="22"/>
          <w:szCs w:val="22"/>
          <w:lang w:eastAsia="en-GB"/>
        </w:rPr>
        <w:t xml:space="preserve"> – Infrastructure Development Plans at Drobeta</w:t>
      </w:r>
      <w:r w:rsidRPr="004D10AD">
        <w:rPr>
          <w:lang w:val="ro-RO"/>
        </w:rPr>
        <w:t xml:space="preserve"> </w:t>
      </w:r>
      <w:r w:rsidRPr="008C5B1B">
        <w:rPr>
          <w:b/>
          <w:noProof/>
          <w:sz w:val="22"/>
          <w:szCs w:val="22"/>
          <w:lang w:val="ro-RO" w:eastAsia="en-GB"/>
        </w:rPr>
        <w:t>Turnu Severin</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0A76BD" w:rsidRDefault="00660414" w:rsidP="00273D5E">
      <w:pPr>
        <w:pStyle w:val="BulletLevel1"/>
      </w:pPr>
      <w:r w:rsidRPr="00BB0FCC">
        <w:t>The current port layout is not</w:t>
      </w:r>
      <w:r w:rsidRPr="007C173F">
        <w:t xml:space="preserve"> maximising efficient use of port facilities and land</w:t>
      </w:r>
    </w:p>
    <w:p w:rsidR="00660414" w:rsidRPr="000A76BD" w:rsidRDefault="00660414" w:rsidP="00273D5E">
      <w:pPr>
        <w:pStyle w:val="BulletLevel1"/>
      </w:pPr>
      <w:r w:rsidRPr="003B3E0A">
        <w:t>Current handling equipment is not suitable for modern freight requirements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53" w:name="_Toc408990901"/>
      <w:r w:rsidRPr="008C5B1B">
        <w:t>OW3 – Unblock barriers to operational efficiency</w:t>
      </w:r>
      <w:bookmarkEnd w:id="8053"/>
    </w:p>
    <w:p w:rsidR="00660414" w:rsidRPr="000A76BD" w:rsidRDefault="00660414" w:rsidP="00273D5E">
      <w:pPr>
        <w:pStyle w:val="BulletLevel1"/>
        <w:rPr>
          <w:b/>
        </w:rPr>
      </w:pPr>
      <w:bookmarkStart w:id="8054" w:name="_Toc408990902"/>
      <w:r w:rsidRPr="008C5B1B">
        <w:t>OW4 – Reduce costs through operational efficiency</w:t>
      </w:r>
      <w:bookmarkEnd w:id="8054"/>
    </w:p>
    <w:p w:rsidR="00660414" w:rsidRPr="000A76BD" w:rsidRDefault="00660414" w:rsidP="00273D5E">
      <w:pPr>
        <w:pStyle w:val="BulletLevel1"/>
        <w:rPr>
          <w:b/>
        </w:rPr>
      </w:pPr>
      <w:bookmarkStart w:id="8055" w:name="_Toc408990903"/>
      <w:r w:rsidRPr="008C5B1B">
        <w:t>OW10 – Increase the amount of freight moved by sustainable modes</w:t>
      </w:r>
      <w:bookmarkEnd w:id="8055"/>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 for all of Drobeta</w:t>
      </w:r>
      <w:r w:rsidRPr="004D10AD">
        <w:rPr>
          <w:lang w:val="ro-RO"/>
        </w:rPr>
        <w:t xml:space="preserve"> </w:t>
      </w:r>
      <w:r>
        <w:rPr>
          <w:lang w:val="ro-RO"/>
        </w:rPr>
        <w:t>Turnu Severin</w:t>
      </w:r>
      <w:r w:rsidRPr="008C5B1B">
        <w:t>’s operations including its petroleum and iron ore trade.</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6.46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17</w:t>
            </w:r>
            <w:r>
              <w:rPr>
                <w:b/>
                <w:bCs/>
                <w:sz w:val="22"/>
                <w:szCs w:val="22"/>
              </w:rPr>
              <w:t>.3</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Improvement to handling equipment and facilities</w:t>
            </w:r>
          </w:p>
          <w:p w:rsidR="00660414" w:rsidRPr="008C5B1B" w:rsidRDefault="00660414" w:rsidP="007613DE">
            <w:pPr>
              <w:spacing w:before="120" w:line="276" w:lineRule="auto"/>
              <w:rPr>
                <w:b/>
                <w:bCs/>
                <w:sz w:val="22"/>
                <w:szCs w:val="22"/>
              </w:rPr>
            </w:pPr>
            <w:r w:rsidRPr="008C5B1B">
              <w:rPr>
                <w:b/>
                <w:bCs/>
                <w:sz w:val="22"/>
                <w:szCs w:val="22"/>
              </w:rPr>
              <w:t>New berths</w:t>
            </w:r>
          </w:p>
          <w:p w:rsidR="00660414" w:rsidRPr="008C5B1B" w:rsidRDefault="00660414" w:rsidP="007613DE">
            <w:pPr>
              <w:spacing w:before="120" w:line="276" w:lineRule="auto"/>
              <w:rPr>
                <w:b/>
                <w:bCs/>
                <w:sz w:val="22"/>
                <w:szCs w:val="22"/>
              </w:rPr>
            </w:pPr>
            <w:r w:rsidRPr="008C5B1B">
              <w:rPr>
                <w:b/>
                <w:bCs/>
                <w:sz w:val="22"/>
                <w:szCs w:val="22"/>
              </w:rPr>
              <w:t>Rearranged port layout</w:t>
            </w:r>
          </w:p>
        </w:tc>
      </w:tr>
    </w:tbl>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limited return with a benefit-cost ratio (BCR) of 0.6. The proposal is anticipated to generate over 11,000 tonnes of freight in 2020. Although the model outputs are limited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6.47</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P-DB-S (W23)</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108,401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117</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11.68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22.8%</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348EA227" wp14:editId="5EEF8AF5">
            <wp:extent cx="5228194" cy="1413163"/>
            <wp:effectExtent l="19050" t="0" r="10556" b="0"/>
            <wp:docPr id="21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3</w:t>
      </w:r>
      <w:r w:rsidRPr="008C5B1B">
        <w:rPr>
          <w:b/>
          <w:noProof/>
          <w:sz w:val="22"/>
          <w:szCs w:val="22"/>
          <w:lang w:eastAsia="en-GB"/>
        </w:rPr>
        <w:t xml:space="preserve"> –Tonnes Handled at Drobeta</w:t>
      </w:r>
      <w:r w:rsidRPr="004D10AD">
        <w:rPr>
          <w:lang w:val="ro-RO"/>
        </w:rPr>
        <w:t xml:space="preserve"> </w:t>
      </w:r>
      <w:r w:rsidRPr="008C5B1B">
        <w:rPr>
          <w:b/>
          <w:noProof/>
          <w:sz w:val="22"/>
          <w:szCs w:val="22"/>
          <w:lang w:val="ro-RO" w:eastAsia="en-GB"/>
        </w:rPr>
        <w:t>Turnu Severin</w:t>
      </w:r>
      <w:r w:rsidRPr="008C5B1B">
        <w:rPr>
          <w:b/>
          <w:noProof/>
          <w:sz w:val="22"/>
          <w:szCs w:val="22"/>
          <w:lang w:eastAsia="en-GB"/>
        </w:rPr>
        <w:t xml:space="preserve"> 2007-2011 and Forecast in 2020</w:t>
      </w:r>
    </w:p>
    <w:p w:rsidR="00660414" w:rsidRDefault="00660414" w:rsidP="00A4081F">
      <w:pPr>
        <w:pStyle w:val="NumberedParas"/>
        <w:rPr>
          <w:noProof/>
          <w:lang w:eastAsia="en-GB"/>
        </w:rPr>
      </w:pPr>
      <w:r>
        <w:rPr>
          <w:noProof/>
          <w:lang w:eastAsia="en-GB"/>
        </w:rPr>
        <w:t xml:space="preserve">Based upon the capacity figures the port has a theoretical maximum capacity of 500,000 tonnes per year. By 2020 it is predicted that the port will </w:t>
      </w:r>
      <w:r>
        <w:t>have</w:t>
      </w:r>
      <w:r>
        <w:rPr>
          <w:noProof/>
          <w:lang w:eastAsia="en-GB"/>
        </w:rPr>
        <w:t xml:space="preserve"> exceeded this theoretical maximum capacity and so the recommended projects will help the port to achieve its potential.</w:t>
      </w:r>
    </w:p>
    <w:p w:rsidR="00660414" w:rsidRDefault="00660414" w:rsidP="00A4081F">
      <w:pPr>
        <w:pStyle w:val="NumberedParas"/>
        <w:numPr>
          <w:ilvl w:val="0"/>
          <w:numId w:val="0"/>
        </w:numPr>
      </w:pPr>
      <w:r w:rsidRPr="00AA40A9">
        <w:rPr>
          <w:noProof/>
          <w:lang w:eastAsia="en-GB"/>
        </w:rPr>
        <w:t xml:space="preserve">Table </w:t>
      </w:r>
      <w:r>
        <w:rPr>
          <w:noProof/>
          <w:lang w:eastAsia="en-GB"/>
        </w:rPr>
        <w:t>6.48</w:t>
      </w:r>
      <w:r w:rsidRPr="00AA40A9">
        <w:rPr>
          <w:noProof/>
          <w:lang w:eastAsia="en-GB"/>
        </w:rPr>
        <w:t xml:space="preserve"> – </w:t>
      </w:r>
      <w:r>
        <w:rPr>
          <w:noProof/>
          <w:lang w:eastAsia="en-GB"/>
        </w:rPr>
        <w:t>Forecast Utilisation at Drobeta Turnu Severin</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660414" w:rsidRPr="00EE29FD" w:rsidTr="007613DE">
        <w:trPr>
          <w:trHeight w:val="315"/>
        </w:trPr>
        <w:tc>
          <w:tcPr>
            <w:tcW w:w="1116" w:type="dxa"/>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EE29FD" w:rsidTr="007613DE">
        <w:trPr>
          <w:trHeight w:val="315"/>
        </w:trPr>
        <w:tc>
          <w:tcPr>
            <w:tcW w:w="1116" w:type="dxa"/>
            <w:shd w:val="clear" w:color="000000" w:fill="376091"/>
            <w:noWrap/>
            <w:vAlign w:val="bottom"/>
            <w:hideMark/>
          </w:tcPr>
          <w:p w:rsidR="00660414" w:rsidRPr="00EE29FD"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1141"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87"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 </w:t>
            </w:r>
          </w:p>
        </w:tc>
        <w:tc>
          <w:tcPr>
            <w:tcW w:w="1116"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60"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10.50%</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10.91%</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2.92%</w:t>
            </w:r>
          </w:p>
        </w:tc>
        <w:tc>
          <w:tcPr>
            <w:tcW w:w="960"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4.74%</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106.93%</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111.08%</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13.84%</w:t>
            </w:r>
          </w:p>
        </w:tc>
        <w:tc>
          <w:tcPr>
            <w:tcW w:w="960"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22.48%</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Containers</w:t>
            </w:r>
          </w:p>
        </w:tc>
        <w:tc>
          <w:tcPr>
            <w:tcW w:w="1141" w:type="dxa"/>
            <w:shd w:val="clear" w:color="000000" w:fill="DBE5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xml:space="preserve"> </w:t>
            </w:r>
          </w:p>
        </w:tc>
        <w:tc>
          <w:tcPr>
            <w:tcW w:w="987" w:type="dxa"/>
            <w:shd w:val="clear" w:color="000000" w:fill="C5D9F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Containers</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0.35%</w:t>
            </w:r>
          </w:p>
        </w:tc>
        <w:tc>
          <w:tcPr>
            <w:tcW w:w="960"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0.57%</w:t>
            </w:r>
          </w:p>
        </w:tc>
      </w:tr>
      <w:tr w:rsidR="00660414" w:rsidRPr="00EE29FD" w:rsidTr="007613DE">
        <w:trPr>
          <w:trHeight w:val="330"/>
        </w:trPr>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Other</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66.28%</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69.11%</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Other</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20.32%</w:t>
            </w:r>
          </w:p>
        </w:tc>
        <w:tc>
          <w:tcPr>
            <w:tcW w:w="960"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33.01%</w:t>
            </w:r>
          </w:p>
        </w:tc>
      </w:tr>
    </w:tbl>
    <w:p w:rsidR="00660414" w:rsidRDefault="00660414" w:rsidP="00A4081F">
      <w:pPr>
        <w:pStyle w:val="NumberedParas"/>
        <w:rPr>
          <w:noProof/>
          <w:lang w:eastAsia="en-GB"/>
        </w:rPr>
      </w:pPr>
      <w:r>
        <w:rPr>
          <w:noProof/>
          <w:lang w:eastAsia="en-GB"/>
        </w:rPr>
        <w:t>The table shows that by developing the infrastructure at the port and including a trimodal terminal has the effect of providing sufficient capacity to address the forecast utilisation issues.</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rPr>
          <w:b/>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r w:rsidRPr="008C5B1B">
        <w:rPr>
          <w:b/>
        </w:rPr>
        <w:br w:type="page"/>
      </w:r>
    </w:p>
    <w:p w:rsidR="00660414" w:rsidRPr="000A76BD" w:rsidRDefault="00660414" w:rsidP="00660414">
      <w:pPr>
        <w:spacing w:line="276" w:lineRule="auto"/>
        <w:rPr>
          <w:b/>
          <w:sz w:val="22"/>
          <w:szCs w:val="22"/>
        </w:rPr>
      </w:pPr>
      <w:r w:rsidRPr="008C5B1B">
        <w:rPr>
          <w:b/>
          <w:sz w:val="22"/>
          <w:szCs w:val="22"/>
        </w:rPr>
        <w:t>Orsova:</w:t>
      </w:r>
    </w:p>
    <w:p w:rsidR="00660414" w:rsidRPr="000A76BD" w:rsidRDefault="00660414" w:rsidP="00660414">
      <w:pPr>
        <w:spacing w:line="276" w:lineRule="auto"/>
        <w:rPr>
          <w:b/>
          <w:sz w:val="22"/>
          <w:szCs w:val="22"/>
        </w:rPr>
      </w:pPr>
      <w:r w:rsidRPr="008C5B1B">
        <w:rPr>
          <w:b/>
          <w:sz w:val="22"/>
          <w:szCs w:val="22"/>
        </w:rPr>
        <w:t>Modernisation of the port</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Default="00660414" w:rsidP="00A4081F">
      <w:pPr>
        <w:pStyle w:val="NumberedParas"/>
      </w:pPr>
      <w:r w:rsidRPr="008C5B1B">
        <w:t>The infrastructure at Orsova is old and needs modernising. Specifically this proposal incorporates:</w:t>
      </w:r>
    </w:p>
    <w:p w:rsidR="00660414" w:rsidRPr="000A76BD" w:rsidRDefault="00660414" w:rsidP="00273D5E">
      <w:pPr>
        <w:pStyle w:val="BulletLevel1"/>
      </w:pPr>
      <w:r w:rsidRPr="007C173F">
        <w:t xml:space="preserve">Improvements to the </w:t>
      </w:r>
      <w:r w:rsidRPr="003B3E0A">
        <w:t>berth area</w:t>
      </w:r>
    </w:p>
    <w:p w:rsidR="00660414" w:rsidRPr="000A76BD" w:rsidRDefault="00660414" w:rsidP="00273D5E">
      <w:pPr>
        <w:pStyle w:val="BulletLevel1"/>
      </w:pPr>
      <w:r w:rsidRPr="003B3E0A">
        <w:t>Improvements to signalling</w:t>
      </w:r>
    </w:p>
    <w:p w:rsidR="00660414" w:rsidRPr="000A76BD" w:rsidRDefault="00660414" w:rsidP="00273D5E">
      <w:pPr>
        <w:pStyle w:val="BulletLevel1"/>
      </w:pPr>
      <w:r w:rsidRPr="003B3E0A">
        <w:t>Creation of new berths to handle modern freight</w:t>
      </w:r>
    </w:p>
    <w:p w:rsidR="00660414" w:rsidRPr="000A76BD" w:rsidRDefault="00660414" w:rsidP="00660414">
      <w:pPr>
        <w:spacing w:line="276" w:lineRule="auto"/>
        <w:rPr>
          <w:noProof/>
          <w:sz w:val="22"/>
          <w:szCs w:val="22"/>
          <w:lang w:eastAsia="en-GB"/>
        </w:rPr>
      </w:pPr>
      <w:r w:rsidRPr="008C5B1B">
        <w:rPr>
          <w:noProof/>
          <w:sz w:val="22"/>
          <w:szCs w:val="22"/>
          <w:lang w:val="ro-RO" w:eastAsia="ro-RO"/>
        </w:rPr>
        <w:drawing>
          <wp:inline distT="0" distB="0" distL="0" distR="0" wp14:anchorId="7E7CC780" wp14:editId="13FE8120">
            <wp:extent cx="4118850" cy="814788"/>
            <wp:effectExtent l="19050" t="0" r="0" b="0"/>
            <wp:docPr id="2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4118850" cy="814788"/>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4</w:t>
      </w:r>
      <w:r w:rsidRPr="008C5B1B">
        <w:rPr>
          <w:b/>
          <w:noProof/>
          <w:sz w:val="22"/>
          <w:szCs w:val="22"/>
          <w:lang w:eastAsia="en-GB"/>
        </w:rPr>
        <w:t xml:space="preserve"> – Modernisation Plans at Orsova</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7C173F" w:rsidRDefault="00660414" w:rsidP="00273D5E">
      <w:pPr>
        <w:pStyle w:val="BulletLevel1"/>
      </w:pPr>
      <w:r w:rsidRPr="00BB0FCC">
        <w:t>Tonnes handled from one year to next varies and so a general modernisation programme at the port will provide stability</w:t>
      </w:r>
    </w:p>
    <w:p w:rsidR="00660414" w:rsidRPr="000A76BD" w:rsidRDefault="00660414" w:rsidP="00273D5E">
      <w:pPr>
        <w:pStyle w:val="BulletLevel1"/>
      </w:pPr>
      <w:r w:rsidRPr="003B3E0A">
        <w:t>Old infrastructure is not suitable to modern freight requirements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56" w:name="_Toc408990904"/>
      <w:r w:rsidRPr="008C5B1B">
        <w:t>OW3 – Unblock barriers to operational efficiency</w:t>
      </w:r>
      <w:bookmarkEnd w:id="8056"/>
    </w:p>
    <w:p w:rsidR="00660414" w:rsidRPr="000A76BD" w:rsidRDefault="00660414" w:rsidP="00273D5E">
      <w:pPr>
        <w:pStyle w:val="BulletLevel1"/>
        <w:rPr>
          <w:b/>
        </w:rPr>
      </w:pPr>
      <w:bookmarkStart w:id="8057" w:name="_Toc408990905"/>
      <w:r w:rsidRPr="008C5B1B">
        <w:t>OW4 – Reduce costs through operational efficiency</w:t>
      </w:r>
      <w:bookmarkEnd w:id="8057"/>
    </w:p>
    <w:p w:rsidR="00660414" w:rsidRPr="000A76BD" w:rsidRDefault="00660414" w:rsidP="00273D5E">
      <w:pPr>
        <w:pStyle w:val="BulletLevel1"/>
        <w:rPr>
          <w:b/>
        </w:rPr>
      </w:pPr>
      <w:bookmarkStart w:id="8058" w:name="_Toc408990906"/>
      <w:r w:rsidRPr="008C5B1B">
        <w:t>OW10 – Increase the amount of freight moved by sustainable modes</w:t>
      </w:r>
      <w:bookmarkEnd w:id="8058"/>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benefit all operations at the port such as building materials and raw minerals and may attract new flows.</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6.49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keepNext/>
              <w:spacing w:before="120" w:line="276" w:lineRule="auto"/>
              <w:jc w:val="center"/>
              <w:outlineLvl w:val="3"/>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Pr>
                <w:b/>
                <w:bCs/>
                <w:sz w:val="22"/>
                <w:szCs w:val="22"/>
              </w:rPr>
              <w:t>7.</w:t>
            </w:r>
            <w:r w:rsidRPr="008C5B1B">
              <w:rPr>
                <w:b/>
                <w:bCs/>
                <w:sz w:val="22"/>
                <w:szCs w:val="22"/>
              </w:rPr>
              <w:t>8</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Improvement to berth area</w:t>
            </w:r>
          </w:p>
          <w:p w:rsidR="00660414" w:rsidRPr="008C5B1B" w:rsidRDefault="00660414" w:rsidP="007613DE">
            <w:pPr>
              <w:spacing w:before="120" w:line="276" w:lineRule="auto"/>
              <w:rPr>
                <w:b/>
                <w:bCs/>
                <w:sz w:val="22"/>
                <w:szCs w:val="22"/>
              </w:rPr>
            </w:pPr>
            <w:r w:rsidRPr="008C5B1B">
              <w:rPr>
                <w:b/>
                <w:bCs/>
                <w:sz w:val="22"/>
                <w:szCs w:val="22"/>
              </w:rPr>
              <w:t>New berths</w:t>
            </w:r>
          </w:p>
          <w:p w:rsidR="00660414" w:rsidRPr="008C5B1B" w:rsidRDefault="00660414" w:rsidP="007613DE">
            <w:pPr>
              <w:spacing w:before="120" w:line="276" w:lineRule="auto"/>
              <w:rPr>
                <w:b/>
                <w:bCs/>
                <w:sz w:val="22"/>
                <w:szCs w:val="22"/>
              </w:rPr>
            </w:pPr>
            <w:r w:rsidRPr="008C5B1B">
              <w:rPr>
                <w:b/>
                <w:bCs/>
                <w:sz w:val="22"/>
                <w:szCs w:val="22"/>
              </w:rPr>
              <w:t>Improved signalling</w:t>
            </w:r>
          </w:p>
        </w:tc>
      </w:tr>
    </w:tbl>
    <w:p w:rsidR="00660414" w:rsidRPr="000A76BD"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12.7. The proposal is anticipated to generate over 66,000 tonnes of freight in 2020. This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6.50</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Pr>
                <w:b/>
                <w:bCs/>
                <w:sz w:val="22"/>
                <w:szCs w:val="22"/>
              </w:rPr>
              <w:t>T</w:t>
            </w:r>
            <w:r w:rsidRPr="008C5B1B">
              <w:rPr>
                <w:b/>
                <w:bCs/>
                <w:sz w:val="22"/>
                <w:szCs w:val="22"/>
              </w:rPr>
              <w:t>est code</w:t>
            </w:r>
          </w:p>
        </w:tc>
        <w:tc>
          <w:tcPr>
            <w:tcW w:w="1628" w:type="dxa"/>
            <w:vAlign w:val="center"/>
          </w:tcPr>
          <w:p w:rsidR="00660414" w:rsidRPr="008C5B1B" w:rsidRDefault="00660414" w:rsidP="007613DE">
            <w:pPr>
              <w:rPr>
                <w:sz w:val="22"/>
                <w:szCs w:val="22"/>
              </w:rPr>
            </w:pPr>
            <w:r w:rsidRPr="008C5B1B">
              <w:rPr>
                <w:sz w:val="22"/>
                <w:szCs w:val="22"/>
              </w:rPr>
              <w:t>P-OV-S (W33)</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66,045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58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12.70</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24.8%</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8C5B1B" w:rsidRDefault="00660414" w:rsidP="00660414">
      <w:pPr>
        <w:spacing w:line="276" w:lineRule="auto"/>
        <w:rPr>
          <w:i/>
          <w:noProof/>
          <w:sz w:val="22"/>
          <w:szCs w:val="22"/>
          <w:u w:val="single"/>
          <w:lang w:eastAsia="en-GB"/>
        </w:rPr>
      </w:pPr>
    </w:p>
    <w:p w:rsidR="00660414" w:rsidRPr="008C5B1B"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784724E4" wp14:editId="5C5F252E">
            <wp:extent cx="5290935" cy="1603168"/>
            <wp:effectExtent l="19050" t="0" r="24015" b="0"/>
            <wp:docPr id="216"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660414"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5</w:t>
      </w:r>
      <w:r w:rsidRPr="008C5B1B">
        <w:rPr>
          <w:b/>
          <w:noProof/>
          <w:sz w:val="22"/>
          <w:szCs w:val="22"/>
          <w:lang w:eastAsia="en-GB"/>
        </w:rPr>
        <w:t xml:space="preserve"> –Tonnes Handled at Orsova 2007-2011 and Forecast in 2020</w:t>
      </w:r>
    </w:p>
    <w:p w:rsidR="00660414" w:rsidRDefault="00660414" w:rsidP="00A4081F">
      <w:pPr>
        <w:pStyle w:val="NumberedParas"/>
        <w:rPr>
          <w:noProof/>
          <w:lang w:eastAsia="en-GB"/>
        </w:rPr>
      </w:pPr>
      <w:r>
        <w:rPr>
          <w:noProof/>
          <w:lang w:eastAsia="en-GB"/>
        </w:rPr>
        <w:t>The capacity figures at Orsova give the port a theoretical maximum capacity of 806,000 tonnes per year. However the port infrastructure is ageing and it is unlikely to be able to achieve this in reality. Modernisation will help the port to realise its potential.</w:t>
      </w:r>
    </w:p>
    <w:p w:rsidR="00660414" w:rsidRDefault="00660414" w:rsidP="00A4081F">
      <w:pPr>
        <w:pStyle w:val="NumberedParas"/>
        <w:numPr>
          <w:ilvl w:val="0"/>
          <w:numId w:val="0"/>
        </w:numPr>
      </w:pPr>
      <w:r w:rsidRPr="00AA40A9">
        <w:rPr>
          <w:noProof/>
          <w:lang w:eastAsia="en-GB"/>
        </w:rPr>
        <w:t xml:space="preserve">Table </w:t>
      </w:r>
      <w:r>
        <w:rPr>
          <w:noProof/>
          <w:lang w:eastAsia="en-GB"/>
        </w:rPr>
        <w:t>6.51</w:t>
      </w:r>
      <w:r w:rsidRPr="00AA40A9">
        <w:rPr>
          <w:noProof/>
          <w:lang w:eastAsia="en-GB"/>
        </w:rPr>
        <w:t xml:space="preserve"> – </w:t>
      </w:r>
      <w:r>
        <w:rPr>
          <w:noProof/>
          <w:lang w:eastAsia="en-GB"/>
        </w:rPr>
        <w:t>Forecast Utilisation at Orsova</w:t>
      </w:r>
    </w:p>
    <w:tbl>
      <w:tblPr>
        <w:tblW w:w="681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87"/>
      </w:tblGrid>
      <w:tr w:rsidR="00660414" w:rsidRPr="00EE29FD" w:rsidTr="007613DE">
        <w:trPr>
          <w:trHeight w:val="315"/>
        </w:trPr>
        <w:tc>
          <w:tcPr>
            <w:tcW w:w="1116" w:type="dxa"/>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2128"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p>
        </w:tc>
        <w:tc>
          <w:tcPr>
            <w:tcW w:w="1116" w:type="dxa"/>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186" w:type="dxa"/>
            <w:gridSpan w:val="2"/>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EE29FD" w:rsidTr="007613DE">
        <w:trPr>
          <w:trHeight w:val="315"/>
        </w:trPr>
        <w:tc>
          <w:tcPr>
            <w:tcW w:w="1116" w:type="dxa"/>
            <w:shd w:val="clear" w:color="000000" w:fill="376091"/>
            <w:noWrap/>
            <w:vAlign w:val="bottom"/>
            <w:hideMark/>
          </w:tcPr>
          <w:p w:rsidR="00660414" w:rsidRPr="00EE29FD"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1141"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87"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c>
          <w:tcPr>
            <w:tcW w:w="266" w:type="dxa"/>
            <w:shd w:val="clear" w:color="000000" w:fill="25406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 </w:t>
            </w:r>
          </w:p>
        </w:tc>
        <w:tc>
          <w:tcPr>
            <w:tcW w:w="1116"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2020</w:t>
            </w:r>
          </w:p>
        </w:tc>
        <w:tc>
          <w:tcPr>
            <w:tcW w:w="987" w:type="dxa"/>
            <w:shd w:val="clear" w:color="000000" w:fill="376091"/>
            <w:noWrap/>
            <w:vAlign w:val="bottom"/>
            <w:hideMark/>
          </w:tcPr>
          <w:p w:rsidR="00660414" w:rsidRPr="00EE29FD" w:rsidRDefault="00660414" w:rsidP="007613DE">
            <w:pPr>
              <w:jc w:val="center"/>
              <w:rPr>
                <w:rFonts w:ascii="Calibri" w:hAnsi="Calibri"/>
                <w:b/>
                <w:bCs/>
                <w:color w:val="FFFFFF"/>
                <w:sz w:val="22"/>
                <w:szCs w:val="22"/>
                <w:lang w:eastAsia="en-GB"/>
              </w:rPr>
            </w:pPr>
            <w:r w:rsidRPr="00EE29FD">
              <w:rPr>
                <w:rFonts w:ascii="Calibri" w:hAnsi="Calibri"/>
                <w:b/>
                <w:bCs/>
                <w:color w:val="FFFFFF"/>
                <w:sz w:val="22"/>
                <w:szCs w:val="22"/>
                <w:lang w:eastAsia="en-GB"/>
              </w:rPr>
              <w:t>2030</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9.93%</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15.47%</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10.39%</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17.28%</w:t>
            </w:r>
          </w:p>
        </w:tc>
      </w:tr>
      <w:tr w:rsidR="00660414" w:rsidRPr="00EE29FD" w:rsidTr="007613DE">
        <w:trPr>
          <w:trHeight w:val="300"/>
        </w:trPr>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71.20%</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110.86%</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39.85%</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66.29%</w:t>
            </w:r>
          </w:p>
        </w:tc>
      </w:tr>
      <w:tr w:rsidR="00660414" w:rsidRPr="00EE29FD" w:rsidTr="007613DE">
        <w:trPr>
          <w:trHeight w:val="330"/>
        </w:trPr>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Other</w:t>
            </w:r>
          </w:p>
        </w:tc>
        <w:tc>
          <w:tcPr>
            <w:tcW w:w="1141"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1.83%</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sidRPr="00EE29FD">
              <w:rPr>
                <w:rFonts w:ascii="Calibri" w:hAnsi="Calibri"/>
                <w:color w:val="000000"/>
                <w:sz w:val="22"/>
                <w:szCs w:val="22"/>
                <w:lang w:eastAsia="en-GB"/>
              </w:rPr>
              <w:t>6.48%</w:t>
            </w:r>
          </w:p>
        </w:tc>
        <w:tc>
          <w:tcPr>
            <w:tcW w:w="266" w:type="dxa"/>
            <w:shd w:val="clear" w:color="000000" w:fill="254061"/>
            <w:noWrap/>
            <w:vAlign w:val="bottom"/>
            <w:hideMark/>
          </w:tcPr>
          <w:p w:rsidR="00660414" w:rsidRPr="00EE29FD" w:rsidRDefault="00660414" w:rsidP="007613DE">
            <w:pPr>
              <w:rPr>
                <w:rFonts w:ascii="Calibri" w:hAnsi="Calibri"/>
                <w:color w:val="000000"/>
                <w:sz w:val="22"/>
                <w:szCs w:val="22"/>
                <w:lang w:eastAsia="en-GB"/>
              </w:rPr>
            </w:pPr>
            <w:r w:rsidRPr="00EE29FD">
              <w:rPr>
                <w:rFonts w:ascii="Calibri" w:hAnsi="Calibri"/>
                <w:color w:val="000000"/>
                <w:sz w:val="22"/>
                <w:szCs w:val="22"/>
                <w:lang w:eastAsia="en-GB"/>
              </w:rPr>
              <w:t> </w:t>
            </w:r>
          </w:p>
        </w:tc>
        <w:tc>
          <w:tcPr>
            <w:tcW w:w="1116" w:type="dxa"/>
            <w:shd w:val="clear" w:color="000000" w:fill="95B3D7"/>
            <w:noWrap/>
            <w:vAlign w:val="bottom"/>
            <w:hideMark/>
          </w:tcPr>
          <w:p w:rsidR="00660414" w:rsidRDefault="00660414" w:rsidP="007613DE">
            <w:pPr>
              <w:rPr>
                <w:rFonts w:ascii="Gill Sans MT" w:hAnsi="Gill Sans MT"/>
                <w:color w:val="000000"/>
                <w:sz w:val="20"/>
                <w:szCs w:val="20"/>
                <w:lang w:eastAsia="en-GB"/>
              </w:rPr>
            </w:pPr>
            <w:r w:rsidRPr="00EE29FD">
              <w:rPr>
                <w:rFonts w:ascii="Gill Sans MT" w:hAnsi="Gill Sans MT"/>
                <w:color w:val="000000"/>
                <w:sz w:val="20"/>
                <w:szCs w:val="20"/>
                <w:lang w:eastAsia="en-GB"/>
              </w:rPr>
              <w:t>Other</w:t>
            </w:r>
          </w:p>
        </w:tc>
        <w:tc>
          <w:tcPr>
            <w:tcW w:w="1199" w:type="dxa"/>
            <w:shd w:val="clear" w:color="000000" w:fill="DBE5F1"/>
            <w:noWrap/>
            <w:vAlign w:val="bottom"/>
            <w:hideMark/>
          </w:tcPr>
          <w:p w:rsidR="00660414" w:rsidRPr="00EE29FD"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39.23</w:t>
            </w:r>
            <w:r w:rsidRPr="00EE29FD">
              <w:rPr>
                <w:rFonts w:ascii="Calibri" w:hAnsi="Calibri"/>
                <w:color w:val="000000"/>
                <w:sz w:val="22"/>
                <w:szCs w:val="22"/>
                <w:lang w:eastAsia="en-GB"/>
              </w:rPr>
              <w:t>%</w:t>
            </w:r>
          </w:p>
        </w:tc>
        <w:tc>
          <w:tcPr>
            <w:tcW w:w="987" w:type="dxa"/>
            <w:shd w:val="clear" w:color="000000" w:fill="C5D9F1"/>
            <w:noWrap/>
            <w:vAlign w:val="bottom"/>
            <w:hideMark/>
          </w:tcPr>
          <w:p w:rsidR="00660414" w:rsidRPr="00EE29FD" w:rsidRDefault="00660414" w:rsidP="007613DE">
            <w:pPr>
              <w:jc w:val="right"/>
              <w:rPr>
                <w:rFonts w:ascii="Calibri" w:hAnsi="Calibri"/>
                <w:color w:val="000000"/>
                <w:sz w:val="22"/>
                <w:szCs w:val="22"/>
                <w:lang w:eastAsia="en-GB"/>
              </w:rPr>
            </w:pPr>
            <w:r>
              <w:rPr>
                <w:rFonts w:ascii="Calibri" w:hAnsi="Calibri"/>
                <w:color w:val="000000"/>
                <w:sz w:val="22"/>
                <w:szCs w:val="22"/>
                <w:lang w:eastAsia="en-GB"/>
              </w:rPr>
              <w:t>66.93</w:t>
            </w:r>
            <w:r w:rsidRPr="00EE29FD">
              <w:rPr>
                <w:rFonts w:ascii="Calibri" w:hAnsi="Calibri"/>
                <w:color w:val="000000"/>
                <w:sz w:val="22"/>
                <w:szCs w:val="22"/>
                <w:lang w:eastAsia="en-GB"/>
              </w:rPr>
              <w:t>%</w:t>
            </w:r>
          </w:p>
        </w:tc>
      </w:tr>
    </w:tbl>
    <w:p w:rsidR="00660414" w:rsidRPr="008C5B1B" w:rsidRDefault="00660414" w:rsidP="00A4081F">
      <w:pPr>
        <w:pStyle w:val="NumberedParas"/>
        <w:rPr>
          <w:noProof/>
          <w:lang w:eastAsia="en-GB"/>
        </w:rPr>
      </w:pPr>
      <w:r>
        <w:rPr>
          <w:noProof/>
          <w:lang w:eastAsia="en-GB"/>
        </w:rPr>
        <w:t>Modernising the port has the effect of more efficient operations which increases capacity at the port. This increased capacity addresses the forecast utilisation issues.</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8C5B1B" w:rsidRDefault="00660414" w:rsidP="00A4081F">
      <w:pPr>
        <w:pStyle w:val="NumberedParas"/>
        <w:rPr>
          <w:bCs/>
          <w:i/>
          <w:u w:val="single"/>
        </w:rPr>
      </w:pPr>
      <w:r w:rsidRPr="008C5B1B">
        <w:t>This scheme would be implemented by APDF Giurgiu, possibly in conjunction with a private terminal operator.</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Default="00660414" w:rsidP="00A4081F">
      <w:pPr>
        <w:pStyle w:val="NumberedParas"/>
        <w:rPr>
          <w:i/>
          <w:noProof/>
          <w:u w:val="single"/>
          <w:lang w:eastAsia="en-GB"/>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r>
        <w:rPr>
          <w:i/>
          <w:noProof/>
          <w:u w:val="single"/>
          <w:lang w:eastAsia="en-GB"/>
        </w:rPr>
        <w:br w:type="page"/>
      </w:r>
    </w:p>
    <w:p w:rsidR="00660414" w:rsidRPr="000A76BD" w:rsidRDefault="00660414" w:rsidP="00660414">
      <w:pPr>
        <w:spacing w:line="276" w:lineRule="auto"/>
        <w:rPr>
          <w:b/>
          <w:sz w:val="22"/>
          <w:szCs w:val="22"/>
        </w:rPr>
      </w:pPr>
      <w:r w:rsidRPr="008C5B1B">
        <w:rPr>
          <w:b/>
          <w:sz w:val="22"/>
          <w:szCs w:val="22"/>
        </w:rPr>
        <w:t>Moldova Veche:</w:t>
      </w:r>
    </w:p>
    <w:p w:rsidR="00660414" w:rsidRPr="000A76BD" w:rsidRDefault="00660414" w:rsidP="00660414">
      <w:pPr>
        <w:spacing w:line="276" w:lineRule="auto"/>
        <w:rPr>
          <w:b/>
          <w:sz w:val="22"/>
          <w:szCs w:val="22"/>
        </w:rPr>
      </w:pPr>
      <w:r w:rsidRPr="008C5B1B">
        <w:rPr>
          <w:b/>
          <w:sz w:val="22"/>
          <w:szCs w:val="22"/>
        </w:rPr>
        <w:t>Developme</w:t>
      </w:r>
      <w:r w:rsidRPr="008C5B1B">
        <w:rPr>
          <w:b/>
          <w:noProof/>
          <w:sz w:val="22"/>
          <w:szCs w:val="22"/>
          <w:lang w:eastAsia="en-GB"/>
        </w:rPr>
        <w:t>nt</w:t>
      </w:r>
      <w:r w:rsidRPr="008C5B1B">
        <w:rPr>
          <w:b/>
          <w:sz w:val="22"/>
          <w:szCs w:val="22"/>
        </w:rPr>
        <w:t xml:space="preserve"> of the infrastructure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The volume of freight that passes through Moldova Veche varies considerably and so the development of the infrastructure at the port is intended to give greater stability in flow volumes. Greater stability will provide a strong platform with which to increase volumes at the port. Specifically the proposal incorporates:</w:t>
      </w:r>
    </w:p>
    <w:p w:rsidR="00660414" w:rsidRDefault="00660414" w:rsidP="00273D5E">
      <w:pPr>
        <w:pStyle w:val="BulletLevel1"/>
      </w:pPr>
      <w:r w:rsidRPr="00BB0FCC">
        <w:t>Improving 2 existing berths</w:t>
      </w:r>
      <w:r>
        <w:t xml:space="preserve"> and 3 new berths</w:t>
      </w:r>
    </w:p>
    <w:p w:rsidR="00660414" w:rsidRPr="000A76BD" w:rsidRDefault="00660414" w:rsidP="00273D5E">
      <w:pPr>
        <w:pStyle w:val="BulletLevel1"/>
      </w:pPr>
      <w:r w:rsidRPr="003B3E0A">
        <w:t>Dredging of port basin</w:t>
      </w:r>
    </w:p>
    <w:p w:rsidR="00660414" w:rsidRPr="000A76BD" w:rsidRDefault="00660414" w:rsidP="00273D5E">
      <w:pPr>
        <w:pStyle w:val="BulletLevel1"/>
      </w:pPr>
      <w:r w:rsidRPr="003B3E0A">
        <w:t>Improved port services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7C173F" w:rsidRDefault="00660414" w:rsidP="00273D5E">
      <w:pPr>
        <w:pStyle w:val="BulletLevel1"/>
      </w:pPr>
      <w:r w:rsidRPr="00BB0FCC">
        <w:t>Tonnes handled from one year to next varies and so a general development programme at the port will provide stability</w:t>
      </w:r>
    </w:p>
    <w:p w:rsidR="00660414" w:rsidRPr="000A76BD" w:rsidRDefault="00660414" w:rsidP="00273D5E">
      <w:pPr>
        <w:pStyle w:val="BulletLevel1"/>
      </w:pPr>
      <w:r w:rsidRPr="003B3E0A">
        <w:t>Old infrastructure is not suitable to modern freight requirements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59" w:name="_Toc408990907"/>
      <w:r w:rsidRPr="008C5B1B">
        <w:t>OW3 – Unblock barriers to operational efficiency</w:t>
      </w:r>
      <w:bookmarkEnd w:id="8059"/>
    </w:p>
    <w:p w:rsidR="00660414" w:rsidRPr="000A76BD" w:rsidRDefault="00660414" w:rsidP="00273D5E">
      <w:pPr>
        <w:pStyle w:val="BulletLevel1"/>
        <w:rPr>
          <w:b/>
        </w:rPr>
      </w:pPr>
      <w:bookmarkStart w:id="8060" w:name="_Toc408990908"/>
      <w:r w:rsidRPr="008C5B1B">
        <w:t>OW4 – Reduce costs through operational efficiency</w:t>
      </w:r>
      <w:bookmarkEnd w:id="8060"/>
    </w:p>
    <w:p w:rsidR="00660414" w:rsidRPr="000A76BD" w:rsidRDefault="00660414" w:rsidP="00273D5E">
      <w:pPr>
        <w:pStyle w:val="BulletLevel1"/>
        <w:rPr>
          <w:b/>
        </w:rPr>
      </w:pPr>
      <w:bookmarkStart w:id="8061" w:name="_Toc408990909"/>
      <w:r w:rsidRPr="008C5B1B">
        <w:t>OW10 – Increase the amount of freight moved by sustainable modes</w:t>
      </w:r>
      <w:bookmarkEnd w:id="8061"/>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 xml:space="preserve">This proposal would be to attract new flows to the port which would be identified in a detailed feasibility study. </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6.52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 xml:space="preserve">Cost </w:t>
            </w:r>
          </w:p>
        </w:tc>
        <w:tc>
          <w:tcPr>
            <w:tcW w:w="1330" w:type="pct"/>
            <w:vAlign w:val="center"/>
          </w:tcPr>
          <w:p w:rsidR="00660414" w:rsidRPr="008C5B1B" w:rsidRDefault="00660414" w:rsidP="007613DE">
            <w:pPr>
              <w:spacing w:before="120" w:line="276" w:lineRule="auto"/>
              <w:jc w:val="center"/>
              <w:rPr>
                <w:b/>
                <w:bCs/>
                <w:sz w:val="22"/>
                <w:szCs w:val="22"/>
              </w:rPr>
            </w:pPr>
            <w:r>
              <w:rPr>
                <w:b/>
                <w:bCs/>
                <w:sz w:val="22"/>
                <w:szCs w:val="22"/>
              </w:rPr>
              <w:t>3.7</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Improvement to berth area</w:t>
            </w:r>
          </w:p>
          <w:p w:rsidR="00660414" w:rsidRPr="008C5B1B" w:rsidRDefault="00660414" w:rsidP="007613DE">
            <w:pPr>
              <w:spacing w:before="120" w:line="276" w:lineRule="auto"/>
              <w:rPr>
                <w:b/>
                <w:bCs/>
                <w:sz w:val="22"/>
                <w:szCs w:val="22"/>
              </w:rPr>
            </w:pPr>
            <w:r w:rsidRPr="008C5B1B">
              <w:rPr>
                <w:b/>
                <w:bCs/>
                <w:sz w:val="22"/>
                <w:szCs w:val="22"/>
              </w:rPr>
              <w:t>New berths</w:t>
            </w:r>
          </w:p>
          <w:p w:rsidR="00660414" w:rsidRPr="008C5B1B" w:rsidRDefault="00660414" w:rsidP="007613DE">
            <w:pPr>
              <w:spacing w:before="120" w:line="276" w:lineRule="auto"/>
              <w:rPr>
                <w:b/>
                <w:bCs/>
                <w:sz w:val="22"/>
                <w:szCs w:val="22"/>
              </w:rPr>
            </w:pPr>
            <w:r w:rsidRPr="008C5B1B">
              <w:rPr>
                <w:b/>
                <w:bCs/>
                <w:sz w:val="22"/>
                <w:szCs w:val="22"/>
              </w:rPr>
              <w:t>Dredging of port basin</w:t>
            </w:r>
          </w:p>
          <w:p w:rsidR="00660414" w:rsidRPr="008C5B1B" w:rsidRDefault="00660414" w:rsidP="007613DE">
            <w:pPr>
              <w:spacing w:before="120" w:line="276" w:lineRule="auto"/>
              <w:rPr>
                <w:b/>
                <w:bCs/>
                <w:sz w:val="22"/>
                <w:szCs w:val="22"/>
              </w:rPr>
            </w:pPr>
            <w:r w:rsidRPr="008C5B1B">
              <w:rPr>
                <w:b/>
                <w:bCs/>
                <w:sz w:val="22"/>
                <w:szCs w:val="22"/>
              </w:rPr>
              <w:t>Improved port services</w:t>
            </w:r>
          </w:p>
        </w:tc>
      </w:tr>
    </w:tbl>
    <w:p w:rsidR="00660414"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1.51. For this reason the project is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6.53</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P-MV-S (W29)</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2,961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1.51</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7.2%</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i/>
          <w:noProof/>
          <w:sz w:val="22"/>
          <w:szCs w:val="22"/>
          <w:u w:val="single"/>
          <w:lang w:eastAsia="en-GB"/>
        </w:rPr>
      </w:pPr>
    </w:p>
    <w:p w:rsidR="00660414" w:rsidRPr="000A76BD"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28A17C4A" wp14:editId="5629F8C0">
            <wp:extent cx="5285665" cy="1793174"/>
            <wp:effectExtent l="19050" t="0" r="10235" b="0"/>
            <wp:docPr id="217"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660414" w:rsidRPr="000A76BD" w:rsidRDefault="00660414" w:rsidP="00660414">
      <w:pPr>
        <w:spacing w:line="276" w:lineRule="auto"/>
        <w:rPr>
          <w:b/>
          <w:noProof/>
          <w:sz w:val="22"/>
          <w:szCs w:val="22"/>
          <w:lang w:eastAsia="en-GB"/>
        </w:rPr>
      </w:pPr>
      <w:r w:rsidRPr="008C5B1B">
        <w:rPr>
          <w:b/>
          <w:noProof/>
          <w:sz w:val="22"/>
          <w:szCs w:val="22"/>
          <w:lang w:eastAsia="en-GB"/>
        </w:rPr>
        <w:t>Figure 6.2</w:t>
      </w:r>
      <w:r>
        <w:rPr>
          <w:b/>
          <w:noProof/>
          <w:sz w:val="22"/>
          <w:szCs w:val="22"/>
          <w:lang w:eastAsia="en-GB"/>
        </w:rPr>
        <w:t>6</w:t>
      </w:r>
      <w:r w:rsidRPr="008C5B1B">
        <w:rPr>
          <w:b/>
          <w:noProof/>
          <w:sz w:val="22"/>
          <w:szCs w:val="22"/>
          <w:lang w:eastAsia="en-GB"/>
        </w:rPr>
        <w:t xml:space="preserve"> –Tonnes Handled at Moldova Veche 2007-2011 and Forecast in 2020</w:t>
      </w:r>
    </w:p>
    <w:p w:rsidR="00660414" w:rsidRDefault="00660414" w:rsidP="00A4081F">
      <w:pPr>
        <w:pStyle w:val="NumberedParas"/>
        <w:rPr>
          <w:noProof/>
          <w:lang w:eastAsia="en-GB"/>
        </w:rPr>
      </w:pPr>
      <w:r>
        <w:rPr>
          <w:noProof/>
          <w:lang w:eastAsia="en-GB"/>
        </w:rPr>
        <w:t xml:space="preserve">Based on the capacity figures the port has a theoretical maximum capacity of 374,000 tonnes however some of these berths are old and </w:t>
      </w:r>
      <w:r>
        <w:t>have</w:t>
      </w:r>
      <w:r>
        <w:rPr>
          <w:noProof/>
          <w:lang w:eastAsia="en-GB"/>
        </w:rPr>
        <w:t xml:space="preserve"> old equipment meaning achieving the maximum capacity is not possible. Developing the infrastructure can help achieve this.</w:t>
      </w:r>
    </w:p>
    <w:p w:rsidR="00660414" w:rsidRDefault="00660414" w:rsidP="00A4081F">
      <w:pPr>
        <w:pStyle w:val="NumberedParas"/>
        <w:numPr>
          <w:ilvl w:val="0"/>
          <w:numId w:val="0"/>
        </w:numPr>
      </w:pPr>
      <w:r w:rsidRPr="00AA40A9">
        <w:rPr>
          <w:noProof/>
          <w:lang w:eastAsia="en-GB"/>
        </w:rPr>
        <w:t xml:space="preserve">Table </w:t>
      </w:r>
      <w:r>
        <w:rPr>
          <w:noProof/>
          <w:lang w:eastAsia="en-GB"/>
        </w:rPr>
        <w:t>6.54</w:t>
      </w:r>
      <w:r w:rsidRPr="00AA40A9">
        <w:rPr>
          <w:noProof/>
          <w:lang w:eastAsia="en-GB"/>
        </w:rPr>
        <w:t xml:space="preserve"> – </w:t>
      </w:r>
      <w:r>
        <w:rPr>
          <w:noProof/>
          <w:lang w:eastAsia="en-GB"/>
        </w:rPr>
        <w:t>Forecast Utilisation at Moldova Veche</w:t>
      </w:r>
    </w:p>
    <w:tbl>
      <w:tblPr>
        <w:tblW w:w="65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141"/>
        <w:gridCol w:w="960"/>
        <w:gridCol w:w="266"/>
        <w:gridCol w:w="1028"/>
        <w:gridCol w:w="1199"/>
        <w:gridCol w:w="960"/>
      </w:tblGrid>
      <w:tr w:rsidR="00660414" w:rsidRPr="0058771B" w:rsidTr="007613DE">
        <w:trPr>
          <w:trHeight w:val="315"/>
        </w:trPr>
        <w:tc>
          <w:tcPr>
            <w:tcW w:w="1008" w:type="dxa"/>
            <w:shd w:val="clear" w:color="000000" w:fill="376091"/>
            <w:noWrap/>
            <w:vAlign w:val="bottom"/>
            <w:hideMark/>
          </w:tcPr>
          <w:p w:rsidR="00660414" w:rsidRDefault="00660414" w:rsidP="007613DE">
            <w:pPr>
              <w:jc w:val="center"/>
              <w:rPr>
                <w:rFonts w:ascii="Calibri" w:hAnsi="Calibri"/>
                <w:color w:val="FFFFFF"/>
                <w:sz w:val="22"/>
                <w:szCs w:val="22"/>
                <w:lang w:eastAsia="en-GB"/>
              </w:rPr>
            </w:pPr>
          </w:p>
        </w:tc>
        <w:tc>
          <w:tcPr>
            <w:tcW w:w="2101" w:type="dxa"/>
            <w:gridSpan w:val="2"/>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Reference Case</w:t>
            </w:r>
          </w:p>
        </w:tc>
        <w:tc>
          <w:tcPr>
            <w:tcW w:w="266" w:type="dxa"/>
            <w:shd w:val="clear" w:color="000000" w:fill="254061"/>
            <w:noWrap/>
            <w:vAlign w:val="bottom"/>
            <w:hideMark/>
          </w:tcPr>
          <w:p w:rsidR="00660414" w:rsidRPr="0058771B" w:rsidRDefault="00660414" w:rsidP="007613DE">
            <w:pPr>
              <w:jc w:val="center"/>
              <w:rPr>
                <w:rFonts w:ascii="Calibri" w:hAnsi="Calibri"/>
                <w:b/>
                <w:bCs/>
                <w:color w:val="FFFFFF"/>
                <w:sz w:val="22"/>
                <w:szCs w:val="22"/>
                <w:lang w:eastAsia="en-GB"/>
              </w:rPr>
            </w:pPr>
          </w:p>
        </w:tc>
        <w:tc>
          <w:tcPr>
            <w:tcW w:w="1028" w:type="dxa"/>
            <w:shd w:val="clear" w:color="000000" w:fill="376091"/>
            <w:noWrap/>
            <w:vAlign w:val="bottom"/>
            <w:hideMark/>
          </w:tcPr>
          <w:p w:rsidR="00660414" w:rsidRDefault="00660414" w:rsidP="007613DE">
            <w:pPr>
              <w:jc w:val="center"/>
              <w:rPr>
                <w:rFonts w:ascii="Calibri" w:hAnsi="Calibri"/>
                <w:b/>
                <w:bCs/>
                <w:color w:val="FFFFFF"/>
                <w:sz w:val="22"/>
                <w:szCs w:val="22"/>
                <w:lang w:eastAsia="en-GB"/>
              </w:rPr>
            </w:pPr>
          </w:p>
        </w:tc>
        <w:tc>
          <w:tcPr>
            <w:tcW w:w="2159" w:type="dxa"/>
            <w:gridSpan w:val="2"/>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Do Something</w:t>
            </w:r>
          </w:p>
        </w:tc>
      </w:tr>
      <w:tr w:rsidR="00660414" w:rsidRPr="0058771B" w:rsidTr="007613DE">
        <w:trPr>
          <w:trHeight w:val="315"/>
        </w:trPr>
        <w:tc>
          <w:tcPr>
            <w:tcW w:w="1008" w:type="dxa"/>
            <w:shd w:val="clear" w:color="000000" w:fill="376091"/>
            <w:noWrap/>
            <w:vAlign w:val="bottom"/>
            <w:hideMark/>
          </w:tcPr>
          <w:p w:rsidR="00660414" w:rsidRPr="0058771B" w:rsidRDefault="00660414" w:rsidP="007613DE">
            <w:pPr>
              <w:jc w:val="center"/>
              <w:rPr>
                <w:rFonts w:ascii="Calibri" w:hAnsi="Calibri"/>
                <w:color w:val="FFFFFF"/>
                <w:sz w:val="22"/>
                <w:szCs w:val="22"/>
                <w:lang w:eastAsia="en-GB"/>
              </w:rPr>
            </w:pPr>
            <w:r>
              <w:rPr>
                <w:rFonts w:ascii="Calibri" w:hAnsi="Calibri"/>
                <w:color w:val="FFFFFF"/>
                <w:sz w:val="22"/>
                <w:szCs w:val="22"/>
                <w:lang w:eastAsia="en-GB"/>
              </w:rPr>
              <w:t>Terminal</w:t>
            </w:r>
          </w:p>
        </w:tc>
        <w:tc>
          <w:tcPr>
            <w:tcW w:w="1141" w:type="dxa"/>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sidRPr="0058771B">
              <w:rPr>
                <w:rFonts w:ascii="Calibri" w:hAnsi="Calibri"/>
                <w:b/>
                <w:bCs/>
                <w:color w:val="FFFFFF"/>
                <w:sz w:val="22"/>
                <w:szCs w:val="22"/>
                <w:lang w:eastAsia="en-GB"/>
              </w:rPr>
              <w:t>2020</w:t>
            </w:r>
          </w:p>
        </w:tc>
        <w:tc>
          <w:tcPr>
            <w:tcW w:w="960" w:type="dxa"/>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sidRPr="0058771B">
              <w:rPr>
                <w:rFonts w:ascii="Calibri" w:hAnsi="Calibri"/>
                <w:b/>
                <w:bCs/>
                <w:color w:val="FFFFFF"/>
                <w:sz w:val="22"/>
                <w:szCs w:val="22"/>
                <w:lang w:eastAsia="en-GB"/>
              </w:rPr>
              <w:t>2030</w:t>
            </w:r>
          </w:p>
        </w:tc>
        <w:tc>
          <w:tcPr>
            <w:tcW w:w="266" w:type="dxa"/>
            <w:shd w:val="clear" w:color="000000" w:fill="254061"/>
            <w:noWrap/>
            <w:vAlign w:val="bottom"/>
            <w:hideMark/>
          </w:tcPr>
          <w:p w:rsidR="00660414" w:rsidRPr="0058771B" w:rsidRDefault="00660414" w:rsidP="007613DE">
            <w:pPr>
              <w:jc w:val="center"/>
              <w:rPr>
                <w:rFonts w:ascii="Calibri" w:hAnsi="Calibri"/>
                <w:b/>
                <w:bCs/>
                <w:color w:val="FFFFFF"/>
                <w:sz w:val="22"/>
                <w:szCs w:val="22"/>
                <w:lang w:eastAsia="en-GB"/>
              </w:rPr>
            </w:pPr>
            <w:r w:rsidRPr="0058771B">
              <w:rPr>
                <w:rFonts w:ascii="Calibri" w:hAnsi="Calibri"/>
                <w:b/>
                <w:bCs/>
                <w:color w:val="FFFFFF"/>
                <w:sz w:val="22"/>
                <w:szCs w:val="22"/>
                <w:lang w:eastAsia="en-GB"/>
              </w:rPr>
              <w:t> </w:t>
            </w:r>
          </w:p>
        </w:tc>
        <w:tc>
          <w:tcPr>
            <w:tcW w:w="1028" w:type="dxa"/>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Pr>
                <w:rFonts w:ascii="Calibri" w:hAnsi="Calibri"/>
                <w:b/>
                <w:bCs/>
                <w:color w:val="FFFFFF"/>
                <w:sz w:val="22"/>
                <w:szCs w:val="22"/>
                <w:lang w:eastAsia="en-GB"/>
              </w:rPr>
              <w:t>Terminal</w:t>
            </w:r>
          </w:p>
        </w:tc>
        <w:tc>
          <w:tcPr>
            <w:tcW w:w="1199" w:type="dxa"/>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sidRPr="0058771B">
              <w:rPr>
                <w:rFonts w:ascii="Calibri" w:hAnsi="Calibri"/>
                <w:b/>
                <w:bCs/>
                <w:color w:val="FFFFFF"/>
                <w:sz w:val="22"/>
                <w:szCs w:val="22"/>
                <w:lang w:eastAsia="en-GB"/>
              </w:rPr>
              <w:t>2020</w:t>
            </w:r>
          </w:p>
        </w:tc>
        <w:tc>
          <w:tcPr>
            <w:tcW w:w="960" w:type="dxa"/>
            <w:shd w:val="clear" w:color="000000" w:fill="376091"/>
            <w:noWrap/>
            <w:vAlign w:val="bottom"/>
            <w:hideMark/>
          </w:tcPr>
          <w:p w:rsidR="00660414" w:rsidRPr="0058771B" w:rsidRDefault="00660414" w:rsidP="007613DE">
            <w:pPr>
              <w:jc w:val="center"/>
              <w:rPr>
                <w:rFonts w:ascii="Calibri" w:hAnsi="Calibri"/>
                <w:b/>
                <w:bCs/>
                <w:color w:val="FFFFFF"/>
                <w:sz w:val="22"/>
                <w:szCs w:val="22"/>
                <w:lang w:eastAsia="en-GB"/>
              </w:rPr>
            </w:pPr>
            <w:r w:rsidRPr="0058771B">
              <w:rPr>
                <w:rFonts w:ascii="Calibri" w:hAnsi="Calibri"/>
                <w:b/>
                <w:bCs/>
                <w:color w:val="FFFFFF"/>
                <w:sz w:val="22"/>
                <w:szCs w:val="22"/>
                <w:lang w:eastAsia="en-GB"/>
              </w:rPr>
              <w:t>2030</w:t>
            </w:r>
          </w:p>
        </w:tc>
      </w:tr>
      <w:tr w:rsidR="00660414" w:rsidRPr="0058771B" w:rsidTr="007613DE">
        <w:trPr>
          <w:trHeight w:val="300"/>
        </w:trPr>
        <w:tc>
          <w:tcPr>
            <w:tcW w:w="1008"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58771B">
              <w:rPr>
                <w:rFonts w:ascii="Gill Sans MT" w:hAnsi="Gill Sans MT"/>
                <w:color w:val="000000"/>
                <w:sz w:val="20"/>
                <w:szCs w:val="20"/>
                <w:lang w:eastAsia="en-GB"/>
              </w:rPr>
              <w:t>General</w:t>
            </w:r>
          </w:p>
        </w:tc>
        <w:tc>
          <w:tcPr>
            <w:tcW w:w="1141" w:type="dxa"/>
            <w:shd w:val="clear" w:color="000000" w:fill="DBE5F1"/>
            <w:noWrap/>
            <w:vAlign w:val="bottom"/>
            <w:hideMark/>
          </w:tcPr>
          <w:p w:rsidR="00660414" w:rsidRPr="0058771B" w:rsidRDefault="00660414" w:rsidP="007613DE">
            <w:pPr>
              <w:rPr>
                <w:rFonts w:ascii="Calibri" w:hAnsi="Calibri"/>
                <w:color w:val="000000"/>
                <w:sz w:val="22"/>
                <w:szCs w:val="22"/>
                <w:lang w:eastAsia="en-GB"/>
              </w:rPr>
            </w:pPr>
            <w:r w:rsidRPr="0058771B">
              <w:rPr>
                <w:rFonts w:ascii="Calibri" w:hAnsi="Calibri"/>
                <w:color w:val="000000"/>
                <w:sz w:val="22"/>
                <w:szCs w:val="22"/>
                <w:lang w:eastAsia="en-GB"/>
              </w:rPr>
              <w:t xml:space="preserve"> </w:t>
            </w:r>
          </w:p>
        </w:tc>
        <w:tc>
          <w:tcPr>
            <w:tcW w:w="960" w:type="dxa"/>
            <w:shd w:val="clear" w:color="000000" w:fill="C5D9F1"/>
            <w:noWrap/>
            <w:vAlign w:val="bottom"/>
            <w:hideMark/>
          </w:tcPr>
          <w:p w:rsidR="00660414" w:rsidRPr="0058771B" w:rsidRDefault="00660414" w:rsidP="007613DE">
            <w:pPr>
              <w:rPr>
                <w:rFonts w:ascii="Calibri" w:hAnsi="Calibri"/>
                <w:color w:val="000000"/>
                <w:sz w:val="22"/>
                <w:szCs w:val="22"/>
                <w:lang w:eastAsia="en-GB"/>
              </w:rPr>
            </w:pPr>
            <w:r w:rsidRPr="0058771B">
              <w:rPr>
                <w:rFonts w:ascii="Calibri" w:hAnsi="Calibri"/>
                <w:color w:val="000000"/>
                <w:sz w:val="22"/>
                <w:szCs w:val="22"/>
                <w:lang w:eastAsia="en-GB"/>
              </w:rPr>
              <w:t xml:space="preserve"> </w:t>
            </w:r>
          </w:p>
        </w:tc>
        <w:tc>
          <w:tcPr>
            <w:tcW w:w="266" w:type="dxa"/>
            <w:shd w:val="clear" w:color="000000" w:fill="254061"/>
            <w:noWrap/>
            <w:vAlign w:val="bottom"/>
            <w:hideMark/>
          </w:tcPr>
          <w:p w:rsidR="00660414" w:rsidRPr="0058771B" w:rsidRDefault="00660414" w:rsidP="007613DE">
            <w:pPr>
              <w:rPr>
                <w:rFonts w:ascii="Calibri" w:hAnsi="Calibri"/>
                <w:color w:val="000000"/>
                <w:sz w:val="22"/>
                <w:szCs w:val="22"/>
                <w:lang w:eastAsia="en-GB"/>
              </w:rPr>
            </w:pPr>
            <w:r w:rsidRPr="0058771B">
              <w:rPr>
                <w:rFonts w:ascii="Calibri" w:hAnsi="Calibri"/>
                <w:color w:val="000000"/>
                <w:sz w:val="22"/>
                <w:szCs w:val="22"/>
                <w:lang w:eastAsia="en-GB"/>
              </w:rPr>
              <w:t> </w:t>
            </w:r>
          </w:p>
        </w:tc>
        <w:tc>
          <w:tcPr>
            <w:tcW w:w="1028"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58771B">
              <w:rPr>
                <w:rFonts w:ascii="Gill Sans MT" w:hAnsi="Gill Sans MT"/>
                <w:color w:val="000000"/>
                <w:sz w:val="20"/>
                <w:szCs w:val="20"/>
                <w:lang w:eastAsia="en-GB"/>
              </w:rPr>
              <w:t>General</w:t>
            </w:r>
          </w:p>
        </w:tc>
        <w:tc>
          <w:tcPr>
            <w:tcW w:w="1199" w:type="dxa"/>
            <w:shd w:val="clear" w:color="000000" w:fill="DBE5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29.18%</w:t>
            </w:r>
          </w:p>
        </w:tc>
        <w:tc>
          <w:tcPr>
            <w:tcW w:w="960" w:type="dxa"/>
            <w:shd w:val="clear" w:color="000000" w:fill="C5D9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46.17%</w:t>
            </w:r>
          </w:p>
        </w:tc>
      </w:tr>
      <w:tr w:rsidR="00660414" w:rsidRPr="0058771B" w:rsidTr="007613DE">
        <w:trPr>
          <w:trHeight w:val="300"/>
        </w:trPr>
        <w:tc>
          <w:tcPr>
            <w:tcW w:w="1008"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58771B">
              <w:rPr>
                <w:rFonts w:ascii="Gill Sans MT" w:hAnsi="Gill Sans MT"/>
                <w:color w:val="000000"/>
                <w:sz w:val="20"/>
                <w:szCs w:val="20"/>
                <w:lang w:eastAsia="en-GB"/>
              </w:rPr>
              <w:t>Bulk</w:t>
            </w:r>
          </w:p>
        </w:tc>
        <w:tc>
          <w:tcPr>
            <w:tcW w:w="1141" w:type="dxa"/>
            <w:shd w:val="clear" w:color="000000" w:fill="DBE5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5.00%</w:t>
            </w:r>
          </w:p>
        </w:tc>
        <w:tc>
          <w:tcPr>
            <w:tcW w:w="960" w:type="dxa"/>
            <w:shd w:val="clear" w:color="000000" w:fill="C5D9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4.38%</w:t>
            </w:r>
          </w:p>
        </w:tc>
        <w:tc>
          <w:tcPr>
            <w:tcW w:w="266" w:type="dxa"/>
            <w:shd w:val="clear" w:color="000000" w:fill="254061"/>
            <w:noWrap/>
            <w:vAlign w:val="bottom"/>
            <w:hideMark/>
          </w:tcPr>
          <w:p w:rsidR="00660414" w:rsidRPr="0058771B" w:rsidRDefault="00660414" w:rsidP="007613DE">
            <w:pPr>
              <w:rPr>
                <w:rFonts w:ascii="Calibri" w:hAnsi="Calibri"/>
                <w:color w:val="000000"/>
                <w:sz w:val="22"/>
                <w:szCs w:val="22"/>
                <w:lang w:eastAsia="en-GB"/>
              </w:rPr>
            </w:pPr>
            <w:r w:rsidRPr="0058771B">
              <w:rPr>
                <w:rFonts w:ascii="Calibri" w:hAnsi="Calibri"/>
                <w:color w:val="000000"/>
                <w:sz w:val="22"/>
                <w:szCs w:val="22"/>
                <w:lang w:eastAsia="en-GB"/>
              </w:rPr>
              <w:t> </w:t>
            </w:r>
          </w:p>
        </w:tc>
        <w:tc>
          <w:tcPr>
            <w:tcW w:w="1028" w:type="dxa"/>
            <w:shd w:val="clear" w:color="000000" w:fill="95B3D7"/>
            <w:vAlign w:val="bottom"/>
            <w:hideMark/>
          </w:tcPr>
          <w:p w:rsidR="00660414" w:rsidRDefault="00660414" w:rsidP="007613DE">
            <w:pPr>
              <w:rPr>
                <w:rFonts w:ascii="Gill Sans MT" w:hAnsi="Gill Sans MT"/>
                <w:color w:val="000000"/>
                <w:sz w:val="20"/>
                <w:szCs w:val="20"/>
                <w:lang w:eastAsia="en-GB"/>
              </w:rPr>
            </w:pPr>
            <w:r w:rsidRPr="0058771B">
              <w:rPr>
                <w:rFonts w:ascii="Gill Sans MT" w:hAnsi="Gill Sans MT"/>
                <w:color w:val="000000"/>
                <w:sz w:val="20"/>
                <w:szCs w:val="20"/>
                <w:lang w:eastAsia="en-GB"/>
              </w:rPr>
              <w:t>Bulk</w:t>
            </w:r>
          </w:p>
        </w:tc>
        <w:tc>
          <w:tcPr>
            <w:tcW w:w="1199" w:type="dxa"/>
            <w:shd w:val="clear" w:color="000000" w:fill="DBE5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5.64%</w:t>
            </w:r>
          </w:p>
        </w:tc>
        <w:tc>
          <w:tcPr>
            <w:tcW w:w="960" w:type="dxa"/>
            <w:shd w:val="clear" w:color="000000" w:fill="C5D9F1"/>
            <w:noWrap/>
            <w:vAlign w:val="bottom"/>
            <w:hideMark/>
          </w:tcPr>
          <w:p w:rsidR="00660414" w:rsidRPr="0058771B" w:rsidRDefault="00660414" w:rsidP="007613DE">
            <w:pPr>
              <w:jc w:val="right"/>
              <w:rPr>
                <w:rFonts w:ascii="Calibri" w:hAnsi="Calibri"/>
                <w:color w:val="000000"/>
                <w:sz w:val="22"/>
                <w:szCs w:val="22"/>
                <w:lang w:eastAsia="en-GB"/>
              </w:rPr>
            </w:pPr>
            <w:r w:rsidRPr="0058771B">
              <w:rPr>
                <w:rFonts w:ascii="Calibri" w:hAnsi="Calibri"/>
                <w:color w:val="000000"/>
                <w:sz w:val="22"/>
                <w:szCs w:val="22"/>
                <w:lang w:eastAsia="en-GB"/>
              </w:rPr>
              <w:t>8.93%</w:t>
            </w:r>
          </w:p>
        </w:tc>
      </w:tr>
    </w:tbl>
    <w:p w:rsidR="00660414" w:rsidRPr="008C5B1B" w:rsidRDefault="00660414" w:rsidP="00A4081F">
      <w:pPr>
        <w:pStyle w:val="NumberedParas"/>
        <w:rPr>
          <w:noProof/>
          <w:lang w:eastAsia="en-GB"/>
        </w:rPr>
      </w:pPr>
      <w:r>
        <w:rPr>
          <w:noProof/>
          <w:lang w:eastAsia="en-GB"/>
        </w:rPr>
        <w:t>The table shows that developing the infrastructure at the port allows it to handle more volume of goods.</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D40064" w:rsidRDefault="00660414" w:rsidP="00A4081F">
      <w:pPr>
        <w:pStyle w:val="NumberedParas"/>
      </w:pPr>
      <w:r w:rsidRPr="008C5B1B">
        <w:t>This scheme would be implemented by APDF Giurgiu, possibly in conjunction with a private terminal operator.</w:t>
      </w:r>
    </w:p>
    <w:p w:rsidR="00660414" w:rsidRPr="00D40064"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2021-2030</w:t>
      </w:r>
    </w:p>
    <w:p w:rsidR="00660414" w:rsidRDefault="00660414" w:rsidP="00A4081F">
      <w:pPr>
        <w:pStyle w:val="NumberedParas"/>
        <w:rPr>
          <w:b/>
          <w:i/>
          <w:color w:val="9E0880"/>
          <w:lang w:val="ro-RO"/>
        </w:rPr>
      </w:pPr>
      <w:r w:rsidRPr="008C5B1B">
        <w:t>The implementation could happen as soon as project sign off is completed, however to achieve the maximum potential benefits it is recommended that project completion is scheduled after the completion of proposed navigation improvements to the River Danube (see later).</w:t>
      </w:r>
      <w:r w:rsidRPr="008C5B1B">
        <w:br w:type="page"/>
      </w:r>
    </w:p>
    <w:p w:rsidR="00660414" w:rsidRPr="000A76BD" w:rsidRDefault="00660414" w:rsidP="00660414">
      <w:pPr>
        <w:pStyle w:val="Hdg3"/>
      </w:pPr>
      <w:r>
        <w:t>Waterways:</w:t>
      </w:r>
    </w:p>
    <w:p w:rsidR="00660414" w:rsidRDefault="00660414" w:rsidP="00660414">
      <w:pPr>
        <w:spacing w:line="276" w:lineRule="auto"/>
      </w:pPr>
      <w:r w:rsidRPr="008C5B1B">
        <w:rPr>
          <w:b/>
          <w:sz w:val="22"/>
          <w:szCs w:val="22"/>
        </w:rPr>
        <w:t>Improvements to the Navigation of the Danube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The Danube can suffer from poor navigability which can be caused by a number factors such as silting, low or high volumes of water or freezing. This proposal would incorporate:</w:t>
      </w:r>
    </w:p>
    <w:p w:rsidR="00660414" w:rsidRPr="007C173F" w:rsidRDefault="00660414" w:rsidP="00273D5E">
      <w:pPr>
        <w:pStyle w:val="BulletLevel1"/>
      </w:pPr>
      <w:r w:rsidRPr="00BB0FCC">
        <w:t>Dredging of</w:t>
      </w:r>
      <w:r>
        <w:t xml:space="preserve"> </w:t>
      </w:r>
      <w:r w:rsidRPr="008C5B1B">
        <w:rPr>
          <w:b/>
          <w:i/>
          <w:color w:val="9E0880"/>
        </w:rPr>
        <w:t>t</w:t>
      </w:r>
      <w:r w:rsidRPr="00BB0FCC">
        <w:t>he fluvial Danube to maintain an adequate fairway</w:t>
      </w:r>
    </w:p>
    <w:p w:rsidR="00660414" w:rsidRPr="000A76BD" w:rsidRDefault="00660414" w:rsidP="00273D5E">
      <w:pPr>
        <w:pStyle w:val="BulletLevel1"/>
      </w:pPr>
      <w:r w:rsidRPr="003B3E0A">
        <w:t>Purchase of a dedicated ice breaker</w:t>
      </w:r>
    </w:p>
    <w:p w:rsidR="00660414" w:rsidRPr="000A76BD" w:rsidRDefault="00660414" w:rsidP="00273D5E">
      <w:pPr>
        <w:pStyle w:val="BulletLevel1"/>
      </w:pPr>
      <w:r w:rsidRPr="003B3E0A">
        <w:t>Provide an adequate maintenance budget</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The problems addressed by this proposal are:</w:t>
      </w:r>
    </w:p>
    <w:p w:rsidR="00660414" w:rsidRPr="007C173F" w:rsidRDefault="00660414" w:rsidP="00273D5E">
      <w:pPr>
        <w:pStyle w:val="BulletLevel1"/>
      </w:pPr>
      <w:r w:rsidRPr="00BB0FCC">
        <w:t>Silting of the Danube will be addressed by one off significant dredging and planned maintenance dredging</w:t>
      </w:r>
    </w:p>
    <w:p w:rsidR="00660414" w:rsidRPr="000A76BD" w:rsidRDefault="00660414" w:rsidP="00273D5E">
      <w:pPr>
        <w:pStyle w:val="BulletLevel1"/>
      </w:pPr>
      <w:r w:rsidRPr="003B3E0A">
        <w:t>Ice will be broken by a dedicated ice breaker</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62" w:name="_Toc408990910"/>
      <w:r w:rsidRPr="008C5B1B">
        <w:t>OW1 – Improve availability of the Danube</w:t>
      </w:r>
      <w:bookmarkEnd w:id="8062"/>
    </w:p>
    <w:p w:rsidR="00660414" w:rsidRPr="000A76BD" w:rsidRDefault="00660414" w:rsidP="00273D5E">
      <w:pPr>
        <w:pStyle w:val="BulletLevel1"/>
        <w:rPr>
          <w:b/>
        </w:rPr>
      </w:pPr>
      <w:bookmarkStart w:id="8063" w:name="_Toc408990911"/>
      <w:r w:rsidRPr="008C5B1B">
        <w:t>OW2 – Improve Danube connectivity to reduce cost and time</w:t>
      </w:r>
      <w:bookmarkEnd w:id="8063"/>
    </w:p>
    <w:p w:rsidR="00660414" w:rsidRPr="000A76BD" w:rsidRDefault="00660414" w:rsidP="00273D5E">
      <w:pPr>
        <w:pStyle w:val="BulletLevel1"/>
        <w:rPr>
          <w:b/>
        </w:rPr>
      </w:pPr>
      <w:bookmarkStart w:id="8064" w:name="_Toc408990912"/>
      <w:r w:rsidRPr="008C5B1B">
        <w:t>OW3 – Unblock barriers to operational efficiency</w:t>
      </w:r>
      <w:bookmarkEnd w:id="8064"/>
    </w:p>
    <w:p w:rsidR="00660414" w:rsidRPr="000A76BD" w:rsidRDefault="00660414" w:rsidP="00273D5E">
      <w:pPr>
        <w:pStyle w:val="BulletLevel1"/>
        <w:rPr>
          <w:b/>
        </w:rPr>
      </w:pPr>
      <w:bookmarkStart w:id="8065" w:name="_Toc408990913"/>
      <w:r w:rsidRPr="008C5B1B">
        <w:t>OW4 – Reduce costs through operational efficiency</w:t>
      </w:r>
      <w:bookmarkEnd w:id="8065"/>
    </w:p>
    <w:p w:rsidR="00660414" w:rsidRPr="000A76BD" w:rsidRDefault="00660414" w:rsidP="00273D5E">
      <w:pPr>
        <w:pStyle w:val="BulletLevel1"/>
        <w:rPr>
          <w:b/>
        </w:rPr>
      </w:pPr>
      <w:bookmarkStart w:id="8066" w:name="_Toc408990914"/>
      <w:r w:rsidRPr="008C5B1B">
        <w:t>OW10 – Increase the amount of freight moved by sustainable modes</w:t>
      </w:r>
      <w:bookmarkEnd w:id="8066"/>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benefit all operations on the Danube.</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8C5B1B" w:rsidRDefault="00660414" w:rsidP="00A4081F">
      <w:pPr>
        <w:pStyle w:val="NumberedParas"/>
        <w:rPr>
          <w:i/>
          <w:u w:val="single"/>
        </w:rPr>
      </w:pPr>
      <w:r w:rsidRPr="008C5B1B">
        <w:t>It has been estimated that the project will incur the following costs:</w:t>
      </w:r>
    </w:p>
    <w:p w:rsidR="00660414" w:rsidRPr="008C5B1B" w:rsidRDefault="00660414" w:rsidP="00A4081F">
      <w:pPr>
        <w:pStyle w:val="NumberedParas"/>
        <w:numPr>
          <w:ilvl w:val="0"/>
          <w:numId w:val="0"/>
        </w:numPr>
      </w:pPr>
      <w:r w:rsidRPr="00AA40A9">
        <w:rPr>
          <w:noProof/>
          <w:lang w:eastAsia="en-GB"/>
        </w:rPr>
        <w:t xml:space="preserve">Table </w:t>
      </w:r>
      <w:r>
        <w:rPr>
          <w:noProof/>
          <w:lang w:eastAsia="en-GB"/>
        </w:rPr>
        <w:t xml:space="preserve">6.55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keepNext/>
              <w:spacing w:before="120" w:line="276" w:lineRule="auto"/>
              <w:jc w:val="center"/>
              <w:outlineLvl w:val="3"/>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103</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Dredging Danube fairway</w:t>
            </w:r>
          </w:p>
        </w:tc>
      </w:tr>
    </w:tbl>
    <w:p w:rsidR="00660414" w:rsidRPr="000A76BD" w:rsidRDefault="00660414" w:rsidP="00660414">
      <w:pPr>
        <w:spacing w:line="276" w:lineRule="auto"/>
        <w:rPr>
          <w:i/>
          <w:sz w:val="22"/>
          <w:szCs w:val="22"/>
          <w:u w:val="single"/>
        </w:rPr>
      </w:pPr>
    </w:p>
    <w:p w:rsidR="00660414" w:rsidRDefault="00660414" w:rsidP="00660414">
      <w:pPr>
        <w:rPr>
          <w:i/>
          <w:sz w:val="22"/>
          <w:szCs w:val="22"/>
          <w:u w:val="single"/>
        </w:rPr>
      </w:pPr>
      <w:r>
        <w:rPr>
          <w:i/>
          <w:sz w:val="22"/>
          <w:szCs w:val="22"/>
          <w:u w:val="single"/>
        </w:rPr>
        <w:br w:type="page"/>
      </w: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good return with a benefit-cost ratio (BCR) of 4.70. The proposal is anticipated to generate over 307,000 tonnes of freight in 2020 this project is being recommended for inclusion in the Masterplan.</w:t>
      </w:r>
    </w:p>
    <w:p w:rsidR="00660414" w:rsidRDefault="00660414" w:rsidP="00A4081F">
      <w:pPr>
        <w:pStyle w:val="NumberedParas"/>
        <w:numPr>
          <w:ilvl w:val="0"/>
          <w:numId w:val="0"/>
        </w:numPr>
      </w:pPr>
      <w:r w:rsidRPr="00AA40A9">
        <w:rPr>
          <w:noProof/>
          <w:lang w:eastAsia="en-GB"/>
        </w:rPr>
        <w:t xml:space="preserve">Table </w:t>
      </w:r>
      <w:r>
        <w:rPr>
          <w:noProof/>
          <w:lang w:eastAsia="en-GB"/>
        </w:rPr>
        <w:t>6.56</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W1</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307,672</w:t>
            </w:r>
            <w:r w:rsidRPr="008C5B1B">
              <w:rPr>
                <w:sz w:val="22"/>
                <w:szCs w:val="22"/>
                <w:vertAlign w:val="superscript"/>
              </w:rPr>
              <w:footnoteReference w:id="30"/>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612</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4.70</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19.6%</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i/>
          <w:sz w:val="22"/>
          <w:szCs w:val="22"/>
          <w:u w:val="single"/>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This scheme would be implemented by AFDJ Galati.</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2014-2020</w:t>
      </w:r>
    </w:p>
    <w:p w:rsidR="00660414" w:rsidRPr="000A76BD" w:rsidRDefault="00660414" w:rsidP="00A4081F">
      <w:pPr>
        <w:pStyle w:val="NumberedParas"/>
      </w:pPr>
      <w:r w:rsidRPr="008C5B1B">
        <w:t>This scheme should be implemented as soon as possible as it will affect all of the ports in this Masterplan.</w:t>
      </w:r>
    </w:p>
    <w:p w:rsidR="00660414" w:rsidRPr="000A76BD" w:rsidRDefault="00660414" w:rsidP="00660414">
      <w:pPr>
        <w:spacing w:line="276" w:lineRule="auto"/>
        <w:rPr>
          <w:b/>
          <w:sz w:val="22"/>
          <w:szCs w:val="22"/>
        </w:rPr>
      </w:pPr>
    </w:p>
    <w:p w:rsidR="00660414" w:rsidRPr="000A76BD" w:rsidRDefault="00660414" w:rsidP="00660414">
      <w:pPr>
        <w:rPr>
          <w:b/>
          <w:sz w:val="22"/>
          <w:szCs w:val="22"/>
        </w:rPr>
      </w:pPr>
      <w:r w:rsidRPr="008C5B1B">
        <w:rPr>
          <w:b/>
          <w:sz w:val="22"/>
          <w:szCs w:val="22"/>
        </w:rPr>
        <w:br w:type="page"/>
      </w:r>
    </w:p>
    <w:p w:rsidR="00660414" w:rsidRPr="000A76BD" w:rsidRDefault="00660414" w:rsidP="00660414">
      <w:pPr>
        <w:spacing w:line="276" w:lineRule="auto"/>
        <w:rPr>
          <w:b/>
          <w:sz w:val="22"/>
          <w:szCs w:val="22"/>
        </w:rPr>
      </w:pPr>
      <w:r w:rsidRPr="008C5B1B">
        <w:rPr>
          <w:b/>
          <w:sz w:val="22"/>
          <w:szCs w:val="22"/>
        </w:rPr>
        <w:t>Bucharest-Danube Channel</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This would involve the creation of a direct link between Bucharest and the River Danube. A link was started in the 1980s but never completed. Specifically the proposal incorporates:</w:t>
      </w:r>
    </w:p>
    <w:p w:rsidR="00660414" w:rsidRPr="000A76BD" w:rsidRDefault="00660414" w:rsidP="00273D5E">
      <w:pPr>
        <w:pStyle w:val="BulletLevel1"/>
      </w:pPr>
      <w:r w:rsidRPr="00BB0FCC">
        <w:t>Creation of 104km waterway</w:t>
      </w:r>
      <w:r w:rsidRPr="007C173F">
        <w:t xml:space="preserve"> including making the Arges river navigable</w:t>
      </w:r>
    </w:p>
    <w:p w:rsidR="00660414" w:rsidRPr="000A76BD" w:rsidRDefault="00660414" w:rsidP="00273D5E">
      <w:pPr>
        <w:pStyle w:val="BulletLevel1"/>
      </w:pPr>
      <w:r w:rsidRPr="003B3E0A">
        <w:t>Creation of a water freight terminal at Bucharest</w:t>
      </w:r>
    </w:p>
    <w:p w:rsidR="00660414" w:rsidRPr="000A76BD" w:rsidRDefault="00660414" w:rsidP="00660414">
      <w:pPr>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Bucharest has no direct link to the Danube and so freight and passengers must tranship, usually at Giurgiu</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67" w:name="_Toc408990915"/>
      <w:r w:rsidRPr="008C5B1B">
        <w:t>OW1 – Improve availability of the Danube</w:t>
      </w:r>
      <w:bookmarkEnd w:id="8067"/>
    </w:p>
    <w:p w:rsidR="00660414" w:rsidRPr="000A76BD" w:rsidRDefault="00660414" w:rsidP="00273D5E">
      <w:pPr>
        <w:pStyle w:val="BulletLevel1"/>
        <w:rPr>
          <w:b/>
        </w:rPr>
      </w:pPr>
      <w:bookmarkStart w:id="8068" w:name="_Toc408990916"/>
      <w:r w:rsidRPr="008C5B1B">
        <w:t>OW2 – Improve Danube connectivity to reduce cost and time</w:t>
      </w:r>
      <w:bookmarkEnd w:id="8068"/>
    </w:p>
    <w:p w:rsidR="00660414" w:rsidRPr="000A76BD" w:rsidRDefault="00660414" w:rsidP="00273D5E">
      <w:pPr>
        <w:pStyle w:val="BulletLevel1"/>
        <w:rPr>
          <w:b/>
        </w:rPr>
      </w:pPr>
      <w:bookmarkStart w:id="8069" w:name="_Toc408990917"/>
      <w:r w:rsidRPr="008C5B1B">
        <w:t>OW3 – Unblock barriers to operational efficiency</w:t>
      </w:r>
      <w:bookmarkEnd w:id="8069"/>
    </w:p>
    <w:p w:rsidR="00660414" w:rsidRPr="000A76BD" w:rsidRDefault="00660414" w:rsidP="00273D5E">
      <w:pPr>
        <w:pStyle w:val="BulletLevel1"/>
        <w:rPr>
          <w:b/>
        </w:rPr>
      </w:pPr>
      <w:bookmarkStart w:id="8070" w:name="_Toc408990918"/>
      <w:r w:rsidRPr="008C5B1B">
        <w:t>OW4 – Reduce costs through operational efficiency</w:t>
      </w:r>
      <w:bookmarkEnd w:id="8070"/>
      <w:r w:rsidRPr="008C5B1B">
        <w:t xml:space="preserve"> </w:t>
      </w:r>
    </w:p>
    <w:p w:rsidR="00660414" w:rsidRPr="000A76BD" w:rsidRDefault="00660414" w:rsidP="00273D5E">
      <w:pPr>
        <w:pStyle w:val="BulletLevel1"/>
        <w:rPr>
          <w:b/>
        </w:rPr>
      </w:pPr>
      <w:bookmarkStart w:id="8071" w:name="_Toc408990919"/>
      <w:r w:rsidRPr="008C5B1B">
        <w:t>OW9 – Reduce emissions of CO</w:t>
      </w:r>
      <w:r w:rsidRPr="008C5B1B">
        <w:rPr>
          <w:vertAlign w:val="subscript"/>
        </w:rPr>
        <w:t>2</w:t>
      </w:r>
      <w:r w:rsidRPr="008C5B1B">
        <w:t xml:space="preserve"> and Sulphur Dioxide</w:t>
      </w:r>
      <w:bookmarkEnd w:id="8071"/>
    </w:p>
    <w:p w:rsidR="00660414" w:rsidRDefault="00660414" w:rsidP="00273D5E">
      <w:pPr>
        <w:pStyle w:val="BulletLevel1"/>
      </w:pPr>
      <w:bookmarkStart w:id="8072" w:name="_Toc408990920"/>
      <w:r w:rsidRPr="008C5B1B">
        <w:t>OW10 – Increase the amount of freight moved by sustainable modes</w:t>
      </w:r>
      <w:bookmarkEnd w:id="8072"/>
    </w:p>
    <w:p w:rsidR="00660414" w:rsidRPr="000A76BD" w:rsidRDefault="00660414" w:rsidP="00660414">
      <w:pPr>
        <w:spacing w:line="276" w:lineRule="auto"/>
        <w:rPr>
          <w:i/>
          <w:sz w:val="22"/>
          <w:szCs w:val="22"/>
          <w:u w:val="single"/>
        </w:rPr>
      </w:pPr>
      <w:r w:rsidRPr="008C5B1B">
        <w:rPr>
          <w:i/>
          <w:sz w:val="22"/>
          <w:szCs w:val="22"/>
          <w:u w:val="single"/>
        </w:rPr>
        <w:t>Potential Market</w:t>
      </w:r>
    </w:p>
    <w:p w:rsidR="00660414" w:rsidRPr="000A76BD" w:rsidRDefault="00660414" w:rsidP="00A4081F">
      <w:pPr>
        <w:pStyle w:val="NumberedParas"/>
      </w:pPr>
      <w:r w:rsidRPr="008C5B1B">
        <w:t>This proposal would benefit all operations in particular building materials and solid mineral fuels.</w:t>
      </w:r>
    </w:p>
    <w:p w:rsidR="00660414" w:rsidRPr="000A76BD" w:rsidRDefault="00660414" w:rsidP="00660414">
      <w:pPr>
        <w:spacing w:line="276" w:lineRule="auto"/>
        <w:rPr>
          <w:i/>
          <w:sz w:val="22"/>
          <w:szCs w:val="22"/>
          <w:u w:val="single"/>
        </w:rPr>
      </w:pPr>
      <w:r w:rsidRPr="008C5B1B">
        <w:rPr>
          <w:i/>
          <w:sz w:val="22"/>
          <w:szCs w:val="22"/>
          <w:u w:val="single"/>
        </w:rPr>
        <w:t>Undiscounted Costs:</w:t>
      </w:r>
    </w:p>
    <w:p w:rsidR="00660414" w:rsidRPr="000A76BD" w:rsidRDefault="00660414" w:rsidP="00A4081F">
      <w:pPr>
        <w:pStyle w:val="NumberedParas"/>
        <w:rPr>
          <w:i/>
          <w:u w:val="single"/>
        </w:rPr>
      </w:pPr>
      <w:r w:rsidRPr="008C5B1B">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 xml:space="preserve">6.57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8C5B1B" w:rsidRDefault="00660414" w:rsidP="007613DE">
            <w:pPr>
              <w:spacing w:before="120" w:line="276" w:lineRule="auto"/>
              <w:jc w:val="center"/>
              <w:rPr>
                <w:b/>
                <w:bCs/>
                <w:sz w:val="22"/>
                <w:szCs w:val="22"/>
              </w:rPr>
            </w:pP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Undiscounted costs (Million €, 2014 prices)</w:t>
            </w:r>
          </w:p>
        </w:tc>
        <w:tc>
          <w:tcPr>
            <w:tcW w:w="2948"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Description of improvements included</w:t>
            </w:r>
          </w:p>
        </w:tc>
      </w:tr>
      <w:tr w:rsidR="00660414" w:rsidRPr="000A76BD" w:rsidTr="007613DE">
        <w:trPr>
          <w:cantSplit/>
          <w:trHeight w:val="680"/>
        </w:trPr>
        <w:tc>
          <w:tcPr>
            <w:tcW w:w="722" w:type="pct"/>
            <w:vAlign w:val="center"/>
          </w:tcPr>
          <w:p w:rsidR="00660414" w:rsidRPr="008C5B1B" w:rsidRDefault="00660414" w:rsidP="007613DE">
            <w:pPr>
              <w:spacing w:before="120" w:line="276" w:lineRule="auto"/>
              <w:rPr>
                <w:b/>
                <w:bCs/>
                <w:sz w:val="22"/>
                <w:szCs w:val="22"/>
              </w:rPr>
            </w:pPr>
            <w:r w:rsidRPr="008C5B1B">
              <w:rPr>
                <w:b/>
                <w:bCs/>
                <w:sz w:val="22"/>
                <w:szCs w:val="22"/>
              </w:rPr>
              <w:t>Cost</w:t>
            </w:r>
          </w:p>
        </w:tc>
        <w:tc>
          <w:tcPr>
            <w:tcW w:w="1330" w:type="pct"/>
            <w:vAlign w:val="center"/>
          </w:tcPr>
          <w:p w:rsidR="00660414" w:rsidRPr="008C5B1B" w:rsidRDefault="00660414" w:rsidP="007613DE">
            <w:pPr>
              <w:spacing w:before="120" w:line="276" w:lineRule="auto"/>
              <w:jc w:val="center"/>
              <w:rPr>
                <w:b/>
                <w:bCs/>
                <w:sz w:val="22"/>
                <w:szCs w:val="22"/>
              </w:rPr>
            </w:pPr>
            <w:r w:rsidRPr="008C5B1B">
              <w:rPr>
                <w:b/>
                <w:bCs/>
                <w:sz w:val="22"/>
                <w:szCs w:val="22"/>
              </w:rPr>
              <w:t>1,500</w:t>
            </w:r>
          </w:p>
        </w:tc>
        <w:tc>
          <w:tcPr>
            <w:tcW w:w="2948" w:type="pct"/>
          </w:tcPr>
          <w:p w:rsidR="00660414" w:rsidRPr="008C5B1B" w:rsidRDefault="00660414" w:rsidP="007613DE">
            <w:pPr>
              <w:spacing w:before="120" w:line="276" w:lineRule="auto"/>
              <w:rPr>
                <w:b/>
                <w:bCs/>
                <w:sz w:val="22"/>
                <w:szCs w:val="22"/>
              </w:rPr>
            </w:pPr>
            <w:r w:rsidRPr="008C5B1B">
              <w:rPr>
                <w:b/>
                <w:bCs/>
                <w:sz w:val="22"/>
                <w:szCs w:val="22"/>
              </w:rPr>
              <w:t>Completion of Bucharest-Danube Channel</w:t>
            </w:r>
          </w:p>
          <w:p w:rsidR="00660414" w:rsidRPr="008C5B1B" w:rsidRDefault="00660414" w:rsidP="007613DE">
            <w:pPr>
              <w:spacing w:before="120" w:line="276" w:lineRule="auto"/>
              <w:rPr>
                <w:b/>
                <w:bCs/>
                <w:sz w:val="22"/>
                <w:szCs w:val="22"/>
              </w:rPr>
            </w:pPr>
            <w:r w:rsidRPr="008C5B1B">
              <w:rPr>
                <w:b/>
                <w:bCs/>
                <w:sz w:val="22"/>
                <w:szCs w:val="22"/>
              </w:rPr>
              <w:t>Creation of water freight terminal at Bucharest</w:t>
            </w:r>
          </w:p>
        </w:tc>
      </w:tr>
    </w:tbl>
    <w:p w:rsidR="00660414" w:rsidRDefault="00660414" w:rsidP="00660414">
      <w:pPr>
        <w:rPr>
          <w:i/>
          <w:sz w:val="22"/>
          <w:szCs w:val="22"/>
          <w:u w:val="single"/>
        </w:rPr>
      </w:pPr>
    </w:p>
    <w:p w:rsidR="00660414" w:rsidRPr="000A76BD" w:rsidRDefault="00660414" w:rsidP="00660414">
      <w:pPr>
        <w:spacing w:line="276" w:lineRule="auto"/>
        <w:rPr>
          <w:i/>
          <w:sz w:val="22"/>
          <w:szCs w:val="22"/>
          <w:u w:val="single"/>
        </w:rPr>
      </w:pPr>
      <w:r w:rsidRPr="008C5B1B">
        <w:rPr>
          <w:i/>
          <w:sz w:val="22"/>
          <w:szCs w:val="22"/>
          <w:u w:val="single"/>
        </w:rPr>
        <w:t>Outcomes:</w:t>
      </w:r>
    </w:p>
    <w:p w:rsidR="00660414" w:rsidRDefault="00660414" w:rsidP="00A4081F">
      <w:pPr>
        <w:pStyle w:val="NumberedParas"/>
      </w:pPr>
      <w:r w:rsidRPr="008C5B1B">
        <w:t>The intervention gives a limited return with a benefit-cost ratio (BCR) of 0.95. The proposal is anticipated to generate over 2.7m tonnes of freight in 2020. This project is being recommended for inclusion in the Masterplan although it should be revisited closer to 2030 by a detailed feasibility study.</w:t>
      </w:r>
    </w:p>
    <w:p w:rsidR="00660414" w:rsidRDefault="00660414" w:rsidP="00660414">
      <w:pPr>
        <w:rPr>
          <w:b/>
          <w:noProof/>
          <w:sz w:val="22"/>
          <w:szCs w:val="22"/>
          <w:lang w:eastAsia="en-GB"/>
        </w:rPr>
      </w:pPr>
      <w:r>
        <w:rPr>
          <w:b/>
          <w:noProof/>
          <w:lang w:eastAsia="en-GB"/>
        </w:rPr>
        <w:br w:type="page"/>
      </w:r>
    </w:p>
    <w:p w:rsidR="00660414" w:rsidRPr="000A76BD" w:rsidRDefault="00660414" w:rsidP="00A4081F">
      <w:pPr>
        <w:pStyle w:val="NumberedParas"/>
        <w:numPr>
          <w:ilvl w:val="0"/>
          <w:numId w:val="0"/>
        </w:numPr>
      </w:pPr>
      <w:r w:rsidRPr="00AA40A9">
        <w:rPr>
          <w:noProof/>
          <w:lang w:eastAsia="en-GB"/>
        </w:rPr>
        <w:t xml:space="preserve">Table </w:t>
      </w:r>
      <w:r>
        <w:rPr>
          <w:noProof/>
          <w:lang w:eastAsia="en-GB"/>
        </w:rPr>
        <w:t>6.58</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Test code</w:t>
            </w:r>
          </w:p>
        </w:tc>
        <w:tc>
          <w:tcPr>
            <w:tcW w:w="1628" w:type="dxa"/>
            <w:vAlign w:val="center"/>
          </w:tcPr>
          <w:p w:rsidR="00660414" w:rsidRPr="008C5B1B" w:rsidRDefault="00660414" w:rsidP="007613DE">
            <w:pPr>
              <w:rPr>
                <w:sz w:val="22"/>
                <w:szCs w:val="22"/>
              </w:rPr>
            </w:pPr>
            <w:r w:rsidRPr="008C5B1B">
              <w:rPr>
                <w:sz w:val="22"/>
                <w:szCs w:val="22"/>
              </w:rPr>
              <w:t>W36</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Annual Water Tonnes Change (2020)</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2,760,878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NPV € Mill (2014 Prices)</w:t>
            </w:r>
          </w:p>
        </w:tc>
        <w:tc>
          <w:tcPr>
            <w:tcW w:w="1628" w:type="dxa"/>
          </w:tcPr>
          <w:p w:rsidR="00660414" w:rsidRPr="008C5B1B" w:rsidRDefault="00660414" w:rsidP="007613DE">
            <w:pPr>
              <w:spacing w:line="276" w:lineRule="auto"/>
              <w:jc w:val="center"/>
              <w:rPr>
                <w:sz w:val="22"/>
                <w:szCs w:val="22"/>
              </w:rPr>
            </w:pPr>
            <w:r w:rsidRPr="008C5B1B">
              <w:rPr>
                <w:sz w:val="22"/>
                <w:szCs w:val="22"/>
              </w:rPr>
              <w:t>-48</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BCR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0.95</w:t>
            </w:r>
          </w:p>
        </w:tc>
      </w:tr>
      <w:tr w:rsidR="00660414" w:rsidRPr="000A76BD" w:rsidTr="007613DE">
        <w:tc>
          <w:tcPr>
            <w:tcW w:w="3818" w:type="dxa"/>
            <w:vAlign w:val="center"/>
          </w:tcPr>
          <w:p w:rsidR="00660414" w:rsidRPr="008C5B1B" w:rsidRDefault="00660414" w:rsidP="007613DE">
            <w:pPr>
              <w:spacing w:line="276" w:lineRule="auto"/>
              <w:rPr>
                <w:b/>
                <w:bCs/>
                <w:sz w:val="22"/>
                <w:szCs w:val="22"/>
              </w:rPr>
            </w:pPr>
            <w:r w:rsidRPr="008C5B1B">
              <w:rPr>
                <w:b/>
                <w:bCs/>
                <w:sz w:val="22"/>
                <w:szCs w:val="22"/>
              </w:rPr>
              <w:t>EIRR</w:t>
            </w:r>
          </w:p>
        </w:tc>
        <w:tc>
          <w:tcPr>
            <w:tcW w:w="1628" w:type="dxa"/>
          </w:tcPr>
          <w:p w:rsidR="00660414" w:rsidRPr="008C5B1B" w:rsidRDefault="00660414" w:rsidP="007613DE">
            <w:pPr>
              <w:spacing w:line="276" w:lineRule="auto"/>
              <w:jc w:val="center"/>
              <w:rPr>
                <w:i/>
                <w:sz w:val="22"/>
                <w:szCs w:val="22"/>
                <w:u w:val="single"/>
              </w:rPr>
            </w:pPr>
            <w:r w:rsidRPr="008C5B1B">
              <w:rPr>
                <w:sz w:val="22"/>
                <w:szCs w:val="22"/>
              </w:rPr>
              <w:t>4.7%</w:t>
            </w:r>
          </w:p>
        </w:tc>
      </w:tr>
      <w:tr w:rsidR="00660414" w:rsidRPr="000A76BD" w:rsidTr="007613DE">
        <w:tc>
          <w:tcPr>
            <w:tcW w:w="3818" w:type="dxa"/>
          </w:tcPr>
          <w:p w:rsidR="00660414" w:rsidRPr="008C5B1B" w:rsidRDefault="00660414" w:rsidP="007613DE">
            <w:pPr>
              <w:spacing w:line="276" w:lineRule="auto"/>
              <w:rPr>
                <w:b/>
                <w:bCs/>
                <w:sz w:val="22"/>
                <w:szCs w:val="22"/>
              </w:rPr>
            </w:pPr>
            <w:r w:rsidRPr="008C5B1B">
              <w:rPr>
                <w:b/>
                <w:bCs/>
                <w:sz w:val="22"/>
                <w:szCs w:val="22"/>
              </w:rPr>
              <w:t>Masterplan Recommendation</w:t>
            </w:r>
          </w:p>
        </w:tc>
        <w:tc>
          <w:tcPr>
            <w:tcW w:w="1628" w:type="dxa"/>
          </w:tcPr>
          <w:p w:rsidR="00660414" w:rsidRPr="008C5B1B" w:rsidRDefault="00660414" w:rsidP="007613DE">
            <w:pPr>
              <w:spacing w:line="276" w:lineRule="auto"/>
              <w:jc w:val="center"/>
              <w:rPr>
                <w:sz w:val="22"/>
                <w:szCs w:val="22"/>
              </w:rPr>
            </w:pPr>
            <w:r w:rsidRPr="008C5B1B">
              <w:rPr>
                <w:b/>
                <w:color w:val="00B050"/>
                <w:sz w:val="22"/>
                <w:szCs w:val="22"/>
              </w:rPr>
              <w:sym w:font="Wingdings" w:char="F0FC"/>
            </w:r>
          </w:p>
        </w:tc>
      </w:tr>
    </w:tbl>
    <w:p w:rsidR="00660414" w:rsidRPr="000A76BD" w:rsidRDefault="00660414" w:rsidP="00660414">
      <w:pPr>
        <w:spacing w:line="276" w:lineRule="auto"/>
        <w:rPr>
          <w:bCs/>
          <w:i/>
          <w:sz w:val="22"/>
          <w:szCs w:val="22"/>
          <w:u w:val="single"/>
        </w:rPr>
      </w:pPr>
    </w:p>
    <w:p w:rsidR="00660414" w:rsidRPr="000A76BD" w:rsidRDefault="00660414" w:rsidP="00660414">
      <w:pPr>
        <w:spacing w:line="276" w:lineRule="auto"/>
        <w:rPr>
          <w:i/>
          <w:noProof/>
          <w:sz w:val="22"/>
          <w:szCs w:val="22"/>
          <w:u w:val="single"/>
          <w:lang w:eastAsia="en-GB"/>
        </w:rPr>
      </w:pPr>
      <w:r w:rsidRPr="008C5B1B">
        <w:rPr>
          <w:i/>
          <w:noProof/>
          <w:sz w:val="22"/>
          <w:szCs w:val="22"/>
          <w:lang w:val="ro-RO" w:eastAsia="ro-RO"/>
        </w:rPr>
        <w:drawing>
          <wp:inline distT="0" distB="0" distL="0" distR="0" wp14:anchorId="4217061F" wp14:editId="0852A816">
            <wp:extent cx="4574659" cy="2747896"/>
            <wp:effectExtent l="19050" t="0" r="16391" b="0"/>
            <wp:docPr id="21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660414" w:rsidRPr="000A76BD" w:rsidRDefault="00660414" w:rsidP="00660414">
      <w:pPr>
        <w:spacing w:line="276" w:lineRule="auto"/>
        <w:rPr>
          <w:b/>
          <w:sz w:val="22"/>
          <w:szCs w:val="22"/>
        </w:rPr>
      </w:pPr>
      <w:r w:rsidRPr="008C5B1B">
        <w:rPr>
          <w:b/>
          <w:noProof/>
          <w:sz w:val="22"/>
          <w:szCs w:val="22"/>
          <w:lang w:eastAsia="en-GB"/>
        </w:rPr>
        <w:t>Figure 6.2</w:t>
      </w:r>
      <w:r>
        <w:rPr>
          <w:b/>
          <w:noProof/>
          <w:sz w:val="22"/>
          <w:szCs w:val="22"/>
          <w:lang w:eastAsia="en-GB"/>
        </w:rPr>
        <w:t>7</w:t>
      </w:r>
      <w:r w:rsidRPr="008C5B1B">
        <w:rPr>
          <w:b/>
          <w:noProof/>
          <w:sz w:val="22"/>
          <w:szCs w:val="22"/>
          <w:lang w:eastAsia="en-GB"/>
        </w:rPr>
        <w:t xml:space="preserve"> - </w:t>
      </w:r>
      <w:r w:rsidRPr="008C5B1B">
        <w:rPr>
          <w:b/>
          <w:sz w:val="22"/>
          <w:szCs w:val="22"/>
        </w:rPr>
        <w:t>Water Freight Tonnes on the Bucharest – Danube Channel (per annum)</w:t>
      </w:r>
    </w:p>
    <w:p w:rsidR="00660414" w:rsidRPr="000A76BD" w:rsidRDefault="00660414" w:rsidP="00660414">
      <w:pPr>
        <w:rPr>
          <w:b/>
          <w:bCs/>
          <w:sz w:val="22"/>
          <w:szCs w:val="22"/>
        </w:rPr>
      </w:pP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A new channel will need a new authority in order to manage and maintain the channel, similar to how ACN manages the Danube-Black Sea Canal. In the interim it is suggested that the MT are the owner organisation.</w:t>
      </w:r>
    </w:p>
    <w:p w:rsidR="00660414" w:rsidRPr="000A76BD" w:rsidRDefault="00660414" w:rsidP="00660414">
      <w:pPr>
        <w:spacing w:line="276" w:lineRule="auto"/>
        <w:rPr>
          <w:bCs/>
          <w:i/>
          <w:sz w:val="22"/>
          <w:szCs w:val="22"/>
        </w:rPr>
      </w:pPr>
      <w:r w:rsidRPr="008C5B1B">
        <w:rPr>
          <w:bCs/>
          <w:i/>
          <w:sz w:val="22"/>
          <w:szCs w:val="22"/>
          <w:u w:val="single"/>
        </w:rPr>
        <w:t>Implementation years:</w:t>
      </w:r>
      <w:r w:rsidRPr="008C5B1B">
        <w:rPr>
          <w:bCs/>
          <w:i/>
          <w:sz w:val="22"/>
          <w:szCs w:val="22"/>
        </w:rPr>
        <w:t xml:space="preserve"> After 2030</w:t>
      </w:r>
    </w:p>
    <w:p w:rsidR="00660414" w:rsidRDefault="00660414" w:rsidP="00A4081F">
      <w:pPr>
        <w:pStyle w:val="NumberedParas"/>
      </w:pPr>
      <w:r w:rsidRPr="008C5B1B">
        <w:t>This is a long term project and not recognised as a priority for the Masterplan and so the timeline for implementation is suggested as being post 2030. This is due to:</w:t>
      </w:r>
    </w:p>
    <w:p w:rsidR="00660414" w:rsidRPr="00340716" w:rsidRDefault="00660414" w:rsidP="00340716">
      <w:pPr>
        <w:pStyle w:val="Body"/>
        <w:rPr>
          <w:i w:val="0"/>
        </w:rPr>
      </w:pPr>
      <w:bookmarkStart w:id="8073" w:name="_Toc408990921"/>
      <w:r w:rsidRPr="00340716">
        <w:rPr>
          <w:i w:val="0"/>
        </w:rPr>
        <w:t>1 – the expense of the project</w:t>
      </w:r>
      <w:bookmarkEnd w:id="8073"/>
    </w:p>
    <w:p w:rsidR="00660414" w:rsidRPr="00340716" w:rsidRDefault="00660414" w:rsidP="00340716">
      <w:pPr>
        <w:pStyle w:val="Body"/>
        <w:rPr>
          <w:i w:val="0"/>
        </w:rPr>
      </w:pPr>
      <w:bookmarkStart w:id="8074" w:name="_Toc408990922"/>
      <w:r w:rsidRPr="00340716">
        <w:rPr>
          <w:i w:val="0"/>
        </w:rPr>
        <w:t>2 – Bucharest is already well connected by other modes and these modes will improve over time (in line with the forecasts made by this Master Plan)</w:t>
      </w:r>
      <w:bookmarkEnd w:id="8074"/>
    </w:p>
    <w:p w:rsidR="00660414" w:rsidRPr="00340716" w:rsidRDefault="00660414" w:rsidP="00340716">
      <w:pPr>
        <w:pStyle w:val="Body"/>
        <w:rPr>
          <w:i w:val="0"/>
        </w:rPr>
      </w:pPr>
      <w:bookmarkStart w:id="8075" w:name="_Toc408990923"/>
      <w:r w:rsidRPr="00340716">
        <w:rPr>
          <w:i w:val="0"/>
        </w:rPr>
        <w:t>3 – Funding this project would undermine the benefits of investments made at both Oltenita and Giurgiu</w:t>
      </w:r>
      <w:bookmarkEnd w:id="8075"/>
    </w:p>
    <w:p w:rsidR="00660414" w:rsidRPr="00340716" w:rsidRDefault="00660414" w:rsidP="00340716">
      <w:pPr>
        <w:pStyle w:val="Body"/>
        <w:rPr>
          <w:i w:val="0"/>
        </w:rPr>
      </w:pPr>
      <w:bookmarkStart w:id="8076" w:name="_Toc408990924"/>
      <w:r w:rsidRPr="00340716">
        <w:rPr>
          <w:i w:val="0"/>
        </w:rPr>
        <w:t>4 – this project is entirely reliant on the availability of the Danube</w:t>
      </w:r>
      <w:bookmarkEnd w:id="8076"/>
    </w:p>
    <w:p w:rsidR="00660414" w:rsidRPr="000A76BD" w:rsidRDefault="00660414" w:rsidP="00660414">
      <w:pPr>
        <w:rPr>
          <w:rFonts w:cs="Arial"/>
          <w:b/>
          <w:color w:val="9E0880"/>
          <w:sz w:val="22"/>
          <w:szCs w:val="22"/>
        </w:rPr>
      </w:pPr>
      <w:bookmarkStart w:id="8077" w:name="_Toc400538726"/>
      <w:r w:rsidRPr="008C5B1B">
        <w:rPr>
          <w:sz w:val="22"/>
          <w:szCs w:val="22"/>
        </w:rPr>
        <w:br w:type="page"/>
      </w:r>
    </w:p>
    <w:p w:rsidR="00660414" w:rsidRPr="000A76BD" w:rsidRDefault="00660414" w:rsidP="00660414">
      <w:pPr>
        <w:spacing w:line="276" w:lineRule="auto"/>
        <w:rPr>
          <w:b/>
          <w:sz w:val="22"/>
          <w:szCs w:val="22"/>
        </w:rPr>
      </w:pPr>
      <w:r>
        <w:rPr>
          <w:b/>
          <w:sz w:val="22"/>
          <w:szCs w:val="22"/>
        </w:rPr>
        <w:t>Improvements to the Sulina</w:t>
      </w:r>
      <w:r w:rsidRPr="009D2E09">
        <w:rPr>
          <w:b/>
          <w:sz w:val="22"/>
          <w:szCs w:val="22"/>
        </w:rPr>
        <w:t xml:space="preserve"> Channel</w:t>
      </w:r>
    </w:p>
    <w:p w:rsidR="00660414" w:rsidRPr="000A76BD" w:rsidRDefault="00660414" w:rsidP="00660414">
      <w:pPr>
        <w:pStyle w:val="ListParagraph"/>
        <w:spacing w:before="120" w:after="120" w:line="276" w:lineRule="auto"/>
        <w:ind w:left="0"/>
        <w:rPr>
          <w:i/>
          <w:sz w:val="22"/>
          <w:szCs w:val="22"/>
          <w:u w:val="single"/>
        </w:rPr>
      </w:pPr>
      <w:r w:rsidRPr="009D2E09">
        <w:rPr>
          <w:i/>
          <w:sz w:val="22"/>
          <w:szCs w:val="22"/>
          <w:u w:val="single"/>
        </w:rPr>
        <w:t>Proposal Description:</w:t>
      </w:r>
    </w:p>
    <w:p w:rsidR="00660414" w:rsidRDefault="00660414" w:rsidP="00A4081F">
      <w:pPr>
        <w:pStyle w:val="NumberedParas"/>
      </w:pPr>
      <w:r w:rsidRPr="003D1B55">
        <w:t xml:space="preserve">This would involve </w:t>
      </w:r>
      <w:r>
        <w:t>introducing m</w:t>
      </w:r>
      <w:r w:rsidRPr="003D1B55">
        <w:t xml:space="preserve">easures to restore and </w:t>
      </w:r>
      <w:r>
        <w:t>maintain</w:t>
      </w:r>
      <w:r w:rsidRPr="003D1B55">
        <w:t xml:space="preserve"> their shores</w:t>
      </w:r>
      <w:r>
        <w:t xml:space="preserve"> which are:</w:t>
      </w:r>
    </w:p>
    <w:p w:rsidR="00660414" w:rsidRDefault="00660414" w:rsidP="00A4081F">
      <w:pPr>
        <w:pStyle w:val="NumberedParas"/>
        <w:numPr>
          <w:ilvl w:val="0"/>
          <w:numId w:val="0"/>
        </w:numPr>
        <w:ind w:left="1673"/>
      </w:pPr>
      <w:r w:rsidRPr="00562970">
        <w:t xml:space="preserve">- Stopping the erosion in some areas </w:t>
      </w:r>
      <w:r>
        <w:t>by protecting the</w:t>
      </w:r>
      <w:r w:rsidRPr="00562970">
        <w:t xml:space="preserve"> banks of Sulina channel,</w:t>
      </w:r>
    </w:p>
    <w:p w:rsidR="00660414" w:rsidRDefault="00660414" w:rsidP="00A4081F">
      <w:pPr>
        <w:pStyle w:val="NumberedParas"/>
        <w:numPr>
          <w:ilvl w:val="0"/>
          <w:numId w:val="0"/>
        </w:numPr>
        <w:ind w:left="1673"/>
      </w:pPr>
      <w:r w:rsidRPr="00562970">
        <w:t xml:space="preserve">- </w:t>
      </w:r>
      <w:r>
        <w:t>S</w:t>
      </w:r>
      <w:r w:rsidRPr="00562970">
        <w:t>tabili</w:t>
      </w:r>
      <w:r>
        <w:t>sing</w:t>
      </w:r>
      <w:r w:rsidRPr="00562970">
        <w:t xml:space="preserve"> and securi</w:t>
      </w:r>
      <w:r>
        <w:t>ng the navigability</w:t>
      </w:r>
      <w:r w:rsidRPr="00562970">
        <w:t xml:space="preserve"> of the canal</w:t>
      </w:r>
    </w:p>
    <w:p w:rsidR="00660414" w:rsidRDefault="00660414" w:rsidP="00A4081F">
      <w:pPr>
        <w:pStyle w:val="NumberedParas"/>
        <w:numPr>
          <w:ilvl w:val="0"/>
          <w:numId w:val="0"/>
        </w:numPr>
        <w:ind w:left="1673"/>
      </w:pPr>
      <w:r w:rsidRPr="00562970">
        <w:t>- Reducing the risk of flooding of coastal settlements and economic facilities alo</w:t>
      </w:r>
      <w:r>
        <w:t>ng the canal</w:t>
      </w:r>
    </w:p>
    <w:p w:rsidR="00660414" w:rsidRDefault="00660414" w:rsidP="00A4081F">
      <w:pPr>
        <w:pStyle w:val="NumberedParas"/>
        <w:numPr>
          <w:ilvl w:val="0"/>
          <w:numId w:val="0"/>
        </w:numPr>
        <w:ind w:left="1673"/>
      </w:pPr>
      <w:r w:rsidRPr="00562970">
        <w:t>- Improving environmental protection in the secto</w:t>
      </w:r>
      <w:r>
        <w:t>r</w:t>
      </w:r>
      <w:r w:rsidRPr="00562970">
        <w:t>.</w:t>
      </w:r>
    </w:p>
    <w:p w:rsidR="00660414" w:rsidRDefault="00660414" w:rsidP="00A4081F">
      <w:pPr>
        <w:pStyle w:val="NumberedParas"/>
      </w:pPr>
      <w:r>
        <w:t>This is the second phase of an ongoing project on the Sulina Channel.</w:t>
      </w:r>
    </w:p>
    <w:p w:rsidR="00660414" w:rsidRPr="000A76BD" w:rsidRDefault="00660414" w:rsidP="00660414">
      <w:pPr>
        <w:rPr>
          <w:i/>
          <w:sz w:val="22"/>
          <w:szCs w:val="22"/>
          <w:u w:val="single"/>
        </w:rPr>
      </w:pPr>
    </w:p>
    <w:p w:rsidR="00660414" w:rsidRPr="000A76BD" w:rsidRDefault="00660414" w:rsidP="00660414">
      <w:pPr>
        <w:spacing w:line="276" w:lineRule="auto"/>
        <w:rPr>
          <w:i/>
          <w:sz w:val="22"/>
          <w:szCs w:val="22"/>
          <w:u w:val="single"/>
        </w:rPr>
      </w:pPr>
      <w:r w:rsidRPr="009D2E09">
        <w:rPr>
          <w:i/>
          <w:sz w:val="22"/>
          <w:szCs w:val="22"/>
          <w:u w:val="single"/>
        </w:rPr>
        <w:t>Problems Addressed:</w:t>
      </w:r>
    </w:p>
    <w:p w:rsidR="00660414" w:rsidRPr="000A76BD" w:rsidRDefault="00660414" w:rsidP="00A4081F">
      <w:pPr>
        <w:pStyle w:val="NumberedParas"/>
      </w:pPr>
      <w:r>
        <w:t>Adopting t</w:t>
      </w:r>
      <w:r w:rsidRPr="00BC44ED">
        <w:t>hese measures will lead to greater safety of navigation by providing general stability of</w:t>
      </w:r>
      <w:r w:rsidRPr="00DD3903">
        <w:t xml:space="preserve"> the canal</w:t>
      </w:r>
      <w:r>
        <w:t>.</w:t>
      </w:r>
    </w:p>
    <w:p w:rsidR="00660414" w:rsidRPr="000A76BD" w:rsidRDefault="00660414" w:rsidP="00660414">
      <w:pPr>
        <w:spacing w:line="276" w:lineRule="auto"/>
        <w:rPr>
          <w:i/>
          <w:sz w:val="22"/>
          <w:szCs w:val="22"/>
          <w:u w:val="single"/>
        </w:rPr>
      </w:pPr>
      <w:r w:rsidRPr="009D2E09">
        <w:rPr>
          <w:i/>
          <w:sz w:val="22"/>
          <w:szCs w:val="22"/>
          <w:u w:val="single"/>
        </w:rPr>
        <w:t>Operational Objectives Satisfied:</w:t>
      </w:r>
    </w:p>
    <w:p w:rsidR="00660414" w:rsidRPr="000A76BD" w:rsidRDefault="00660414" w:rsidP="00A4081F">
      <w:pPr>
        <w:pStyle w:val="NumberedParas"/>
      </w:pPr>
      <w:r w:rsidRPr="009D2E09">
        <w:t>This intervention would satisfy the following operational objectives:</w:t>
      </w:r>
    </w:p>
    <w:p w:rsidR="00660414" w:rsidRPr="000A76BD" w:rsidRDefault="00660414" w:rsidP="00273D5E">
      <w:pPr>
        <w:pStyle w:val="BulletLevel1"/>
        <w:rPr>
          <w:b/>
        </w:rPr>
      </w:pPr>
      <w:bookmarkStart w:id="8078" w:name="_Toc408990925"/>
      <w:r w:rsidRPr="009D2E09">
        <w:t>OW1 – Improve availability of the Danube</w:t>
      </w:r>
      <w:bookmarkEnd w:id="8078"/>
    </w:p>
    <w:p w:rsidR="00660414" w:rsidRPr="000A76BD" w:rsidRDefault="00660414" w:rsidP="00273D5E">
      <w:pPr>
        <w:pStyle w:val="BulletLevel1"/>
        <w:rPr>
          <w:b/>
        </w:rPr>
      </w:pPr>
      <w:bookmarkStart w:id="8079" w:name="_Toc408990926"/>
      <w:r w:rsidRPr="009D2E09">
        <w:t>OW2 – Improve Danube connectivity to reduce cost and time</w:t>
      </w:r>
      <w:bookmarkEnd w:id="8079"/>
    </w:p>
    <w:p w:rsidR="00660414" w:rsidRPr="000A76BD" w:rsidRDefault="00660414" w:rsidP="00273D5E">
      <w:pPr>
        <w:pStyle w:val="BulletLevel1"/>
        <w:rPr>
          <w:b/>
        </w:rPr>
      </w:pPr>
      <w:bookmarkStart w:id="8080" w:name="_Toc408990927"/>
      <w:r w:rsidRPr="009D2E09">
        <w:t>OW3 – Unblock barriers to operational efficiency</w:t>
      </w:r>
      <w:bookmarkEnd w:id="8080"/>
    </w:p>
    <w:p w:rsidR="00660414" w:rsidRPr="000A76BD" w:rsidRDefault="00660414" w:rsidP="00273D5E">
      <w:pPr>
        <w:pStyle w:val="BulletLevel1"/>
        <w:rPr>
          <w:b/>
        </w:rPr>
      </w:pPr>
      <w:bookmarkStart w:id="8081" w:name="_Toc408990928"/>
      <w:r w:rsidRPr="009D2E09">
        <w:t>OW4 – Reduce costs through operational efficiency</w:t>
      </w:r>
      <w:bookmarkEnd w:id="8081"/>
      <w:r w:rsidRPr="009D2E09">
        <w:t xml:space="preserve"> </w:t>
      </w:r>
    </w:p>
    <w:p w:rsidR="00660414" w:rsidRPr="000A76BD" w:rsidRDefault="00660414" w:rsidP="00273D5E">
      <w:pPr>
        <w:pStyle w:val="BulletLevel1"/>
        <w:rPr>
          <w:b/>
        </w:rPr>
      </w:pPr>
      <w:bookmarkStart w:id="8082" w:name="_Toc408990929"/>
      <w:r w:rsidRPr="009D2E09">
        <w:t>OW9 – Reduce emissions of CO</w:t>
      </w:r>
      <w:r w:rsidRPr="009D2E09">
        <w:rPr>
          <w:vertAlign w:val="subscript"/>
        </w:rPr>
        <w:t>2</w:t>
      </w:r>
      <w:r w:rsidRPr="009D2E09">
        <w:t xml:space="preserve"> and Sulphur Dioxide</w:t>
      </w:r>
      <w:bookmarkEnd w:id="8082"/>
    </w:p>
    <w:p w:rsidR="00660414" w:rsidRDefault="00660414" w:rsidP="00273D5E">
      <w:pPr>
        <w:pStyle w:val="BulletLevel1"/>
      </w:pPr>
      <w:bookmarkStart w:id="8083" w:name="_Toc408990930"/>
      <w:r w:rsidRPr="009D2E09">
        <w:t>OW10 – Increase the amount of freight moved by sustainable modes</w:t>
      </w:r>
      <w:bookmarkEnd w:id="8083"/>
    </w:p>
    <w:p w:rsidR="00660414" w:rsidRPr="000A76BD" w:rsidRDefault="00660414" w:rsidP="00660414">
      <w:pPr>
        <w:spacing w:line="276" w:lineRule="auto"/>
        <w:rPr>
          <w:i/>
          <w:sz w:val="22"/>
          <w:szCs w:val="22"/>
          <w:u w:val="single"/>
        </w:rPr>
      </w:pPr>
      <w:r w:rsidRPr="009D2E09">
        <w:rPr>
          <w:i/>
          <w:sz w:val="22"/>
          <w:szCs w:val="22"/>
          <w:u w:val="single"/>
        </w:rPr>
        <w:t>Potential Market</w:t>
      </w:r>
    </w:p>
    <w:p w:rsidR="00660414" w:rsidRPr="000A76BD" w:rsidRDefault="00660414" w:rsidP="00A4081F">
      <w:pPr>
        <w:pStyle w:val="NumberedParas"/>
      </w:pPr>
      <w:r w:rsidRPr="009D2E09">
        <w:t>This proposal would benefit all operations in particular building materials and solid mineral fuels.</w:t>
      </w:r>
    </w:p>
    <w:p w:rsidR="00660414" w:rsidRPr="000A76BD" w:rsidRDefault="00660414" w:rsidP="00660414">
      <w:pPr>
        <w:spacing w:line="276" w:lineRule="auto"/>
        <w:rPr>
          <w:i/>
          <w:sz w:val="22"/>
          <w:szCs w:val="22"/>
          <w:u w:val="single"/>
        </w:rPr>
      </w:pPr>
      <w:r w:rsidRPr="009D2E09">
        <w:rPr>
          <w:i/>
          <w:sz w:val="22"/>
          <w:szCs w:val="22"/>
          <w:u w:val="single"/>
        </w:rPr>
        <w:t>Undiscounted Costs:</w:t>
      </w:r>
    </w:p>
    <w:p w:rsidR="00660414" w:rsidRPr="000A76BD" w:rsidRDefault="00660414" w:rsidP="00A4081F">
      <w:pPr>
        <w:pStyle w:val="NumberedParas"/>
        <w:rPr>
          <w:i/>
          <w:u w:val="single"/>
        </w:rPr>
      </w:pPr>
      <w:r w:rsidRPr="009D2E09">
        <w:t>It has been estimated that the project will incur the following costs:</w:t>
      </w:r>
    </w:p>
    <w:p w:rsidR="00660414" w:rsidRDefault="00660414" w:rsidP="00A4081F">
      <w:pPr>
        <w:pStyle w:val="NumberedParas"/>
        <w:numPr>
          <w:ilvl w:val="0"/>
          <w:numId w:val="0"/>
        </w:numPr>
      </w:pPr>
      <w:r w:rsidRPr="00AA40A9">
        <w:rPr>
          <w:noProof/>
          <w:lang w:eastAsia="en-GB"/>
        </w:rPr>
        <w:t xml:space="preserve">Table </w:t>
      </w:r>
      <w:r>
        <w:rPr>
          <w:noProof/>
          <w:lang w:eastAsia="en-GB"/>
        </w:rPr>
        <w:t xml:space="preserve">6.57 </w:t>
      </w:r>
      <w:r w:rsidRPr="00AA40A9">
        <w:rPr>
          <w:noProof/>
          <w:lang w:eastAsia="en-GB"/>
        </w:rPr>
        <w:t xml:space="preserve">– </w:t>
      </w:r>
      <w:r>
        <w:rPr>
          <w:noProof/>
          <w:lang w:eastAsia="en-GB"/>
        </w:rPr>
        <w:t>Undiscounted project costs</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660414" w:rsidRPr="000A76BD" w:rsidTr="007613DE">
        <w:trPr>
          <w:cantSplit/>
          <w:tblHeader/>
        </w:trPr>
        <w:tc>
          <w:tcPr>
            <w:tcW w:w="722" w:type="pct"/>
            <w:vAlign w:val="center"/>
          </w:tcPr>
          <w:p w:rsidR="00660414" w:rsidRPr="000A76BD" w:rsidRDefault="00660414" w:rsidP="007613DE">
            <w:pPr>
              <w:spacing w:before="120" w:line="276" w:lineRule="auto"/>
              <w:jc w:val="center"/>
              <w:rPr>
                <w:b/>
                <w:bCs/>
                <w:sz w:val="22"/>
                <w:szCs w:val="22"/>
              </w:rPr>
            </w:pPr>
          </w:p>
        </w:tc>
        <w:tc>
          <w:tcPr>
            <w:tcW w:w="1330" w:type="pct"/>
            <w:vAlign w:val="center"/>
          </w:tcPr>
          <w:p w:rsidR="00660414" w:rsidRPr="000A76BD" w:rsidRDefault="00660414" w:rsidP="007613DE">
            <w:pPr>
              <w:spacing w:before="120" w:line="276" w:lineRule="auto"/>
              <w:jc w:val="center"/>
              <w:rPr>
                <w:b/>
                <w:bCs/>
                <w:sz w:val="22"/>
                <w:szCs w:val="22"/>
              </w:rPr>
            </w:pPr>
            <w:r w:rsidRPr="009D2E09">
              <w:rPr>
                <w:b/>
                <w:bCs/>
                <w:sz w:val="22"/>
                <w:szCs w:val="22"/>
              </w:rPr>
              <w:t>Undiscounted costs (Million €, 2014 prices)</w:t>
            </w:r>
          </w:p>
        </w:tc>
        <w:tc>
          <w:tcPr>
            <w:tcW w:w="2948" w:type="pct"/>
            <w:vAlign w:val="center"/>
          </w:tcPr>
          <w:p w:rsidR="00660414" w:rsidRPr="000A76BD" w:rsidRDefault="00660414" w:rsidP="007613DE">
            <w:pPr>
              <w:spacing w:before="120" w:line="276" w:lineRule="auto"/>
              <w:jc w:val="center"/>
              <w:rPr>
                <w:b/>
                <w:bCs/>
                <w:sz w:val="22"/>
                <w:szCs w:val="22"/>
              </w:rPr>
            </w:pPr>
            <w:r w:rsidRPr="009D2E09">
              <w:rPr>
                <w:b/>
                <w:bCs/>
                <w:sz w:val="22"/>
                <w:szCs w:val="22"/>
              </w:rPr>
              <w:t>Description of improvements included</w:t>
            </w:r>
          </w:p>
        </w:tc>
      </w:tr>
      <w:tr w:rsidR="00660414" w:rsidRPr="000A76BD" w:rsidTr="007613DE">
        <w:trPr>
          <w:cantSplit/>
          <w:trHeight w:val="680"/>
        </w:trPr>
        <w:tc>
          <w:tcPr>
            <w:tcW w:w="722" w:type="pct"/>
            <w:vAlign w:val="center"/>
          </w:tcPr>
          <w:p w:rsidR="00660414" w:rsidRPr="000A76BD" w:rsidRDefault="00660414" w:rsidP="007613DE">
            <w:pPr>
              <w:spacing w:before="120" w:line="276" w:lineRule="auto"/>
              <w:rPr>
                <w:b/>
                <w:bCs/>
                <w:sz w:val="22"/>
                <w:szCs w:val="22"/>
              </w:rPr>
            </w:pPr>
            <w:r w:rsidRPr="009D2E09">
              <w:rPr>
                <w:b/>
                <w:bCs/>
                <w:sz w:val="22"/>
                <w:szCs w:val="22"/>
              </w:rPr>
              <w:t>Cost</w:t>
            </w:r>
          </w:p>
        </w:tc>
        <w:tc>
          <w:tcPr>
            <w:tcW w:w="1330" w:type="pct"/>
            <w:vAlign w:val="center"/>
          </w:tcPr>
          <w:p w:rsidR="00660414" w:rsidRPr="000A76BD" w:rsidRDefault="00660414" w:rsidP="007613DE">
            <w:pPr>
              <w:spacing w:before="120" w:line="276" w:lineRule="auto"/>
              <w:jc w:val="center"/>
              <w:rPr>
                <w:b/>
                <w:bCs/>
                <w:sz w:val="22"/>
                <w:szCs w:val="22"/>
              </w:rPr>
            </w:pPr>
            <w:r>
              <w:rPr>
                <w:b/>
                <w:bCs/>
                <w:sz w:val="22"/>
                <w:szCs w:val="22"/>
              </w:rPr>
              <w:t>20</w:t>
            </w:r>
          </w:p>
        </w:tc>
        <w:tc>
          <w:tcPr>
            <w:tcW w:w="2948" w:type="pct"/>
          </w:tcPr>
          <w:p w:rsidR="00660414" w:rsidRDefault="00660414" w:rsidP="007613DE">
            <w:pPr>
              <w:spacing w:before="120" w:line="276" w:lineRule="auto"/>
              <w:rPr>
                <w:b/>
                <w:bCs/>
                <w:sz w:val="22"/>
                <w:szCs w:val="22"/>
              </w:rPr>
            </w:pPr>
            <w:r>
              <w:rPr>
                <w:b/>
                <w:bCs/>
                <w:sz w:val="22"/>
                <w:szCs w:val="22"/>
              </w:rPr>
              <w:t>Strengthening hydraulic structures and shore defences</w:t>
            </w:r>
          </w:p>
          <w:p w:rsidR="00660414" w:rsidRPr="000A76BD" w:rsidRDefault="00660414" w:rsidP="007613DE">
            <w:pPr>
              <w:spacing w:before="120" w:line="276" w:lineRule="auto"/>
              <w:rPr>
                <w:b/>
                <w:bCs/>
                <w:sz w:val="22"/>
                <w:szCs w:val="22"/>
              </w:rPr>
            </w:pPr>
            <w:r>
              <w:rPr>
                <w:b/>
                <w:bCs/>
                <w:sz w:val="22"/>
                <w:szCs w:val="22"/>
              </w:rPr>
              <w:t>Rehabilitation of the Sulina Channel</w:t>
            </w:r>
          </w:p>
        </w:tc>
      </w:tr>
    </w:tbl>
    <w:p w:rsidR="00660414" w:rsidRDefault="00660414" w:rsidP="00660414">
      <w:pPr>
        <w:rPr>
          <w:i/>
          <w:sz w:val="22"/>
          <w:szCs w:val="22"/>
          <w:u w:val="single"/>
        </w:rPr>
      </w:pPr>
    </w:p>
    <w:p w:rsidR="00660414" w:rsidRPr="000A76BD" w:rsidRDefault="00660414" w:rsidP="00660414">
      <w:pPr>
        <w:spacing w:line="276" w:lineRule="auto"/>
        <w:rPr>
          <w:i/>
          <w:sz w:val="22"/>
          <w:szCs w:val="22"/>
          <w:u w:val="single"/>
        </w:rPr>
      </w:pPr>
      <w:r w:rsidRPr="009D2E09">
        <w:rPr>
          <w:i/>
          <w:sz w:val="22"/>
          <w:szCs w:val="22"/>
          <w:u w:val="single"/>
        </w:rPr>
        <w:t>Outcomes:</w:t>
      </w:r>
    </w:p>
    <w:p w:rsidR="00660414" w:rsidRDefault="00660414" w:rsidP="00A4081F">
      <w:pPr>
        <w:pStyle w:val="NumberedParas"/>
        <w:rPr>
          <w:b/>
          <w:noProof/>
          <w:lang w:eastAsia="en-GB"/>
        </w:rPr>
      </w:pPr>
      <w:r>
        <w:t>The intervention gives a</w:t>
      </w:r>
      <w:r w:rsidRPr="009D2E09">
        <w:t xml:space="preserve"> return with a benefit-cost ratio (BCR) of </w:t>
      </w:r>
      <w:r>
        <w:t>1.55</w:t>
      </w:r>
      <w:r w:rsidRPr="009D2E09">
        <w:t>. This project is being recommended for inclusion in the Masterplan.</w:t>
      </w:r>
      <w:r w:rsidRPr="003D1B55">
        <w:rPr>
          <w:b/>
          <w:noProof/>
          <w:lang w:eastAsia="en-GB"/>
        </w:rPr>
        <w:br w:type="page"/>
      </w:r>
    </w:p>
    <w:p w:rsidR="00660414" w:rsidRPr="000A76BD" w:rsidRDefault="00660414" w:rsidP="00A4081F">
      <w:pPr>
        <w:pStyle w:val="NumberedParas"/>
        <w:numPr>
          <w:ilvl w:val="0"/>
          <w:numId w:val="0"/>
        </w:numPr>
      </w:pPr>
      <w:r w:rsidRPr="00AA40A9">
        <w:rPr>
          <w:noProof/>
          <w:lang w:eastAsia="en-GB"/>
        </w:rPr>
        <w:t xml:space="preserve">Table </w:t>
      </w:r>
      <w:r>
        <w:rPr>
          <w:noProof/>
          <w:lang w:eastAsia="en-GB"/>
        </w:rPr>
        <w:t>6.59</w:t>
      </w:r>
      <w:r w:rsidRPr="00AA40A9">
        <w:rPr>
          <w:noProof/>
          <w:lang w:eastAsia="en-GB"/>
        </w:rPr>
        <w:t xml:space="preserve"> – </w:t>
      </w:r>
      <w:r>
        <w:rPr>
          <w:noProof/>
          <w:lang w:eastAsia="en-GB"/>
        </w:rPr>
        <w:t>Project modelled outputs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660414" w:rsidRPr="000A76BD" w:rsidTr="007613DE">
        <w:tc>
          <w:tcPr>
            <w:tcW w:w="3818" w:type="dxa"/>
            <w:vAlign w:val="center"/>
          </w:tcPr>
          <w:p w:rsidR="00660414" w:rsidRPr="000A76BD" w:rsidRDefault="00660414" w:rsidP="007613DE">
            <w:pPr>
              <w:spacing w:line="276" w:lineRule="auto"/>
              <w:rPr>
                <w:b/>
                <w:bCs/>
                <w:sz w:val="22"/>
                <w:szCs w:val="22"/>
              </w:rPr>
            </w:pPr>
            <w:r w:rsidRPr="009D2E09">
              <w:rPr>
                <w:b/>
                <w:bCs/>
                <w:sz w:val="22"/>
                <w:szCs w:val="22"/>
              </w:rPr>
              <w:t>Test code</w:t>
            </w:r>
          </w:p>
        </w:tc>
        <w:tc>
          <w:tcPr>
            <w:tcW w:w="1628" w:type="dxa"/>
            <w:vAlign w:val="center"/>
          </w:tcPr>
          <w:p w:rsidR="00660414" w:rsidRPr="000A76BD" w:rsidRDefault="00660414" w:rsidP="007613DE">
            <w:pPr>
              <w:rPr>
                <w:sz w:val="22"/>
                <w:szCs w:val="22"/>
              </w:rPr>
            </w:pPr>
            <w:r>
              <w:rPr>
                <w:sz w:val="22"/>
                <w:szCs w:val="22"/>
              </w:rPr>
              <w:t>SULINA</w:t>
            </w:r>
          </w:p>
        </w:tc>
      </w:tr>
      <w:tr w:rsidR="00660414" w:rsidRPr="000A76BD" w:rsidTr="007613DE">
        <w:tc>
          <w:tcPr>
            <w:tcW w:w="3818" w:type="dxa"/>
          </w:tcPr>
          <w:p w:rsidR="00660414" w:rsidRPr="000A76BD" w:rsidRDefault="00660414" w:rsidP="007613DE">
            <w:pPr>
              <w:spacing w:line="276" w:lineRule="auto"/>
              <w:rPr>
                <w:b/>
                <w:bCs/>
                <w:sz w:val="22"/>
                <w:szCs w:val="22"/>
              </w:rPr>
            </w:pPr>
            <w:r w:rsidRPr="009D2E09">
              <w:rPr>
                <w:b/>
                <w:bCs/>
                <w:sz w:val="22"/>
                <w:szCs w:val="22"/>
              </w:rPr>
              <w:t>Annual Water Tonnes Change (2020)</w:t>
            </w:r>
          </w:p>
        </w:tc>
        <w:tc>
          <w:tcPr>
            <w:tcW w:w="1628" w:type="dxa"/>
          </w:tcPr>
          <w:p w:rsidR="00660414" w:rsidRPr="000A76BD" w:rsidRDefault="00660414" w:rsidP="007613DE">
            <w:pPr>
              <w:spacing w:line="276" w:lineRule="auto"/>
              <w:jc w:val="center"/>
              <w:rPr>
                <w:i/>
                <w:sz w:val="22"/>
                <w:szCs w:val="22"/>
                <w:u w:val="single"/>
              </w:rPr>
            </w:pPr>
          </w:p>
        </w:tc>
      </w:tr>
      <w:tr w:rsidR="00660414" w:rsidRPr="000A76BD" w:rsidTr="007613DE">
        <w:tc>
          <w:tcPr>
            <w:tcW w:w="3818" w:type="dxa"/>
            <w:vAlign w:val="center"/>
          </w:tcPr>
          <w:p w:rsidR="00660414" w:rsidRPr="000A76BD" w:rsidRDefault="00660414" w:rsidP="007613DE">
            <w:pPr>
              <w:spacing w:line="276" w:lineRule="auto"/>
              <w:rPr>
                <w:b/>
                <w:bCs/>
                <w:sz w:val="22"/>
                <w:szCs w:val="22"/>
              </w:rPr>
            </w:pPr>
            <w:r w:rsidRPr="009D2E09">
              <w:rPr>
                <w:b/>
                <w:bCs/>
                <w:sz w:val="22"/>
                <w:szCs w:val="22"/>
              </w:rPr>
              <w:t>NPV € Mill (2014 Prices)</w:t>
            </w:r>
          </w:p>
        </w:tc>
        <w:tc>
          <w:tcPr>
            <w:tcW w:w="1628" w:type="dxa"/>
          </w:tcPr>
          <w:p w:rsidR="00660414" w:rsidRPr="000A76BD" w:rsidRDefault="00660414" w:rsidP="007613DE">
            <w:pPr>
              <w:spacing w:line="276" w:lineRule="auto"/>
              <w:jc w:val="center"/>
              <w:rPr>
                <w:sz w:val="22"/>
                <w:szCs w:val="22"/>
              </w:rPr>
            </w:pPr>
            <w:r>
              <w:rPr>
                <w:sz w:val="22"/>
                <w:szCs w:val="22"/>
              </w:rPr>
              <w:t>13</w:t>
            </w:r>
          </w:p>
        </w:tc>
      </w:tr>
      <w:tr w:rsidR="00660414" w:rsidRPr="000A76BD" w:rsidTr="007613DE">
        <w:tc>
          <w:tcPr>
            <w:tcW w:w="3818" w:type="dxa"/>
            <w:vAlign w:val="center"/>
          </w:tcPr>
          <w:p w:rsidR="00660414" w:rsidRPr="000A76BD" w:rsidRDefault="00660414" w:rsidP="007613DE">
            <w:pPr>
              <w:spacing w:line="276" w:lineRule="auto"/>
              <w:rPr>
                <w:b/>
                <w:bCs/>
                <w:sz w:val="22"/>
                <w:szCs w:val="22"/>
              </w:rPr>
            </w:pPr>
            <w:r w:rsidRPr="009D2E09">
              <w:rPr>
                <w:b/>
                <w:bCs/>
                <w:sz w:val="22"/>
                <w:szCs w:val="22"/>
              </w:rPr>
              <w:t>BCR</w:t>
            </w:r>
          </w:p>
        </w:tc>
        <w:tc>
          <w:tcPr>
            <w:tcW w:w="1628" w:type="dxa"/>
          </w:tcPr>
          <w:p w:rsidR="00660414" w:rsidRPr="000A76BD" w:rsidRDefault="00660414" w:rsidP="007613DE">
            <w:pPr>
              <w:spacing w:line="276" w:lineRule="auto"/>
              <w:jc w:val="center"/>
              <w:rPr>
                <w:i/>
                <w:sz w:val="22"/>
                <w:szCs w:val="22"/>
                <w:u w:val="single"/>
              </w:rPr>
            </w:pPr>
            <w:r>
              <w:rPr>
                <w:sz w:val="22"/>
                <w:szCs w:val="22"/>
              </w:rPr>
              <w:t>1.55</w:t>
            </w:r>
          </w:p>
        </w:tc>
      </w:tr>
      <w:tr w:rsidR="00660414" w:rsidRPr="000A76BD" w:rsidTr="007613DE">
        <w:tc>
          <w:tcPr>
            <w:tcW w:w="3818" w:type="dxa"/>
            <w:vAlign w:val="center"/>
          </w:tcPr>
          <w:p w:rsidR="00660414" w:rsidRPr="000A76BD" w:rsidRDefault="00660414" w:rsidP="007613DE">
            <w:pPr>
              <w:spacing w:line="276" w:lineRule="auto"/>
              <w:rPr>
                <w:b/>
                <w:bCs/>
                <w:sz w:val="22"/>
                <w:szCs w:val="22"/>
              </w:rPr>
            </w:pPr>
            <w:r w:rsidRPr="009D2E09">
              <w:rPr>
                <w:b/>
                <w:bCs/>
                <w:sz w:val="22"/>
                <w:szCs w:val="22"/>
              </w:rPr>
              <w:t>EIRR</w:t>
            </w:r>
          </w:p>
        </w:tc>
        <w:tc>
          <w:tcPr>
            <w:tcW w:w="1628" w:type="dxa"/>
          </w:tcPr>
          <w:p w:rsidR="00660414" w:rsidRPr="000A76BD" w:rsidRDefault="00660414" w:rsidP="007613DE">
            <w:pPr>
              <w:spacing w:line="276" w:lineRule="auto"/>
              <w:jc w:val="center"/>
              <w:rPr>
                <w:i/>
                <w:sz w:val="22"/>
                <w:szCs w:val="22"/>
                <w:u w:val="single"/>
              </w:rPr>
            </w:pPr>
            <w:r>
              <w:rPr>
                <w:sz w:val="22"/>
                <w:szCs w:val="22"/>
              </w:rPr>
              <w:t>9.51</w:t>
            </w:r>
            <w:r w:rsidRPr="009D2E09">
              <w:rPr>
                <w:sz w:val="22"/>
                <w:szCs w:val="22"/>
              </w:rPr>
              <w:t>%</w:t>
            </w:r>
          </w:p>
        </w:tc>
      </w:tr>
      <w:tr w:rsidR="00660414" w:rsidRPr="000A76BD" w:rsidTr="007613DE">
        <w:tc>
          <w:tcPr>
            <w:tcW w:w="3818" w:type="dxa"/>
          </w:tcPr>
          <w:p w:rsidR="00660414" w:rsidRPr="000A76BD" w:rsidRDefault="00660414" w:rsidP="007613DE">
            <w:pPr>
              <w:spacing w:line="276" w:lineRule="auto"/>
              <w:rPr>
                <w:b/>
                <w:bCs/>
                <w:sz w:val="22"/>
                <w:szCs w:val="22"/>
              </w:rPr>
            </w:pPr>
            <w:r w:rsidRPr="009D2E09">
              <w:rPr>
                <w:b/>
                <w:bCs/>
                <w:sz w:val="22"/>
                <w:szCs w:val="22"/>
              </w:rPr>
              <w:t>Masterplan Recommendation</w:t>
            </w:r>
          </w:p>
        </w:tc>
        <w:tc>
          <w:tcPr>
            <w:tcW w:w="1628" w:type="dxa"/>
          </w:tcPr>
          <w:p w:rsidR="00660414" w:rsidRPr="000A76BD" w:rsidRDefault="00660414" w:rsidP="007613DE">
            <w:pPr>
              <w:spacing w:line="276" w:lineRule="auto"/>
              <w:jc w:val="center"/>
              <w:rPr>
                <w:sz w:val="22"/>
                <w:szCs w:val="22"/>
              </w:rPr>
            </w:pPr>
            <w:r w:rsidRPr="009D2E09">
              <w:rPr>
                <w:b/>
                <w:color w:val="00B050"/>
                <w:sz w:val="22"/>
                <w:szCs w:val="22"/>
              </w:rPr>
              <w:sym w:font="Wingdings" w:char="F0FC"/>
            </w:r>
          </w:p>
        </w:tc>
      </w:tr>
    </w:tbl>
    <w:p w:rsidR="00660414" w:rsidRPr="000A76BD" w:rsidRDefault="00660414" w:rsidP="00660414">
      <w:pPr>
        <w:spacing w:line="276" w:lineRule="auto"/>
        <w:rPr>
          <w:bCs/>
          <w:i/>
          <w:sz w:val="22"/>
          <w:szCs w:val="22"/>
          <w:u w:val="single"/>
        </w:rPr>
      </w:pPr>
    </w:p>
    <w:p w:rsidR="00660414" w:rsidRDefault="00660414" w:rsidP="00A4081F">
      <w:pPr>
        <w:pStyle w:val="NumberedParas"/>
      </w:pPr>
      <w:r>
        <w:t>The EIRR is 9.51% which is over the 3% threshold for inclusion in the Masterplan.</w:t>
      </w:r>
    </w:p>
    <w:p w:rsidR="00660414" w:rsidRPr="000A76BD" w:rsidRDefault="00660414" w:rsidP="00660414">
      <w:pPr>
        <w:rPr>
          <w:b/>
          <w:bCs/>
          <w:sz w:val="22"/>
          <w:szCs w:val="22"/>
        </w:rPr>
      </w:pPr>
    </w:p>
    <w:p w:rsidR="00660414" w:rsidRPr="000A76BD" w:rsidRDefault="00660414" w:rsidP="00660414">
      <w:pPr>
        <w:spacing w:line="276" w:lineRule="auto"/>
        <w:rPr>
          <w:bCs/>
          <w:i/>
          <w:sz w:val="22"/>
          <w:szCs w:val="22"/>
          <w:u w:val="single"/>
        </w:rPr>
      </w:pPr>
      <w:r w:rsidRPr="009D2E09">
        <w:rPr>
          <w:bCs/>
          <w:i/>
          <w:sz w:val="22"/>
          <w:szCs w:val="22"/>
          <w:u w:val="single"/>
        </w:rPr>
        <w:t>Implementing organisation:</w:t>
      </w:r>
    </w:p>
    <w:p w:rsidR="00660414" w:rsidRPr="000A76BD" w:rsidRDefault="00660414" w:rsidP="00A4081F">
      <w:pPr>
        <w:pStyle w:val="NumberedParas"/>
      </w:pPr>
      <w:r>
        <w:t>This should be managed by AFDJ Galati as they are managing phase 1.</w:t>
      </w:r>
    </w:p>
    <w:p w:rsidR="00660414" w:rsidRPr="000A76BD" w:rsidRDefault="00660414" w:rsidP="00660414">
      <w:pPr>
        <w:spacing w:line="276" w:lineRule="auto"/>
        <w:rPr>
          <w:bCs/>
          <w:i/>
          <w:sz w:val="22"/>
          <w:szCs w:val="22"/>
        </w:rPr>
      </w:pPr>
      <w:r w:rsidRPr="009D2E09">
        <w:rPr>
          <w:bCs/>
          <w:i/>
          <w:sz w:val="22"/>
          <w:szCs w:val="22"/>
          <w:u w:val="single"/>
        </w:rPr>
        <w:t>Implementation years:</w:t>
      </w:r>
      <w:r>
        <w:rPr>
          <w:bCs/>
          <w:i/>
          <w:sz w:val="22"/>
          <w:szCs w:val="22"/>
        </w:rPr>
        <w:t xml:space="preserve"> </w:t>
      </w:r>
      <w:r w:rsidRPr="009D2E09">
        <w:rPr>
          <w:bCs/>
          <w:i/>
          <w:sz w:val="22"/>
          <w:szCs w:val="22"/>
        </w:rPr>
        <w:t>20</w:t>
      </w:r>
      <w:r>
        <w:rPr>
          <w:bCs/>
          <w:i/>
          <w:sz w:val="22"/>
          <w:szCs w:val="22"/>
        </w:rPr>
        <w:t>14-2020</w:t>
      </w:r>
    </w:p>
    <w:p w:rsidR="00660414" w:rsidRDefault="00660414" w:rsidP="00660414">
      <w:pPr>
        <w:rPr>
          <w:b/>
          <w:sz w:val="22"/>
          <w:szCs w:val="22"/>
        </w:rPr>
      </w:pPr>
      <w:r>
        <w:rPr>
          <w:b/>
          <w:sz w:val="22"/>
          <w:szCs w:val="22"/>
        </w:rPr>
        <w:br w:type="page"/>
      </w:r>
    </w:p>
    <w:p w:rsidR="00660414" w:rsidRDefault="00660414" w:rsidP="00660414">
      <w:pPr>
        <w:spacing w:line="276" w:lineRule="auto"/>
      </w:pPr>
      <w:r w:rsidRPr="008C5B1B">
        <w:rPr>
          <w:b/>
          <w:sz w:val="22"/>
          <w:szCs w:val="22"/>
        </w:rPr>
        <w:t>River Danube Maintenance</w:t>
      </w:r>
      <w:bookmarkEnd w:id="8077"/>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A4081F">
      <w:pPr>
        <w:pStyle w:val="NumberedParas"/>
      </w:pPr>
      <w:r w:rsidRPr="008C5B1B">
        <w:t>The Danube maintenance can broadly be split into three: routine maintenance, non-routine and emergency maintenance. By maintenance AECOM means maintaining the viability of the Danube’s navigation.</w:t>
      </w:r>
    </w:p>
    <w:p w:rsidR="00660414" w:rsidRPr="000A76BD" w:rsidRDefault="00660414" w:rsidP="00A4081F">
      <w:pPr>
        <w:pStyle w:val="NumberedParas"/>
      </w:pPr>
      <w:r w:rsidRPr="008C5B1B">
        <w:t>Routine maintenance:</w:t>
      </w:r>
      <w:r>
        <w:t xml:space="preserve"> </w:t>
      </w:r>
      <w:r w:rsidRPr="008C5B1B">
        <w:t>This is maintenance that was planned and is regularly required on the Danube. This will typically include scheduled routine maintenance to the Danube’s fairway and river banks. This is essentially day to day maintenance of the Danube. Planned preventative maintenance is included within routine maintenance. By spending money on maintaining the Danube and keeping it in a good working condition, the Danube is less likely to require more expensive emergency maintenance in the future as prevention is almost always cheaper than the cure.</w:t>
      </w:r>
    </w:p>
    <w:p w:rsidR="00660414" w:rsidRPr="000A76BD" w:rsidRDefault="00660414" w:rsidP="00A4081F">
      <w:pPr>
        <w:pStyle w:val="NumberedParas"/>
      </w:pPr>
      <w:r w:rsidRPr="008C5B1B">
        <w:t>Non-routine maintenance:</w:t>
      </w:r>
      <w:r>
        <w:t xml:space="preserve"> </w:t>
      </w:r>
      <w:r w:rsidRPr="008C5B1B">
        <w:t>This is maintenance that can be foreseen however it occurs on an unscheduled basis. This can include ice breaking during winter months when it is possible to break the ice to allow safe and complete navigation.</w:t>
      </w:r>
    </w:p>
    <w:p w:rsidR="00660414" w:rsidRPr="000A76BD" w:rsidRDefault="00660414" w:rsidP="00A4081F">
      <w:pPr>
        <w:pStyle w:val="NumberedParas"/>
      </w:pPr>
      <w:r w:rsidRPr="008C5B1B">
        <w:t>Emergency maintenance:</w:t>
      </w:r>
      <w:r>
        <w:t xml:space="preserve"> </w:t>
      </w:r>
      <w:r w:rsidRPr="008C5B1B">
        <w:t>This type of maintenance arises from situations that cannot be regularly anticipated such as a critical failure of the Danube’s infrastructure such as through flooding or drought. Any repairs as a result of emergency maintenance should take place as soon as possible to minimise the disruption experienced by the Danube’s users.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A4081F">
      <w:pPr>
        <w:pStyle w:val="NumberedParas"/>
      </w:pPr>
      <w:r w:rsidRPr="008C5B1B">
        <w:t>Once the one-off dredging of the Danube has been completed it will be necessary to ensure the situation does not go back to how it currently is by undertaking regular and planned maintenance. The maintenance budget Romania provides for the Danube is currently low compared to other countries which may be a contributory issue to the current navigation problems experienced on the Romania section. It is understood that there is an even smaller budget in Bulgaria.</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pPr>
      <w:r w:rsidRPr="008C5B1B">
        <w:t>This intervention would satisfy the following operational objectives:</w:t>
      </w:r>
    </w:p>
    <w:p w:rsidR="00660414" w:rsidRPr="000A76BD" w:rsidRDefault="00660414" w:rsidP="00273D5E">
      <w:pPr>
        <w:pStyle w:val="BulletLevel1"/>
        <w:rPr>
          <w:b/>
        </w:rPr>
      </w:pPr>
      <w:bookmarkStart w:id="8084" w:name="_Toc408990931"/>
      <w:r w:rsidRPr="008C5B1B">
        <w:t>OW1 – Improve availability of the Danube</w:t>
      </w:r>
      <w:bookmarkEnd w:id="8084"/>
    </w:p>
    <w:p w:rsidR="00660414" w:rsidRPr="000A76BD" w:rsidRDefault="00660414" w:rsidP="00273D5E">
      <w:pPr>
        <w:pStyle w:val="BulletLevel1"/>
        <w:rPr>
          <w:b/>
        </w:rPr>
      </w:pPr>
      <w:bookmarkStart w:id="8085" w:name="_Toc408990932"/>
      <w:r w:rsidRPr="008C5B1B">
        <w:t>OW2 – Improve Danube connectivity to reduce cost and time</w:t>
      </w:r>
      <w:bookmarkEnd w:id="8085"/>
    </w:p>
    <w:p w:rsidR="00660414" w:rsidRPr="000A76BD" w:rsidRDefault="00660414" w:rsidP="00273D5E">
      <w:pPr>
        <w:pStyle w:val="BulletLevel1"/>
        <w:rPr>
          <w:b/>
        </w:rPr>
      </w:pPr>
      <w:bookmarkStart w:id="8086" w:name="_Toc408990933"/>
      <w:r w:rsidRPr="008C5B1B">
        <w:t>OW3 – Unblock barriers to operational efficiency</w:t>
      </w:r>
      <w:bookmarkEnd w:id="8086"/>
    </w:p>
    <w:p w:rsidR="00660414" w:rsidRPr="000A76BD" w:rsidRDefault="00660414" w:rsidP="00273D5E">
      <w:pPr>
        <w:pStyle w:val="BulletLevel1"/>
        <w:rPr>
          <w:b/>
        </w:rPr>
      </w:pPr>
      <w:bookmarkStart w:id="8087" w:name="_Toc408990934"/>
      <w:r w:rsidRPr="008C5B1B">
        <w:t>OW4 – Reduce costs through operational efficiency</w:t>
      </w:r>
      <w:bookmarkEnd w:id="8087"/>
      <w:r w:rsidRPr="008C5B1B">
        <w:t xml:space="preserve"> </w:t>
      </w:r>
    </w:p>
    <w:p w:rsidR="00660414" w:rsidRPr="000A76BD" w:rsidRDefault="00660414" w:rsidP="00273D5E">
      <w:pPr>
        <w:pStyle w:val="BulletLevel1"/>
        <w:rPr>
          <w:b/>
        </w:rPr>
      </w:pPr>
      <w:bookmarkStart w:id="8088" w:name="_Toc408990935"/>
      <w:r w:rsidRPr="008C5B1B">
        <w:t>OW9 – Reduce emissions of CO</w:t>
      </w:r>
      <w:r w:rsidRPr="008C5B1B">
        <w:rPr>
          <w:vertAlign w:val="subscript"/>
        </w:rPr>
        <w:t>2</w:t>
      </w:r>
      <w:r w:rsidRPr="008C5B1B">
        <w:t xml:space="preserve"> and Sulphur Dioxide</w:t>
      </w:r>
      <w:bookmarkEnd w:id="8088"/>
    </w:p>
    <w:p w:rsidR="00660414" w:rsidRPr="000A76BD" w:rsidRDefault="00660414" w:rsidP="00273D5E">
      <w:pPr>
        <w:pStyle w:val="BulletLevel1"/>
        <w:rPr>
          <w:b/>
        </w:rPr>
      </w:pPr>
      <w:bookmarkStart w:id="8089" w:name="_Toc408990936"/>
      <w:r w:rsidRPr="008C5B1B">
        <w:t>OW10 – Increase the amount of freight moved by sustainable modes</w:t>
      </w:r>
      <w:bookmarkEnd w:id="8089"/>
    </w:p>
    <w:p w:rsidR="00660414" w:rsidRDefault="00660414" w:rsidP="00660414">
      <w:pPr>
        <w:rPr>
          <w:bCs/>
          <w:i/>
          <w:sz w:val="22"/>
          <w:szCs w:val="22"/>
          <w:u w:val="single"/>
        </w:rPr>
      </w:pPr>
      <w:r>
        <w:rPr>
          <w:bCs/>
          <w:i/>
          <w:sz w:val="22"/>
          <w:szCs w:val="22"/>
          <w:u w:val="single"/>
        </w:rPr>
        <w:br w:type="page"/>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A4081F">
      <w:pPr>
        <w:pStyle w:val="NumberedParas"/>
      </w:pPr>
      <w:r w:rsidRPr="008C5B1B">
        <w:t>AFDJ is responsible for the administration of the whole of the Romanian section of the Danube. AFDJ Galati’s main objective is to facilitate transport on the Danube with the aim of maintaining a minimum depth of 2.5m on the “</w:t>
      </w:r>
      <w:r>
        <w:rPr>
          <w:lang w:val="en-US"/>
        </w:rPr>
        <w:t>fluvial” section and 8.5m on the “maritime” section</w:t>
      </w:r>
      <w:r w:rsidRPr="008C5B1B">
        <w:t>. Other key responsibilities include monitoring depths, dredging, maintenance of navigation aids and information provision.</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A4081F">
      <w:pPr>
        <w:pStyle w:val="NumberedParas"/>
      </w:pPr>
      <w:r w:rsidRPr="008C5B1B">
        <w:t>Once the one-off dredging described in the previous section has been completed</w:t>
      </w:r>
    </w:p>
    <w:p w:rsidR="00660414" w:rsidRDefault="00660414" w:rsidP="00660414">
      <w:pPr>
        <w:rPr>
          <w:rFonts w:cs="Arial"/>
          <w:b/>
          <w:color w:val="9E0880"/>
          <w:sz w:val="22"/>
          <w:szCs w:val="22"/>
        </w:rPr>
      </w:pPr>
      <w:bookmarkStart w:id="8090" w:name="_Toc400538727"/>
      <w:r>
        <w:br w:type="page"/>
      </w:r>
    </w:p>
    <w:p w:rsidR="00660414" w:rsidRPr="000A76BD" w:rsidRDefault="00660414" w:rsidP="00045287">
      <w:pPr>
        <w:pStyle w:val="Hdg2"/>
      </w:pPr>
      <w:bookmarkStart w:id="8091" w:name="_Toc408990937"/>
      <w:bookmarkStart w:id="8092" w:name="_Toc413056063"/>
      <w:r w:rsidRPr="008C5B1B">
        <w:t>Institutional Reform</w:t>
      </w:r>
      <w:bookmarkEnd w:id="8090"/>
      <w:bookmarkEnd w:id="8091"/>
      <w:bookmarkEnd w:id="8092"/>
    </w:p>
    <w:p w:rsidR="00660414" w:rsidRPr="000A76BD" w:rsidRDefault="00660414" w:rsidP="00A4081F">
      <w:pPr>
        <w:pStyle w:val="NumberedParas"/>
      </w:pPr>
      <w:r w:rsidRPr="008C5B1B">
        <w:t>The following are institutional reforms recommended by AECOM that, when enacted, should more water a more attractive mode of transport:</w:t>
      </w:r>
    </w:p>
    <w:p w:rsidR="00660414" w:rsidRPr="000A76BD" w:rsidRDefault="00660414" w:rsidP="00660414">
      <w:pPr>
        <w:spacing w:line="276" w:lineRule="auto"/>
        <w:rPr>
          <w:b/>
          <w:sz w:val="22"/>
          <w:szCs w:val="22"/>
        </w:rPr>
      </w:pPr>
      <w:r w:rsidRPr="008C5B1B">
        <w:rPr>
          <w:b/>
          <w:sz w:val="22"/>
          <w:szCs w:val="22"/>
        </w:rPr>
        <w:t>Management and Operations:</w:t>
      </w:r>
    </w:p>
    <w:p w:rsidR="00660414" w:rsidRPr="000A76BD" w:rsidRDefault="00660414" w:rsidP="00660414">
      <w:pPr>
        <w:spacing w:line="276" w:lineRule="auto"/>
        <w:rPr>
          <w:b/>
          <w:sz w:val="22"/>
          <w:szCs w:val="22"/>
        </w:rPr>
      </w:pPr>
      <w:r w:rsidRPr="008C5B1B">
        <w:rPr>
          <w:b/>
          <w:sz w:val="22"/>
          <w:szCs w:val="22"/>
        </w:rPr>
        <w:t>Authorities to be Flexible in Opening Times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Default="00660414" w:rsidP="00660414">
      <w:pPr>
        <w:spacing w:line="276" w:lineRule="auto"/>
      </w:pPr>
      <w:r w:rsidRPr="008C5B1B">
        <w:rPr>
          <w:sz w:val="22"/>
          <w:szCs w:val="22"/>
        </w:rPr>
        <w:t>Port authorities are to be flexible in opening times/days so that facilities such as customs, booking offices and terminals are available if demand exists.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Port functions are sometimes unavailable when water freight operators require them, causing unnecessary cost and delays.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093" w:name="_Toc408990938"/>
      <w:r w:rsidRPr="008C5B1B">
        <w:t>OW3 – Unblock barriers to operational efficiency</w:t>
      </w:r>
      <w:bookmarkEnd w:id="8093"/>
    </w:p>
    <w:p w:rsidR="00660414" w:rsidRPr="000A76BD" w:rsidRDefault="00660414" w:rsidP="00273D5E">
      <w:pPr>
        <w:pStyle w:val="BulletLevel1"/>
        <w:rPr>
          <w:b/>
        </w:rPr>
      </w:pPr>
      <w:bookmarkStart w:id="8094" w:name="_Toc408990939"/>
      <w:r w:rsidRPr="008C5B1B">
        <w:t>OW4 – Reduce costs through operational efficiency</w:t>
      </w:r>
      <w:bookmarkEnd w:id="8094"/>
      <w:r w:rsidRPr="008C5B1B">
        <w:t xml:space="preserve"> </w:t>
      </w:r>
    </w:p>
    <w:p w:rsidR="00660414" w:rsidRPr="000A76BD" w:rsidRDefault="00660414" w:rsidP="00273D5E">
      <w:pPr>
        <w:pStyle w:val="BulletLevel1"/>
        <w:rPr>
          <w:b/>
        </w:rPr>
      </w:pPr>
      <w:bookmarkStart w:id="8095" w:name="_Toc408990940"/>
      <w:r w:rsidRPr="008C5B1B">
        <w:t>OW6 – Review existing assets to focus intervention to increase capacity</w:t>
      </w:r>
      <w:bookmarkEnd w:id="8095"/>
    </w:p>
    <w:p w:rsidR="00660414" w:rsidRPr="000A76BD" w:rsidRDefault="00660414" w:rsidP="00273D5E">
      <w:pPr>
        <w:pStyle w:val="BulletLevel1"/>
        <w:rPr>
          <w:b/>
        </w:rPr>
      </w:pPr>
      <w:bookmarkStart w:id="8096" w:name="_Toc408990941"/>
      <w:r w:rsidRPr="008C5B1B">
        <w:t>OW7 – Reduce procedural delays to water freight</w:t>
      </w:r>
      <w:bookmarkEnd w:id="8096"/>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All port authorities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Immediate</w:t>
      </w:r>
    </w:p>
    <w:p w:rsidR="00660414" w:rsidRDefault="00660414" w:rsidP="00660414">
      <w:pPr>
        <w:spacing w:line="276" w:lineRule="auto"/>
        <w:rPr>
          <w:b/>
          <w:sz w:val="22"/>
          <w:szCs w:val="22"/>
        </w:rPr>
      </w:pPr>
    </w:p>
    <w:p w:rsidR="00660414" w:rsidRPr="000A76BD" w:rsidRDefault="00660414" w:rsidP="00660414">
      <w:pPr>
        <w:spacing w:line="276" w:lineRule="auto"/>
        <w:rPr>
          <w:b/>
          <w:sz w:val="22"/>
          <w:szCs w:val="22"/>
        </w:rPr>
      </w:pPr>
      <w:r>
        <w:rPr>
          <w:b/>
          <w:sz w:val="22"/>
          <w:szCs w:val="22"/>
        </w:rPr>
        <w:t>Transfer Ownership of Rail Infrastructure to Port Authorities</w:t>
      </w:r>
    </w:p>
    <w:p w:rsidR="00660414" w:rsidRPr="000A76BD" w:rsidRDefault="00660414" w:rsidP="00660414">
      <w:pPr>
        <w:pStyle w:val="ListParagraph"/>
        <w:spacing w:before="120" w:after="120" w:line="276" w:lineRule="auto"/>
        <w:ind w:left="0"/>
        <w:rPr>
          <w:i/>
          <w:sz w:val="22"/>
          <w:szCs w:val="22"/>
          <w:u w:val="single"/>
        </w:rPr>
      </w:pPr>
      <w:r w:rsidRPr="0026715B">
        <w:rPr>
          <w:i/>
          <w:sz w:val="22"/>
          <w:szCs w:val="22"/>
          <w:u w:val="single"/>
        </w:rPr>
        <w:t>Proposal Description:</w:t>
      </w:r>
    </w:p>
    <w:p w:rsidR="00660414" w:rsidRPr="00796604" w:rsidRDefault="00660414" w:rsidP="00660414">
      <w:pPr>
        <w:spacing w:line="276" w:lineRule="auto"/>
        <w:rPr>
          <w:sz w:val="22"/>
          <w:szCs w:val="22"/>
        </w:rPr>
      </w:pPr>
      <w:r>
        <w:rPr>
          <w:sz w:val="22"/>
          <w:szCs w:val="22"/>
        </w:rPr>
        <w:t>Rail infrastructure ownership should be transferred to port authorities where the port authority has shown a commitment to improving and upgrading the rail infrastructure.</w:t>
      </w:r>
    </w:p>
    <w:p w:rsidR="00660414" w:rsidRPr="000A76BD" w:rsidRDefault="00660414" w:rsidP="00660414">
      <w:pPr>
        <w:spacing w:line="276" w:lineRule="auto"/>
        <w:rPr>
          <w:i/>
          <w:sz w:val="22"/>
          <w:szCs w:val="22"/>
          <w:u w:val="single"/>
        </w:rPr>
      </w:pPr>
      <w:r w:rsidRPr="0026715B">
        <w:rPr>
          <w:i/>
          <w:sz w:val="22"/>
          <w:szCs w:val="22"/>
          <w:u w:val="single"/>
        </w:rPr>
        <w:t>Problems Addressed:</w:t>
      </w:r>
    </w:p>
    <w:p w:rsidR="00660414" w:rsidRPr="000A76BD" w:rsidRDefault="00660414" w:rsidP="00660414">
      <w:pPr>
        <w:spacing w:line="276" w:lineRule="auto"/>
        <w:rPr>
          <w:sz w:val="22"/>
          <w:szCs w:val="22"/>
        </w:rPr>
      </w:pPr>
      <w:r>
        <w:rPr>
          <w:sz w:val="22"/>
          <w:szCs w:val="22"/>
        </w:rPr>
        <w:t>Rail infrastructure is currently owned and managed by CFR. However this infrastructure is not considered a priority for maintaining or upgrading. As such the current state of such infrastructure is poor in a number of ports such as Galati.</w:t>
      </w:r>
    </w:p>
    <w:p w:rsidR="00660414" w:rsidRPr="000A76BD" w:rsidRDefault="00660414" w:rsidP="00660414">
      <w:pPr>
        <w:spacing w:line="276" w:lineRule="auto"/>
        <w:rPr>
          <w:i/>
          <w:sz w:val="22"/>
          <w:szCs w:val="22"/>
          <w:u w:val="single"/>
        </w:rPr>
      </w:pPr>
      <w:r w:rsidRPr="0026715B">
        <w:rPr>
          <w:i/>
          <w:sz w:val="22"/>
          <w:szCs w:val="22"/>
          <w:u w:val="single"/>
        </w:rPr>
        <w:t>Operational Objectives Satisfied:</w:t>
      </w:r>
    </w:p>
    <w:p w:rsidR="00660414" w:rsidRPr="000A76BD" w:rsidRDefault="00660414" w:rsidP="00A4081F">
      <w:pPr>
        <w:pStyle w:val="NumberedParas"/>
        <w:numPr>
          <w:ilvl w:val="0"/>
          <w:numId w:val="0"/>
        </w:numPr>
      </w:pPr>
      <w:r w:rsidRPr="0026715B">
        <w:t>This intervention would satisfy the following operational objectives:</w:t>
      </w:r>
    </w:p>
    <w:p w:rsidR="00660414" w:rsidRPr="000A76BD" w:rsidRDefault="00660414" w:rsidP="00273D5E">
      <w:pPr>
        <w:pStyle w:val="BulletLevel1"/>
        <w:rPr>
          <w:b/>
        </w:rPr>
      </w:pPr>
      <w:bookmarkStart w:id="8097" w:name="_Toc408990942"/>
      <w:r w:rsidRPr="0026715B">
        <w:t>OW3 – Unblock barriers to operational efficiency</w:t>
      </w:r>
      <w:bookmarkEnd w:id="8097"/>
    </w:p>
    <w:p w:rsidR="00660414" w:rsidRPr="000A76BD" w:rsidRDefault="00660414" w:rsidP="00273D5E">
      <w:pPr>
        <w:pStyle w:val="BulletLevel1"/>
        <w:rPr>
          <w:b/>
        </w:rPr>
      </w:pPr>
      <w:bookmarkStart w:id="8098" w:name="_Toc408990943"/>
      <w:r w:rsidRPr="0026715B">
        <w:t>OW4 – Reduce costs through operational efficiency</w:t>
      </w:r>
      <w:bookmarkEnd w:id="8098"/>
      <w:r w:rsidRPr="0026715B">
        <w:t xml:space="preserve"> </w:t>
      </w:r>
    </w:p>
    <w:p w:rsidR="00660414" w:rsidRPr="000A76BD" w:rsidRDefault="00660414" w:rsidP="00273D5E">
      <w:pPr>
        <w:pStyle w:val="BulletLevel1"/>
        <w:rPr>
          <w:b/>
        </w:rPr>
      </w:pPr>
      <w:bookmarkStart w:id="8099" w:name="_Toc408990944"/>
      <w:r w:rsidRPr="0026715B">
        <w:t>OW6 – Review existing assets to focus intervention to increase capacity</w:t>
      </w:r>
      <w:bookmarkEnd w:id="8099"/>
    </w:p>
    <w:p w:rsidR="00660414" w:rsidRPr="000A76BD" w:rsidRDefault="00660414" w:rsidP="00273D5E">
      <w:pPr>
        <w:pStyle w:val="BulletLevel1"/>
        <w:rPr>
          <w:b/>
          <w:bCs/>
          <w:i/>
          <w:u w:val="single"/>
        </w:rPr>
      </w:pPr>
      <w:bookmarkStart w:id="8100" w:name="_Toc408990945"/>
      <w:r w:rsidRPr="0026715B">
        <w:t>OW10 – Increase the amount of freight moved by sustainable modes</w:t>
      </w:r>
      <w:bookmarkEnd w:id="8100"/>
    </w:p>
    <w:p w:rsidR="00660414" w:rsidRPr="000A76BD" w:rsidRDefault="00660414" w:rsidP="00660414">
      <w:pPr>
        <w:spacing w:line="276" w:lineRule="auto"/>
        <w:rPr>
          <w:bCs/>
          <w:i/>
          <w:sz w:val="22"/>
          <w:szCs w:val="22"/>
          <w:u w:val="single"/>
        </w:rPr>
      </w:pPr>
      <w:r w:rsidRPr="0026715B">
        <w:rPr>
          <w:bCs/>
          <w:i/>
          <w:sz w:val="22"/>
          <w:szCs w:val="22"/>
          <w:u w:val="single"/>
        </w:rPr>
        <w:t>Implementing organisation:</w:t>
      </w:r>
    </w:p>
    <w:p w:rsidR="00660414" w:rsidRPr="000A76BD" w:rsidRDefault="00660414" w:rsidP="00660414">
      <w:pPr>
        <w:spacing w:line="276" w:lineRule="auto"/>
        <w:rPr>
          <w:sz w:val="22"/>
          <w:szCs w:val="22"/>
        </w:rPr>
      </w:pPr>
      <w:r w:rsidRPr="0026715B">
        <w:rPr>
          <w:sz w:val="22"/>
          <w:szCs w:val="22"/>
        </w:rPr>
        <w:t>All port authorities</w:t>
      </w:r>
    </w:p>
    <w:p w:rsidR="00660414" w:rsidRPr="000A76BD" w:rsidRDefault="00660414" w:rsidP="00660414">
      <w:pPr>
        <w:spacing w:line="276" w:lineRule="auto"/>
        <w:rPr>
          <w:bCs/>
          <w:i/>
          <w:sz w:val="22"/>
          <w:szCs w:val="22"/>
          <w:u w:val="single"/>
        </w:rPr>
      </w:pPr>
      <w:r w:rsidRPr="0026715B">
        <w:rPr>
          <w:bCs/>
          <w:i/>
          <w:sz w:val="22"/>
          <w:szCs w:val="22"/>
          <w:u w:val="single"/>
        </w:rPr>
        <w:t>Implementation years:</w:t>
      </w:r>
    </w:p>
    <w:p w:rsidR="00660414" w:rsidRDefault="00660414" w:rsidP="00660414">
      <w:pPr>
        <w:rPr>
          <w:b/>
          <w:sz w:val="22"/>
          <w:szCs w:val="22"/>
        </w:rPr>
      </w:pPr>
      <w:r w:rsidRPr="0026715B">
        <w:rPr>
          <w:sz w:val="22"/>
          <w:szCs w:val="22"/>
        </w:rPr>
        <w:t>Immediate</w:t>
      </w:r>
      <w:r>
        <w:rPr>
          <w:b/>
          <w:sz w:val="22"/>
          <w:szCs w:val="22"/>
        </w:rPr>
        <w:br w:type="page"/>
      </w:r>
    </w:p>
    <w:p w:rsidR="00660414" w:rsidRPr="000A76BD" w:rsidRDefault="00660414" w:rsidP="00660414">
      <w:pPr>
        <w:spacing w:line="276" w:lineRule="auto"/>
        <w:rPr>
          <w:b/>
          <w:sz w:val="22"/>
          <w:szCs w:val="22"/>
        </w:rPr>
      </w:pPr>
      <w:r w:rsidRPr="008C5B1B">
        <w:rPr>
          <w:b/>
          <w:sz w:val="22"/>
          <w:szCs w:val="22"/>
        </w:rPr>
        <w:t>Adopt a Commercial Attitude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Adopt a commercial attitude and review port charges to operators to ensure water freight is competitive</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Outdated charging methods make water freight less competitive against other modes. Adopting a commercial attitude will address this problem.</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01" w:name="_Toc408990946"/>
      <w:r w:rsidRPr="008C5B1B">
        <w:t>OW4 – Reduce costs through operational efficiency</w:t>
      </w:r>
      <w:bookmarkEnd w:id="8101"/>
      <w:r w:rsidRPr="008C5B1B">
        <w:t xml:space="preserve"> </w:t>
      </w:r>
    </w:p>
    <w:p w:rsidR="00660414" w:rsidRPr="000A76BD" w:rsidRDefault="00660414" w:rsidP="00273D5E">
      <w:pPr>
        <w:pStyle w:val="BulletLevel1"/>
        <w:rPr>
          <w:b/>
        </w:rPr>
      </w:pPr>
      <w:bookmarkStart w:id="8102" w:name="_Toc408990947"/>
      <w:r w:rsidRPr="008C5B1B">
        <w:t>OW7 – Reduce procedural delays to water freight</w:t>
      </w:r>
      <w:bookmarkEnd w:id="8102"/>
    </w:p>
    <w:p w:rsidR="00660414" w:rsidRPr="000A76BD" w:rsidRDefault="00660414" w:rsidP="00273D5E">
      <w:pPr>
        <w:pStyle w:val="BulletLevel1"/>
        <w:rPr>
          <w:b/>
          <w:bCs/>
          <w:i/>
          <w:u w:val="single"/>
        </w:rPr>
      </w:pPr>
      <w:bookmarkStart w:id="8103" w:name="_Toc408990948"/>
      <w:r w:rsidRPr="008C5B1B">
        <w:t>OW10 – Increase the amount of freight moved by sustainable modes</w:t>
      </w:r>
      <w:bookmarkEnd w:id="8103"/>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All ports and waterways authorities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Immediate</w:t>
      </w:r>
    </w:p>
    <w:p w:rsidR="00660414" w:rsidRPr="000A76BD" w:rsidRDefault="00660414" w:rsidP="00660414">
      <w:pPr>
        <w:spacing w:line="276" w:lineRule="auto"/>
        <w:rPr>
          <w:sz w:val="22"/>
          <w:szCs w:val="22"/>
        </w:rPr>
      </w:pPr>
    </w:p>
    <w:p w:rsidR="00660414" w:rsidRPr="000A76BD" w:rsidRDefault="00660414" w:rsidP="00660414">
      <w:pPr>
        <w:spacing w:line="276" w:lineRule="auto"/>
        <w:rPr>
          <w:b/>
          <w:sz w:val="22"/>
          <w:szCs w:val="22"/>
        </w:rPr>
      </w:pPr>
      <w:r w:rsidRPr="008C5B1B">
        <w:rPr>
          <w:b/>
          <w:sz w:val="22"/>
          <w:szCs w:val="22"/>
        </w:rPr>
        <w:t>International Cooperation</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Romania needs to work with other Danube countries to agree operational plans that will help to address the identified issues.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The problems identified are:</w:t>
      </w:r>
    </w:p>
    <w:p w:rsidR="00660414" w:rsidRPr="000A76BD" w:rsidRDefault="00660414" w:rsidP="00660414">
      <w:pPr>
        <w:numPr>
          <w:ilvl w:val="0"/>
          <w:numId w:val="57"/>
        </w:numPr>
        <w:spacing w:line="276" w:lineRule="auto"/>
        <w:jc w:val="both"/>
        <w:rPr>
          <w:sz w:val="22"/>
          <w:szCs w:val="22"/>
        </w:rPr>
      </w:pPr>
      <w:r w:rsidRPr="008C5B1B">
        <w:rPr>
          <w:sz w:val="22"/>
          <w:szCs w:val="22"/>
        </w:rPr>
        <w:t>Differing maintenance budgets</w:t>
      </w:r>
    </w:p>
    <w:p w:rsidR="00660414" w:rsidRPr="000A76BD" w:rsidRDefault="00660414" w:rsidP="00660414">
      <w:pPr>
        <w:numPr>
          <w:ilvl w:val="0"/>
          <w:numId w:val="57"/>
        </w:numPr>
        <w:spacing w:line="276" w:lineRule="auto"/>
        <w:jc w:val="both"/>
        <w:rPr>
          <w:sz w:val="22"/>
          <w:szCs w:val="22"/>
        </w:rPr>
      </w:pPr>
      <w:r w:rsidRPr="008C5B1B">
        <w:rPr>
          <w:sz w:val="22"/>
          <w:szCs w:val="22"/>
        </w:rPr>
        <w:t>Differing rules on environmental standards</w:t>
      </w:r>
    </w:p>
    <w:p w:rsidR="00660414" w:rsidRPr="000A76BD" w:rsidRDefault="00660414" w:rsidP="00660414">
      <w:pPr>
        <w:numPr>
          <w:ilvl w:val="0"/>
          <w:numId w:val="57"/>
        </w:numPr>
        <w:spacing w:line="276" w:lineRule="auto"/>
        <w:jc w:val="both"/>
        <w:rPr>
          <w:sz w:val="22"/>
          <w:szCs w:val="22"/>
        </w:rPr>
      </w:pPr>
      <w:r w:rsidRPr="008C5B1B">
        <w:rPr>
          <w:sz w:val="22"/>
          <w:szCs w:val="22"/>
        </w:rPr>
        <w:t>Different systems are being used on the Danube</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04" w:name="_Toc408990949"/>
      <w:r w:rsidRPr="008C5B1B">
        <w:t>OW3 – Unblock barriers to operational efficiency</w:t>
      </w:r>
      <w:bookmarkEnd w:id="8104"/>
    </w:p>
    <w:p w:rsidR="00660414" w:rsidRPr="000A76BD" w:rsidRDefault="00660414" w:rsidP="00273D5E">
      <w:pPr>
        <w:pStyle w:val="BulletLevel1"/>
        <w:rPr>
          <w:b/>
        </w:rPr>
      </w:pPr>
      <w:bookmarkStart w:id="8105" w:name="_Toc408990950"/>
      <w:r w:rsidRPr="008C5B1B">
        <w:t>OW4 – Reduce costs through operational efficiency</w:t>
      </w:r>
      <w:bookmarkEnd w:id="8105"/>
      <w:r w:rsidRPr="008C5B1B">
        <w:t xml:space="preserve"> </w:t>
      </w:r>
    </w:p>
    <w:p w:rsidR="00660414" w:rsidRPr="000A76BD" w:rsidRDefault="00660414" w:rsidP="00273D5E">
      <w:pPr>
        <w:pStyle w:val="BulletLevel1"/>
        <w:rPr>
          <w:b/>
        </w:rPr>
      </w:pPr>
      <w:bookmarkStart w:id="8106" w:name="_Toc408990951"/>
      <w:r w:rsidRPr="008C5B1B">
        <w:t>OW5 – Improve coordination between levels of government and enable investment</w:t>
      </w:r>
      <w:bookmarkEnd w:id="8106"/>
    </w:p>
    <w:p w:rsidR="00660414" w:rsidRPr="000A76BD" w:rsidRDefault="00660414" w:rsidP="00273D5E">
      <w:pPr>
        <w:pStyle w:val="BulletLevel1"/>
        <w:rPr>
          <w:b/>
        </w:rPr>
      </w:pPr>
      <w:bookmarkStart w:id="8107" w:name="_Toc408990952"/>
      <w:r w:rsidRPr="008C5B1B">
        <w:t>OW7 – Reduce procedural delays to water freight</w:t>
      </w:r>
      <w:bookmarkEnd w:id="8107"/>
    </w:p>
    <w:p w:rsidR="00660414" w:rsidRPr="000A76BD" w:rsidRDefault="00660414" w:rsidP="00273D5E">
      <w:pPr>
        <w:pStyle w:val="BulletLevel1"/>
        <w:rPr>
          <w:b/>
          <w:bCs/>
          <w:i/>
          <w:u w:val="single"/>
        </w:rPr>
      </w:pPr>
      <w:bookmarkStart w:id="8108" w:name="_Toc408990953"/>
      <w:r w:rsidRPr="008C5B1B">
        <w:t>OW10 – Increase the amount of freight moved by sustainable modes</w:t>
      </w:r>
      <w:bookmarkEnd w:id="8108"/>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The Danube countries, in particular their respective Transport Ministries.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Immediate</w:t>
      </w:r>
    </w:p>
    <w:p w:rsidR="00660414" w:rsidRPr="000A76BD" w:rsidRDefault="00660414" w:rsidP="00660414">
      <w:pPr>
        <w:spacing w:line="276" w:lineRule="auto"/>
        <w:rPr>
          <w:b/>
          <w:sz w:val="22"/>
          <w:szCs w:val="22"/>
        </w:rPr>
      </w:pPr>
    </w:p>
    <w:p w:rsidR="00660414" w:rsidRDefault="00660414" w:rsidP="00660414">
      <w:pPr>
        <w:rPr>
          <w:b/>
          <w:sz w:val="22"/>
          <w:szCs w:val="22"/>
        </w:rPr>
      </w:pPr>
      <w:r>
        <w:rPr>
          <w:b/>
          <w:sz w:val="22"/>
          <w:szCs w:val="22"/>
        </w:rPr>
        <w:br w:type="page"/>
      </w:r>
    </w:p>
    <w:p w:rsidR="00660414" w:rsidRPr="000A76BD" w:rsidRDefault="00660414" w:rsidP="00660414">
      <w:pPr>
        <w:spacing w:line="276" w:lineRule="auto"/>
        <w:rPr>
          <w:b/>
          <w:sz w:val="22"/>
          <w:szCs w:val="22"/>
        </w:rPr>
      </w:pPr>
      <w:r w:rsidRPr="008C5B1B">
        <w:rPr>
          <w:b/>
          <w:sz w:val="22"/>
          <w:szCs w:val="22"/>
        </w:rPr>
        <w:t>Training</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 xml:space="preserve">Establish suitable training for the needs of the naval sector. </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There are currently between 50 and 100 accidents each year on the Romanian section of the Danube involving personal injury. The cost of these accidents in 2011 has been estimated to be €2.8m. Accidents that occur within the ports have significant impact due to a lack of protection measures and proper instruction to port employees. Proper training within a properly set up regulatory framework will help to reduce the frequency and severity of these accidents.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09" w:name="_Toc408990954"/>
      <w:r w:rsidRPr="008C5B1B">
        <w:t>OW3 – Unblock barriers to operational efficiency</w:t>
      </w:r>
      <w:bookmarkEnd w:id="8109"/>
    </w:p>
    <w:p w:rsidR="00660414" w:rsidRPr="000A76BD" w:rsidRDefault="00660414" w:rsidP="00273D5E">
      <w:pPr>
        <w:pStyle w:val="BulletLevel1"/>
        <w:rPr>
          <w:b/>
        </w:rPr>
      </w:pPr>
      <w:bookmarkStart w:id="8110" w:name="_Toc408990955"/>
      <w:r w:rsidRPr="008C5B1B">
        <w:t>OW4 – Reduce costs through operational efficiency</w:t>
      </w:r>
      <w:bookmarkEnd w:id="8110"/>
      <w:r w:rsidRPr="008C5B1B">
        <w:t xml:space="preserve"> </w:t>
      </w:r>
    </w:p>
    <w:p w:rsidR="00660414" w:rsidRPr="000A76BD" w:rsidRDefault="00660414" w:rsidP="00273D5E">
      <w:pPr>
        <w:pStyle w:val="BulletLevel1"/>
        <w:rPr>
          <w:b/>
        </w:rPr>
      </w:pPr>
      <w:bookmarkStart w:id="8111" w:name="_Toc408990956"/>
      <w:r w:rsidRPr="008C5B1B">
        <w:t>OW8 – Reduce number and cost of accidents on the Danube</w:t>
      </w:r>
      <w:bookmarkEnd w:id="8111"/>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ANR, the Romanian Naval Authority, is responsible for the safety of civil navigation, the port administrators are responsible for issuing the licences for the port employees and both should be responsible for this, along with certified training providers.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Immediate; although consideration should be given to the quality of the current training provided, along with its content, to assess its suitability.</w:t>
      </w:r>
    </w:p>
    <w:p w:rsidR="00660414" w:rsidRPr="000A76BD" w:rsidRDefault="00660414" w:rsidP="00660414">
      <w:pPr>
        <w:spacing w:line="276" w:lineRule="auto"/>
        <w:rPr>
          <w:sz w:val="22"/>
          <w:szCs w:val="22"/>
        </w:rPr>
      </w:pPr>
    </w:p>
    <w:p w:rsidR="00660414" w:rsidRPr="000A76BD" w:rsidRDefault="00660414" w:rsidP="00660414">
      <w:pPr>
        <w:spacing w:line="276" w:lineRule="auto"/>
        <w:rPr>
          <w:b/>
          <w:sz w:val="22"/>
          <w:szCs w:val="22"/>
        </w:rPr>
      </w:pPr>
      <w:r w:rsidRPr="008C5B1B">
        <w:rPr>
          <w:b/>
          <w:sz w:val="22"/>
          <w:szCs w:val="22"/>
        </w:rPr>
        <w:t>Use Modern Systems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 xml:space="preserve">The industry should use modern and integrated systems for customs, navigation, regulation and administration. For example the DoRIS river information system is now available by APP for mobiles in Austria. </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Different countries are using different systems and devices. Romania should follow the consensus to avoid issues further down the line.</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12" w:name="_Toc408990957"/>
      <w:r w:rsidRPr="008C5B1B">
        <w:t>OW3 – Unblock barriers to operational efficiency</w:t>
      </w:r>
      <w:bookmarkEnd w:id="8112"/>
    </w:p>
    <w:p w:rsidR="00660414" w:rsidRPr="000A76BD" w:rsidRDefault="00660414" w:rsidP="00273D5E">
      <w:pPr>
        <w:pStyle w:val="BulletLevel1"/>
        <w:rPr>
          <w:b/>
        </w:rPr>
      </w:pPr>
      <w:bookmarkStart w:id="8113" w:name="_Toc408990958"/>
      <w:r w:rsidRPr="008C5B1B">
        <w:t>OW4 – Reduce costs through operational efficiency</w:t>
      </w:r>
      <w:bookmarkEnd w:id="8113"/>
      <w:r w:rsidRPr="008C5B1B">
        <w:t xml:space="preserve"> </w:t>
      </w:r>
    </w:p>
    <w:p w:rsidR="00660414" w:rsidRPr="000A76BD" w:rsidRDefault="00660414" w:rsidP="00273D5E">
      <w:pPr>
        <w:pStyle w:val="BulletLevel1"/>
        <w:rPr>
          <w:b/>
        </w:rPr>
      </w:pPr>
      <w:bookmarkStart w:id="8114" w:name="_Toc408990959"/>
      <w:r w:rsidRPr="008C5B1B">
        <w:t>OW7 – Reduce procedural delays to water freight</w:t>
      </w:r>
      <w:bookmarkEnd w:id="8114"/>
    </w:p>
    <w:p w:rsidR="00660414" w:rsidRDefault="00660414" w:rsidP="00273D5E">
      <w:pPr>
        <w:pStyle w:val="BulletLevel1"/>
      </w:pPr>
      <w:bookmarkStart w:id="8115" w:name="_Toc408990960"/>
      <w:r w:rsidRPr="008C5B1B">
        <w:t>OW8 – Reduce number and cost of accidents on the Danube</w:t>
      </w:r>
      <w:bookmarkEnd w:id="8115"/>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The MT in its capacity as the overarching body for other organisation such as AFDJ.</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Consultation and cooperation with other Danube countries should begin immediately with a decision made on the systems to adopt made within five years.</w:t>
      </w:r>
    </w:p>
    <w:p w:rsidR="00660414" w:rsidRPr="000A76BD" w:rsidRDefault="00660414" w:rsidP="00660414">
      <w:pPr>
        <w:spacing w:line="276" w:lineRule="auto"/>
        <w:rPr>
          <w:sz w:val="22"/>
          <w:szCs w:val="22"/>
        </w:rPr>
      </w:pPr>
    </w:p>
    <w:p w:rsidR="00660414" w:rsidRPr="000A76BD" w:rsidRDefault="00660414" w:rsidP="00660414">
      <w:pPr>
        <w:spacing w:line="276" w:lineRule="auto"/>
        <w:rPr>
          <w:b/>
          <w:sz w:val="22"/>
          <w:szCs w:val="22"/>
        </w:rPr>
      </w:pPr>
      <w:r w:rsidRPr="008C5B1B">
        <w:rPr>
          <w:b/>
          <w:sz w:val="22"/>
          <w:szCs w:val="22"/>
        </w:rPr>
        <w:t>Security on the Danube</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Enhance security to reduce thefts from vessels and port facilities.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Theft costs all parties involved time and money and seriously affects the reputation of water freight as a mode of transport. Enhancing security to prevent further losses will address this.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16" w:name="_Toc408990961"/>
      <w:r w:rsidRPr="008C5B1B">
        <w:t>OW3 – Unblock barriers to operational efficiency</w:t>
      </w:r>
      <w:bookmarkEnd w:id="8116"/>
    </w:p>
    <w:p w:rsidR="00660414" w:rsidRDefault="00660414" w:rsidP="00273D5E">
      <w:pPr>
        <w:pStyle w:val="BulletLevel1"/>
      </w:pPr>
      <w:bookmarkStart w:id="8117" w:name="_Toc408990962"/>
      <w:r w:rsidRPr="008C5B1B">
        <w:t>OW4 – Reduce costs through operational efficiency</w:t>
      </w:r>
      <w:bookmarkEnd w:id="8117"/>
      <w:r w:rsidRPr="008C5B1B">
        <w:t xml:space="preserve"> </w:t>
      </w:r>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Port authorities and water freight operators should all take responsibility to enhance security.</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Action should be taken immediately.</w:t>
      </w:r>
    </w:p>
    <w:p w:rsidR="00660414" w:rsidRPr="000A76BD" w:rsidRDefault="00660414" w:rsidP="00660414">
      <w:pPr>
        <w:spacing w:line="276" w:lineRule="auto"/>
        <w:rPr>
          <w:sz w:val="22"/>
          <w:szCs w:val="22"/>
        </w:rPr>
      </w:pPr>
    </w:p>
    <w:p w:rsidR="00660414" w:rsidRPr="000A76BD" w:rsidRDefault="00660414" w:rsidP="00660414">
      <w:pPr>
        <w:spacing w:line="276" w:lineRule="auto"/>
        <w:rPr>
          <w:b/>
          <w:sz w:val="22"/>
          <w:szCs w:val="22"/>
        </w:rPr>
      </w:pPr>
      <w:r w:rsidRPr="008C5B1B">
        <w:rPr>
          <w:b/>
          <w:sz w:val="22"/>
          <w:szCs w:val="22"/>
        </w:rPr>
        <w:t>Safety and Regulation:</w:t>
      </w:r>
    </w:p>
    <w:p w:rsidR="00660414" w:rsidRPr="000A76BD" w:rsidRDefault="00660414" w:rsidP="00660414">
      <w:pPr>
        <w:spacing w:line="276" w:lineRule="auto"/>
        <w:rPr>
          <w:b/>
          <w:sz w:val="22"/>
          <w:szCs w:val="22"/>
        </w:rPr>
      </w:pPr>
      <w:r w:rsidRPr="008C5B1B">
        <w:rPr>
          <w:b/>
          <w:sz w:val="22"/>
          <w:szCs w:val="22"/>
        </w:rPr>
        <w:t>Review port and customs administration procedures</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Review of the port procedures, the checking procedureson the state border crossing points, customs administration procedures in clearing goods and other procedures to be fulfilled on the import/export/transit of freight and to rationalise and improve communication.</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Bureaucracy is limiting the efficiency of water freight when compared against other modes. Reducing bureaucracy will address the negative impacts.</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18" w:name="_Toc408990963"/>
      <w:r w:rsidRPr="008C5B1B">
        <w:t>OW3 – Unblock barriers to operational efficiency</w:t>
      </w:r>
      <w:bookmarkEnd w:id="8118"/>
    </w:p>
    <w:p w:rsidR="00660414" w:rsidRPr="000A76BD" w:rsidRDefault="00660414" w:rsidP="00273D5E">
      <w:pPr>
        <w:pStyle w:val="BulletLevel1"/>
        <w:rPr>
          <w:b/>
        </w:rPr>
      </w:pPr>
      <w:bookmarkStart w:id="8119" w:name="_Toc408990964"/>
      <w:r w:rsidRPr="008C5B1B">
        <w:t>OW4 – Reduce costs through operational efficiency</w:t>
      </w:r>
      <w:bookmarkEnd w:id="8119"/>
      <w:r w:rsidRPr="008C5B1B">
        <w:t xml:space="preserve"> </w:t>
      </w:r>
    </w:p>
    <w:p w:rsidR="00660414" w:rsidRDefault="00660414" w:rsidP="00273D5E">
      <w:pPr>
        <w:pStyle w:val="BulletLevel1"/>
      </w:pPr>
      <w:bookmarkStart w:id="8120" w:name="_Toc408990965"/>
      <w:r w:rsidRPr="008C5B1B">
        <w:t>OW5 – Improve coordination between levels of government and enable investment</w:t>
      </w:r>
      <w:bookmarkEnd w:id="8120"/>
      <w:r w:rsidRPr="008C5B1B">
        <w:t xml:space="preserve"> </w:t>
      </w:r>
    </w:p>
    <w:p w:rsidR="00660414" w:rsidRPr="008C5B1B" w:rsidRDefault="00660414" w:rsidP="00273D5E">
      <w:pPr>
        <w:pStyle w:val="BulletLevel1"/>
      </w:pPr>
      <w:bookmarkStart w:id="8121" w:name="_Toc408990966"/>
      <w:r w:rsidRPr="008C5B1B">
        <w:t>OW7 – Reduce procedural delays to water freight</w:t>
      </w:r>
      <w:bookmarkEnd w:id="8121"/>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All port and customs authorities.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Pr="000A76BD" w:rsidRDefault="00660414" w:rsidP="00660414">
      <w:pPr>
        <w:spacing w:line="276" w:lineRule="auto"/>
        <w:rPr>
          <w:sz w:val="22"/>
          <w:szCs w:val="22"/>
        </w:rPr>
      </w:pPr>
      <w:r w:rsidRPr="008C5B1B">
        <w:rPr>
          <w:sz w:val="22"/>
          <w:szCs w:val="22"/>
        </w:rPr>
        <w:t>Action to address this should be taken immediately.</w:t>
      </w:r>
    </w:p>
    <w:p w:rsidR="00660414" w:rsidRPr="000A76BD" w:rsidRDefault="00660414" w:rsidP="00660414">
      <w:pPr>
        <w:rPr>
          <w:sz w:val="22"/>
          <w:szCs w:val="22"/>
        </w:rPr>
      </w:pPr>
      <w:r w:rsidRPr="008C5B1B">
        <w:rPr>
          <w:sz w:val="22"/>
          <w:szCs w:val="22"/>
        </w:rPr>
        <w:br w:type="page"/>
      </w:r>
    </w:p>
    <w:p w:rsidR="00660414" w:rsidRPr="000A76BD" w:rsidRDefault="00660414" w:rsidP="00660414">
      <w:pPr>
        <w:spacing w:line="276" w:lineRule="auto"/>
        <w:rPr>
          <w:b/>
          <w:sz w:val="22"/>
          <w:szCs w:val="22"/>
        </w:rPr>
      </w:pPr>
      <w:r w:rsidRPr="008C5B1B">
        <w:rPr>
          <w:b/>
          <w:sz w:val="22"/>
          <w:szCs w:val="22"/>
        </w:rPr>
        <w:t>Safety Training</w:t>
      </w:r>
    </w:p>
    <w:p w:rsidR="00660414" w:rsidRPr="000A76BD" w:rsidRDefault="00660414" w:rsidP="00660414">
      <w:pPr>
        <w:pStyle w:val="ListParagraph"/>
        <w:spacing w:before="120" w:after="120" w:line="276" w:lineRule="auto"/>
        <w:ind w:left="0"/>
        <w:rPr>
          <w:i/>
          <w:sz w:val="22"/>
          <w:szCs w:val="22"/>
          <w:u w:val="single"/>
        </w:rPr>
      </w:pPr>
      <w:r w:rsidRPr="008C5B1B">
        <w:rPr>
          <w:i/>
          <w:sz w:val="22"/>
          <w:szCs w:val="22"/>
          <w:u w:val="single"/>
        </w:rPr>
        <w:t>Proposal Description:</w:t>
      </w:r>
    </w:p>
    <w:p w:rsidR="00660414" w:rsidRPr="000A76BD" w:rsidRDefault="00660414" w:rsidP="00660414">
      <w:pPr>
        <w:spacing w:line="276" w:lineRule="auto"/>
        <w:rPr>
          <w:sz w:val="22"/>
          <w:szCs w:val="22"/>
        </w:rPr>
      </w:pPr>
      <w:r w:rsidRPr="008C5B1B">
        <w:rPr>
          <w:sz w:val="22"/>
          <w:szCs w:val="22"/>
        </w:rPr>
        <w:t>Develop a safety plan including training to reduce accidents.</w:t>
      </w:r>
    </w:p>
    <w:p w:rsidR="00660414" w:rsidRPr="000A76BD" w:rsidRDefault="00660414" w:rsidP="00660414">
      <w:pPr>
        <w:spacing w:line="276" w:lineRule="auto"/>
        <w:rPr>
          <w:i/>
          <w:sz w:val="22"/>
          <w:szCs w:val="22"/>
          <w:u w:val="single"/>
        </w:rPr>
      </w:pPr>
      <w:r w:rsidRPr="008C5B1B">
        <w:rPr>
          <w:i/>
          <w:sz w:val="22"/>
          <w:szCs w:val="22"/>
          <w:u w:val="single"/>
        </w:rPr>
        <w:t>Problems Addressed:</w:t>
      </w:r>
    </w:p>
    <w:p w:rsidR="00660414" w:rsidRPr="000A76BD" w:rsidRDefault="00660414" w:rsidP="00660414">
      <w:pPr>
        <w:spacing w:line="276" w:lineRule="auto"/>
        <w:rPr>
          <w:sz w:val="22"/>
          <w:szCs w:val="22"/>
        </w:rPr>
      </w:pPr>
      <w:r w:rsidRPr="008C5B1B">
        <w:rPr>
          <w:sz w:val="22"/>
          <w:szCs w:val="22"/>
        </w:rPr>
        <w:t>Improved safety training will address the number of accidents that occur on the Danube.</w:t>
      </w:r>
    </w:p>
    <w:p w:rsidR="00660414" w:rsidRPr="000A76BD" w:rsidRDefault="00660414" w:rsidP="00660414">
      <w:pPr>
        <w:spacing w:line="276" w:lineRule="auto"/>
        <w:rPr>
          <w:i/>
          <w:sz w:val="22"/>
          <w:szCs w:val="22"/>
          <w:u w:val="single"/>
        </w:rPr>
      </w:pPr>
      <w:r w:rsidRPr="008C5B1B">
        <w:rPr>
          <w:i/>
          <w:sz w:val="22"/>
          <w:szCs w:val="22"/>
          <w:u w:val="single"/>
        </w:rPr>
        <w:t>Operational Objectives Satisfied:</w:t>
      </w:r>
    </w:p>
    <w:p w:rsidR="00660414" w:rsidRPr="000A76BD" w:rsidRDefault="00660414" w:rsidP="00A4081F">
      <w:pPr>
        <w:pStyle w:val="NumberedParas"/>
        <w:numPr>
          <w:ilvl w:val="0"/>
          <w:numId w:val="0"/>
        </w:numPr>
      </w:pPr>
      <w:r w:rsidRPr="008C5B1B">
        <w:t>This intervention would satisfy the following operational objectives:</w:t>
      </w:r>
    </w:p>
    <w:p w:rsidR="00660414" w:rsidRPr="000A76BD" w:rsidRDefault="00660414" w:rsidP="00273D5E">
      <w:pPr>
        <w:pStyle w:val="BulletLevel1"/>
        <w:rPr>
          <w:b/>
        </w:rPr>
      </w:pPr>
      <w:bookmarkStart w:id="8122" w:name="_Toc408990967"/>
      <w:r w:rsidRPr="008C5B1B">
        <w:t>OW3 – Unblock barriers to operational efficiency</w:t>
      </w:r>
      <w:bookmarkEnd w:id="8122"/>
    </w:p>
    <w:p w:rsidR="00660414" w:rsidRPr="000A76BD" w:rsidRDefault="00660414" w:rsidP="00273D5E">
      <w:pPr>
        <w:pStyle w:val="BulletLevel1"/>
        <w:rPr>
          <w:b/>
        </w:rPr>
      </w:pPr>
      <w:bookmarkStart w:id="8123" w:name="_Toc408990968"/>
      <w:r w:rsidRPr="008C5B1B">
        <w:t>OW4 – Reduce costs through operational efficiency</w:t>
      </w:r>
      <w:bookmarkEnd w:id="8123"/>
      <w:r w:rsidRPr="008C5B1B">
        <w:t xml:space="preserve"> </w:t>
      </w:r>
    </w:p>
    <w:p w:rsidR="00660414" w:rsidRPr="000A76BD" w:rsidRDefault="00660414" w:rsidP="00273D5E">
      <w:pPr>
        <w:pStyle w:val="BulletLevel1"/>
        <w:rPr>
          <w:b/>
        </w:rPr>
      </w:pPr>
      <w:bookmarkStart w:id="8124" w:name="_Toc408990969"/>
      <w:r w:rsidRPr="008C5B1B">
        <w:t>OW8 – Reduce number and cost of accidents on the Danube</w:t>
      </w:r>
      <w:bookmarkEnd w:id="8124"/>
    </w:p>
    <w:p w:rsidR="00660414" w:rsidRPr="000A76BD" w:rsidRDefault="00660414" w:rsidP="00660414">
      <w:pPr>
        <w:spacing w:line="276" w:lineRule="auto"/>
        <w:rPr>
          <w:bCs/>
          <w:i/>
          <w:sz w:val="22"/>
          <w:szCs w:val="22"/>
          <w:u w:val="single"/>
        </w:rPr>
      </w:pPr>
      <w:r w:rsidRPr="008C5B1B">
        <w:rPr>
          <w:bCs/>
          <w:i/>
          <w:sz w:val="22"/>
          <w:szCs w:val="22"/>
          <w:u w:val="single"/>
        </w:rPr>
        <w:t>Implementing organisation:</w:t>
      </w:r>
    </w:p>
    <w:p w:rsidR="00660414" w:rsidRPr="000A76BD" w:rsidRDefault="00660414" w:rsidP="00660414">
      <w:pPr>
        <w:spacing w:line="276" w:lineRule="auto"/>
        <w:rPr>
          <w:sz w:val="22"/>
          <w:szCs w:val="22"/>
        </w:rPr>
      </w:pPr>
      <w:r w:rsidRPr="008C5B1B">
        <w:rPr>
          <w:sz w:val="22"/>
          <w:szCs w:val="22"/>
        </w:rPr>
        <w:t>ANR, the Romanian Naval Authority, is responsible for the safety of civil navigation and should be responsible for this, along with certified training providers.</w:t>
      </w:r>
    </w:p>
    <w:p w:rsidR="00660414" w:rsidRPr="000A76BD" w:rsidRDefault="00660414" w:rsidP="00660414">
      <w:pPr>
        <w:spacing w:line="276" w:lineRule="auto"/>
        <w:rPr>
          <w:bCs/>
          <w:i/>
          <w:sz w:val="22"/>
          <w:szCs w:val="22"/>
          <w:u w:val="single"/>
        </w:rPr>
      </w:pPr>
      <w:r w:rsidRPr="008C5B1B">
        <w:rPr>
          <w:bCs/>
          <w:i/>
          <w:sz w:val="22"/>
          <w:szCs w:val="22"/>
          <w:u w:val="single"/>
        </w:rPr>
        <w:t>Implementation years:</w:t>
      </w:r>
    </w:p>
    <w:p w:rsidR="00660414" w:rsidRDefault="00660414" w:rsidP="00660414">
      <w:pPr>
        <w:spacing w:line="276" w:lineRule="auto"/>
      </w:pPr>
      <w:r w:rsidRPr="008C5B1B">
        <w:rPr>
          <w:sz w:val="22"/>
          <w:szCs w:val="22"/>
        </w:rPr>
        <w:t>Immediate; although some consideration should be given to the quality of the current training provided, along with its content, to assess its suitability.</w:t>
      </w:r>
    </w:p>
    <w:p w:rsidR="00660414" w:rsidRPr="000A76BD" w:rsidRDefault="00660414" w:rsidP="00045287">
      <w:pPr>
        <w:pStyle w:val="Hdg2"/>
      </w:pPr>
      <w:bookmarkStart w:id="8125" w:name="_Toc400538728"/>
      <w:bookmarkStart w:id="8126" w:name="_Toc408990970"/>
      <w:bookmarkStart w:id="8127" w:name="_Toc413056064"/>
      <w:r w:rsidRPr="008C5B1B">
        <w:t>Summary of Interventions</w:t>
      </w:r>
      <w:bookmarkEnd w:id="8125"/>
      <w:bookmarkEnd w:id="8126"/>
      <w:bookmarkEnd w:id="8127"/>
    </w:p>
    <w:p w:rsidR="00660414" w:rsidRPr="000A76BD" w:rsidRDefault="00660414" w:rsidP="00A4081F">
      <w:pPr>
        <w:pStyle w:val="NumberedParas"/>
      </w:pPr>
      <w:r w:rsidRPr="008C5B1B">
        <w:t>This section summarises the interventions that were tested using the National Transport Model.</w:t>
      </w:r>
    </w:p>
    <w:p w:rsidR="00660414" w:rsidRDefault="00660414" w:rsidP="00660414">
      <w:pPr>
        <w:rPr>
          <w:b/>
          <w:sz w:val="22"/>
          <w:szCs w:val="22"/>
        </w:rPr>
      </w:pPr>
      <w:r>
        <w:rPr>
          <w:b/>
          <w:sz w:val="22"/>
          <w:szCs w:val="22"/>
        </w:rPr>
        <w:br w:type="page"/>
      </w:r>
    </w:p>
    <w:p w:rsidR="00660414" w:rsidRPr="008C5B1B" w:rsidRDefault="00660414" w:rsidP="00660414">
      <w:pPr>
        <w:spacing w:line="276" w:lineRule="auto"/>
        <w:rPr>
          <w:b/>
          <w:sz w:val="22"/>
          <w:szCs w:val="22"/>
        </w:rPr>
      </w:pPr>
      <w:r w:rsidRPr="008C5B1B">
        <w:rPr>
          <w:b/>
          <w:sz w:val="22"/>
          <w:szCs w:val="22"/>
        </w:rPr>
        <w:t>Table 6.</w:t>
      </w:r>
      <w:r>
        <w:rPr>
          <w:b/>
          <w:sz w:val="22"/>
          <w:szCs w:val="22"/>
        </w:rPr>
        <w:t>60</w:t>
      </w:r>
      <w:r w:rsidRPr="008C5B1B">
        <w:rPr>
          <w:b/>
          <w:sz w:val="22"/>
          <w:szCs w:val="22"/>
        </w:rPr>
        <w:t xml:space="preserve"> – Summary of Tested Interventions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198"/>
        <w:gridCol w:w="1210"/>
        <w:gridCol w:w="1570"/>
        <w:gridCol w:w="1017"/>
        <w:gridCol w:w="904"/>
        <w:gridCol w:w="1187"/>
        <w:gridCol w:w="1919"/>
      </w:tblGrid>
      <w:tr w:rsidR="00660414" w:rsidRPr="000A76BD" w:rsidTr="00F17B06">
        <w:trPr>
          <w:tblHeader/>
        </w:trPr>
        <w:tc>
          <w:tcPr>
            <w:tcW w:w="715"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Intervention</w:t>
            </w:r>
          </w:p>
        </w:tc>
        <w:tc>
          <w:tcPr>
            <w:tcW w:w="570"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Reference</w:t>
            </w:r>
          </w:p>
        </w:tc>
        <w:tc>
          <w:tcPr>
            <w:tcW w:w="576"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Location</w:t>
            </w:r>
          </w:p>
        </w:tc>
        <w:tc>
          <w:tcPr>
            <w:tcW w:w="747"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9D2E09">
              <w:rPr>
                <w:b/>
                <w:bCs/>
                <w:sz w:val="22"/>
                <w:szCs w:val="22"/>
              </w:rPr>
              <w:t>Undiscounted costs (€, 2014 prices)</w:t>
            </w:r>
          </w:p>
        </w:tc>
        <w:tc>
          <w:tcPr>
            <w:tcW w:w="484"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Benefits</w:t>
            </w:r>
          </w:p>
        </w:tc>
        <w:tc>
          <w:tcPr>
            <w:tcW w:w="430"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Benefit to Cost Ratio</w:t>
            </w:r>
          </w:p>
        </w:tc>
        <w:tc>
          <w:tcPr>
            <w:tcW w:w="565"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Economic Internal Rate of Return</w:t>
            </w:r>
          </w:p>
        </w:tc>
        <w:tc>
          <w:tcPr>
            <w:tcW w:w="913" w:type="pct"/>
            <w:shd w:val="clear" w:color="auto" w:fill="B8CCE4" w:themeFill="accent1" w:themeFillTint="66"/>
            <w:vAlign w:val="center"/>
          </w:tcPr>
          <w:p w:rsidR="00660414" w:rsidRPr="008C5B1B" w:rsidRDefault="00660414" w:rsidP="00F17B06">
            <w:pPr>
              <w:spacing w:line="276" w:lineRule="auto"/>
              <w:jc w:val="center"/>
              <w:rPr>
                <w:b/>
                <w:sz w:val="22"/>
                <w:szCs w:val="22"/>
              </w:rPr>
            </w:pPr>
            <w:r w:rsidRPr="008C5B1B">
              <w:rPr>
                <w:b/>
                <w:sz w:val="22"/>
                <w:szCs w:val="22"/>
              </w:rPr>
              <w:t>Masterplan Recommendation</w:t>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Build a new container terminal at Constanta (III &amp; IVS)</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3</w:t>
            </w:r>
          </w:p>
        </w:tc>
        <w:tc>
          <w:tcPr>
            <w:tcW w:w="576" w:type="pct"/>
          </w:tcPr>
          <w:p w:rsidR="00660414" w:rsidRPr="008C5B1B" w:rsidRDefault="00660414" w:rsidP="007613DE">
            <w:pPr>
              <w:spacing w:line="276" w:lineRule="auto"/>
              <w:rPr>
                <w:sz w:val="22"/>
                <w:szCs w:val="22"/>
              </w:rPr>
            </w:pPr>
            <w:r w:rsidRPr="008C5B1B">
              <w:rPr>
                <w:sz w:val="22"/>
                <w:szCs w:val="22"/>
              </w:rPr>
              <w:t>Constanta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351.1m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€452m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2.02</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8.9%</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 xml:space="preserve">Development of a </w:t>
            </w:r>
            <w:r>
              <w:rPr>
                <w:sz w:val="22"/>
                <w:szCs w:val="22"/>
              </w:rPr>
              <w:t>cargo</w:t>
            </w:r>
            <w:r w:rsidRPr="008C5B1B">
              <w:rPr>
                <w:sz w:val="22"/>
                <w:szCs w:val="22"/>
              </w:rPr>
              <w:t xml:space="preserve"> terminal at the port</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2</w:t>
            </w:r>
          </w:p>
        </w:tc>
        <w:tc>
          <w:tcPr>
            <w:tcW w:w="576" w:type="pct"/>
          </w:tcPr>
          <w:p w:rsidR="00660414" w:rsidRPr="008C5B1B" w:rsidRDefault="00660414" w:rsidP="007613DE">
            <w:pPr>
              <w:spacing w:line="276" w:lineRule="auto"/>
              <w:rPr>
                <w:sz w:val="22"/>
                <w:szCs w:val="22"/>
              </w:rPr>
            </w:pPr>
            <w:r w:rsidRPr="008C5B1B">
              <w:rPr>
                <w:sz w:val="22"/>
                <w:szCs w:val="22"/>
              </w:rPr>
              <w:t>Tulcea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€10.15m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€6m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0.59</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-1.1%</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r w:rsidRPr="008C5B1B">
              <w:rPr>
                <w:rStyle w:val="FootnoteReference"/>
                <w:sz w:val="22"/>
                <w:szCs w:val="22"/>
              </w:rPr>
              <w:footnoteReference w:id="31"/>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Improve the existing passenger ferry service running from Tulcea to Sulina</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20</w:t>
            </w:r>
          </w:p>
        </w:tc>
        <w:tc>
          <w:tcPr>
            <w:tcW w:w="576" w:type="pct"/>
          </w:tcPr>
          <w:p w:rsidR="00660414" w:rsidRPr="008C5B1B" w:rsidRDefault="00660414" w:rsidP="007613DE">
            <w:pPr>
              <w:spacing w:line="276" w:lineRule="auto"/>
              <w:rPr>
                <w:sz w:val="22"/>
                <w:szCs w:val="22"/>
              </w:rPr>
            </w:pPr>
            <w:r w:rsidRPr="008C5B1B">
              <w:rPr>
                <w:sz w:val="22"/>
                <w:szCs w:val="22"/>
              </w:rPr>
              <w:t>Tulcea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€19.2m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€28.2m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1.47</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4.4%</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Build a new trimodal terminal</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.4.2</w:t>
            </w:r>
            <w:r>
              <w:rPr>
                <w:sz w:val="22"/>
                <w:szCs w:val="22"/>
              </w:rPr>
              <w:t>8</w:t>
            </w:r>
          </w:p>
        </w:tc>
        <w:tc>
          <w:tcPr>
            <w:tcW w:w="576" w:type="pct"/>
          </w:tcPr>
          <w:p w:rsidR="00660414" w:rsidRPr="008C5B1B" w:rsidRDefault="00660414" w:rsidP="007613DE">
            <w:pPr>
              <w:spacing w:line="276" w:lineRule="auto"/>
              <w:rPr>
                <w:sz w:val="22"/>
                <w:szCs w:val="22"/>
              </w:rPr>
            </w:pPr>
            <w:r w:rsidRPr="008C5B1B">
              <w:rPr>
                <w:sz w:val="22"/>
                <w:szCs w:val="22"/>
              </w:rPr>
              <w:t>Galati</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€14.4m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€17m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0.94</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4.7%</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r w:rsidRPr="008C5B1B">
              <w:rPr>
                <w:rStyle w:val="FootnoteReference"/>
                <w:b/>
                <w:sz w:val="22"/>
                <w:szCs w:val="22"/>
              </w:rPr>
              <w:footnoteReference w:id="32"/>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Modernisation of existing bulk terminals</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.4.3</w:t>
            </w:r>
            <w:r>
              <w:rPr>
                <w:sz w:val="22"/>
                <w:szCs w:val="22"/>
              </w:rPr>
              <w:t>7</w:t>
            </w:r>
          </w:p>
        </w:tc>
        <w:tc>
          <w:tcPr>
            <w:tcW w:w="576" w:type="pct"/>
          </w:tcPr>
          <w:p w:rsidR="00660414" w:rsidRPr="008C5B1B" w:rsidRDefault="00660414" w:rsidP="007613DE">
            <w:pPr>
              <w:spacing w:line="276" w:lineRule="auto"/>
              <w:rPr>
                <w:sz w:val="22"/>
                <w:szCs w:val="22"/>
              </w:rPr>
            </w:pPr>
            <w:r w:rsidRPr="008C5B1B">
              <w:rPr>
                <w:sz w:val="22"/>
                <w:szCs w:val="22"/>
              </w:rPr>
              <w:t>Galati</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w:t>
            </w:r>
            <w:r>
              <w:rPr>
                <w:sz w:val="22"/>
                <w:szCs w:val="22"/>
              </w:rPr>
              <w:t>7.6</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€359m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32.89</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39.9%</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Develop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47</w:t>
            </w:r>
          </w:p>
        </w:tc>
        <w:tc>
          <w:tcPr>
            <w:tcW w:w="576" w:type="pct"/>
          </w:tcPr>
          <w:p w:rsidR="00660414" w:rsidRPr="008C5B1B" w:rsidRDefault="00660414" w:rsidP="007613DE">
            <w:pPr>
              <w:spacing w:line="276" w:lineRule="auto"/>
              <w:rPr>
                <w:sz w:val="22"/>
                <w:szCs w:val="22"/>
              </w:rPr>
            </w:pPr>
            <w:r w:rsidRPr="008C5B1B">
              <w:rPr>
                <w:sz w:val="22"/>
                <w:szCs w:val="22"/>
              </w:rPr>
              <w:t>Cernavoda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6.9</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€30m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6.98</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22.4%</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Modernise the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54</w:t>
            </w:r>
          </w:p>
        </w:tc>
        <w:tc>
          <w:tcPr>
            <w:tcW w:w="576" w:type="pct"/>
          </w:tcPr>
          <w:p w:rsidR="00660414" w:rsidRPr="008C5B1B" w:rsidRDefault="00660414" w:rsidP="007613DE">
            <w:pPr>
              <w:spacing w:line="276" w:lineRule="auto"/>
              <w:rPr>
                <w:sz w:val="22"/>
                <w:szCs w:val="22"/>
              </w:rPr>
            </w:pPr>
            <w:r w:rsidRPr="008C5B1B">
              <w:rPr>
                <w:sz w:val="22"/>
                <w:szCs w:val="22"/>
              </w:rPr>
              <w:t>Basarabi</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€3.51m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€1.63m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0.46</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1.2%</w:t>
            </w:r>
          </w:p>
        </w:tc>
        <w:tc>
          <w:tcPr>
            <w:tcW w:w="913" w:type="pct"/>
            <w:vAlign w:val="center"/>
          </w:tcPr>
          <w:p w:rsidR="00660414" w:rsidRPr="008C5B1B" w:rsidRDefault="00660414" w:rsidP="007613DE">
            <w:pPr>
              <w:spacing w:line="276" w:lineRule="auto"/>
              <w:jc w:val="center"/>
              <w:rPr>
                <w:b/>
                <w:color w:val="FF0000"/>
                <w:sz w:val="22"/>
                <w:szCs w:val="22"/>
              </w:rPr>
            </w:pPr>
            <w:r w:rsidRPr="008C5B1B">
              <w:rPr>
                <w:b/>
                <w:color w:val="FF0000"/>
                <w:sz w:val="22"/>
                <w:szCs w:val="22"/>
              </w:rPr>
              <w:sym w:font="Wingdings" w:char="F0FB"/>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Develop bulk handling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61</w:t>
            </w:r>
          </w:p>
        </w:tc>
        <w:tc>
          <w:tcPr>
            <w:tcW w:w="576" w:type="pct"/>
          </w:tcPr>
          <w:p w:rsidR="00660414" w:rsidRPr="008C5B1B" w:rsidRDefault="00660414" w:rsidP="007613DE">
            <w:pPr>
              <w:spacing w:line="276" w:lineRule="auto"/>
              <w:rPr>
                <w:sz w:val="22"/>
                <w:szCs w:val="22"/>
              </w:rPr>
            </w:pPr>
            <w:r w:rsidRPr="008C5B1B">
              <w:rPr>
                <w:sz w:val="22"/>
                <w:szCs w:val="22"/>
              </w:rPr>
              <w:t>Oltenita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5.6</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€103m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29.35</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30.1%</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lang w:eastAsia="en-GB"/>
              </w:rPr>
              <w:t>Build a new tri-modal terminal</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70</w:t>
            </w:r>
          </w:p>
        </w:tc>
        <w:tc>
          <w:tcPr>
            <w:tcW w:w="576" w:type="pct"/>
          </w:tcPr>
          <w:p w:rsidR="00660414" w:rsidRPr="008C5B1B" w:rsidRDefault="00660414" w:rsidP="007613DE">
            <w:pPr>
              <w:spacing w:line="276" w:lineRule="auto"/>
              <w:rPr>
                <w:sz w:val="22"/>
                <w:szCs w:val="22"/>
              </w:rPr>
            </w:pPr>
            <w:r w:rsidRPr="008C5B1B">
              <w:rPr>
                <w:sz w:val="22"/>
                <w:szCs w:val="22"/>
              </w:rPr>
              <w:t>Giurgiu</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€6.8m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€5.8m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0.56</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1.4%</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 xml:space="preserve">Infrastructure and modernisation works </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78</w:t>
            </w:r>
          </w:p>
        </w:tc>
        <w:tc>
          <w:tcPr>
            <w:tcW w:w="576" w:type="pct"/>
          </w:tcPr>
          <w:p w:rsidR="00660414" w:rsidRPr="008C5B1B" w:rsidRDefault="00660414" w:rsidP="007613DE">
            <w:pPr>
              <w:spacing w:line="276" w:lineRule="auto"/>
              <w:rPr>
                <w:sz w:val="22"/>
                <w:szCs w:val="22"/>
              </w:rPr>
            </w:pPr>
            <w:r w:rsidRPr="008C5B1B">
              <w:rPr>
                <w:sz w:val="22"/>
                <w:szCs w:val="22"/>
              </w:rPr>
              <w:t>Giurgiu</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4.3</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€48m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17.53</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24.3%</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lang w:eastAsia="en-GB"/>
              </w:rPr>
              <w:t>Modernisation and rehabilitation of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87</w:t>
            </w:r>
          </w:p>
        </w:tc>
        <w:tc>
          <w:tcPr>
            <w:tcW w:w="576" w:type="pct"/>
          </w:tcPr>
          <w:p w:rsidR="00660414" w:rsidRPr="008C5B1B" w:rsidRDefault="00660414" w:rsidP="007613DE">
            <w:pPr>
              <w:spacing w:line="276" w:lineRule="auto"/>
              <w:rPr>
                <w:sz w:val="22"/>
                <w:szCs w:val="22"/>
              </w:rPr>
            </w:pPr>
            <w:r w:rsidRPr="008C5B1B">
              <w:rPr>
                <w:sz w:val="22"/>
                <w:szCs w:val="22"/>
              </w:rPr>
              <w:t>Corabia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4.5</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€31m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11.04</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25.1%</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Build a new trimodal terminal</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104</w:t>
            </w:r>
          </w:p>
        </w:tc>
        <w:tc>
          <w:tcPr>
            <w:tcW w:w="576" w:type="pct"/>
          </w:tcPr>
          <w:p w:rsidR="00660414" w:rsidRPr="008C5B1B" w:rsidRDefault="00660414" w:rsidP="007613DE">
            <w:pPr>
              <w:spacing w:line="276" w:lineRule="auto"/>
              <w:rPr>
                <w:sz w:val="22"/>
                <w:szCs w:val="22"/>
              </w:rPr>
            </w:pPr>
            <w:r w:rsidRPr="008C5B1B">
              <w:rPr>
                <w:sz w:val="22"/>
                <w:szCs w:val="22"/>
              </w:rPr>
              <w:t>Drobeta</w:t>
            </w:r>
            <w:r>
              <w:rPr>
                <w:sz w:val="22"/>
                <w:szCs w:val="22"/>
              </w:rPr>
              <w:t xml:space="preserve"> </w:t>
            </w:r>
            <w:r w:rsidRPr="008C5B1B">
              <w:rPr>
                <w:sz w:val="22"/>
                <w:szCs w:val="22"/>
                <w:lang w:val="ro-RO"/>
              </w:rPr>
              <w:t>Turnu Severin</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€5.2m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€9.7m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1.11</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5.6%</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Develop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112</w:t>
            </w:r>
          </w:p>
        </w:tc>
        <w:tc>
          <w:tcPr>
            <w:tcW w:w="576" w:type="pct"/>
          </w:tcPr>
          <w:p w:rsidR="00660414" w:rsidRPr="008C5B1B" w:rsidRDefault="00660414" w:rsidP="007613DE">
            <w:pPr>
              <w:spacing w:line="276" w:lineRule="auto"/>
              <w:rPr>
                <w:sz w:val="22"/>
                <w:szCs w:val="22"/>
              </w:rPr>
            </w:pPr>
            <w:r w:rsidRPr="008C5B1B">
              <w:rPr>
                <w:sz w:val="22"/>
                <w:szCs w:val="22"/>
              </w:rPr>
              <w:t>Drobeta</w:t>
            </w:r>
            <w:r>
              <w:rPr>
                <w:sz w:val="22"/>
                <w:szCs w:val="22"/>
              </w:rPr>
              <w:t xml:space="preserve"> </w:t>
            </w:r>
            <w:r w:rsidRPr="008C5B1B">
              <w:rPr>
                <w:sz w:val="22"/>
                <w:szCs w:val="22"/>
                <w:lang w:val="ro-RO"/>
              </w:rPr>
              <w:t>Turnu Severin</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w:t>
            </w:r>
            <w:r>
              <w:rPr>
                <w:sz w:val="22"/>
                <w:szCs w:val="22"/>
              </w:rPr>
              <w:t>7.3</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€128m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11.68</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22.8%</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Modernisation of the port</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22</w:t>
            </w:r>
          </w:p>
        </w:tc>
        <w:tc>
          <w:tcPr>
            <w:tcW w:w="576" w:type="pct"/>
          </w:tcPr>
          <w:p w:rsidR="00660414" w:rsidRPr="008C5B1B" w:rsidRDefault="00660414" w:rsidP="007613DE">
            <w:pPr>
              <w:spacing w:line="276" w:lineRule="auto"/>
              <w:rPr>
                <w:sz w:val="22"/>
                <w:szCs w:val="22"/>
              </w:rPr>
            </w:pPr>
            <w:r w:rsidRPr="008C5B1B">
              <w:rPr>
                <w:sz w:val="22"/>
                <w:szCs w:val="22"/>
              </w:rPr>
              <w:t>Orsova</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7.8</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€63m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12.70</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24.8%</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lang w:eastAsia="en-GB"/>
              </w:rPr>
              <w:t xml:space="preserve">Development of Infrastructure  </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32</w:t>
            </w:r>
          </w:p>
        </w:tc>
        <w:tc>
          <w:tcPr>
            <w:tcW w:w="576" w:type="pct"/>
          </w:tcPr>
          <w:p w:rsidR="00660414" w:rsidRPr="008C5B1B" w:rsidRDefault="00660414" w:rsidP="007613DE">
            <w:pPr>
              <w:spacing w:line="276" w:lineRule="auto"/>
              <w:rPr>
                <w:sz w:val="22"/>
                <w:szCs w:val="22"/>
              </w:rPr>
            </w:pPr>
            <w:r w:rsidRPr="008C5B1B">
              <w:rPr>
                <w:sz w:val="22"/>
                <w:szCs w:val="22"/>
              </w:rPr>
              <w:t>Moldova Veche</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w:t>
            </w:r>
            <w:r>
              <w:rPr>
                <w:sz w:val="22"/>
                <w:szCs w:val="22"/>
              </w:rPr>
              <w:t>3.7</w:t>
            </w:r>
            <w:r w:rsidRPr="008C5B1B">
              <w:rPr>
                <w:sz w:val="22"/>
                <w:szCs w:val="22"/>
              </w:rPr>
              <w:t>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€3m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1.51</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7.2%</w:t>
            </w:r>
          </w:p>
        </w:tc>
        <w:tc>
          <w:tcPr>
            <w:tcW w:w="913" w:type="pct"/>
            <w:vAlign w:val="center"/>
          </w:tcPr>
          <w:p w:rsidR="00660414" w:rsidRPr="008C5B1B" w:rsidRDefault="00660414" w:rsidP="007613DE">
            <w:pPr>
              <w:spacing w:line="276" w:lineRule="auto"/>
              <w:jc w:val="center"/>
              <w:rPr>
                <w:b/>
                <w:color w:val="00B050"/>
                <w:sz w:val="22"/>
                <w:szCs w:val="22"/>
              </w:rPr>
            </w:pPr>
            <w:r w:rsidRPr="00551536">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Improvements to the navigation of the Danube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42</w:t>
            </w:r>
          </w:p>
        </w:tc>
        <w:tc>
          <w:tcPr>
            <w:tcW w:w="576" w:type="pct"/>
          </w:tcPr>
          <w:p w:rsidR="00660414" w:rsidRPr="008C5B1B" w:rsidRDefault="00660414" w:rsidP="007613DE">
            <w:pPr>
              <w:spacing w:line="276" w:lineRule="auto"/>
              <w:rPr>
                <w:sz w:val="22"/>
                <w:szCs w:val="22"/>
              </w:rPr>
            </w:pPr>
            <w:r w:rsidRPr="008C5B1B">
              <w:rPr>
                <w:sz w:val="22"/>
                <w:szCs w:val="22"/>
              </w:rPr>
              <w:t>Danube</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€136m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€777.7m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4.70</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19.6%</w:t>
            </w:r>
          </w:p>
        </w:tc>
        <w:tc>
          <w:tcPr>
            <w:tcW w:w="913" w:type="pct"/>
            <w:vAlign w:val="center"/>
          </w:tcPr>
          <w:p w:rsidR="00660414" w:rsidRPr="008C5B1B" w:rsidRDefault="00660414" w:rsidP="007613DE">
            <w:pPr>
              <w:spacing w:line="276" w:lineRule="auto"/>
              <w:jc w:val="center"/>
              <w:rPr>
                <w:b/>
                <w:color w:val="00B050"/>
                <w:sz w:val="22"/>
                <w:szCs w:val="22"/>
              </w:rPr>
            </w:pPr>
            <w:r w:rsidRPr="008C5B1B">
              <w:rPr>
                <w:b/>
                <w:color w:val="00B050"/>
                <w:sz w:val="22"/>
                <w:szCs w:val="22"/>
              </w:rPr>
              <w:sym w:font="Wingdings" w:char="F0FC"/>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Create Bucharest - Danube Canal Connection</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50</w:t>
            </w:r>
          </w:p>
        </w:tc>
        <w:tc>
          <w:tcPr>
            <w:tcW w:w="576" w:type="pct"/>
          </w:tcPr>
          <w:p w:rsidR="00660414" w:rsidRPr="008C5B1B" w:rsidRDefault="00660414" w:rsidP="007613DE">
            <w:pPr>
              <w:spacing w:line="276" w:lineRule="auto"/>
              <w:rPr>
                <w:sz w:val="22"/>
                <w:szCs w:val="22"/>
              </w:rPr>
            </w:pPr>
            <w:r w:rsidRPr="008C5B1B">
              <w:rPr>
                <w:sz w:val="22"/>
                <w:szCs w:val="22"/>
              </w:rPr>
              <w:t>Danube-Bucharest</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€939m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€891.1m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0.95</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4.7%</w:t>
            </w:r>
          </w:p>
        </w:tc>
        <w:tc>
          <w:tcPr>
            <w:tcW w:w="913" w:type="pct"/>
            <w:vAlign w:val="center"/>
          </w:tcPr>
          <w:p w:rsidR="00660414" w:rsidRPr="008C5B1B" w:rsidRDefault="00660414" w:rsidP="007613DE">
            <w:pPr>
              <w:spacing w:line="276" w:lineRule="auto"/>
              <w:jc w:val="center"/>
              <w:rPr>
                <w:b/>
                <w:color w:val="FF0000"/>
                <w:sz w:val="22"/>
                <w:szCs w:val="22"/>
              </w:rPr>
            </w:pPr>
            <w:r w:rsidRPr="008C5B1B">
              <w:rPr>
                <w:b/>
                <w:color w:val="FF0000"/>
                <w:sz w:val="22"/>
                <w:szCs w:val="22"/>
              </w:rPr>
              <w:sym w:font="Wingdings" w:char="F0FB"/>
            </w:r>
          </w:p>
        </w:tc>
      </w:tr>
      <w:tr w:rsidR="00660414" w:rsidRPr="000A76BD" w:rsidTr="00F17B06">
        <w:tc>
          <w:tcPr>
            <w:tcW w:w="715" w:type="pct"/>
          </w:tcPr>
          <w:p w:rsidR="00660414" w:rsidRPr="003D1B55" w:rsidRDefault="00660414" w:rsidP="007613DE">
            <w:pPr>
              <w:spacing w:line="276" w:lineRule="auto"/>
              <w:rPr>
                <w:sz w:val="22"/>
                <w:szCs w:val="22"/>
              </w:rPr>
            </w:pPr>
            <w:r>
              <w:rPr>
                <w:sz w:val="22"/>
                <w:szCs w:val="22"/>
              </w:rPr>
              <w:t>Improvements to the Sulina Channel</w:t>
            </w:r>
          </w:p>
        </w:tc>
        <w:tc>
          <w:tcPr>
            <w:tcW w:w="570" w:type="pct"/>
          </w:tcPr>
          <w:p w:rsidR="00660414" w:rsidRDefault="00660414" w:rsidP="007613DE">
            <w:pPr>
              <w:spacing w:line="276" w:lineRule="auto"/>
              <w:rPr>
                <w:sz w:val="22"/>
                <w:szCs w:val="22"/>
              </w:rPr>
            </w:pPr>
            <w:r>
              <w:rPr>
                <w:sz w:val="22"/>
                <w:szCs w:val="22"/>
              </w:rPr>
              <w:t>6.4.167</w:t>
            </w:r>
          </w:p>
        </w:tc>
        <w:tc>
          <w:tcPr>
            <w:tcW w:w="576" w:type="pct"/>
          </w:tcPr>
          <w:p w:rsidR="00660414" w:rsidRPr="003D1B55" w:rsidRDefault="00660414" w:rsidP="007613DE">
            <w:pPr>
              <w:spacing w:line="276" w:lineRule="auto"/>
              <w:rPr>
                <w:sz w:val="22"/>
                <w:szCs w:val="22"/>
              </w:rPr>
            </w:pPr>
            <w:r>
              <w:rPr>
                <w:sz w:val="22"/>
                <w:szCs w:val="22"/>
              </w:rPr>
              <w:t>Sulina Channel</w:t>
            </w:r>
          </w:p>
        </w:tc>
        <w:tc>
          <w:tcPr>
            <w:tcW w:w="747" w:type="pct"/>
            <w:vAlign w:val="center"/>
          </w:tcPr>
          <w:p w:rsidR="00660414" w:rsidRPr="003D1B55" w:rsidRDefault="00660414" w:rsidP="007613DE">
            <w:pPr>
              <w:spacing w:line="276" w:lineRule="auto"/>
              <w:jc w:val="right"/>
              <w:rPr>
                <w:sz w:val="22"/>
                <w:szCs w:val="22"/>
              </w:rPr>
            </w:pPr>
            <w:r>
              <w:rPr>
                <w:sz w:val="22"/>
                <w:szCs w:val="22"/>
              </w:rPr>
              <w:t>€20.5</w:t>
            </w:r>
            <w:r w:rsidRPr="003D1B55">
              <w:rPr>
                <w:sz w:val="22"/>
                <w:szCs w:val="22"/>
              </w:rPr>
              <w:t>m</w:t>
            </w:r>
          </w:p>
        </w:tc>
        <w:tc>
          <w:tcPr>
            <w:tcW w:w="484" w:type="pct"/>
            <w:vAlign w:val="center"/>
          </w:tcPr>
          <w:p w:rsidR="00660414" w:rsidRPr="003D1B55" w:rsidRDefault="00660414" w:rsidP="007613DE">
            <w:pPr>
              <w:spacing w:line="276" w:lineRule="auto"/>
              <w:jc w:val="right"/>
              <w:rPr>
                <w:sz w:val="22"/>
                <w:szCs w:val="22"/>
              </w:rPr>
            </w:pPr>
            <w:r>
              <w:rPr>
                <w:sz w:val="22"/>
                <w:szCs w:val="22"/>
              </w:rPr>
              <w:t>€84</w:t>
            </w:r>
            <w:r w:rsidRPr="003D1B55">
              <w:rPr>
                <w:sz w:val="22"/>
                <w:szCs w:val="22"/>
              </w:rPr>
              <w:t>m</w:t>
            </w:r>
          </w:p>
        </w:tc>
        <w:tc>
          <w:tcPr>
            <w:tcW w:w="430" w:type="pct"/>
            <w:vAlign w:val="center"/>
          </w:tcPr>
          <w:p w:rsidR="00660414" w:rsidRPr="003D1B55" w:rsidRDefault="00660414" w:rsidP="007613DE">
            <w:pPr>
              <w:spacing w:line="276" w:lineRule="auto"/>
              <w:jc w:val="right"/>
              <w:rPr>
                <w:sz w:val="22"/>
                <w:szCs w:val="22"/>
              </w:rPr>
            </w:pPr>
            <w:r>
              <w:rPr>
                <w:sz w:val="22"/>
                <w:szCs w:val="22"/>
              </w:rPr>
              <w:t>1.55</w:t>
            </w:r>
          </w:p>
        </w:tc>
        <w:tc>
          <w:tcPr>
            <w:tcW w:w="565" w:type="pct"/>
            <w:vAlign w:val="center"/>
          </w:tcPr>
          <w:p w:rsidR="00660414" w:rsidRPr="003D1B55" w:rsidRDefault="00660414" w:rsidP="007613DE">
            <w:pPr>
              <w:spacing w:line="276" w:lineRule="auto"/>
              <w:jc w:val="right"/>
              <w:rPr>
                <w:sz w:val="22"/>
                <w:szCs w:val="22"/>
              </w:rPr>
            </w:pPr>
            <w:r>
              <w:rPr>
                <w:sz w:val="22"/>
                <w:szCs w:val="22"/>
              </w:rPr>
              <w:t>9.51%</w:t>
            </w:r>
          </w:p>
        </w:tc>
        <w:tc>
          <w:tcPr>
            <w:tcW w:w="913" w:type="pct"/>
            <w:vAlign w:val="center"/>
          </w:tcPr>
          <w:p w:rsidR="00660414" w:rsidRPr="003D1B55" w:rsidRDefault="00660414" w:rsidP="007613DE">
            <w:pPr>
              <w:spacing w:line="276" w:lineRule="auto"/>
              <w:jc w:val="center"/>
              <w:rPr>
                <w:b/>
                <w:color w:val="FF0000"/>
                <w:sz w:val="22"/>
                <w:szCs w:val="22"/>
              </w:rPr>
            </w:pPr>
            <w:r w:rsidRPr="003D1B55">
              <w:rPr>
                <w:b/>
                <w:color w:val="00B050"/>
                <w:sz w:val="22"/>
                <w:szCs w:val="22"/>
              </w:rPr>
              <w:sym w:font="Wingdings" w:char="F0FC"/>
            </w:r>
          </w:p>
        </w:tc>
      </w:tr>
      <w:tr w:rsidR="00660414" w:rsidRPr="000A76BD" w:rsidTr="00F17B06">
        <w:tc>
          <w:tcPr>
            <w:tcW w:w="5000" w:type="pct"/>
            <w:gridSpan w:val="8"/>
          </w:tcPr>
          <w:p w:rsidR="00660414" w:rsidRPr="008C5B1B" w:rsidRDefault="00660414" w:rsidP="007613DE">
            <w:pPr>
              <w:spacing w:line="276" w:lineRule="auto"/>
              <w:rPr>
                <w:b/>
                <w:color w:val="FF0000"/>
                <w:sz w:val="22"/>
                <w:szCs w:val="22"/>
              </w:rPr>
            </w:pPr>
            <w:r w:rsidRPr="008C5B1B">
              <w:rPr>
                <w:b/>
                <w:color w:val="FF0000"/>
                <w:sz w:val="22"/>
                <w:szCs w:val="22"/>
              </w:rPr>
              <w:t>Recommended project that does not meet the threshold</w:t>
            </w:r>
          </w:p>
        </w:tc>
      </w:tr>
      <w:tr w:rsidR="00660414" w:rsidRPr="000A76BD" w:rsidTr="00F17B06">
        <w:tc>
          <w:tcPr>
            <w:tcW w:w="715" w:type="pct"/>
          </w:tcPr>
          <w:p w:rsidR="00660414" w:rsidRPr="008C5B1B" w:rsidRDefault="00660414" w:rsidP="007613DE">
            <w:pPr>
              <w:spacing w:line="276" w:lineRule="auto"/>
              <w:rPr>
                <w:sz w:val="22"/>
                <w:szCs w:val="22"/>
              </w:rPr>
            </w:pPr>
            <w:r w:rsidRPr="008C5B1B">
              <w:rPr>
                <w:sz w:val="22"/>
                <w:szCs w:val="22"/>
              </w:rPr>
              <w:t>Develop bulk handling infrastructure</w:t>
            </w:r>
          </w:p>
        </w:tc>
        <w:tc>
          <w:tcPr>
            <w:tcW w:w="570"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96</w:t>
            </w:r>
          </w:p>
        </w:tc>
        <w:tc>
          <w:tcPr>
            <w:tcW w:w="576" w:type="pct"/>
          </w:tcPr>
          <w:p w:rsidR="00660414" w:rsidRPr="008C5B1B" w:rsidRDefault="00660414" w:rsidP="007613DE">
            <w:pPr>
              <w:spacing w:line="276" w:lineRule="auto"/>
              <w:rPr>
                <w:sz w:val="22"/>
                <w:szCs w:val="22"/>
              </w:rPr>
            </w:pPr>
            <w:r w:rsidRPr="008C5B1B">
              <w:rPr>
                <w:sz w:val="22"/>
                <w:szCs w:val="22"/>
              </w:rPr>
              <w:t>Calafat</w:t>
            </w:r>
          </w:p>
        </w:tc>
        <w:tc>
          <w:tcPr>
            <w:tcW w:w="747" w:type="pct"/>
            <w:vAlign w:val="center"/>
          </w:tcPr>
          <w:p w:rsidR="00660414" w:rsidRPr="008C5B1B" w:rsidRDefault="00660414" w:rsidP="007613DE">
            <w:pPr>
              <w:spacing w:line="276" w:lineRule="auto"/>
              <w:jc w:val="right"/>
              <w:rPr>
                <w:sz w:val="22"/>
                <w:szCs w:val="22"/>
              </w:rPr>
            </w:pPr>
            <w:r w:rsidRPr="008C5B1B">
              <w:rPr>
                <w:sz w:val="22"/>
                <w:szCs w:val="22"/>
              </w:rPr>
              <w:t>€20m</w:t>
            </w:r>
          </w:p>
        </w:tc>
        <w:tc>
          <w:tcPr>
            <w:tcW w:w="484" w:type="pct"/>
            <w:vAlign w:val="center"/>
          </w:tcPr>
          <w:p w:rsidR="00660414" w:rsidRPr="008C5B1B" w:rsidRDefault="00660414" w:rsidP="007613DE">
            <w:pPr>
              <w:spacing w:line="276" w:lineRule="auto"/>
              <w:jc w:val="right"/>
              <w:rPr>
                <w:sz w:val="22"/>
                <w:szCs w:val="22"/>
              </w:rPr>
            </w:pPr>
            <w:r w:rsidRPr="008C5B1B">
              <w:rPr>
                <w:sz w:val="22"/>
                <w:szCs w:val="22"/>
              </w:rPr>
              <w:t>€7m</w:t>
            </w:r>
          </w:p>
        </w:tc>
        <w:tc>
          <w:tcPr>
            <w:tcW w:w="430" w:type="pct"/>
            <w:vAlign w:val="center"/>
          </w:tcPr>
          <w:p w:rsidR="00660414" w:rsidRPr="008C5B1B" w:rsidRDefault="00660414" w:rsidP="007613DE">
            <w:pPr>
              <w:spacing w:line="276" w:lineRule="auto"/>
              <w:jc w:val="right"/>
              <w:rPr>
                <w:sz w:val="22"/>
                <w:szCs w:val="22"/>
              </w:rPr>
            </w:pPr>
            <w:r w:rsidRPr="008C5B1B">
              <w:rPr>
                <w:sz w:val="22"/>
                <w:szCs w:val="22"/>
              </w:rPr>
              <w:t>0.60</w:t>
            </w:r>
          </w:p>
        </w:tc>
        <w:tc>
          <w:tcPr>
            <w:tcW w:w="565" w:type="pct"/>
            <w:vAlign w:val="center"/>
          </w:tcPr>
          <w:p w:rsidR="00660414" w:rsidRPr="008C5B1B" w:rsidRDefault="00660414" w:rsidP="007613DE">
            <w:pPr>
              <w:spacing w:line="276" w:lineRule="auto"/>
              <w:jc w:val="right"/>
              <w:rPr>
                <w:sz w:val="22"/>
                <w:szCs w:val="22"/>
              </w:rPr>
            </w:pPr>
            <w:r w:rsidRPr="008C5B1B">
              <w:rPr>
                <w:sz w:val="22"/>
                <w:szCs w:val="22"/>
              </w:rPr>
              <w:t>2.4%</w:t>
            </w:r>
          </w:p>
        </w:tc>
        <w:tc>
          <w:tcPr>
            <w:tcW w:w="913" w:type="pct"/>
            <w:vAlign w:val="center"/>
          </w:tcPr>
          <w:p w:rsidR="00660414" w:rsidRPr="008C5B1B" w:rsidRDefault="00660414" w:rsidP="007613DE">
            <w:pPr>
              <w:spacing w:line="276" w:lineRule="auto"/>
              <w:jc w:val="center"/>
              <w:rPr>
                <w:b/>
                <w:color w:val="FF0000"/>
                <w:sz w:val="22"/>
                <w:szCs w:val="22"/>
              </w:rPr>
            </w:pPr>
            <w:r w:rsidRPr="008C5B1B">
              <w:rPr>
                <w:b/>
                <w:color w:val="00B050"/>
                <w:sz w:val="22"/>
                <w:szCs w:val="22"/>
              </w:rPr>
              <w:sym w:font="Wingdings" w:char="F0FC"/>
            </w:r>
          </w:p>
        </w:tc>
      </w:tr>
    </w:tbl>
    <w:p w:rsidR="00660414" w:rsidRPr="000A76BD" w:rsidRDefault="00660414" w:rsidP="00660414">
      <w:pPr>
        <w:spacing w:line="276" w:lineRule="auto"/>
        <w:rPr>
          <w:sz w:val="22"/>
          <w:szCs w:val="22"/>
        </w:rPr>
      </w:pPr>
    </w:p>
    <w:p w:rsidR="00660414" w:rsidRPr="000A76BD" w:rsidRDefault="00660414" w:rsidP="0085264B">
      <w:pPr>
        <w:pStyle w:val="NumberedParas"/>
        <w:numPr>
          <w:ilvl w:val="2"/>
          <w:numId w:val="70"/>
        </w:numPr>
      </w:pPr>
      <w:r w:rsidRPr="008C5B1B">
        <w:t>Much of Romania’s port infrastructure was originally designed to handle heavy industry such as steel production. Romania’s economy is changing and these heavy industries are now in a managed decline and the consequence of this for the ports is that the ports now offer, to some degree, the wrong type of capacity. More products than ever before are now suitable for containerisation and freight forwarders prefer to use containers as it is an internationally accepted standard. As a consequence, the interventions suggested by this National Transport Master Plan for the ports focus on reconfiguring capacity at the ports to either accept containers (such as a trimodal terminal) or developing capacity for terminals that are close to maximum utilisation.</w:t>
      </w:r>
    </w:p>
    <w:p w:rsidR="00660414" w:rsidRPr="000A76BD" w:rsidRDefault="00660414" w:rsidP="00660414">
      <w:pPr>
        <w:rPr>
          <w:b/>
          <w:sz w:val="22"/>
          <w:szCs w:val="22"/>
        </w:rPr>
      </w:pPr>
      <w:r w:rsidRPr="008C5B1B">
        <w:rPr>
          <w:b/>
          <w:sz w:val="22"/>
          <w:szCs w:val="22"/>
        </w:rPr>
        <w:br w:type="page"/>
      </w:r>
    </w:p>
    <w:p w:rsidR="00660414" w:rsidRPr="000A76BD" w:rsidRDefault="00660414" w:rsidP="00660414">
      <w:pPr>
        <w:spacing w:line="276" w:lineRule="auto"/>
        <w:rPr>
          <w:b/>
          <w:sz w:val="22"/>
          <w:szCs w:val="22"/>
        </w:rPr>
      </w:pPr>
      <w:r w:rsidRPr="008C5B1B">
        <w:rPr>
          <w:b/>
          <w:sz w:val="22"/>
          <w:szCs w:val="22"/>
        </w:rPr>
        <w:t xml:space="preserve">Table </w:t>
      </w:r>
      <w:r>
        <w:rPr>
          <w:b/>
          <w:sz w:val="22"/>
          <w:szCs w:val="22"/>
        </w:rPr>
        <w:t>6.61</w:t>
      </w:r>
      <w:r w:rsidRPr="008C5B1B">
        <w:rPr>
          <w:b/>
          <w:sz w:val="22"/>
          <w:szCs w:val="22"/>
        </w:rPr>
        <w:t xml:space="preserve"> – Summary of Tonnages for Tested Interventions (Ports only excluding intermodal and passenger traffic)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1683"/>
        <w:gridCol w:w="1683"/>
        <w:gridCol w:w="1683"/>
        <w:gridCol w:w="1683"/>
        <w:gridCol w:w="1681"/>
      </w:tblGrid>
      <w:tr w:rsidR="00660414" w:rsidRPr="000A76BD" w:rsidTr="00F17B06">
        <w:trPr>
          <w:tblHeader/>
        </w:trPr>
        <w:tc>
          <w:tcPr>
            <w:tcW w:w="996"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Intervention</w:t>
            </w:r>
          </w:p>
        </w:tc>
        <w:tc>
          <w:tcPr>
            <w:tcW w:w="801"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Reference</w:t>
            </w:r>
          </w:p>
        </w:tc>
        <w:tc>
          <w:tcPr>
            <w:tcW w:w="801"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Location</w:t>
            </w:r>
          </w:p>
        </w:tc>
        <w:tc>
          <w:tcPr>
            <w:tcW w:w="801"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2011 Tonnes</w:t>
            </w:r>
          </w:p>
          <w:p w:rsidR="00660414" w:rsidRPr="008C5B1B" w:rsidRDefault="00660414" w:rsidP="00F17B06">
            <w:pPr>
              <w:spacing w:line="276" w:lineRule="auto"/>
              <w:jc w:val="center"/>
              <w:rPr>
                <w:b/>
                <w:sz w:val="22"/>
                <w:szCs w:val="22"/>
              </w:rPr>
            </w:pPr>
            <w:r w:rsidRPr="008C5B1B">
              <w:rPr>
                <w:b/>
                <w:sz w:val="22"/>
                <w:szCs w:val="22"/>
              </w:rPr>
              <w:t>(Actual)</w:t>
            </w:r>
          </w:p>
        </w:tc>
        <w:tc>
          <w:tcPr>
            <w:tcW w:w="801"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2020 Tonnes</w:t>
            </w:r>
          </w:p>
          <w:p w:rsidR="00660414" w:rsidRPr="008C5B1B" w:rsidRDefault="00660414" w:rsidP="00F17B06">
            <w:pPr>
              <w:spacing w:line="276" w:lineRule="auto"/>
              <w:jc w:val="center"/>
              <w:rPr>
                <w:b/>
                <w:sz w:val="22"/>
                <w:szCs w:val="22"/>
              </w:rPr>
            </w:pPr>
            <w:r w:rsidRPr="008C5B1B">
              <w:rPr>
                <w:b/>
                <w:sz w:val="22"/>
                <w:szCs w:val="22"/>
              </w:rPr>
              <w:t>(Reference Case)</w:t>
            </w:r>
          </w:p>
        </w:tc>
        <w:tc>
          <w:tcPr>
            <w:tcW w:w="800" w:type="pct"/>
            <w:shd w:val="clear" w:color="auto" w:fill="63C1DF"/>
            <w:vAlign w:val="center"/>
          </w:tcPr>
          <w:p w:rsidR="00660414" w:rsidRPr="008C5B1B" w:rsidRDefault="00660414" w:rsidP="00F17B06">
            <w:pPr>
              <w:spacing w:line="276" w:lineRule="auto"/>
              <w:jc w:val="center"/>
              <w:rPr>
                <w:b/>
                <w:sz w:val="22"/>
                <w:szCs w:val="22"/>
              </w:rPr>
            </w:pPr>
            <w:r w:rsidRPr="008C5B1B">
              <w:rPr>
                <w:b/>
                <w:sz w:val="22"/>
                <w:szCs w:val="22"/>
              </w:rPr>
              <w:t>2020 Tonnes</w:t>
            </w:r>
          </w:p>
          <w:p w:rsidR="00660414" w:rsidRPr="008C5B1B" w:rsidRDefault="00660414" w:rsidP="00F17B06">
            <w:pPr>
              <w:spacing w:line="276" w:lineRule="auto"/>
              <w:jc w:val="center"/>
              <w:rPr>
                <w:b/>
                <w:sz w:val="22"/>
                <w:szCs w:val="22"/>
              </w:rPr>
            </w:pPr>
            <w:r w:rsidRPr="008C5B1B">
              <w:rPr>
                <w:b/>
                <w:sz w:val="22"/>
                <w:szCs w:val="22"/>
              </w:rPr>
              <w:t>(Do Something)</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Build a new container terminal at Constanta (III &amp; IVS)</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3</w:t>
            </w:r>
          </w:p>
        </w:tc>
        <w:tc>
          <w:tcPr>
            <w:tcW w:w="801" w:type="pct"/>
          </w:tcPr>
          <w:p w:rsidR="00660414" w:rsidRPr="008C5B1B" w:rsidRDefault="00660414" w:rsidP="007613DE">
            <w:pPr>
              <w:spacing w:line="276" w:lineRule="auto"/>
              <w:rPr>
                <w:sz w:val="22"/>
                <w:szCs w:val="22"/>
              </w:rPr>
            </w:pPr>
            <w:r w:rsidRPr="008C5B1B">
              <w:rPr>
                <w:sz w:val="22"/>
                <w:szCs w:val="22"/>
              </w:rPr>
              <w:t>Constanta</w:t>
            </w:r>
          </w:p>
        </w:tc>
        <w:tc>
          <w:tcPr>
            <w:tcW w:w="801" w:type="pct"/>
            <w:vAlign w:val="center"/>
          </w:tcPr>
          <w:p w:rsidR="00660414" w:rsidRPr="008C5B1B" w:rsidRDefault="00660414" w:rsidP="007613DE">
            <w:pPr>
              <w:spacing w:line="276" w:lineRule="auto"/>
              <w:jc w:val="right"/>
              <w:rPr>
                <w:rFonts w:cs="Arial"/>
                <w:sz w:val="22"/>
                <w:szCs w:val="22"/>
              </w:rPr>
            </w:pPr>
            <w:r w:rsidRPr="008C5B1B">
              <w:rPr>
                <w:rFonts w:cs="Arial"/>
                <w:color w:val="000000"/>
                <w:sz w:val="22"/>
                <w:szCs w:val="22"/>
              </w:rPr>
              <w:t>8,747,432</w:t>
            </w:r>
          </w:p>
        </w:tc>
        <w:tc>
          <w:tcPr>
            <w:tcW w:w="801" w:type="pct"/>
            <w:vAlign w:val="center"/>
          </w:tcPr>
          <w:p w:rsidR="00660414" w:rsidRPr="008C5B1B" w:rsidRDefault="00660414" w:rsidP="007613DE">
            <w:pPr>
              <w:spacing w:line="276" w:lineRule="auto"/>
              <w:jc w:val="right"/>
              <w:rPr>
                <w:rFonts w:cs="Arial"/>
                <w:sz w:val="22"/>
                <w:szCs w:val="22"/>
              </w:rPr>
            </w:pPr>
            <w:r w:rsidRPr="008C5B1B">
              <w:rPr>
                <w:rFonts w:cs="Arial"/>
                <w:color w:val="000000"/>
                <w:sz w:val="22"/>
                <w:szCs w:val="22"/>
              </w:rPr>
              <w:t>12,308,789</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12,908,344</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 xml:space="preserve">Development of a </w:t>
            </w:r>
            <w:r>
              <w:rPr>
                <w:sz w:val="22"/>
                <w:szCs w:val="22"/>
              </w:rPr>
              <w:t>cargo</w:t>
            </w:r>
            <w:r w:rsidRPr="008C5B1B">
              <w:rPr>
                <w:sz w:val="22"/>
                <w:szCs w:val="22"/>
              </w:rPr>
              <w:t xml:space="preserve"> terminal at the port</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2</w:t>
            </w:r>
          </w:p>
        </w:tc>
        <w:tc>
          <w:tcPr>
            <w:tcW w:w="801" w:type="pct"/>
          </w:tcPr>
          <w:p w:rsidR="00660414" w:rsidRPr="008C5B1B" w:rsidRDefault="00660414" w:rsidP="007613DE">
            <w:pPr>
              <w:spacing w:line="276" w:lineRule="auto"/>
              <w:rPr>
                <w:sz w:val="22"/>
                <w:szCs w:val="22"/>
              </w:rPr>
            </w:pPr>
            <w:r w:rsidRPr="008C5B1B">
              <w:rPr>
                <w:sz w:val="22"/>
                <w:szCs w:val="22"/>
              </w:rPr>
              <w:t>Tulcea</w:t>
            </w:r>
          </w:p>
        </w:tc>
        <w:tc>
          <w:tcPr>
            <w:tcW w:w="801" w:type="pct"/>
            <w:vAlign w:val="center"/>
          </w:tcPr>
          <w:p w:rsidR="00660414" w:rsidRPr="008C5B1B" w:rsidRDefault="00660414" w:rsidP="007613DE">
            <w:pPr>
              <w:jc w:val="right"/>
              <w:rPr>
                <w:rFonts w:cs="Arial"/>
                <w:bCs/>
                <w:sz w:val="22"/>
                <w:szCs w:val="22"/>
              </w:rPr>
            </w:pPr>
            <w:r w:rsidRPr="008C5B1B">
              <w:rPr>
                <w:rFonts w:cs="Arial"/>
                <w:bCs/>
                <w:sz w:val="22"/>
                <w:szCs w:val="22"/>
              </w:rPr>
              <w:t>1,650,320</w:t>
            </w:r>
          </w:p>
        </w:tc>
        <w:tc>
          <w:tcPr>
            <w:tcW w:w="801" w:type="pct"/>
            <w:vAlign w:val="center"/>
          </w:tcPr>
          <w:p w:rsidR="00660414" w:rsidRPr="008C5B1B" w:rsidRDefault="00660414" w:rsidP="007613DE">
            <w:pPr>
              <w:jc w:val="right"/>
              <w:rPr>
                <w:rFonts w:cs="Arial"/>
                <w:sz w:val="22"/>
                <w:szCs w:val="22"/>
              </w:rPr>
            </w:pPr>
            <w:r w:rsidRPr="008C5B1B">
              <w:rPr>
                <w:rFonts w:cs="Arial"/>
                <w:sz w:val="22"/>
                <w:szCs w:val="22"/>
              </w:rPr>
              <w:t>1,147,443</w:t>
            </w:r>
          </w:p>
        </w:tc>
        <w:tc>
          <w:tcPr>
            <w:tcW w:w="800" w:type="pct"/>
            <w:vAlign w:val="center"/>
          </w:tcPr>
          <w:p w:rsidR="00660414" w:rsidRPr="008C5B1B" w:rsidRDefault="00660414" w:rsidP="007613DE">
            <w:pPr>
              <w:jc w:val="right"/>
              <w:rPr>
                <w:rFonts w:cs="Arial"/>
                <w:sz w:val="22"/>
                <w:szCs w:val="22"/>
              </w:rPr>
            </w:pPr>
            <w:r w:rsidRPr="008C5B1B">
              <w:rPr>
                <w:rFonts w:cs="Arial"/>
                <w:sz w:val="22"/>
                <w:szCs w:val="22"/>
              </w:rPr>
              <w:t>1,475,970</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Modernisation of existing bulk terminals</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37</w:t>
            </w:r>
          </w:p>
        </w:tc>
        <w:tc>
          <w:tcPr>
            <w:tcW w:w="801" w:type="pct"/>
          </w:tcPr>
          <w:p w:rsidR="00660414" w:rsidRPr="008C5B1B" w:rsidRDefault="00660414" w:rsidP="007613DE">
            <w:pPr>
              <w:spacing w:line="276" w:lineRule="auto"/>
              <w:rPr>
                <w:sz w:val="22"/>
                <w:szCs w:val="22"/>
              </w:rPr>
            </w:pPr>
            <w:r w:rsidRPr="008C5B1B">
              <w:rPr>
                <w:sz w:val="22"/>
                <w:szCs w:val="22"/>
              </w:rPr>
              <w:t>Galati</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5,099,714</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5,823,027</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6,441,528</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Develop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47</w:t>
            </w:r>
          </w:p>
        </w:tc>
        <w:tc>
          <w:tcPr>
            <w:tcW w:w="801" w:type="pct"/>
          </w:tcPr>
          <w:p w:rsidR="00660414" w:rsidRPr="008C5B1B" w:rsidRDefault="00660414" w:rsidP="007613DE">
            <w:pPr>
              <w:spacing w:line="276" w:lineRule="auto"/>
              <w:rPr>
                <w:sz w:val="22"/>
                <w:szCs w:val="22"/>
              </w:rPr>
            </w:pPr>
            <w:r w:rsidRPr="008C5B1B">
              <w:rPr>
                <w:sz w:val="22"/>
                <w:szCs w:val="22"/>
              </w:rPr>
              <w:t>Cernavoda</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131,833</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249,360</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614,711</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Modernise the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54</w:t>
            </w:r>
          </w:p>
        </w:tc>
        <w:tc>
          <w:tcPr>
            <w:tcW w:w="801" w:type="pct"/>
          </w:tcPr>
          <w:p w:rsidR="00660414" w:rsidRPr="008C5B1B" w:rsidRDefault="00660414" w:rsidP="007613DE">
            <w:pPr>
              <w:spacing w:line="276" w:lineRule="auto"/>
              <w:rPr>
                <w:sz w:val="22"/>
                <w:szCs w:val="22"/>
              </w:rPr>
            </w:pPr>
            <w:r w:rsidRPr="008C5B1B">
              <w:rPr>
                <w:sz w:val="22"/>
                <w:szCs w:val="22"/>
              </w:rPr>
              <w:t>Basarabi</w:t>
            </w:r>
          </w:p>
        </w:tc>
        <w:tc>
          <w:tcPr>
            <w:tcW w:w="801" w:type="pct"/>
            <w:vAlign w:val="center"/>
          </w:tcPr>
          <w:p w:rsidR="00660414" w:rsidRPr="008C5B1B" w:rsidRDefault="00660414" w:rsidP="007613DE">
            <w:pPr>
              <w:jc w:val="right"/>
              <w:rPr>
                <w:rFonts w:cs="Arial"/>
                <w:bCs/>
                <w:sz w:val="22"/>
                <w:szCs w:val="22"/>
              </w:rPr>
            </w:pPr>
            <w:r w:rsidRPr="008C5B1B">
              <w:rPr>
                <w:rFonts w:cs="Arial"/>
                <w:bCs/>
                <w:sz w:val="22"/>
                <w:szCs w:val="22"/>
              </w:rPr>
              <w:t>1,719,000</w:t>
            </w:r>
          </w:p>
        </w:tc>
        <w:tc>
          <w:tcPr>
            <w:tcW w:w="801" w:type="pct"/>
            <w:vAlign w:val="center"/>
          </w:tcPr>
          <w:p w:rsidR="00660414" w:rsidRPr="008C5B1B" w:rsidRDefault="00660414" w:rsidP="007613DE">
            <w:pPr>
              <w:jc w:val="right"/>
              <w:rPr>
                <w:rFonts w:cs="Arial"/>
                <w:bCs/>
                <w:sz w:val="22"/>
                <w:szCs w:val="22"/>
              </w:rPr>
            </w:pPr>
            <w:r w:rsidRPr="008C5B1B">
              <w:rPr>
                <w:rFonts w:cs="Arial"/>
                <w:bCs/>
                <w:sz w:val="22"/>
                <w:szCs w:val="22"/>
              </w:rPr>
              <w:t>40,397</w:t>
            </w:r>
          </w:p>
        </w:tc>
        <w:tc>
          <w:tcPr>
            <w:tcW w:w="800" w:type="pct"/>
            <w:vAlign w:val="center"/>
          </w:tcPr>
          <w:p w:rsidR="00660414" w:rsidRPr="008C5B1B" w:rsidRDefault="00660414" w:rsidP="007613DE">
            <w:pPr>
              <w:jc w:val="right"/>
              <w:rPr>
                <w:rFonts w:cs="Arial"/>
                <w:bCs/>
                <w:sz w:val="22"/>
                <w:szCs w:val="22"/>
              </w:rPr>
            </w:pPr>
            <w:r w:rsidRPr="008C5B1B">
              <w:rPr>
                <w:rFonts w:cs="Arial"/>
                <w:bCs/>
                <w:sz w:val="22"/>
                <w:szCs w:val="22"/>
              </w:rPr>
              <w:t>46,955</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Develop bulk handling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61</w:t>
            </w:r>
          </w:p>
        </w:tc>
        <w:tc>
          <w:tcPr>
            <w:tcW w:w="801" w:type="pct"/>
          </w:tcPr>
          <w:p w:rsidR="00660414" w:rsidRPr="008C5B1B" w:rsidRDefault="00660414" w:rsidP="007613DE">
            <w:pPr>
              <w:spacing w:line="276" w:lineRule="auto"/>
              <w:rPr>
                <w:sz w:val="22"/>
                <w:szCs w:val="22"/>
              </w:rPr>
            </w:pPr>
            <w:r w:rsidRPr="008C5B1B">
              <w:rPr>
                <w:sz w:val="22"/>
                <w:szCs w:val="22"/>
              </w:rPr>
              <w:t>Oltenita</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508,407</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672,085</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707,994</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 xml:space="preserve">Infrastructure and modernisation works </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78</w:t>
            </w:r>
          </w:p>
        </w:tc>
        <w:tc>
          <w:tcPr>
            <w:tcW w:w="801" w:type="pct"/>
          </w:tcPr>
          <w:p w:rsidR="00660414" w:rsidRPr="008C5B1B" w:rsidRDefault="00660414" w:rsidP="007613DE">
            <w:pPr>
              <w:spacing w:line="276" w:lineRule="auto"/>
              <w:rPr>
                <w:sz w:val="22"/>
                <w:szCs w:val="22"/>
              </w:rPr>
            </w:pPr>
            <w:r w:rsidRPr="008C5B1B">
              <w:rPr>
                <w:sz w:val="22"/>
                <w:szCs w:val="22"/>
              </w:rPr>
              <w:t>Giurgiu</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256,288</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459,373</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513,745</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lang w:eastAsia="en-GB"/>
              </w:rPr>
              <w:t>Modernisation and rehabilitation of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87</w:t>
            </w:r>
          </w:p>
        </w:tc>
        <w:tc>
          <w:tcPr>
            <w:tcW w:w="801" w:type="pct"/>
          </w:tcPr>
          <w:p w:rsidR="00660414" w:rsidRPr="008C5B1B" w:rsidRDefault="00660414" w:rsidP="007613DE">
            <w:pPr>
              <w:spacing w:line="276" w:lineRule="auto"/>
              <w:rPr>
                <w:sz w:val="22"/>
                <w:szCs w:val="22"/>
              </w:rPr>
            </w:pPr>
            <w:r w:rsidRPr="008C5B1B">
              <w:rPr>
                <w:sz w:val="22"/>
                <w:szCs w:val="22"/>
              </w:rPr>
              <w:t>Corabia</w:t>
            </w:r>
          </w:p>
        </w:tc>
        <w:tc>
          <w:tcPr>
            <w:tcW w:w="801" w:type="pct"/>
            <w:vAlign w:val="center"/>
          </w:tcPr>
          <w:p w:rsidR="00660414" w:rsidRPr="008C5B1B" w:rsidRDefault="00660414" w:rsidP="007613DE">
            <w:pPr>
              <w:jc w:val="right"/>
              <w:rPr>
                <w:rFonts w:cs="Arial"/>
                <w:bCs/>
                <w:sz w:val="22"/>
                <w:szCs w:val="22"/>
              </w:rPr>
            </w:pPr>
            <w:r w:rsidRPr="008C5B1B">
              <w:rPr>
                <w:rFonts w:cs="Arial"/>
                <w:bCs/>
                <w:sz w:val="22"/>
                <w:szCs w:val="22"/>
              </w:rPr>
              <w:t>22,613</w:t>
            </w:r>
          </w:p>
          <w:p w:rsidR="00660414" w:rsidRPr="008C5B1B" w:rsidRDefault="00660414" w:rsidP="007613DE">
            <w:pPr>
              <w:spacing w:line="276" w:lineRule="auto"/>
              <w:jc w:val="right"/>
              <w:rPr>
                <w:rFonts w:cs="Arial"/>
                <w:sz w:val="22"/>
                <w:szCs w:val="22"/>
              </w:rPr>
            </w:pPr>
          </w:p>
        </w:tc>
        <w:tc>
          <w:tcPr>
            <w:tcW w:w="801" w:type="pct"/>
            <w:vAlign w:val="center"/>
          </w:tcPr>
          <w:p w:rsidR="00660414" w:rsidRPr="008C5B1B" w:rsidRDefault="00660414" w:rsidP="007613DE">
            <w:pPr>
              <w:jc w:val="right"/>
              <w:rPr>
                <w:rFonts w:cs="Arial"/>
                <w:sz w:val="22"/>
                <w:szCs w:val="22"/>
              </w:rPr>
            </w:pPr>
            <w:r w:rsidRPr="008C5B1B">
              <w:rPr>
                <w:rFonts w:cs="Arial"/>
                <w:sz w:val="22"/>
                <w:szCs w:val="22"/>
              </w:rPr>
              <w:t>70,123</w:t>
            </w:r>
          </w:p>
          <w:p w:rsidR="00660414" w:rsidRPr="008C5B1B" w:rsidRDefault="00660414" w:rsidP="007613DE">
            <w:pPr>
              <w:spacing w:line="276" w:lineRule="auto"/>
              <w:jc w:val="right"/>
              <w:rPr>
                <w:rFonts w:cs="Arial"/>
                <w:sz w:val="22"/>
                <w:szCs w:val="22"/>
              </w:rPr>
            </w:pPr>
          </w:p>
        </w:tc>
        <w:tc>
          <w:tcPr>
            <w:tcW w:w="800" w:type="pct"/>
            <w:vAlign w:val="center"/>
          </w:tcPr>
          <w:p w:rsidR="00660414" w:rsidRPr="008C5B1B" w:rsidRDefault="00660414" w:rsidP="007613DE">
            <w:pPr>
              <w:jc w:val="right"/>
              <w:rPr>
                <w:rFonts w:cs="Arial"/>
                <w:sz w:val="22"/>
                <w:szCs w:val="22"/>
              </w:rPr>
            </w:pPr>
            <w:r w:rsidRPr="008C5B1B">
              <w:rPr>
                <w:rFonts w:cs="Arial"/>
                <w:sz w:val="22"/>
                <w:szCs w:val="22"/>
              </w:rPr>
              <w:t>143,971</w:t>
            </w:r>
          </w:p>
          <w:p w:rsidR="00660414" w:rsidRPr="008C5B1B" w:rsidRDefault="00660414" w:rsidP="007613DE">
            <w:pPr>
              <w:spacing w:line="276" w:lineRule="auto"/>
              <w:jc w:val="right"/>
              <w:rPr>
                <w:rFonts w:cs="Arial"/>
                <w:sz w:val="22"/>
                <w:szCs w:val="22"/>
              </w:rPr>
            </w:pP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Develop bulk handling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96</w:t>
            </w:r>
          </w:p>
        </w:tc>
        <w:tc>
          <w:tcPr>
            <w:tcW w:w="801" w:type="pct"/>
          </w:tcPr>
          <w:p w:rsidR="00660414" w:rsidRPr="008C5B1B" w:rsidRDefault="00660414" w:rsidP="007613DE">
            <w:pPr>
              <w:spacing w:line="276" w:lineRule="auto"/>
              <w:rPr>
                <w:sz w:val="22"/>
                <w:szCs w:val="22"/>
              </w:rPr>
            </w:pPr>
            <w:r w:rsidRPr="008C5B1B">
              <w:rPr>
                <w:sz w:val="22"/>
                <w:szCs w:val="22"/>
              </w:rPr>
              <w:t>Calafat</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139,105</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156,016</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167,887</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Develop infrastructure</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w:t>
            </w:r>
            <w:r>
              <w:rPr>
                <w:sz w:val="22"/>
                <w:szCs w:val="22"/>
              </w:rPr>
              <w:t>104</w:t>
            </w:r>
          </w:p>
        </w:tc>
        <w:tc>
          <w:tcPr>
            <w:tcW w:w="801" w:type="pct"/>
          </w:tcPr>
          <w:p w:rsidR="00660414" w:rsidRPr="008C5B1B" w:rsidRDefault="00660414" w:rsidP="007613DE">
            <w:pPr>
              <w:spacing w:line="276" w:lineRule="auto"/>
              <w:rPr>
                <w:sz w:val="22"/>
                <w:szCs w:val="22"/>
              </w:rPr>
            </w:pPr>
            <w:r w:rsidRPr="008C5B1B">
              <w:rPr>
                <w:sz w:val="22"/>
                <w:szCs w:val="22"/>
              </w:rPr>
              <w:t>Drobeta</w:t>
            </w:r>
            <w:r>
              <w:rPr>
                <w:sz w:val="22"/>
                <w:szCs w:val="22"/>
              </w:rPr>
              <w:t xml:space="preserve"> </w:t>
            </w:r>
            <w:r w:rsidRPr="008C5B1B">
              <w:rPr>
                <w:sz w:val="22"/>
                <w:szCs w:val="22"/>
                <w:lang w:val="ro-RO"/>
              </w:rPr>
              <w:t>Turnu Severin</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490,112</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594,367</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702,769</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rPr>
              <w:t>Modernisation of the port</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22</w:t>
            </w:r>
          </w:p>
        </w:tc>
        <w:tc>
          <w:tcPr>
            <w:tcW w:w="801" w:type="pct"/>
          </w:tcPr>
          <w:p w:rsidR="00660414" w:rsidRPr="008C5B1B" w:rsidRDefault="00660414" w:rsidP="007613DE">
            <w:pPr>
              <w:spacing w:line="276" w:lineRule="auto"/>
              <w:rPr>
                <w:sz w:val="22"/>
                <w:szCs w:val="22"/>
              </w:rPr>
            </w:pPr>
            <w:r w:rsidRPr="008C5B1B">
              <w:rPr>
                <w:sz w:val="22"/>
                <w:szCs w:val="22"/>
              </w:rPr>
              <w:t>Orsova</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187,752</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291,081.</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357,127.</w:t>
            </w:r>
          </w:p>
        </w:tc>
      </w:tr>
      <w:tr w:rsidR="00660414" w:rsidRPr="000A76BD" w:rsidTr="007613DE">
        <w:tc>
          <w:tcPr>
            <w:tcW w:w="996" w:type="pct"/>
          </w:tcPr>
          <w:p w:rsidR="00660414" w:rsidRPr="008C5B1B" w:rsidRDefault="00660414" w:rsidP="007613DE">
            <w:pPr>
              <w:spacing w:line="276" w:lineRule="auto"/>
              <w:rPr>
                <w:sz w:val="22"/>
                <w:szCs w:val="22"/>
              </w:rPr>
            </w:pPr>
            <w:r w:rsidRPr="008C5B1B">
              <w:rPr>
                <w:sz w:val="22"/>
                <w:szCs w:val="22"/>
                <w:lang w:eastAsia="en-GB"/>
              </w:rPr>
              <w:t xml:space="preserve">Development of Infrastructure  </w:t>
            </w:r>
          </w:p>
        </w:tc>
        <w:tc>
          <w:tcPr>
            <w:tcW w:w="801" w:type="pct"/>
          </w:tcPr>
          <w:p w:rsidR="00660414" w:rsidRPr="008C5B1B" w:rsidRDefault="00660414" w:rsidP="007613DE">
            <w:pPr>
              <w:spacing w:line="276" w:lineRule="auto"/>
              <w:rPr>
                <w:sz w:val="22"/>
                <w:szCs w:val="22"/>
              </w:rPr>
            </w:pPr>
            <w:r>
              <w:rPr>
                <w:sz w:val="22"/>
                <w:szCs w:val="22"/>
              </w:rPr>
              <w:t>6</w:t>
            </w:r>
            <w:r w:rsidRPr="008C5B1B">
              <w:rPr>
                <w:sz w:val="22"/>
                <w:szCs w:val="22"/>
              </w:rPr>
              <w:t>.4.1</w:t>
            </w:r>
            <w:r>
              <w:rPr>
                <w:sz w:val="22"/>
                <w:szCs w:val="22"/>
              </w:rPr>
              <w:t>232</w:t>
            </w:r>
          </w:p>
        </w:tc>
        <w:tc>
          <w:tcPr>
            <w:tcW w:w="801" w:type="pct"/>
          </w:tcPr>
          <w:p w:rsidR="00660414" w:rsidRPr="008C5B1B" w:rsidRDefault="00660414" w:rsidP="007613DE">
            <w:pPr>
              <w:spacing w:line="276" w:lineRule="auto"/>
              <w:rPr>
                <w:sz w:val="22"/>
                <w:szCs w:val="22"/>
              </w:rPr>
            </w:pPr>
            <w:r w:rsidRPr="008C5B1B">
              <w:rPr>
                <w:sz w:val="22"/>
                <w:szCs w:val="22"/>
              </w:rPr>
              <w:t>Moldova Veche</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21,505</w:t>
            </w:r>
          </w:p>
        </w:tc>
        <w:tc>
          <w:tcPr>
            <w:tcW w:w="801"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25,726</w:t>
            </w:r>
          </w:p>
        </w:tc>
        <w:tc>
          <w:tcPr>
            <w:tcW w:w="800" w:type="pct"/>
            <w:vAlign w:val="center"/>
          </w:tcPr>
          <w:p w:rsidR="00660414" w:rsidRPr="008C5B1B" w:rsidRDefault="00660414" w:rsidP="007613DE">
            <w:pPr>
              <w:jc w:val="right"/>
              <w:rPr>
                <w:rFonts w:cs="Arial"/>
                <w:color w:val="000000"/>
                <w:sz w:val="22"/>
                <w:szCs w:val="22"/>
              </w:rPr>
            </w:pPr>
            <w:r w:rsidRPr="008C5B1B">
              <w:rPr>
                <w:rFonts w:cs="Arial"/>
                <w:color w:val="000000"/>
                <w:sz w:val="22"/>
                <w:szCs w:val="22"/>
              </w:rPr>
              <w:t>28,688</w:t>
            </w:r>
          </w:p>
        </w:tc>
      </w:tr>
    </w:tbl>
    <w:p w:rsidR="00660414" w:rsidRDefault="00660414" w:rsidP="00A4081F">
      <w:pPr>
        <w:pStyle w:val="NumberedParas"/>
        <w:numPr>
          <w:ilvl w:val="0"/>
          <w:numId w:val="0"/>
        </w:numPr>
        <w:ind w:left="1673"/>
      </w:pPr>
    </w:p>
    <w:p w:rsidR="00660414" w:rsidRDefault="00660414" w:rsidP="00660414">
      <w:pPr>
        <w:rPr>
          <w:sz w:val="22"/>
          <w:szCs w:val="22"/>
        </w:rPr>
      </w:pPr>
      <w:r>
        <w:br w:type="page"/>
      </w:r>
    </w:p>
    <w:p w:rsidR="00660414" w:rsidRDefault="00660414" w:rsidP="00A4081F">
      <w:pPr>
        <w:pStyle w:val="NumberedParas"/>
        <w:rPr>
          <w:b/>
        </w:rPr>
      </w:pPr>
      <w:r w:rsidRPr="008C5B1B">
        <w:t>This section summarises additional interventions, which by their nature cannot be modelled using the national Transport Model, but which AECOM is recommending be included as part of the Masterplan.</w:t>
      </w:r>
    </w:p>
    <w:p w:rsidR="00660414" w:rsidRPr="008C5B1B" w:rsidRDefault="00660414" w:rsidP="00660414">
      <w:pPr>
        <w:spacing w:line="276" w:lineRule="auto"/>
        <w:rPr>
          <w:b/>
          <w:sz w:val="22"/>
          <w:szCs w:val="22"/>
        </w:rPr>
      </w:pPr>
      <w:r w:rsidRPr="008C5B1B">
        <w:rPr>
          <w:b/>
          <w:sz w:val="22"/>
          <w:szCs w:val="22"/>
        </w:rPr>
        <w:t xml:space="preserve">Table </w:t>
      </w:r>
      <w:r>
        <w:rPr>
          <w:b/>
          <w:sz w:val="22"/>
          <w:szCs w:val="22"/>
        </w:rPr>
        <w:t xml:space="preserve">6.62 </w:t>
      </w:r>
      <w:r w:rsidRPr="008C5B1B">
        <w:rPr>
          <w:b/>
          <w:sz w:val="22"/>
          <w:szCs w:val="22"/>
        </w:rPr>
        <w:t>– Summary of other Recommended Interventions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7602"/>
        <w:gridCol w:w="1625"/>
      </w:tblGrid>
      <w:tr w:rsidR="00660414" w:rsidRPr="000A76BD" w:rsidTr="007613DE">
        <w:tc>
          <w:tcPr>
            <w:tcW w:w="1250" w:type="dxa"/>
            <w:shd w:val="clear" w:color="auto" w:fill="63C1DF"/>
          </w:tcPr>
          <w:p w:rsidR="00660414" w:rsidRPr="008C5B1B" w:rsidRDefault="00660414" w:rsidP="007613DE">
            <w:pPr>
              <w:spacing w:line="276" w:lineRule="auto"/>
              <w:rPr>
                <w:b/>
                <w:sz w:val="22"/>
                <w:szCs w:val="22"/>
              </w:rPr>
            </w:pPr>
            <w:r w:rsidRPr="008C5B1B">
              <w:rPr>
                <w:b/>
                <w:sz w:val="22"/>
                <w:szCs w:val="22"/>
              </w:rPr>
              <w:t>Reference</w:t>
            </w:r>
          </w:p>
        </w:tc>
        <w:tc>
          <w:tcPr>
            <w:tcW w:w="11223" w:type="dxa"/>
            <w:shd w:val="clear" w:color="auto" w:fill="63C1DF"/>
          </w:tcPr>
          <w:p w:rsidR="00660414" w:rsidRPr="008C5B1B" w:rsidRDefault="00660414" w:rsidP="007613DE">
            <w:pPr>
              <w:spacing w:line="276" w:lineRule="auto"/>
              <w:rPr>
                <w:b/>
                <w:sz w:val="22"/>
                <w:szCs w:val="22"/>
              </w:rPr>
            </w:pPr>
            <w:r w:rsidRPr="008C5B1B">
              <w:rPr>
                <w:b/>
                <w:sz w:val="22"/>
                <w:szCs w:val="22"/>
              </w:rPr>
              <w:t>Intervention</w:t>
            </w:r>
          </w:p>
        </w:tc>
        <w:tc>
          <w:tcPr>
            <w:tcW w:w="1701" w:type="dxa"/>
            <w:shd w:val="clear" w:color="auto" w:fill="63C1DF"/>
          </w:tcPr>
          <w:p w:rsidR="00660414" w:rsidRPr="008C5B1B" w:rsidRDefault="00660414" w:rsidP="007613DE">
            <w:pPr>
              <w:spacing w:line="276" w:lineRule="auto"/>
              <w:rPr>
                <w:b/>
                <w:sz w:val="22"/>
                <w:szCs w:val="22"/>
              </w:rPr>
            </w:pPr>
            <w:r w:rsidRPr="008C5B1B">
              <w:rPr>
                <w:b/>
                <w:sz w:val="22"/>
                <w:szCs w:val="22"/>
              </w:rPr>
              <w:t>Location</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W3</w:t>
            </w:r>
          </w:p>
        </w:tc>
        <w:tc>
          <w:tcPr>
            <w:tcW w:w="11223" w:type="dxa"/>
          </w:tcPr>
          <w:p w:rsidR="00660414" w:rsidRPr="008C5B1B" w:rsidRDefault="00660414" w:rsidP="007613DE">
            <w:pPr>
              <w:spacing w:line="276" w:lineRule="auto"/>
              <w:rPr>
                <w:sz w:val="22"/>
                <w:szCs w:val="22"/>
              </w:rPr>
            </w:pPr>
            <w:r w:rsidRPr="008C5B1B">
              <w:rPr>
                <w:sz w:val="22"/>
                <w:szCs w:val="22"/>
              </w:rPr>
              <w:t>Invest in ice breaking facilities including replacing Perseus</w:t>
            </w:r>
          </w:p>
        </w:tc>
        <w:tc>
          <w:tcPr>
            <w:tcW w:w="1701" w:type="dxa"/>
          </w:tcPr>
          <w:p w:rsidR="00660414" w:rsidRPr="008C5B1B" w:rsidRDefault="00660414" w:rsidP="007613DE">
            <w:pPr>
              <w:spacing w:line="276" w:lineRule="auto"/>
              <w:rPr>
                <w:sz w:val="22"/>
                <w:szCs w:val="22"/>
              </w:rPr>
            </w:pPr>
            <w:r w:rsidRPr="008C5B1B">
              <w:rPr>
                <w:sz w:val="22"/>
                <w:szCs w:val="22"/>
              </w:rPr>
              <w:t>Danube</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W4</w:t>
            </w:r>
          </w:p>
        </w:tc>
        <w:tc>
          <w:tcPr>
            <w:tcW w:w="11223" w:type="dxa"/>
            <w:vAlign w:val="center"/>
          </w:tcPr>
          <w:p w:rsidR="00660414" w:rsidRPr="008C5B1B" w:rsidRDefault="00660414" w:rsidP="007613DE">
            <w:pPr>
              <w:spacing w:line="276" w:lineRule="auto"/>
              <w:rPr>
                <w:sz w:val="22"/>
                <w:szCs w:val="22"/>
              </w:rPr>
            </w:pPr>
            <w:r w:rsidRPr="008C5B1B">
              <w:rPr>
                <w:sz w:val="22"/>
                <w:szCs w:val="22"/>
              </w:rPr>
              <w:t>Increase maintenance budget</w:t>
            </w:r>
            <w:r w:rsidRPr="008C5B1B">
              <w:rPr>
                <w:b/>
                <w:sz w:val="22"/>
                <w:szCs w:val="22"/>
              </w:rPr>
              <w:t xml:space="preserve">s </w:t>
            </w:r>
            <w:r w:rsidRPr="008C5B1B">
              <w:rPr>
                <w:sz w:val="22"/>
                <w:szCs w:val="22"/>
              </w:rPr>
              <w:t>to match consistently across borders</w:t>
            </w:r>
            <w:r>
              <w:rPr>
                <w:sz w:val="22"/>
                <w:szCs w:val="22"/>
              </w:rPr>
              <w:t xml:space="preserve"> and implementing Danube maintenance</w:t>
            </w:r>
          </w:p>
        </w:tc>
        <w:tc>
          <w:tcPr>
            <w:tcW w:w="1701" w:type="dxa"/>
          </w:tcPr>
          <w:p w:rsidR="00660414" w:rsidRPr="008C5B1B" w:rsidRDefault="00660414" w:rsidP="007613DE">
            <w:pPr>
              <w:spacing w:line="276" w:lineRule="auto"/>
              <w:rPr>
                <w:sz w:val="22"/>
                <w:szCs w:val="22"/>
              </w:rPr>
            </w:pPr>
            <w:r w:rsidRPr="008C5B1B">
              <w:rPr>
                <w:sz w:val="22"/>
                <w:szCs w:val="22"/>
              </w:rPr>
              <w:t>Danube</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W5</w:t>
            </w:r>
          </w:p>
        </w:tc>
        <w:tc>
          <w:tcPr>
            <w:tcW w:w="11223" w:type="dxa"/>
            <w:vAlign w:val="center"/>
          </w:tcPr>
          <w:p w:rsidR="00660414" w:rsidRPr="008C5B1B" w:rsidRDefault="00660414" w:rsidP="007613DE">
            <w:pPr>
              <w:spacing w:line="276" w:lineRule="auto"/>
              <w:rPr>
                <w:sz w:val="22"/>
                <w:szCs w:val="22"/>
              </w:rPr>
            </w:pPr>
            <w:r w:rsidRPr="008C5B1B">
              <w:rPr>
                <w:sz w:val="22"/>
                <w:szCs w:val="22"/>
              </w:rPr>
              <w:t xml:space="preserve">Authorities to be flexible in opening times/days so that facilities such as customs, booking offices and terminals are available if demand exists. </w:t>
            </w:r>
          </w:p>
        </w:tc>
        <w:tc>
          <w:tcPr>
            <w:tcW w:w="1701" w:type="dxa"/>
          </w:tcPr>
          <w:p w:rsidR="00660414" w:rsidRPr="008C5B1B" w:rsidRDefault="00660414" w:rsidP="007613DE">
            <w:pPr>
              <w:spacing w:line="276" w:lineRule="auto"/>
              <w:rPr>
                <w:sz w:val="22"/>
                <w:szCs w:val="22"/>
              </w:rPr>
            </w:pPr>
            <w:r w:rsidRPr="008C5B1B">
              <w:rPr>
                <w:sz w:val="22"/>
                <w:szCs w:val="22"/>
              </w:rPr>
              <w:t>All ports</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W6</w:t>
            </w:r>
          </w:p>
        </w:tc>
        <w:tc>
          <w:tcPr>
            <w:tcW w:w="11223" w:type="dxa"/>
            <w:vAlign w:val="center"/>
          </w:tcPr>
          <w:p w:rsidR="00660414" w:rsidRPr="008C5B1B" w:rsidRDefault="00660414" w:rsidP="007613DE">
            <w:pPr>
              <w:spacing w:line="276" w:lineRule="auto"/>
              <w:rPr>
                <w:sz w:val="22"/>
                <w:szCs w:val="22"/>
              </w:rPr>
            </w:pPr>
            <w:r w:rsidRPr="008C5B1B">
              <w:rPr>
                <w:sz w:val="22"/>
                <w:szCs w:val="22"/>
              </w:rPr>
              <w:t>Adopt a commercial attitude and review port charges to operators to ensure water freight is competitive</w:t>
            </w:r>
          </w:p>
        </w:tc>
        <w:tc>
          <w:tcPr>
            <w:tcW w:w="1701" w:type="dxa"/>
          </w:tcPr>
          <w:p w:rsidR="00660414" w:rsidRPr="008C5B1B" w:rsidRDefault="00660414" w:rsidP="007613DE">
            <w:pPr>
              <w:spacing w:line="276" w:lineRule="auto"/>
              <w:rPr>
                <w:sz w:val="22"/>
                <w:szCs w:val="22"/>
              </w:rPr>
            </w:pPr>
            <w:r w:rsidRPr="008C5B1B">
              <w:rPr>
                <w:sz w:val="22"/>
                <w:szCs w:val="22"/>
              </w:rPr>
              <w:t>All infrastructure</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W7</w:t>
            </w:r>
          </w:p>
        </w:tc>
        <w:tc>
          <w:tcPr>
            <w:tcW w:w="11223" w:type="dxa"/>
            <w:vAlign w:val="center"/>
          </w:tcPr>
          <w:p w:rsidR="00660414" w:rsidRPr="008C5B1B" w:rsidRDefault="00660414" w:rsidP="007613DE">
            <w:pPr>
              <w:spacing w:line="276" w:lineRule="auto"/>
              <w:rPr>
                <w:sz w:val="22"/>
                <w:szCs w:val="22"/>
              </w:rPr>
            </w:pPr>
            <w:r w:rsidRPr="008C5B1B">
              <w:rPr>
                <w:sz w:val="22"/>
                <w:szCs w:val="22"/>
              </w:rPr>
              <w:t>Romania to work with Danube countries to agree operational plans</w:t>
            </w:r>
          </w:p>
        </w:tc>
        <w:tc>
          <w:tcPr>
            <w:tcW w:w="1701" w:type="dxa"/>
          </w:tcPr>
          <w:p w:rsidR="00660414" w:rsidRPr="008C5B1B" w:rsidRDefault="00660414" w:rsidP="007613DE">
            <w:pPr>
              <w:spacing w:line="276" w:lineRule="auto"/>
              <w:rPr>
                <w:sz w:val="22"/>
                <w:szCs w:val="22"/>
              </w:rPr>
            </w:pPr>
            <w:r w:rsidRPr="008C5B1B">
              <w:rPr>
                <w:sz w:val="22"/>
                <w:szCs w:val="22"/>
              </w:rPr>
              <w:t>NA</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W8</w:t>
            </w:r>
          </w:p>
        </w:tc>
        <w:tc>
          <w:tcPr>
            <w:tcW w:w="11223" w:type="dxa"/>
            <w:vAlign w:val="center"/>
          </w:tcPr>
          <w:p w:rsidR="00660414" w:rsidRPr="008C5B1B" w:rsidRDefault="00660414" w:rsidP="007613DE">
            <w:pPr>
              <w:spacing w:line="276" w:lineRule="auto"/>
              <w:rPr>
                <w:sz w:val="22"/>
                <w:szCs w:val="22"/>
              </w:rPr>
            </w:pPr>
            <w:r w:rsidRPr="008C5B1B">
              <w:rPr>
                <w:sz w:val="22"/>
                <w:szCs w:val="22"/>
              </w:rPr>
              <w:t xml:space="preserve">Review port and customs administration procedures and rationalise and improve communication </w:t>
            </w:r>
          </w:p>
        </w:tc>
        <w:tc>
          <w:tcPr>
            <w:tcW w:w="1701" w:type="dxa"/>
          </w:tcPr>
          <w:p w:rsidR="00660414" w:rsidRPr="008C5B1B" w:rsidRDefault="00660414" w:rsidP="007613DE">
            <w:pPr>
              <w:spacing w:line="276" w:lineRule="auto"/>
              <w:rPr>
                <w:sz w:val="22"/>
                <w:szCs w:val="22"/>
              </w:rPr>
            </w:pPr>
            <w:r w:rsidRPr="008C5B1B">
              <w:rPr>
                <w:sz w:val="22"/>
                <w:szCs w:val="22"/>
              </w:rPr>
              <w:t>All ports</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W9</w:t>
            </w:r>
          </w:p>
        </w:tc>
        <w:tc>
          <w:tcPr>
            <w:tcW w:w="11223" w:type="dxa"/>
            <w:vAlign w:val="center"/>
          </w:tcPr>
          <w:p w:rsidR="00660414" w:rsidRPr="008C5B1B" w:rsidRDefault="00660414" w:rsidP="007613DE">
            <w:pPr>
              <w:spacing w:line="276" w:lineRule="auto"/>
              <w:rPr>
                <w:sz w:val="22"/>
                <w:szCs w:val="22"/>
              </w:rPr>
            </w:pPr>
            <w:r w:rsidRPr="008C5B1B">
              <w:rPr>
                <w:sz w:val="22"/>
                <w:szCs w:val="22"/>
              </w:rPr>
              <w:t xml:space="preserve">Establish suitable training for the needs of the naval sector  </w:t>
            </w:r>
          </w:p>
        </w:tc>
        <w:tc>
          <w:tcPr>
            <w:tcW w:w="1701" w:type="dxa"/>
          </w:tcPr>
          <w:p w:rsidR="00660414" w:rsidRPr="008C5B1B" w:rsidRDefault="00660414" w:rsidP="007613DE">
            <w:pPr>
              <w:spacing w:line="276" w:lineRule="auto"/>
              <w:rPr>
                <w:sz w:val="22"/>
                <w:szCs w:val="22"/>
              </w:rPr>
            </w:pPr>
            <w:r w:rsidRPr="008C5B1B">
              <w:rPr>
                <w:sz w:val="22"/>
                <w:szCs w:val="22"/>
              </w:rPr>
              <w:t>NA</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W10</w:t>
            </w:r>
          </w:p>
        </w:tc>
        <w:tc>
          <w:tcPr>
            <w:tcW w:w="11223" w:type="dxa"/>
            <w:vAlign w:val="center"/>
          </w:tcPr>
          <w:p w:rsidR="00660414" w:rsidRPr="008C5B1B" w:rsidRDefault="00660414" w:rsidP="007613DE">
            <w:pPr>
              <w:spacing w:line="276" w:lineRule="auto"/>
              <w:rPr>
                <w:sz w:val="22"/>
                <w:szCs w:val="22"/>
              </w:rPr>
            </w:pPr>
            <w:r w:rsidRPr="008C5B1B">
              <w:rPr>
                <w:sz w:val="22"/>
                <w:szCs w:val="22"/>
              </w:rPr>
              <w:t xml:space="preserve">Industry to use modern and integrated systems for customs, navigation, regulation and administration </w:t>
            </w:r>
          </w:p>
        </w:tc>
        <w:tc>
          <w:tcPr>
            <w:tcW w:w="1701" w:type="dxa"/>
          </w:tcPr>
          <w:p w:rsidR="00660414" w:rsidRPr="008C5B1B" w:rsidRDefault="00660414" w:rsidP="007613DE">
            <w:pPr>
              <w:spacing w:line="276" w:lineRule="auto"/>
              <w:rPr>
                <w:sz w:val="22"/>
                <w:szCs w:val="22"/>
              </w:rPr>
            </w:pPr>
            <w:r w:rsidRPr="008C5B1B">
              <w:rPr>
                <w:sz w:val="22"/>
                <w:szCs w:val="22"/>
              </w:rPr>
              <w:t>NA</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W11</w:t>
            </w:r>
          </w:p>
        </w:tc>
        <w:tc>
          <w:tcPr>
            <w:tcW w:w="11223" w:type="dxa"/>
            <w:vAlign w:val="center"/>
          </w:tcPr>
          <w:p w:rsidR="00660414" w:rsidRPr="008C5B1B" w:rsidRDefault="00660414" w:rsidP="007613DE">
            <w:pPr>
              <w:spacing w:line="276" w:lineRule="auto"/>
              <w:rPr>
                <w:sz w:val="22"/>
                <w:szCs w:val="22"/>
              </w:rPr>
            </w:pPr>
            <w:r w:rsidRPr="008C5B1B">
              <w:rPr>
                <w:sz w:val="22"/>
                <w:szCs w:val="22"/>
              </w:rPr>
              <w:t>Develop a safety plan including training to reduce accidents</w:t>
            </w:r>
          </w:p>
        </w:tc>
        <w:tc>
          <w:tcPr>
            <w:tcW w:w="1701" w:type="dxa"/>
          </w:tcPr>
          <w:p w:rsidR="00660414" w:rsidRPr="008C5B1B" w:rsidRDefault="00660414" w:rsidP="007613DE">
            <w:pPr>
              <w:spacing w:line="276" w:lineRule="auto"/>
              <w:rPr>
                <w:sz w:val="22"/>
                <w:szCs w:val="22"/>
              </w:rPr>
            </w:pPr>
            <w:r w:rsidRPr="008C5B1B">
              <w:rPr>
                <w:sz w:val="22"/>
                <w:szCs w:val="22"/>
              </w:rPr>
              <w:t>NA</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W12</w:t>
            </w:r>
          </w:p>
        </w:tc>
        <w:tc>
          <w:tcPr>
            <w:tcW w:w="11223" w:type="dxa"/>
            <w:vAlign w:val="center"/>
          </w:tcPr>
          <w:p w:rsidR="00660414" w:rsidRPr="008C5B1B" w:rsidRDefault="00660414" w:rsidP="007613DE">
            <w:pPr>
              <w:spacing w:line="276" w:lineRule="auto"/>
              <w:rPr>
                <w:sz w:val="22"/>
                <w:szCs w:val="22"/>
              </w:rPr>
            </w:pPr>
            <w:r w:rsidRPr="008C5B1B">
              <w:rPr>
                <w:sz w:val="22"/>
                <w:szCs w:val="22"/>
              </w:rPr>
              <w:t xml:space="preserve">Enhance security to reduce thefts from vessels and port facilities at Ports on the Primary Economic Network </w:t>
            </w:r>
          </w:p>
        </w:tc>
        <w:tc>
          <w:tcPr>
            <w:tcW w:w="1701" w:type="dxa"/>
          </w:tcPr>
          <w:p w:rsidR="00660414" w:rsidRPr="008C5B1B" w:rsidRDefault="00660414" w:rsidP="007613DE">
            <w:pPr>
              <w:spacing w:line="276" w:lineRule="auto"/>
              <w:rPr>
                <w:sz w:val="22"/>
                <w:szCs w:val="22"/>
              </w:rPr>
            </w:pPr>
            <w:r w:rsidRPr="008C5B1B">
              <w:rPr>
                <w:sz w:val="22"/>
                <w:szCs w:val="22"/>
              </w:rPr>
              <w:t>All infrastructure and vessels</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W13</w:t>
            </w:r>
          </w:p>
        </w:tc>
        <w:tc>
          <w:tcPr>
            <w:tcW w:w="11223" w:type="dxa"/>
            <w:vAlign w:val="center"/>
          </w:tcPr>
          <w:p w:rsidR="00660414" w:rsidRPr="008C5B1B" w:rsidRDefault="00660414" w:rsidP="007613DE">
            <w:pPr>
              <w:spacing w:line="276" w:lineRule="auto"/>
              <w:rPr>
                <w:sz w:val="22"/>
                <w:szCs w:val="22"/>
              </w:rPr>
            </w:pPr>
            <w:r w:rsidRPr="008C5B1B">
              <w:rPr>
                <w:sz w:val="22"/>
                <w:szCs w:val="22"/>
              </w:rPr>
              <w:t>Reduce emissions from naval activity by adopting best practice: enforce EU regulations regarding emissions by non-EU vessels</w:t>
            </w:r>
          </w:p>
        </w:tc>
        <w:tc>
          <w:tcPr>
            <w:tcW w:w="1701" w:type="dxa"/>
          </w:tcPr>
          <w:p w:rsidR="00660414" w:rsidRPr="008C5B1B" w:rsidRDefault="00660414" w:rsidP="007613DE">
            <w:pPr>
              <w:spacing w:line="276" w:lineRule="auto"/>
              <w:rPr>
                <w:sz w:val="22"/>
                <w:szCs w:val="22"/>
              </w:rPr>
            </w:pPr>
            <w:r w:rsidRPr="008C5B1B">
              <w:rPr>
                <w:sz w:val="22"/>
                <w:szCs w:val="22"/>
              </w:rPr>
              <w:t>NA</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W14</w:t>
            </w:r>
          </w:p>
        </w:tc>
        <w:tc>
          <w:tcPr>
            <w:tcW w:w="11223" w:type="dxa"/>
            <w:vAlign w:val="center"/>
          </w:tcPr>
          <w:p w:rsidR="00660414" w:rsidRPr="008C5B1B" w:rsidRDefault="00660414" w:rsidP="007613DE">
            <w:pPr>
              <w:spacing w:line="276" w:lineRule="auto"/>
              <w:rPr>
                <w:sz w:val="22"/>
                <w:szCs w:val="22"/>
              </w:rPr>
            </w:pPr>
            <w:r w:rsidRPr="008C5B1B">
              <w:rPr>
                <w:sz w:val="22"/>
                <w:szCs w:val="22"/>
              </w:rPr>
              <w:t>Safeguard land and facilities at minor and underutilised ports</w:t>
            </w:r>
          </w:p>
        </w:tc>
        <w:tc>
          <w:tcPr>
            <w:tcW w:w="1701" w:type="dxa"/>
          </w:tcPr>
          <w:p w:rsidR="00660414" w:rsidRPr="008C5B1B" w:rsidRDefault="00660414" w:rsidP="007613DE">
            <w:pPr>
              <w:spacing w:line="276" w:lineRule="auto"/>
              <w:rPr>
                <w:sz w:val="22"/>
                <w:szCs w:val="22"/>
              </w:rPr>
            </w:pPr>
            <w:r w:rsidRPr="008C5B1B">
              <w:rPr>
                <w:sz w:val="22"/>
                <w:szCs w:val="22"/>
              </w:rPr>
              <w:t>All ports</w:t>
            </w:r>
          </w:p>
        </w:tc>
      </w:tr>
      <w:tr w:rsidR="00660414" w:rsidRPr="000A76BD" w:rsidTr="007613DE">
        <w:tc>
          <w:tcPr>
            <w:tcW w:w="1250" w:type="dxa"/>
            <w:vAlign w:val="center"/>
          </w:tcPr>
          <w:p w:rsidR="00660414" w:rsidRPr="008C5B1B" w:rsidRDefault="00660414" w:rsidP="007613DE">
            <w:pPr>
              <w:spacing w:line="276" w:lineRule="auto"/>
              <w:rPr>
                <w:sz w:val="22"/>
                <w:szCs w:val="22"/>
              </w:rPr>
            </w:pPr>
            <w:r w:rsidRPr="008C5B1B">
              <w:rPr>
                <w:sz w:val="22"/>
                <w:szCs w:val="22"/>
              </w:rPr>
              <w:t>W15</w:t>
            </w:r>
          </w:p>
        </w:tc>
        <w:tc>
          <w:tcPr>
            <w:tcW w:w="11223" w:type="dxa"/>
            <w:vAlign w:val="center"/>
          </w:tcPr>
          <w:p w:rsidR="00660414" w:rsidRPr="008C5B1B" w:rsidRDefault="00660414" w:rsidP="007613DE">
            <w:pPr>
              <w:spacing w:line="276" w:lineRule="auto"/>
              <w:rPr>
                <w:sz w:val="22"/>
                <w:szCs w:val="22"/>
              </w:rPr>
            </w:pPr>
            <w:r w:rsidRPr="008C5B1B">
              <w:rPr>
                <w:sz w:val="22"/>
                <w:szCs w:val="22"/>
              </w:rPr>
              <w:t>Improve immediate local and internal road/rail connections</w:t>
            </w:r>
          </w:p>
        </w:tc>
        <w:tc>
          <w:tcPr>
            <w:tcW w:w="1701" w:type="dxa"/>
          </w:tcPr>
          <w:p w:rsidR="00660414" w:rsidRPr="008C5B1B" w:rsidRDefault="00660414" w:rsidP="007613DE">
            <w:pPr>
              <w:spacing w:line="276" w:lineRule="auto"/>
              <w:rPr>
                <w:sz w:val="22"/>
                <w:szCs w:val="22"/>
              </w:rPr>
            </w:pPr>
            <w:r w:rsidRPr="008C5B1B">
              <w:rPr>
                <w:sz w:val="22"/>
                <w:szCs w:val="22"/>
              </w:rPr>
              <w:t xml:space="preserve">Galati, Calafat, Giurgiu, Drobeta, Braila  </w:t>
            </w:r>
          </w:p>
        </w:tc>
      </w:tr>
      <w:tr w:rsidR="00660414" w:rsidRPr="000A76BD" w:rsidTr="007613DE">
        <w:tc>
          <w:tcPr>
            <w:tcW w:w="1250" w:type="dxa"/>
            <w:vAlign w:val="center"/>
          </w:tcPr>
          <w:p w:rsidR="00660414" w:rsidRPr="0026715B" w:rsidRDefault="00660414" w:rsidP="007613DE">
            <w:pPr>
              <w:spacing w:line="276" w:lineRule="auto"/>
              <w:rPr>
                <w:sz w:val="22"/>
                <w:szCs w:val="22"/>
              </w:rPr>
            </w:pPr>
            <w:r>
              <w:rPr>
                <w:sz w:val="22"/>
                <w:szCs w:val="22"/>
              </w:rPr>
              <w:t>W16</w:t>
            </w:r>
          </w:p>
        </w:tc>
        <w:tc>
          <w:tcPr>
            <w:tcW w:w="11223" w:type="dxa"/>
            <w:vAlign w:val="center"/>
          </w:tcPr>
          <w:p w:rsidR="00660414" w:rsidRPr="0026715B" w:rsidRDefault="00660414" w:rsidP="007613DE">
            <w:pPr>
              <w:spacing w:line="276" w:lineRule="auto"/>
              <w:rPr>
                <w:sz w:val="22"/>
                <w:szCs w:val="22"/>
              </w:rPr>
            </w:pPr>
            <w:r>
              <w:rPr>
                <w:sz w:val="22"/>
                <w:szCs w:val="22"/>
              </w:rPr>
              <w:t>Transfer rail infrastructure ownership to ports</w:t>
            </w:r>
          </w:p>
        </w:tc>
        <w:tc>
          <w:tcPr>
            <w:tcW w:w="1701" w:type="dxa"/>
          </w:tcPr>
          <w:p w:rsidR="00660414" w:rsidRPr="0026715B" w:rsidRDefault="00660414" w:rsidP="007613DE">
            <w:pPr>
              <w:spacing w:line="276" w:lineRule="auto"/>
              <w:rPr>
                <w:sz w:val="22"/>
                <w:szCs w:val="22"/>
              </w:rPr>
            </w:pPr>
            <w:r>
              <w:rPr>
                <w:sz w:val="22"/>
                <w:szCs w:val="22"/>
              </w:rPr>
              <w:t>All ports</w:t>
            </w:r>
          </w:p>
        </w:tc>
      </w:tr>
    </w:tbl>
    <w:p w:rsidR="00660414" w:rsidRPr="008C5B1B" w:rsidRDefault="00660414" w:rsidP="00660414">
      <w:pPr>
        <w:rPr>
          <w:sz w:val="22"/>
          <w:szCs w:val="22"/>
        </w:rPr>
      </w:pPr>
    </w:p>
    <w:p w:rsidR="00660414" w:rsidRDefault="00660414" w:rsidP="0018508A"/>
    <w:p w:rsidR="00660414" w:rsidRDefault="00660414" w:rsidP="0018508A"/>
    <w:p w:rsidR="00660414" w:rsidRDefault="00660414" w:rsidP="0018508A"/>
    <w:p w:rsidR="00660414" w:rsidRDefault="00660414" w:rsidP="0018508A"/>
    <w:p w:rsidR="003E00EE" w:rsidRPr="00C8675F" w:rsidRDefault="003E00EE" w:rsidP="0018508A">
      <w:pPr>
        <w:sectPr w:rsidR="003E00EE" w:rsidRPr="00C8675F" w:rsidSect="00933C17">
          <w:headerReference w:type="default" r:id="rId281"/>
          <w:pgSz w:w="11907" w:h="16840" w:code="9"/>
          <w:pgMar w:top="1418" w:right="709" w:bottom="1418" w:left="907" w:header="357" w:footer="567" w:gutter="0"/>
          <w:cols w:space="187"/>
          <w:docGrid w:linePitch="360"/>
        </w:sectPr>
      </w:pPr>
    </w:p>
    <w:p w:rsidR="0018508A" w:rsidRPr="00C8675F" w:rsidRDefault="0018508A" w:rsidP="0018508A">
      <w:pPr>
        <w:rPr>
          <w:b/>
        </w:rPr>
        <w:sectPr w:rsidR="0018508A" w:rsidRPr="00C8675F">
          <w:headerReference w:type="default" r:id="rId282"/>
          <w:footerReference w:type="default" r:id="rId283"/>
          <w:pgSz w:w="11907" w:h="16840" w:code="9"/>
          <w:pgMar w:top="-3640" w:right="709" w:bottom="1729" w:left="6146" w:header="357" w:footer="567" w:gutter="0"/>
          <w:cols w:space="720"/>
          <w:docGrid w:linePitch="360"/>
        </w:sectPr>
      </w:pPr>
    </w:p>
    <w:p w:rsidR="0018508A" w:rsidRPr="00C8675F" w:rsidRDefault="00111F33" w:rsidP="0018508A">
      <w:pPr>
        <w:pStyle w:val="SecDivider0"/>
        <w:rPr>
          <w:lang w:val="en-GB"/>
        </w:rPr>
      </w:pPr>
      <w:r>
        <w:rPr>
          <w:lang w:val="en-GB"/>
        </w:rPr>
        <w:t>Aviation</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18508A" w:rsidRDefault="00506D9F" w:rsidP="001C6C79">
      <w:pPr>
        <w:pStyle w:val="Hdg1"/>
        <w:framePr w:wrap="notBeside"/>
      </w:pPr>
      <w:bookmarkStart w:id="8128" w:name="_Toc413056065"/>
      <w:r>
        <w:t>Aviation</w:t>
      </w:r>
      <w:bookmarkEnd w:id="8128"/>
    </w:p>
    <w:p w:rsidR="0018508A" w:rsidRPr="008E03B0" w:rsidRDefault="0018508A" w:rsidP="0018508A"/>
    <w:p w:rsidR="00660414" w:rsidRDefault="00660414" w:rsidP="00045287">
      <w:pPr>
        <w:pStyle w:val="Hdg2"/>
      </w:pPr>
      <w:bookmarkStart w:id="8129" w:name="_Toc403555349"/>
      <w:bookmarkStart w:id="8130" w:name="_Toc413056066"/>
      <w:bookmarkStart w:id="8131" w:name="_Toc397065284"/>
      <w:r>
        <w:t>Introduction</w:t>
      </w:r>
      <w:bookmarkEnd w:id="8129"/>
      <w:bookmarkEnd w:id="8130"/>
    </w:p>
    <w:p w:rsidR="00660414" w:rsidRDefault="00660414" w:rsidP="00A4081F">
      <w:pPr>
        <w:pStyle w:val="NumberedParas"/>
      </w:pPr>
      <w:r>
        <w:t xml:space="preserve">This section gives an overview of the existing conditions of the aviation sector within Romania. It summarises the air traffic trends of the past, describe the roles and classification of airports and sets out the future air passenger forecasts.  These forecasts are then used to assess the infrastructure future demand and capabilities of each airport. </w:t>
      </w:r>
    </w:p>
    <w:p w:rsidR="00660414" w:rsidRPr="00F04692" w:rsidRDefault="00660414" w:rsidP="00A4081F">
      <w:pPr>
        <w:pStyle w:val="NumberedParas"/>
      </w:pPr>
      <w:r>
        <w:t xml:space="preserve">Finally, the section sets out the strategic objectives for the aviation sector, the operational objectives and concludes with the interventions for each of the operational objectives. </w:t>
      </w:r>
    </w:p>
    <w:p w:rsidR="00660414" w:rsidRDefault="00660414" w:rsidP="00045287">
      <w:pPr>
        <w:pStyle w:val="Hdg2"/>
      </w:pPr>
      <w:bookmarkStart w:id="8132" w:name="_Toc403555350"/>
      <w:bookmarkStart w:id="8133" w:name="_Toc413056067"/>
      <w:r>
        <w:t>Existing Conditions</w:t>
      </w:r>
      <w:bookmarkEnd w:id="8131"/>
      <w:bookmarkEnd w:id="8132"/>
      <w:bookmarkEnd w:id="8133"/>
    </w:p>
    <w:p w:rsidR="00660414" w:rsidRPr="00F04692" w:rsidRDefault="00660414" w:rsidP="00A4081F">
      <w:pPr>
        <w:pStyle w:val="NumberedParas"/>
      </w:pPr>
      <w:r w:rsidRPr="00F04692">
        <w:t>Romania</w:t>
      </w:r>
      <w:r>
        <w:t>’s</w:t>
      </w:r>
      <w:r w:rsidRPr="00F04692">
        <w:t xml:space="preserve"> air transport infrastructure aims to provide regional centres with a means of fast transport to Bucharest, the capital, along with other regional centres. Air transport is also relied upon to provide international connectivity. As the country’s highway network remains in development, and even the fastest section of the rail network (currently between Bucharest and Constanta) are subject to speed restrictions, air travel is a preferred choice for</w:t>
      </w:r>
      <w:r>
        <w:t xml:space="preserve"> longer distance</w:t>
      </w:r>
      <w:r w:rsidRPr="00F04692">
        <w:t xml:space="preserve"> domestic transport where fast journey times</w:t>
      </w:r>
      <w:r>
        <w:t>, rather than financial cost,</w:t>
      </w:r>
      <w:r w:rsidRPr="00F04692">
        <w:t xml:space="preserve"> are a critical factor. </w:t>
      </w:r>
    </w:p>
    <w:p w:rsidR="00660414" w:rsidRDefault="00660414" w:rsidP="00A4081F">
      <w:pPr>
        <w:pStyle w:val="NumberedParas"/>
      </w:pPr>
      <w:r w:rsidRPr="00F04692">
        <w:t xml:space="preserve">A total of 21 airfields are listed in Romania’s Aeronautical Information Publication (AIP).  Fifteen of these airports currently have scheduled flight operations. In some cases these scheduled services may not be year-round but seasonal. </w:t>
      </w:r>
      <w:r>
        <w:t>Four</w:t>
      </w:r>
      <w:r w:rsidRPr="00F04692">
        <w:t xml:space="preserve"> airports are operated by the Romanian government (Henri Coanda – the main airport for Bucharest, </w:t>
      </w:r>
      <w:r>
        <w:t xml:space="preserve">Baneasa – Bucharest, </w:t>
      </w:r>
      <w:r w:rsidRPr="00F04692">
        <w:t xml:space="preserve">Timisoara and Constanta), with all the other airports being operated by the local counties. </w:t>
      </w:r>
      <w:r>
        <w:t>Of the 21 aerodromes published in the AIP Romania, three are private property (Tuzla, Sibiu Magura and Vatra Dornei) and of these three only Tuzla has fares for commercial transport published in the AIP Romania.</w:t>
      </w:r>
    </w:p>
    <w:p w:rsidR="00660414" w:rsidRDefault="00660414" w:rsidP="00A4081F">
      <w:pPr>
        <w:pStyle w:val="NumberedParas"/>
      </w:pPr>
      <w:r>
        <w:t>The Romanian Civil Aeronautical Authority (RCAA) was established in 1993 as a self-financed and legal entity responsible for the safety oversight of the civil aviation industry in Romania and as an executive arm of the Directorate for Civil Aviation.  The functions of the RCAA are to ensure the application of the national regulations and to provide procedures and instructions for the application of these regulations.  The RCAA also act as the National Security Agency’s Competent Authority.</w:t>
      </w:r>
    </w:p>
    <w:p w:rsidR="00660414" w:rsidRPr="00F04692" w:rsidRDefault="00660414" w:rsidP="00A4081F">
      <w:pPr>
        <w:pStyle w:val="NumberedParas"/>
      </w:pPr>
      <w:r>
        <w:t>The Civil Aviation Safety Investigation and Analysis Centre (CIAS) is the specialised technical body to perform civil aviation safety investigations.  Romania ranks 4</w:t>
      </w:r>
      <w:r w:rsidRPr="003826C4">
        <w:t>th</w:t>
      </w:r>
      <w:r>
        <w:t xml:space="preserve"> in Europe and 10</w:t>
      </w:r>
      <w:r w:rsidRPr="003826C4">
        <w:t>th</w:t>
      </w:r>
      <w:r>
        <w:t xml:space="preserve"> in the world in the field of civil aviation safety</w:t>
      </w:r>
      <w:r>
        <w:rPr>
          <w:rStyle w:val="FootnoteReference"/>
        </w:rPr>
        <w:footnoteReference w:id="33"/>
      </w:r>
      <w:r>
        <w:t>.</w:t>
      </w:r>
    </w:p>
    <w:p w:rsidR="00660414" w:rsidRPr="00401EF7" w:rsidRDefault="00660414" w:rsidP="00660414">
      <w:pPr>
        <w:pStyle w:val="Hdg3"/>
      </w:pPr>
      <w:r w:rsidRPr="00401EF7">
        <w:t>Air Traffic Trends</w:t>
      </w:r>
    </w:p>
    <w:p w:rsidR="00660414" w:rsidRDefault="00660414" w:rsidP="00A4081F">
      <w:pPr>
        <w:pStyle w:val="NumberedParas"/>
      </w:pPr>
      <w:r>
        <w:t>Passenger numbers have grown from 7.8 mppa in 2007 to 10.8 mppa in 2011.</w:t>
      </w:r>
    </w:p>
    <w:p w:rsidR="00660414" w:rsidRDefault="00660414" w:rsidP="00660414">
      <w:pPr>
        <w:rPr>
          <w:b/>
          <w:sz w:val="22"/>
          <w:szCs w:val="22"/>
        </w:rPr>
      </w:pPr>
      <w:r>
        <w:rPr>
          <w:b/>
          <w:sz w:val="22"/>
          <w:szCs w:val="22"/>
        </w:rPr>
        <w:br w:type="page"/>
      </w:r>
    </w:p>
    <w:p w:rsidR="00660414" w:rsidRDefault="00660414" w:rsidP="00660414">
      <w:pPr>
        <w:rPr>
          <w:b/>
          <w:sz w:val="22"/>
          <w:szCs w:val="22"/>
        </w:rPr>
      </w:pPr>
    </w:p>
    <w:p w:rsidR="00660414" w:rsidRPr="00401EF7" w:rsidRDefault="00660414" w:rsidP="00660414">
      <w:pPr>
        <w:ind w:left="851"/>
        <w:rPr>
          <w:b/>
          <w:sz w:val="22"/>
          <w:szCs w:val="22"/>
        </w:rPr>
      </w:pPr>
      <w:r>
        <w:rPr>
          <w:noProof/>
          <w:sz w:val="22"/>
          <w:szCs w:val="22"/>
          <w:lang w:val="ro-RO" w:eastAsia="ro-RO"/>
        </w:rPr>
        <w:drawing>
          <wp:inline distT="0" distB="0" distL="0" distR="0" wp14:anchorId="79EC0684" wp14:editId="6EC2E106">
            <wp:extent cx="4885899" cy="2797792"/>
            <wp:effectExtent l="0" t="0" r="0" b="3175"/>
            <wp:docPr id="70"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660414" w:rsidRDefault="00660414" w:rsidP="00660414">
      <w:pPr>
        <w:jc w:val="center"/>
        <w:rPr>
          <w:sz w:val="22"/>
          <w:szCs w:val="22"/>
        </w:rPr>
      </w:pPr>
    </w:p>
    <w:p w:rsidR="00660414" w:rsidRDefault="00660414" w:rsidP="00660414">
      <w:pPr>
        <w:ind w:left="851"/>
        <w:rPr>
          <w:b/>
          <w:sz w:val="22"/>
          <w:szCs w:val="22"/>
        </w:rPr>
      </w:pPr>
      <w:r w:rsidRPr="00401EF7">
        <w:rPr>
          <w:b/>
          <w:sz w:val="22"/>
          <w:szCs w:val="22"/>
        </w:rPr>
        <w:t xml:space="preserve">Figure </w:t>
      </w:r>
      <w:r>
        <w:rPr>
          <w:b/>
          <w:sz w:val="22"/>
          <w:szCs w:val="22"/>
        </w:rPr>
        <w:t>7</w:t>
      </w:r>
      <w:r w:rsidRPr="00401EF7">
        <w:rPr>
          <w:b/>
          <w:sz w:val="22"/>
          <w:szCs w:val="22"/>
        </w:rPr>
        <w:t>.1: Historic Air Traffic Trends</w:t>
      </w:r>
    </w:p>
    <w:p w:rsidR="00660414" w:rsidRDefault="00660414" w:rsidP="00660414">
      <w:pPr>
        <w:rPr>
          <w:sz w:val="22"/>
          <w:szCs w:val="22"/>
        </w:rPr>
      </w:pPr>
    </w:p>
    <w:p w:rsidR="00660414" w:rsidRDefault="00660414" w:rsidP="00660414">
      <w:pPr>
        <w:rPr>
          <w:sz w:val="22"/>
          <w:szCs w:val="22"/>
        </w:rPr>
      </w:pPr>
    </w:p>
    <w:p w:rsidR="00660414" w:rsidRPr="00A87936" w:rsidRDefault="00660414" w:rsidP="00A4081F">
      <w:pPr>
        <w:pStyle w:val="NumberedParas"/>
      </w:pPr>
      <w:r w:rsidRPr="00A87936">
        <w:t xml:space="preserve">Table </w:t>
      </w:r>
      <w:r>
        <w:t>7</w:t>
      </w:r>
      <w:r w:rsidRPr="00A87936">
        <w:t>.1 sets out the 2011 domestic and international air passenger numbers.</w:t>
      </w:r>
    </w:p>
    <w:p w:rsidR="00660414" w:rsidRPr="00F04692" w:rsidRDefault="00660414" w:rsidP="00660414">
      <w:pPr>
        <w:rPr>
          <w:b/>
          <w:sz w:val="22"/>
          <w:szCs w:val="22"/>
        </w:rPr>
      </w:pPr>
      <w:r w:rsidRPr="00F04692">
        <w:rPr>
          <w:b/>
          <w:sz w:val="22"/>
          <w:szCs w:val="22"/>
        </w:rPr>
        <w:t xml:space="preserve">Table </w:t>
      </w:r>
      <w:r>
        <w:rPr>
          <w:b/>
          <w:sz w:val="22"/>
          <w:szCs w:val="22"/>
        </w:rPr>
        <w:t>7</w:t>
      </w:r>
      <w:r w:rsidRPr="00F04692">
        <w:rPr>
          <w:b/>
          <w:sz w:val="22"/>
          <w:szCs w:val="22"/>
        </w:rPr>
        <w:t>.1: 2011 Domestic and International Passenger Figures for Romanian Airports</w:t>
      </w:r>
    </w:p>
    <w:tbl>
      <w:tblPr>
        <w:tblpPr w:leftFromText="180" w:rightFromText="180" w:vertAnchor="text" w:horzAnchor="margin" w:tblpY="40"/>
        <w:tblW w:w="7111" w:type="dxa"/>
        <w:tblLook w:val="04A0" w:firstRow="1" w:lastRow="0" w:firstColumn="1" w:lastColumn="0" w:noHBand="0" w:noVBand="1"/>
      </w:tblPr>
      <w:tblGrid>
        <w:gridCol w:w="2838"/>
        <w:gridCol w:w="1418"/>
        <w:gridCol w:w="1537"/>
        <w:gridCol w:w="1318"/>
      </w:tblGrid>
      <w:tr w:rsidR="00660414" w:rsidRPr="00040257" w:rsidTr="007613DE">
        <w:trPr>
          <w:trHeight w:val="300"/>
          <w:tblHeader/>
        </w:trPr>
        <w:tc>
          <w:tcPr>
            <w:tcW w:w="2838" w:type="dxa"/>
            <w:tcBorders>
              <w:top w:val="single" w:sz="4" w:space="0" w:color="auto"/>
              <w:left w:val="single" w:sz="4" w:space="0" w:color="auto"/>
              <w:bottom w:val="single" w:sz="4" w:space="0" w:color="auto"/>
              <w:right w:val="single" w:sz="4" w:space="0" w:color="auto"/>
            </w:tcBorders>
            <w:shd w:val="clear" w:color="auto" w:fill="8DB3E2"/>
            <w:noWrap/>
            <w:vAlign w:val="center"/>
            <w:hideMark/>
          </w:tcPr>
          <w:p w:rsidR="00660414" w:rsidRPr="00040257" w:rsidRDefault="00660414" w:rsidP="007613DE">
            <w:pPr>
              <w:rPr>
                <w:b/>
                <w:bCs/>
                <w:color w:val="000000"/>
                <w:lang w:val="en-US"/>
              </w:rPr>
            </w:pPr>
            <w:r w:rsidRPr="00040257">
              <w:rPr>
                <w:b/>
                <w:bCs/>
                <w:color w:val="000000"/>
                <w:lang w:val="en-US"/>
              </w:rPr>
              <w:t>Airport</w:t>
            </w:r>
          </w:p>
        </w:tc>
        <w:tc>
          <w:tcPr>
            <w:tcW w:w="1418" w:type="dxa"/>
            <w:tcBorders>
              <w:top w:val="single" w:sz="4" w:space="0" w:color="auto"/>
              <w:left w:val="nil"/>
              <w:bottom w:val="single" w:sz="4" w:space="0" w:color="auto"/>
              <w:right w:val="single" w:sz="4" w:space="0" w:color="auto"/>
            </w:tcBorders>
            <w:shd w:val="clear" w:color="auto" w:fill="8DB3E2"/>
            <w:noWrap/>
            <w:vAlign w:val="center"/>
            <w:hideMark/>
          </w:tcPr>
          <w:p w:rsidR="00660414" w:rsidRDefault="00660414" w:rsidP="007613DE">
            <w:pPr>
              <w:jc w:val="center"/>
              <w:rPr>
                <w:b/>
                <w:bCs/>
                <w:color w:val="000000"/>
                <w:lang w:val="en-US"/>
              </w:rPr>
            </w:pPr>
            <w:r w:rsidRPr="00040257">
              <w:rPr>
                <w:b/>
                <w:bCs/>
                <w:color w:val="000000"/>
                <w:lang w:val="en-US"/>
              </w:rPr>
              <w:t>Domestic</w:t>
            </w:r>
          </w:p>
          <w:p w:rsidR="00660414" w:rsidRPr="00040257" w:rsidRDefault="00660414" w:rsidP="007613DE">
            <w:pPr>
              <w:jc w:val="center"/>
              <w:rPr>
                <w:b/>
                <w:bCs/>
                <w:color w:val="000000"/>
                <w:lang w:val="en-US"/>
              </w:rPr>
            </w:pPr>
            <w:r>
              <w:rPr>
                <w:b/>
                <w:bCs/>
                <w:color w:val="000000"/>
                <w:lang w:val="en-US"/>
              </w:rPr>
              <w:t>Passengers</w:t>
            </w:r>
          </w:p>
        </w:tc>
        <w:tc>
          <w:tcPr>
            <w:tcW w:w="1537" w:type="dxa"/>
            <w:tcBorders>
              <w:top w:val="single" w:sz="4" w:space="0" w:color="auto"/>
              <w:left w:val="nil"/>
              <w:bottom w:val="single" w:sz="4" w:space="0" w:color="auto"/>
              <w:right w:val="single" w:sz="4" w:space="0" w:color="auto"/>
            </w:tcBorders>
            <w:shd w:val="clear" w:color="auto" w:fill="8DB3E2"/>
            <w:vAlign w:val="center"/>
          </w:tcPr>
          <w:p w:rsidR="00660414" w:rsidRPr="00040257" w:rsidRDefault="00660414" w:rsidP="007613DE">
            <w:pPr>
              <w:jc w:val="center"/>
              <w:rPr>
                <w:b/>
                <w:bCs/>
                <w:color w:val="000000"/>
                <w:lang w:val="en-US"/>
              </w:rPr>
            </w:pPr>
            <w:r w:rsidRPr="00040257">
              <w:rPr>
                <w:b/>
                <w:bCs/>
                <w:color w:val="000000"/>
                <w:lang w:val="en-US"/>
              </w:rPr>
              <w:t>International</w:t>
            </w:r>
            <w:r>
              <w:rPr>
                <w:b/>
                <w:bCs/>
                <w:color w:val="000000"/>
                <w:lang w:val="en-US"/>
              </w:rPr>
              <w:t xml:space="preserve"> Passengers</w:t>
            </w:r>
          </w:p>
        </w:tc>
        <w:tc>
          <w:tcPr>
            <w:tcW w:w="1318" w:type="dxa"/>
            <w:tcBorders>
              <w:top w:val="single" w:sz="4" w:space="0" w:color="auto"/>
              <w:left w:val="nil"/>
              <w:bottom w:val="single" w:sz="4" w:space="0" w:color="auto"/>
              <w:right w:val="single" w:sz="4" w:space="0" w:color="auto"/>
            </w:tcBorders>
            <w:shd w:val="clear" w:color="auto" w:fill="8DB3E2"/>
            <w:vAlign w:val="center"/>
          </w:tcPr>
          <w:p w:rsidR="00660414" w:rsidRDefault="00660414" w:rsidP="007613DE">
            <w:pPr>
              <w:jc w:val="center"/>
              <w:rPr>
                <w:b/>
                <w:bCs/>
                <w:color w:val="000000"/>
                <w:lang w:val="en-US"/>
              </w:rPr>
            </w:pPr>
            <w:r w:rsidRPr="00040257">
              <w:rPr>
                <w:b/>
                <w:bCs/>
                <w:color w:val="000000"/>
                <w:lang w:val="en-US"/>
              </w:rPr>
              <w:t>TOTAL</w:t>
            </w:r>
          </w:p>
          <w:p w:rsidR="00660414" w:rsidRPr="00040257" w:rsidRDefault="00660414" w:rsidP="007613DE">
            <w:pPr>
              <w:jc w:val="center"/>
              <w:rPr>
                <w:b/>
                <w:bCs/>
                <w:color w:val="000000"/>
                <w:lang w:val="en-US"/>
              </w:rPr>
            </w:pPr>
            <w:r>
              <w:rPr>
                <w:b/>
                <w:bCs/>
                <w:color w:val="000000"/>
                <w:lang w:val="en-US"/>
              </w:rPr>
              <w:t>Passengers</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Bucharest Henri Coanda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649,682</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6,670,884</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7,320,566</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Timisoara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336,152</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1,019,867</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1,356,019</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Cluj-Napoca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189,139</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815,682</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1,004,821</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Bacau</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21,106</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306,308</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327,414</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Targu Mures</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10,477</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216,361</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226,838</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Iasi</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139,185</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45,298</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184,483</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Sibiu</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040257" w:rsidRDefault="00660414" w:rsidP="007613DE">
            <w:pPr>
              <w:jc w:val="center"/>
              <w:rPr>
                <w:color w:val="000000"/>
                <w:lang w:val="en-US"/>
              </w:rPr>
            </w:pPr>
            <w:r w:rsidRPr="00040257">
              <w:rPr>
                <w:color w:val="000000"/>
                <w:lang w:val="en-US"/>
              </w:rPr>
              <w:t>26,482</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150,424</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color w:val="000000"/>
              </w:rPr>
            </w:pPr>
            <w:r w:rsidRPr="00040257">
              <w:rPr>
                <w:color w:val="000000"/>
              </w:rPr>
              <w:t>176,906</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Constanta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11,647</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64,817</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76,464</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Oradea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58,887</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1,659</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60,546</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Craiova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19,397</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11,872</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31,269</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Suceava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26,224</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984</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27,208</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Satu Mare</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19,534</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3,207</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22,741</w:t>
            </w:r>
          </w:p>
        </w:tc>
      </w:tr>
      <w:tr w:rsidR="00660414" w:rsidRPr="00040257" w:rsidTr="007613DE">
        <w:trPr>
          <w:trHeight w:val="300"/>
        </w:trPr>
        <w:tc>
          <w:tcPr>
            <w:tcW w:w="2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Baia Mare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18,017</w:t>
            </w:r>
          </w:p>
        </w:tc>
        <w:tc>
          <w:tcPr>
            <w:tcW w:w="1537" w:type="dxa"/>
            <w:tcBorders>
              <w:top w:val="single" w:sz="4" w:space="0" w:color="auto"/>
              <w:left w:val="single" w:sz="4" w:space="0" w:color="auto"/>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551</w:t>
            </w:r>
          </w:p>
        </w:tc>
        <w:tc>
          <w:tcPr>
            <w:tcW w:w="1318" w:type="dxa"/>
            <w:tcBorders>
              <w:top w:val="single" w:sz="4" w:space="0" w:color="auto"/>
              <w:left w:val="single" w:sz="4" w:space="0" w:color="auto"/>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18,568</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Arad</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0</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sidRPr="00040257">
              <w:rPr>
                <w:color w:val="000000"/>
                <w:lang w:val="en-US"/>
              </w:rPr>
              <w:t>Brasov</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0</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Pr="00040257" w:rsidRDefault="00660414" w:rsidP="007613DE">
            <w:pPr>
              <w:rPr>
                <w:color w:val="000000"/>
                <w:lang w:val="en-US"/>
              </w:rPr>
            </w:pPr>
            <w:r>
              <w:rPr>
                <w:color w:val="000000"/>
                <w:lang w:val="en-US"/>
              </w:rPr>
              <w:t>Tulcea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sidRPr="00DE5697">
              <w:rPr>
                <w:color w:val="000000"/>
                <w:lang w:val="en-US"/>
              </w:rPr>
              <w:t>0</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sidRPr="00DE5697">
              <w:rPr>
                <w:color w:val="000000"/>
              </w:rPr>
              <w:t>0</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Default="00660414" w:rsidP="007613DE">
            <w:pPr>
              <w:rPr>
                <w:color w:val="000000"/>
                <w:lang w:val="en-US"/>
              </w:rPr>
            </w:pPr>
            <w:r>
              <w:rPr>
                <w:color w:val="000000"/>
                <w:lang w:val="en-US"/>
              </w:rPr>
              <w:t>Bucharest Baneasa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Pr>
                <w:color w:val="000000"/>
                <w:lang w:val="en-US"/>
              </w:rPr>
              <w:t>0</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Pr>
                <w:color w:val="000000"/>
              </w:rPr>
              <w:t>0</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Pr>
                <w:color w:val="000000"/>
              </w:rPr>
              <w:t>0</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660414" w:rsidRDefault="00660414" w:rsidP="007613DE">
            <w:pPr>
              <w:rPr>
                <w:color w:val="000000"/>
                <w:lang w:val="en-US"/>
              </w:rPr>
            </w:pPr>
            <w:r>
              <w:rPr>
                <w:color w:val="000000"/>
                <w:lang w:val="en-US"/>
              </w:rPr>
              <w:t>Tuzla</w:t>
            </w:r>
          </w:p>
        </w:tc>
        <w:tc>
          <w:tcPr>
            <w:tcW w:w="1418" w:type="dxa"/>
            <w:tcBorders>
              <w:top w:val="nil"/>
              <w:left w:val="nil"/>
              <w:bottom w:val="single" w:sz="4" w:space="0" w:color="auto"/>
              <w:right w:val="single" w:sz="4" w:space="0" w:color="auto"/>
            </w:tcBorders>
            <w:shd w:val="clear" w:color="auto" w:fill="auto"/>
            <w:noWrap/>
            <w:vAlign w:val="center"/>
            <w:hideMark/>
          </w:tcPr>
          <w:p w:rsidR="00660414" w:rsidRPr="00DE5697" w:rsidRDefault="00660414" w:rsidP="007613DE">
            <w:pPr>
              <w:jc w:val="center"/>
              <w:rPr>
                <w:color w:val="000000"/>
                <w:lang w:val="en-US"/>
              </w:rPr>
            </w:pPr>
            <w:r>
              <w:rPr>
                <w:color w:val="000000"/>
                <w:lang w:val="en-US"/>
              </w:rPr>
              <w:t>0</w:t>
            </w:r>
          </w:p>
        </w:tc>
        <w:tc>
          <w:tcPr>
            <w:tcW w:w="1537"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Pr>
                <w:color w:val="000000"/>
              </w:rPr>
              <w:t>0</w:t>
            </w:r>
          </w:p>
        </w:tc>
        <w:tc>
          <w:tcPr>
            <w:tcW w:w="1318" w:type="dxa"/>
            <w:tcBorders>
              <w:top w:val="nil"/>
              <w:left w:val="nil"/>
              <w:bottom w:val="single" w:sz="4" w:space="0" w:color="auto"/>
              <w:right w:val="single" w:sz="4" w:space="0" w:color="auto"/>
            </w:tcBorders>
            <w:vAlign w:val="center"/>
          </w:tcPr>
          <w:p w:rsidR="00660414" w:rsidRPr="00DE5697" w:rsidRDefault="00660414" w:rsidP="007613DE">
            <w:pPr>
              <w:jc w:val="center"/>
              <w:rPr>
                <w:color w:val="000000"/>
              </w:rPr>
            </w:pPr>
            <w:r>
              <w:rPr>
                <w:color w:val="000000"/>
              </w:rPr>
              <w:t>0</w:t>
            </w:r>
          </w:p>
        </w:tc>
      </w:tr>
      <w:tr w:rsidR="00660414" w:rsidRPr="00040257" w:rsidTr="007613DE">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tcPr>
          <w:p w:rsidR="00660414" w:rsidRPr="00040257" w:rsidRDefault="00660414" w:rsidP="007613DE">
            <w:pPr>
              <w:rPr>
                <w:b/>
                <w:color w:val="000000"/>
                <w:lang w:val="en-US"/>
              </w:rPr>
            </w:pPr>
            <w:r w:rsidRPr="00040257">
              <w:rPr>
                <w:b/>
                <w:color w:val="000000"/>
                <w:lang w:val="en-US"/>
              </w:rPr>
              <w:t>TOTAL</w:t>
            </w:r>
          </w:p>
        </w:tc>
        <w:tc>
          <w:tcPr>
            <w:tcW w:w="1418" w:type="dxa"/>
            <w:tcBorders>
              <w:top w:val="nil"/>
              <w:left w:val="nil"/>
              <w:bottom w:val="single" w:sz="4" w:space="0" w:color="auto"/>
              <w:right w:val="single" w:sz="4" w:space="0" w:color="auto"/>
            </w:tcBorders>
            <w:shd w:val="clear" w:color="auto" w:fill="auto"/>
            <w:noWrap/>
            <w:vAlign w:val="center"/>
          </w:tcPr>
          <w:p w:rsidR="00660414" w:rsidRPr="00040257" w:rsidRDefault="00660414" w:rsidP="007613DE">
            <w:pPr>
              <w:jc w:val="center"/>
              <w:rPr>
                <w:b/>
                <w:color w:val="000000"/>
                <w:lang w:val="en-US"/>
              </w:rPr>
            </w:pPr>
            <w:r w:rsidRPr="00040257">
              <w:rPr>
                <w:b/>
                <w:color w:val="000000"/>
              </w:rPr>
              <w:t>1,525,929</w:t>
            </w:r>
          </w:p>
        </w:tc>
        <w:tc>
          <w:tcPr>
            <w:tcW w:w="1537" w:type="dxa"/>
            <w:tcBorders>
              <w:top w:val="nil"/>
              <w:left w:val="nil"/>
              <w:bottom w:val="single" w:sz="4" w:space="0" w:color="auto"/>
              <w:right w:val="single" w:sz="4" w:space="0" w:color="auto"/>
            </w:tcBorders>
            <w:vAlign w:val="center"/>
          </w:tcPr>
          <w:p w:rsidR="00660414" w:rsidRPr="00040257" w:rsidRDefault="00660414" w:rsidP="007613DE">
            <w:pPr>
              <w:jc w:val="center"/>
              <w:rPr>
                <w:b/>
                <w:color w:val="000000"/>
              </w:rPr>
            </w:pPr>
            <w:r w:rsidRPr="00040257">
              <w:rPr>
                <w:b/>
                <w:color w:val="000000"/>
              </w:rPr>
              <w:t>9,307,914</w:t>
            </w:r>
          </w:p>
        </w:tc>
        <w:tc>
          <w:tcPr>
            <w:tcW w:w="1318" w:type="dxa"/>
            <w:tcBorders>
              <w:top w:val="nil"/>
              <w:left w:val="nil"/>
              <w:bottom w:val="single" w:sz="4" w:space="0" w:color="auto"/>
              <w:right w:val="single" w:sz="4" w:space="0" w:color="auto"/>
            </w:tcBorders>
            <w:vAlign w:val="center"/>
          </w:tcPr>
          <w:p w:rsidR="00660414" w:rsidRPr="00040257" w:rsidRDefault="00660414" w:rsidP="007613DE">
            <w:pPr>
              <w:jc w:val="center"/>
              <w:rPr>
                <w:b/>
                <w:bCs/>
                <w:color w:val="000000"/>
              </w:rPr>
            </w:pPr>
            <w:r w:rsidRPr="00040257">
              <w:rPr>
                <w:b/>
                <w:bCs/>
                <w:color w:val="000000"/>
              </w:rPr>
              <w:t>10,833,843</w:t>
            </w:r>
          </w:p>
        </w:tc>
      </w:tr>
    </w:tbl>
    <w:p w:rsidR="00660414" w:rsidRDefault="00660414" w:rsidP="00660414"/>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Default="00660414" w:rsidP="00A4081F">
      <w:pPr>
        <w:pStyle w:val="NumberedParas"/>
        <w:numPr>
          <w:ilvl w:val="0"/>
          <w:numId w:val="0"/>
        </w:numPr>
        <w:ind w:left="851"/>
      </w:pPr>
    </w:p>
    <w:p w:rsidR="00660414" w:rsidRDefault="00660414" w:rsidP="00A4081F">
      <w:pPr>
        <w:pStyle w:val="NumberedParas"/>
        <w:numPr>
          <w:ilvl w:val="0"/>
          <w:numId w:val="0"/>
        </w:numPr>
        <w:ind w:left="851"/>
      </w:pPr>
    </w:p>
    <w:p w:rsidR="00660414" w:rsidRDefault="00660414" w:rsidP="00A4081F">
      <w:pPr>
        <w:pStyle w:val="NumberedParas"/>
        <w:numPr>
          <w:ilvl w:val="0"/>
          <w:numId w:val="0"/>
        </w:numPr>
      </w:pPr>
    </w:p>
    <w:p w:rsidR="00660414" w:rsidRDefault="00660414" w:rsidP="00A4081F">
      <w:pPr>
        <w:pStyle w:val="NumberedParas"/>
        <w:numPr>
          <w:ilvl w:val="0"/>
          <w:numId w:val="0"/>
        </w:numPr>
      </w:pPr>
    </w:p>
    <w:p w:rsidR="00660414" w:rsidRPr="00F923DC" w:rsidRDefault="00660414" w:rsidP="00A4081F">
      <w:pPr>
        <w:pStyle w:val="NumberedParas"/>
        <w:numPr>
          <w:ilvl w:val="0"/>
          <w:numId w:val="0"/>
        </w:numPr>
      </w:pPr>
      <w:r w:rsidRPr="00F923DC">
        <w:t>Source: Actual flight departures by airport that were provided by the airport authority and used as baseline figures for the Air Forecasting Model</w:t>
      </w:r>
    </w:p>
    <w:p w:rsidR="00660414" w:rsidRDefault="00660414" w:rsidP="00A4081F">
      <w:pPr>
        <w:pStyle w:val="NumberedParas"/>
      </w:pPr>
      <w:r w:rsidRPr="0084083F">
        <w:t xml:space="preserve">In 2011, a total of 10.8 million passengers travelled through all Romanian airports. Of this total, over 50% of passengers travelled through Bucharest’s Henri Coanda International Airport – showing the strong capital-centric nature of the country’s air transport system. </w:t>
      </w:r>
    </w:p>
    <w:p w:rsidR="00660414" w:rsidRDefault="00660414" w:rsidP="00A4081F">
      <w:pPr>
        <w:pStyle w:val="NumberedParas"/>
      </w:pPr>
      <w:r>
        <w:t xml:space="preserve">Comparisons could be drawn with Poland since the assession of Romania to the EU. </w:t>
      </w:r>
      <w:r w:rsidRPr="003826C4">
        <w:t>The migrations of Poles to the United Kingdom and Ireland undoubtedly exerted a large influence on the development of low-cost travel in Poland. Incoming traffic via low-cost operators increased considerably, especially with the opening of routes to Central and Eastern Europe, especially Poland. This coincided with the growth of Eastern and Central European citizens taking up employment in the United Kingdom after the EU expansion.</w:t>
      </w:r>
    </w:p>
    <w:p w:rsidR="00660414" w:rsidRPr="003826C4" w:rsidRDefault="00660414" w:rsidP="00A4081F">
      <w:pPr>
        <w:pStyle w:val="NumberedParas"/>
      </w:pPr>
      <w:r w:rsidRPr="00442254">
        <w:rPr>
          <w:lang w:val="en-US" w:eastAsia="en-GB"/>
        </w:rPr>
        <w:t xml:space="preserve">The low-cost airlines operated routes to countries which were the main directions of the economic migration of Poles. Connections to the United Kingdom and Ireland </w:t>
      </w:r>
      <w:r w:rsidRPr="00FD7BA4">
        <w:rPr>
          <w:lang w:val="en-US" w:eastAsia="en-GB"/>
        </w:rPr>
        <w:t>formed almost 60% of Polish low-cost trips. In 2000 there were only fiv</w:t>
      </w:r>
      <w:r w:rsidRPr="003826C4">
        <w:rPr>
          <w:lang w:val="en-US" w:eastAsia="en-GB"/>
        </w:rPr>
        <w:t xml:space="preserve">e scheduled flights between the United Kingdom and Poland. Six years later, according to figures from the aviation regulator – </w:t>
      </w:r>
      <w:r w:rsidRPr="003826C4">
        <w:rPr>
          <w:i/>
          <w:iCs/>
          <w:lang w:val="en-US" w:eastAsia="en-GB"/>
        </w:rPr>
        <w:t>the Civil Aviation Authority</w:t>
      </w:r>
      <w:r w:rsidRPr="003826C4">
        <w:rPr>
          <w:lang w:val="en-US" w:eastAsia="en-GB"/>
        </w:rPr>
        <w:t>, 27 different connections between 12 Polish and British cities were identified.</w:t>
      </w:r>
    </w:p>
    <w:p w:rsidR="00660414" w:rsidRPr="0084083F" w:rsidRDefault="00660414" w:rsidP="00A4081F">
      <w:pPr>
        <w:pStyle w:val="NumberedParas"/>
      </w:pPr>
      <w:r>
        <w:t xml:space="preserve">Development of regional airports in Poland also began after accession to the EU. In 2004 there airports served 31.1% passengers. Their share in the number of passengers gradually increased year on year and in 2008 it amounted to 54.32%. This trend is already been seen in Romania with WizzAir’s new hub at Craiova Airport. </w:t>
      </w:r>
    </w:p>
    <w:p w:rsidR="00660414" w:rsidRPr="002A31A8" w:rsidRDefault="00660414" w:rsidP="00660414">
      <w:pPr>
        <w:pStyle w:val="Hdg3"/>
      </w:pPr>
      <w:r>
        <w:t>Role and Classification of Airports</w:t>
      </w:r>
    </w:p>
    <w:p w:rsidR="00660414" w:rsidRPr="00F04692" w:rsidRDefault="00660414" w:rsidP="00A4081F">
      <w:pPr>
        <w:pStyle w:val="NumberedParas"/>
      </w:pPr>
      <w:r w:rsidRPr="00F04692">
        <w:t xml:space="preserve">In line with the Primary Economic Networks defined for road and rail modes, we believe that it is important to develop a hierarchy of airports within Romania, based on their roles and future potential to attract both international and domestic traffic. </w:t>
      </w:r>
    </w:p>
    <w:p w:rsidR="00660414" w:rsidRPr="0084083F" w:rsidRDefault="00660414" w:rsidP="00A4081F">
      <w:pPr>
        <w:pStyle w:val="NumberedParas"/>
      </w:pPr>
      <w:r w:rsidRPr="0084083F">
        <w:t>In Romania the current airports fall into four categories, airports are allocated to category based on 2011 service patterns:</w:t>
      </w:r>
    </w:p>
    <w:p w:rsidR="00660414" w:rsidRPr="0084083F" w:rsidRDefault="00660414" w:rsidP="00273D5E">
      <w:pPr>
        <w:pStyle w:val="BulletLevel1"/>
      </w:pPr>
      <w:r w:rsidRPr="0084083F">
        <w:t xml:space="preserve">International </w:t>
      </w:r>
      <w:r>
        <w:t xml:space="preserve">Major Hub </w:t>
      </w:r>
      <w:r w:rsidRPr="0084083F">
        <w:t>Airport (Bucharest Henri Coanda)</w:t>
      </w:r>
    </w:p>
    <w:p w:rsidR="00660414" w:rsidRPr="0084083F" w:rsidRDefault="00660414" w:rsidP="00273D5E">
      <w:pPr>
        <w:pStyle w:val="BulletLevel1"/>
      </w:pPr>
      <w:r w:rsidRPr="0084083F">
        <w:t>International Hub Airports (Timisoara and Cluj-Napoca)</w:t>
      </w:r>
    </w:p>
    <w:p w:rsidR="00660414" w:rsidRPr="0084083F" w:rsidRDefault="00660414" w:rsidP="00273D5E">
      <w:pPr>
        <w:pStyle w:val="BulletLevel1"/>
      </w:pPr>
      <w:r w:rsidRPr="0084083F">
        <w:t>Regional Airports (Bacau, Iasi, Sibiu and Targu Mures)</w:t>
      </w:r>
    </w:p>
    <w:p w:rsidR="00660414" w:rsidRDefault="00660414" w:rsidP="00273D5E">
      <w:pPr>
        <w:pStyle w:val="BulletLevel1"/>
      </w:pPr>
      <w:r w:rsidRPr="0084083F">
        <w:t>Smaller Regional Airports (Baia Mare, Constanta, Craiova, Oradea, Satu Mare, Suceava and Tulcea</w:t>
      </w:r>
      <w:r>
        <w:t>, Bucharest Baneasa, Tuzla</w:t>
      </w:r>
      <w:r w:rsidRPr="0084083F">
        <w:t>)</w:t>
      </w:r>
    </w:p>
    <w:p w:rsidR="00660414" w:rsidRDefault="00660414" w:rsidP="00A4081F">
      <w:pPr>
        <w:pStyle w:val="NumberedParas"/>
      </w:pPr>
      <w:r w:rsidRPr="0084083F">
        <w:t xml:space="preserve">Figure </w:t>
      </w:r>
      <w:r>
        <w:t>7</w:t>
      </w:r>
      <w:r w:rsidRPr="0084083F">
        <w:t>.1 illustrates the locations and 2011 classifications of the airports.</w:t>
      </w:r>
    </w:p>
    <w:p w:rsidR="00660414" w:rsidRDefault="00660414" w:rsidP="00660414">
      <w:pPr>
        <w:rPr>
          <w:i/>
          <w:sz w:val="22"/>
          <w:szCs w:val="22"/>
        </w:rPr>
      </w:pPr>
      <w:r>
        <w:br w:type="page"/>
      </w:r>
    </w:p>
    <w:p w:rsidR="00660414" w:rsidRPr="007C58FF" w:rsidRDefault="00660414" w:rsidP="00660414">
      <w:pPr>
        <w:rPr>
          <w:b/>
        </w:rPr>
      </w:pPr>
      <w:r>
        <w:rPr>
          <w:noProof/>
          <w:lang w:val="ro-RO" w:eastAsia="ro-RO"/>
        </w:rPr>
        <w:drawing>
          <wp:inline distT="0" distB="0" distL="0" distR="0" wp14:anchorId="365EA5AA" wp14:editId="680637EF">
            <wp:extent cx="5943600" cy="41814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5943600" cy="4181475"/>
                    </a:xfrm>
                    <a:prstGeom prst="rect">
                      <a:avLst/>
                    </a:prstGeom>
                  </pic:spPr>
                </pic:pic>
              </a:graphicData>
            </a:graphic>
          </wp:inline>
        </w:drawing>
      </w:r>
    </w:p>
    <w:p w:rsidR="00660414" w:rsidRDefault="00660414" w:rsidP="00660414">
      <w:pPr>
        <w:pStyle w:val="ListParagraph"/>
        <w:ind w:left="680"/>
        <w:rPr>
          <w:i/>
          <w:sz w:val="18"/>
          <w:szCs w:val="18"/>
        </w:rPr>
      </w:pPr>
      <w:r w:rsidRPr="00103DB7">
        <w:rPr>
          <w:i/>
          <w:sz w:val="18"/>
          <w:szCs w:val="18"/>
        </w:rPr>
        <w:t>Source: AECOM Analysis</w:t>
      </w:r>
    </w:p>
    <w:p w:rsidR="00660414" w:rsidRPr="0084083F" w:rsidRDefault="00660414" w:rsidP="00660414">
      <w:pPr>
        <w:rPr>
          <w:b/>
          <w:sz w:val="22"/>
          <w:szCs w:val="22"/>
        </w:rPr>
      </w:pPr>
      <w:r w:rsidRPr="0084083F">
        <w:rPr>
          <w:b/>
          <w:sz w:val="22"/>
          <w:szCs w:val="22"/>
        </w:rPr>
        <w:t xml:space="preserve">Figure </w:t>
      </w:r>
      <w:r>
        <w:rPr>
          <w:b/>
          <w:sz w:val="22"/>
          <w:szCs w:val="22"/>
        </w:rPr>
        <w:t>7</w:t>
      </w:r>
      <w:r w:rsidRPr="0084083F">
        <w:rPr>
          <w:b/>
          <w:sz w:val="22"/>
          <w:szCs w:val="22"/>
        </w:rPr>
        <w:t>.1: Location and 2011 Classification of Airports in Romania</w:t>
      </w:r>
    </w:p>
    <w:p w:rsidR="00660414" w:rsidRPr="00103DB7" w:rsidRDefault="00660414" w:rsidP="00660414">
      <w:pPr>
        <w:pStyle w:val="ListParagraph"/>
        <w:ind w:left="680"/>
        <w:rPr>
          <w:i/>
          <w:sz w:val="18"/>
          <w:szCs w:val="18"/>
        </w:rPr>
      </w:pPr>
    </w:p>
    <w:p w:rsidR="00660414" w:rsidRPr="0084083F" w:rsidRDefault="00660414" w:rsidP="00A4081F">
      <w:pPr>
        <w:pStyle w:val="NumberedParas"/>
      </w:pPr>
      <w:r w:rsidRPr="0084083F">
        <w:t xml:space="preserve">The number of passenger trips through each of these airport categories is quite different and as such </w:t>
      </w:r>
      <w:r>
        <w:t xml:space="preserve">a change in role of an airport, with the implied step-change in flights offered at that airport, </w:t>
      </w:r>
      <w:r w:rsidRPr="0084083F">
        <w:t xml:space="preserve">would have a major impact on the predicted air passenger demand. Using this principle and taking into account the variables above, it has been possible to construct a direct demand model for future airport patronage prediction. </w:t>
      </w:r>
    </w:p>
    <w:p w:rsidR="00660414" w:rsidRPr="0084083F" w:rsidRDefault="00660414" w:rsidP="00A4081F">
      <w:pPr>
        <w:pStyle w:val="NumberedParas"/>
      </w:pPr>
      <w:r w:rsidRPr="0084083F">
        <w:t>The input data collated for each airport is as follows:</w:t>
      </w:r>
    </w:p>
    <w:p w:rsidR="00660414" w:rsidRPr="0084083F" w:rsidRDefault="00660414" w:rsidP="00273D5E">
      <w:pPr>
        <w:pStyle w:val="BulletLevel1"/>
      </w:pPr>
      <w:r w:rsidRPr="0084083F">
        <w:t>City and wider catchment population</w:t>
      </w:r>
    </w:p>
    <w:p w:rsidR="00660414" w:rsidRPr="0084083F" w:rsidRDefault="00660414" w:rsidP="00273D5E">
      <w:pPr>
        <w:pStyle w:val="BulletLevel1"/>
      </w:pPr>
      <w:r w:rsidRPr="0084083F">
        <w:t>Total number of flights split by domestic and international (2011 data)</w:t>
      </w:r>
    </w:p>
    <w:p w:rsidR="00660414" w:rsidRPr="0084083F" w:rsidRDefault="00660414" w:rsidP="00273D5E">
      <w:pPr>
        <w:pStyle w:val="BulletLevel1"/>
      </w:pPr>
      <w:r w:rsidRPr="0084083F">
        <w:t>Total number of passengers split by domestic and international (2011 data)</w:t>
      </w:r>
    </w:p>
    <w:p w:rsidR="00660414" w:rsidRPr="0084083F" w:rsidRDefault="00660414" w:rsidP="00273D5E">
      <w:pPr>
        <w:pStyle w:val="BulletLevel1"/>
      </w:pPr>
      <w:r w:rsidRPr="0084083F">
        <w:t>Car ownership rate in catchment area as an indicator of relative income levels</w:t>
      </w:r>
    </w:p>
    <w:p w:rsidR="00660414" w:rsidRDefault="00660414" w:rsidP="00A4081F">
      <w:pPr>
        <w:pStyle w:val="NumberedParas"/>
      </w:pPr>
      <w:r>
        <w:t xml:space="preserve">The future airport classification is based on the size of the catchment area and the service patterns (eg domestic/international and number of flights) of the existing classification.  Therefore if an airport changes it’s role and growths  into a higher classification airport, it has the potential of similar service patterns, and passenger trip rates, of an airport currently in that category. </w:t>
      </w:r>
    </w:p>
    <w:p w:rsidR="00660414" w:rsidRDefault="00660414" w:rsidP="00A4081F">
      <w:pPr>
        <w:pStyle w:val="NumberedParas"/>
      </w:pPr>
      <w:r>
        <w:t xml:space="preserve">Table 7.2 sets out the catchment population and the future classification. With a catchment population above 5 million population the airport is classified as a International Major Hub Airport, between 1 million and 5 million as an International Hub Airport, between 500,000 and 1 million as a Regional airport and below 500,000 as a Smaller Regional Airport. </w:t>
      </w:r>
    </w:p>
    <w:p w:rsidR="00660414" w:rsidRDefault="00660414" w:rsidP="00660414">
      <w:pPr>
        <w:ind w:left="851"/>
        <w:rPr>
          <w:b/>
          <w:sz w:val="22"/>
          <w:szCs w:val="22"/>
        </w:rPr>
      </w:pPr>
    </w:p>
    <w:p w:rsidR="00660414" w:rsidRPr="00AE745E" w:rsidRDefault="00660414" w:rsidP="00660414">
      <w:pPr>
        <w:ind w:left="851"/>
        <w:rPr>
          <w:b/>
          <w:sz w:val="22"/>
          <w:szCs w:val="22"/>
        </w:rPr>
      </w:pPr>
      <w:r w:rsidRPr="00AE745E">
        <w:rPr>
          <w:b/>
          <w:sz w:val="22"/>
          <w:szCs w:val="22"/>
        </w:rPr>
        <w:t xml:space="preserve">Table </w:t>
      </w:r>
      <w:r>
        <w:rPr>
          <w:b/>
          <w:sz w:val="22"/>
          <w:szCs w:val="22"/>
        </w:rPr>
        <w:t>7</w:t>
      </w:r>
      <w:r w:rsidRPr="00AE745E">
        <w:rPr>
          <w:b/>
          <w:sz w:val="22"/>
          <w:szCs w:val="22"/>
        </w:rPr>
        <w:t xml:space="preserve">.2: Airport catchment area and proposed future classification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52"/>
        <w:gridCol w:w="3517"/>
      </w:tblGrid>
      <w:tr w:rsidR="00660414" w:rsidTr="007613DE">
        <w:trPr>
          <w:tblHeader/>
        </w:trPr>
        <w:tc>
          <w:tcPr>
            <w:tcW w:w="2376" w:type="dxa"/>
            <w:shd w:val="clear" w:color="auto" w:fill="B8CCE4" w:themeFill="accent1" w:themeFillTint="66"/>
          </w:tcPr>
          <w:p w:rsidR="00660414" w:rsidRPr="002A31A8" w:rsidRDefault="00660414" w:rsidP="007613DE">
            <w:pPr>
              <w:tabs>
                <w:tab w:val="center" w:pos="4153"/>
                <w:tab w:val="right" w:pos="8306"/>
              </w:tabs>
              <w:rPr>
                <w:b/>
                <w:sz w:val="22"/>
                <w:szCs w:val="22"/>
              </w:rPr>
            </w:pPr>
            <w:r w:rsidRPr="002A31A8">
              <w:rPr>
                <w:b/>
                <w:sz w:val="22"/>
                <w:szCs w:val="22"/>
              </w:rPr>
              <w:t>Airport</w:t>
            </w:r>
          </w:p>
        </w:tc>
        <w:tc>
          <w:tcPr>
            <w:tcW w:w="2552" w:type="dxa"/>
            <w:shd w:val="clear" w:color="auto" w:fill="B8CCE4" w:themeFill="accent1" w:themeFillTint="66"/>
          </w:tcPr>
          <w:p w:rsidR="00660414" w:rsidRPr="002A31A8" w:rsidRDefault="00660414" w:rsidP="007613DE">
            <w:pPr>
              <w:tabs>
                <w:tab w:val="center" w:pos="4153"/>
                <w:tab w:val="right" w:pos="8306"/>
              </w:tabs>
              <w:rPr>
                <w:b/>
                <w:sz w:val="22"/>
                <w:szCs w:val="22"/>
              </w:rPr>
            </w:pPr>
            <w:r w:rsidRPr="002A31A8">
              <w:rPr>
                <w:b/>
                <w:sz w:val="22"/>
                <w:szCs w:val="22"/>
              </w:rPr>
              <w:t>Catchment Population</w:t>
            </w:r>
          </w:p>
        </w:tc>
        <w:tc>
          <w:tcPr>
            <w:tcW w:w="3517" w:type="dxa"/>
            <w:shd w:val="clear" w:color="auto" w:fill="B8CCE4" w:themeFill="accent1" w:themeFillTint="66"/>
          </w:tcPr>
          <w:p w:rsidR="00660414" w:rsidRPr="002A31A8" w:rsidRDefault="00660414" w:rsidP="007613DE">
            <w:pPr>
              <w:tabs>
                <w:tab w:val="center" w:pos="4153"/>
                <w:tab w:val="right" w:pos="8306"/>
              </w:tabs>
              <w:rPr>
                <w:b/>
                <w:sz w:val="22"/>
                <w:szCs w:val="22"/>
              </w:rPr>
            </w:pPr>
            <w:r w:rsidRPr="002A31A8">
              <w:rPr>
                <w:b/>
                <w:sz w:val="22"/>
                <w:szCs w:val="22"/>
              </w:rPr>
              <w:t>Future Classification</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 xml:space="preserve">Bucharest </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6,170,897</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 xml:space="preserve">International </w:t>
            </w:r>
            <w:r>
              <w:rPr>
                <w:sz w:val="22"/>
                <w:szCs w:val="22"/>
              </w:rPr>
              <w:t xml:space="preserve">Major Hub </w:t>
            </w:r>
            <w:r w:rsidRPr="002A31A8">
              <w:rPr>
                <w:sz w:val="22"/>
                <w:szCs w:val="22"/>
              </w:rPr>
              <w:t>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Craiova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2,146,082</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Timisoara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1,466,773</w:t>
            </w:r>
          </w:p>
        </w:tc>
        <w:tc>
          <w:tcPr>
            <w:tcW w:w="3517" w:type="dxa"/>
          </w:tcPr>
          <w:p w:rsidR="00660414" w:rsidRDefault="00660414" w:rsidP="007613DE">
            <w:pPr>
              <w:tabs>
                <w:tab w:val="center" w:pos="4153"/>
                <w:tab w:val="right" w:pos="8306"/>
              </w:tabs>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Sibiu</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1,302,866</w:t>
            </w:r>
          </w:p>
        </w:tc>
        <w:tc>
          <w:tcPr>
            <w:tcW w:w="3517" w:type="dxa"/>
          </w:tcPr>
          <w:p w:rsidR="00660414" w:rsidRDefault="00660414" w:rsidP="007613DE">
            <w:pPr>
              <w:tabs>
                <w:tab w:val="center" w:pos="4153"/>
                <w:tab w:val="right" w:pos="8306"/>
              </w:tabs>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Cluj</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1,031,213</w:t>
            </w:r>
          </w:p>
        </w:tc>
        <w:tc>
          <w:tcPr>
            <w:tcW w:w="3517" w:type="dxa"/>
          </w:tcPr>
          <w:p w:rsidR="00660414" w:rsidRDefault="00660414" w:rsidP="007613DE">
            <w:pPr>
              <w:tabs>
                <w:tab w:val="center" w:pos="4153"/>
                <w:tab w:val="right" w:pos="8306"/>
              </w:tabs>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Bacau</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1,702,721</w:t>
            </w:r>
          </w:p>
        </w:tc>
        <w:tc>
          <w:tcPr>
            <w:tcW w:w="3517" w:type="dxa"/>
          </w:tcPr>
          <w:p w:rsidR="00660414" w:rsidRDefault="00660414" w:rsidP="007613DE">
            <w:pPr>
              <w:tabs>
                <w:tab w:val="center" w:pos="4153"/>
                <w:tab w:val="right" w:pos="8306"/>
              </w:tabs>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Iasi</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1,040,752</w:t>
            </w:r>
          </w:p>
        </w:tc>
        <w:tc>
          <w:tcPr>
            <w:tcW w:w="3517" w:type="dxa"/>
          </w:tcPr>
          <w:p w:rsidR="00660414" w:rsidRDefault="00660414" w:rsidP="007613DE">
            <w:pPr>
              <w:tabs>
                <w:tab w:val="center" w:pos="4153"/>
                <w:tab w:val="right" w:pos="8306"/>
              </w:tabs>
            </w:pPr>
            <w:r w:rsidRPr="002A31A8">
              <w:rPr>
                <w:sz w:val="22"/>
                <w:szCs w:val="22"/>
              </w:rPr>
              <w:t>International Hub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Targu Mures</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710,953</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Oradea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653,170</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Brasov</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595,543</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Constanta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664,680</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Suceava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972,480</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Tulcea</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911,819</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Baia Mare</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640,587</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Arad</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371,077</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Smaller Regional Airport</w:t>
            </w:r>
          </w:p>
        </w:tc>
      </w:tr>
      <w:tr w:rsidR="00660414" w:rsidTr="007613DE">
        <w:tc>
          <w:tcPr>
            <w:tcW w:w="2376" w:type="dxa"/>
            <w:vAlign w:val="bottom"/>
          </w:tcPr>
          <w:p w:rsidR="00660414" w:rsidRPr="002A31A8" w:rsidRDefault="00660414" w:rsidP="007613DE">
            <w:pPr>
              <w:tabs>
                <w:tab w:val="center" w:pos="4153"/>
                <w:tab w:val="right" w:pos="8306"/>
              </w:tabs>
              <w:rPr>
                <w:color w:val="000000"/>
                <w:sz w:val="22"/>
                <w:szCs w:val="22"/>
              </w:rPr>
            </w:pPr>
            <w:r w:rsidRPr="002A31A8">
              <w:rPr>
                <w:color w:val="000000"/>
                <w:sz w:val="22"/>
                <w:szCs w:val="22"/>
              </w:rPr>
              <w:t>Satu Mare</w:t>
            </w:r>
          </w:p>
        </w:tc>
        <w:tc>
          <w:tcPr>
            <w:tcW w:w="2552" w:type="dxa"/>
            <w:vAlign w:val="bottom"/>
          </w:tcPr>
          <w:p w:rsidR="00660414" w:rsidRPr="002A31A8" w:rsidRDefault="00660414" w:rsidP="007613DE">
            <w:pPr>
              <w:tabs>
                <w:tab w:val="center" w:pos="4153"/>
                <w:tab w:val="right" w:pos="8306"/>
              </w:tabs>
              <w:jc w:val="center"/>
              <w:rPr>
                <w:color w:val="000000"/>
                <w:sz w:val="22"/>
                <w:szCs w:val="22"/>
              </w:rPr>
            </w:pPr>
            <w:r w:rsidRPr="002A31A8">
              <w:rPr>
                <w:color w:val="000000"/>
                <w:sz w:val="22"/>
                <w:szCs w:val="22"/>
              </w:rPr>
              <w:t>368,169</w:t>
            </w:r>
          </w:p>
        </w:tc>
        <w:tc>
          <w:tcPr>
            <w:tcW w:w="3517" w:type="dxa"/>
          </w:tcPr>
          <w:p w:rsidR="00660414" w:rsidRPr="002A31A8" w:rsidRDefault="00660414" w:rsidP="007613DE">
            <w:pPr>
              <w:tabs>
                <w:tab w:val="center" w:pos="4153"/>
                <w:tab w:val="right" w:pos="8306"/>
              </w:tabs>
              <w:rPr>
                <w:sz w:val="22"/>
                <w:szCs w:val="22"/>
              </w:rPr>
            </w:pPr>
            <w:r w:rsidRPr="002A31A8">
              <w:rPr>
                <w:sz w:val="22"/>
                <w:szCs w:val="22"/>
              </w:rPr>
              <w:t>Smaller Regional Airport</w:t>
            </w:r>
          </w:p>
        </w:tc>
      </w:tr>
    </w:tbl>
    <w:p w:rsidR="00660414" w:rsidRDefault="00660414" w:rsidP="00660414"/>
    <w:p w:rsidR="00660414" w:rsidRDefault="00660414" w:rsidP="00A4081F">
      <w:pPr>
        <w:pStyle w:val="NumberedParas"/>
      </w:pPr>
      <w:r w:rsidRPr="008C5B1B">
        <w:t>Figur</w:t>
      </w:r>
      <w:r w:rsidRPr="000D3085">
        <w:t>e</w:t>
      </w:r>
      <w:r>
        <w:t xml:space="preserve"> 7.2 gives an illustration of the catchment areas for the various airports as per the aviation forecasting model. For the purpose of estimating total demand,  one passenger cannot be in two catchment areas as that would cause double counting of demand, leading to potential over-provision of facilities.  In practice of course the boundaries are not rigid.</w:t>
      </w:r>
    </w:p>
    <w:p w:rsidR="00660414" w:rsidRDefault="00660414" w:rsidP="00660414"/>
    <w:p w:rsidR="00660414" w:rsidRDefault="00660414" w:rsidP="00660414">
      <w:r>
        <w:rPr>
          <w:noProof/>
          <w:sz w:val="20"/>
          <w:szCs w:val="20"/>
          <w:lang w:val="ro-RO" w:eastAsia="ro-RO"/>
        </w:rPr>
        <mc:AlternateContent>
          <mc:Choice Requires="wpg">
            <w:drawing>
              <wp:inline distT="0" distB="0" distL="0" distR="0" wp14:anchorId="495BEB05" wp14:editId="665403E5">
                <wp:extent cx="5743575" cy="4648200"/>
                <wp:effectExtent l="13970" t="5080" r="5080" b="13970"/>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3575" cy="4648200"/>
                          <a:chOff x="0" y="0"/>
                          <a:chExt cx="91440" cy="68580"/>
                        </a:xfrm>
                      </wpg:grpSpPr>
                      <wpg:grpSp>
                        <wpg:cNvPr id="134" name="Group 395"/>
                        <wpg:cNvGrpSpPr>
                          <a:grpSpLocks/>
                        </wpg:cNvGrpSpPr>
                        <wpg:grpSpPr bwMode="auto">
                          <a:xfrm>
                            <a:off x="1440" y="1800"/>
                            <a:ext cx="88833" cy="64194"/>
                            <a:chOff x="1440" y="1800"/>
                            <a:chExt cx="88833" cy="64194"/>
                          </a:xfrm>
                        </wpg:grpSpPr>
                        <pic:pic xmlns:pic="http://schemas.openxmlformats.org/drawingml/2006/picture">
                          <pic:nvPicPr>
                            <pic:cNvPr id="135" name="Picture 397" descr="airport_catchment.jpg"/>
                            <pic:cNvPicPr>
                              <a:picLocks noChangeAspect="1"/>
                            </pic:cNvPicPr>
                          </pic:nvPicPr>
                          <pic:blipFill>
                            <a:blip r:embed="rId286" cstate="print">
                              <a:extLst>
                                <a:ext uri="{28A0092B-C50C-407E-A947-70E740481C1C}">
                                  <a14:useLocalDpi xmlns:a14="http://schemas.microsoft.com/office/drawing/2010/main" val="0"/>
                                </a:ext>
                              </a:extLst>
                            </a:blip>
                            <a:srcRect l="15205" t="595" r="21289" b="595"/>
                            <a:stretch>
                              <a:fillRect/>
                            </a:stretch>
                          </pic:blipFill>
                          <pic:spPr bwMode="auto">
                            <a:xfrm>
                              <a:off x="1440" y="1800"/>
                              <a:ext cx="88833" cy="64194"/>
                            </a:xfrm>
                            <a:prstGeom prst="rect">
                              <a:avLst/>
                            </a:prstGeom>
                            <a:noFill/>
                            <a:extLst>
                              <a:ext uri="{909E8E84-426E-40DD-AFC4-6F175D3DCCD1}">
                                <a14:hiddenFill xmlns:a14="http://schemas.microsoft.com/office/drawing/2010/main">
                                  <a:solidFill>
                                    <a:srgbClr val="FFFFFF"/>
                                  </a:solidFill>
                                </a14:hiddenFill>
                              </a:ext>
                            </a:extLst>
                          </pic:spPr>
                        </pic:pic>
                        <wps:wsp>
                          <wps:cNvPr id="136" name="Freeform 398"/>
                          <wps:cNvSpPr>
                            <a:spLocks/>
                          </wps:cNvSpPr>
                          <wps:spPr bwMode="auto">
                            <a:xfrm>
                              <a:off x="72913" y="38814"/>
                              <a:ext cx="10002" cy="8763"/>
                            </a:xfrm>
                            <a:custGeom>
                              <a:avLst/>
                              <a:gdLst>
                                <a:gd name="T0" fmla="*/ 0 w 1000125"/>
                                <a:gd name="T1" fmla="*/ 0 h 876300"/>
                                <a:gd name="T2" fmla="*/ 95 w 1000125"/>
                                <a:gd name="T3" fmla="*/ 714 h 876300"/>
                                <a:gd name="T4" fmla="*/ 191 w 1000125"/>
                                <a:gd name="T5" fmla="*/ 1715 h 876300"/>
                                <a:gd name="T6" fmla="*/ 1095 w 1000125"/>
                                <a:gd name="T7" fmla="*/ 2238 h 876300"/>
                                <a:gd name="T8" fmla="*/ 1000 w 1000125"/>
                                <a:gd name="T9" fmla="*/ 2572 h 876300"/>
                                <a:gd name="T10" fmla="*/ 1429 w 1000125"/>
                                <a:gd name="T11" fmla="*/ 3715 h 876300"/>
                                <a:gd name="T12" fmla="*/ 1476 w 1000125"/>
                                <a:gd name="T13" fmla="*/ 4334 h 876300"/>
                                <a:gd name="T14" fmla="*/ 1476 w 1000125"/>
                                <a:gd name="T15" fmla="*/ 4905 h 876300"/>
                                <a:gd name="T16" fmla="*/ 1476 w 1000125"/>
                                <a:gd name="T17" fmla="*/ 6001 h 876300"/>
                                <a:gd name="T18" fmla="*/ 1381 w 1000125"/>
                                <a:gd name="T19" fmla="*/ 6525 h 876300"/>
                                <a:gd name="T20" fmla="*/ 1238 w 1000125"/>
                                <a:gd name="T21" fmla="*/ 6906 h 876300"/>
                                <a:gd name="T22" fmla="*/ 2096 w 1000125"/>
                                <a:gd name="T23" fmla="*/ 7668 h 876300"/>
                                <a:gd name="T24" fmla="*/ 3143 w 1000125"/>
                                <a:gd name="T25" fmla="*/ 7620 h 876300"/>
                                <a:gd name="T26" fmla="*/ 4572 w 1000125"/>
                                <a:gd name="T27" fmla="*/ 7906 h 876300"/>
                                <a:gd name="T28" fmla="*/ 6239 w 1000125"/>
                                <a:gd name="T29" fmla="*/ 8192 h 876300"/>
                                <a:gd name="T30" fmla="*/ 7668 w 1000125"/>
                                <a:gd name="T31" fmla="*/ 8525 h 876300"/>
                                <a:gd name="T32" fmla="*/ 8287 w 1000125"/>
                                <a:gd name="T33" fmla="*/ 8763 h 876300"/>
                                <a:gd name="T34" fmla="*/ 10002 w 1000125"/>
                                <a:gd name="T35" fmla="*/ 8573 h 87630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w 1000125"/>
                                <a:gd name="T55" fmla="*/ 0 h 876300"/>
                                <a:gd name="T56" fmla="*/ 1000125 w 1000125"/>
                                <a:gd name="T57" fmla="*/ 876300 h 876300"/>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T54" t="T55" r="T56" b="T57"/>
                              <a:pathLst>
                                <a:path w="1000125" h="876300">
                                  <a:moveTo>
                                    <a:pt x="0" y="0"/>
                                  </a:moveTo>
                                  <a:lnTo>
                                    <a:pt x="9525" y="71437"/>
                                  </a:lnTo>
                                  <a:lnTo>
                                    <a:pt x="19050" y="171450"/>
                                  </a:lnTo>
                                  <a:lnTo>
                                    <a:pt x="109537" y="223837"/>
                                  </a:lnTo>
                                  <a:lnTo>
                                    <a:pt x="100012" y="257175"/>
                                  </a:lnTo>
                                  <a:lnTo>
                                    <a:pt x="142875" y="371475"/>
                                  </a:lnTo>
                                  <a:lnTo>
                                    <a:pt x="147637" y="433387"/>
                                  </a:lnTo>
                                  <a:lnTo>
                                    <a:pt x="147637" y="490537"/>
                                  </a:lnTo>
                                  <a:lnTo>
                                    <a:pt x="147637" y="600075"/>
                                  </a:lnTo>
                                  <a:lnTo>
                                    <a:pt x="138112" y="652462"/>
                                  </a:lnTo>
                                  <a:lnTo>
                                    <a:pt x="123825" y="690562"/>
                                  </a:lnTo>
                                  <a:lnTo>
                                    <a:pt x="209550" y="766762"/>
                                  </a:lnTo>
                                  <a:lnTo>
                                    <a:pt x="314325" y="762000"/>
                                  </a:lnTo>
                                  <a:lnTo>
                                    <a:pt x="457200" y="790575"/>
                                  </a:lnTo>
                                  <a:lnTo>
                                    <a:pt x="623887" y="819150"/>
                                  </a:lnTo>
                                  <a:lnTo>
                                    <a:pt x="766762" y="852487"/>
                                  </a:lnTo>
                                  <a:lnTo>
                                    <a:pt x="828675" y="876300"/>
                                  </a:lnTo>
                                  <a:lnTo>
                                    <a:pt x="1000125" y="857250"/>
                                  </a:lnTo>
                                </a:path>
                              </a:pathLst>
                            </a:custGeom>
                            <a:noFill/>
                            <a:ln w="3175">
                              <a:solidFill>
                                <a:schemeClr val="tx1">
                                  <a:lumMod val="50000"/>
                                  <a:lumOff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660414"/>
                            </w:txbxContent>
                          </wps:txbx>
                          <wps:bodyPr rot="0" vert="horz" wrap="square" lIns="91440" tIns="45720" rIns="91440" bIns="45720" anchor="ctr" anchorCtr="0" upright="1">
                            <a:noAutofit/>
                          </wps:bodyPr>
                        </wps:wsp>
                        <wps:wsp>
                          <wps:cNvPr id="137" name="Oval 399"/>
                          <wps:cNvSpPr>
                            <a:spLocks noChangeArrowheads="1"/>
                          </wps:cNvSpPr>
                          <wps:spPr bwMode="auto">
                            <a:xfrm>
                              <a:off x="79920" y="41760"/>
                              <a:ext cx="720" cy="720"/>
                            </a:xfrm>
                            <a:prstGeom prst="ellipse">
                              <a:avLst/>
                            </a:prstGeom>
                            <a:solidFill>
                              <a:srgbClr val="FF0000"/>
                            </a:solidFill>
                            <a:ln w="3175">
                              <a:solidFill>
                                <a:schemeClr val="tx1">
                                  <a:lumMod val="100000"/>
                                  <a:lumOff val="0"/>
                                </a:schemeClr>
                              </a:solidFill>
                              <a:round/>
                              <a:headEnd/>
                              <a:tailEnd/>
                            </a:ln>
                          </wps:spPr>
                          <wps:txbx>
                            <w:txbxContent>
                              <w:p w:rsidR="008B57DD" w:rsidRDefault="008B57DD" w:rsidP="00660414"/>
                            </w:txbxContent>
                          </wps:txbx>
                          <wps:bodyPr rot="0" vert="horz" wrap="square" lIns="91440" tIns="45720" rIns="91440" bIns="45720" anchor="ctr" anchorCtr="0" upright="1">
                            <a:noAutofit/>
                          </wps:bodyPr>
                        </wps:wsp>
                        <wps:wsp>
                          <wps:cNvPr id="138" name="TextBox 9"/>
                          <wps:cNvSpPr txBox="1">
                            <a:spLocks noChangeArrowheads="1"/>
                          </wps:cNvSpPr>
                          <wps:spPr bwMode="auto">
                            <a:xfrm>
                              <a:off x="78840" y="42207"/>
                              <a:ext cx="8380" cy="3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57DD" w:rsidRDefault="008B57DD" w:rsidP="00660414">
                                <w:pPr>
                                  <w:pStyle w:val="NormalWeb"/>
                                  <w:spacing w:before="0" w:beforeAutospacing="0" w:after="0" w:afterAutospacing="0"/>
                                </w:pPr>
                                <w:r>
                                  <w:rPr>
                                    <w:rFonts w:ascii="Arial" w:hAnsi="Arial" w:cs="Arial"/>
                                    <w:color w:val="000000" w:themeColor="text1"/>
                                    <w:kern w:val="24"/>
                                    <w:sz w:val="18"/>
                                    <w:szCs w:val="18"/>
                                  </w:rPr>
                                  <w:t>Tulcea</w:t>
                                </w:r>
                              </w:p>
                            </w:txbxContent>
                          </wps:txbx>
                          <wps:bodyPr rot="0" vert="horz" wrap="none" lIns="91440" tIns="45720" rIns="91440" bIns="45720" anchor="t" anchorCtr="0" upright="1">
                            <a:spAutoFit/>
                          </wps:bodyPr>
                        </wps:wsp>
                      </wpg:grpSp>
                      <wps:wsp>
                        <wps:cNvPr id="139" name="Rectangle 396"/>
                        <wps:cNvSpPr>
                          <a:spLocks noChangeArrowheads="1"/>
                        </wps:cNvSpPr>
                        <wps:spPr bwMode="auto">
                          <a:xfrm>
                            <a:off x="0" y="0"/>
                            <a:ext cx="91440" cy="6858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B57DD" w:rsidRDefault="008B57DD" w:rsidP="00660414"/>
                          </w:txbxContent>
                        </wps:txbx>
                        <wps:bodyPr rot="0" vert="horz" wrap="square" lIns="91440" tIns="45720" rIns="91440" bIns="45720" anchor="ctr" anchorCtr="0" upright="1">
                          <a:noAutofit/>
                        </wps:bodyPr>
                      </wps:wsp>
                    </wpg:wgp>
                  </a:graphicData>
                </a:graphic>
              </wp:inline>
            </w:drawing>
          </mc:Choice>
          <mc:Fallback xmlns:w15="http://schemas.microsoft.com/office/word/2012/wordml">
            <w:pict>
              <v:group w14:anchorId="495BEB05" id="Group 133" o:spid="_x0000_s1118" style="width:452.25pt;height:366pt;mso-position-horizontal-relative:char;mso-position-vertical-relative:line" coordsize="9144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39lv8AZO+F&#10;mofsy/Dq4uPhp8P555/DGmSSSSeHbRnkY2kRLEmPJJPOTXd/8Mh/Cb/ol/w7/wDCbs//AI3Uv7KH&#10;/JrXw1/7FXS//SSKu/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M0AFFGc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wH7V//JrXxK/7FXVP/SSWu/rgP2r/APk1r4lf&#10;9irqn/pJLQAfsof8mtfDX/sVdL/9JIq7+uA/ZQ/5Na+Gv/Yq6X/6SRV3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A/a&#10;v/5Na+JX/Yq6p/6SS139cB+1f/ya18Sv+xV1T/0kloAP2UP+TWvhr/2Kul/+kkVd/XAfsof8mtfD&#10;X/sVdL/9JIq7+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xfG/gSx8eaYsN151vc27+dZ&#10;X1uQt1p8w+7LExBAYdwQVZSVdWRmU7VFAHnX/CVfEbwYPL1PwvpvjK2i+UXvh69SyvLknkE2V2yx&#10;Rhfuki8ctt3BRu2Kv2H4gfEr5b6S1+H+jt8xSxuF1DWbhTyFaRo/s9qwwA4QXO7c2yVCodvRKKAO&#10;Z8JfBrwp4F068tdK8P6TaR6kMXzC3V5dQOMbp5Gy8zHu0hYnuTWloXgfRfC1w82maPpemyyLsd7W&#10;0jhZh1wSoGR7Vq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B+1f/AMmtfEr/ALFXVP8A0klr&#10;v64D9q//AJNa+JX/AGKuqf8ApJLQAfsof8mtfDX/ALFXS/8A0kirv64D9lD/AJNa+Gv/AGKul/8A&#10;pJFXf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AftX/8mtfEr/sVdU/9JJa7+uA/av8A+TWviV/2Kuqf+kktAB+yh/ya18Nf&#10;+xV0v/0kirv64D9lD/k1r4a/9irpf/pJFXf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AftX/wDJrXxK/wCxV1T/ANJJa7+u&#10;A/av/wCTWviV/wBirqn/AKSS0AH7KH/JrXw1/wCxV0v/ANJIq7+uA/ZQ/wCTWvhr/wBirpf/AKSR&#10;V39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wH7V//JrXxK/7FXVP/SSWu/rgP2r/APk1r4lf9irqn/pJLQAfsof8mtfDX/sV&#10;dL/9JIq7+uA/ZQP/ABi18Nf+xV0v/wBJIq7+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">
                <v:group id="Group 395" o:spid="_x0000_s1119" style="position:absolute;left:1440;top:1800;width:88833;height:64194" coordorigin="1440,1800" coordsize="88833,64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Picture 397" o:spid="_x0000_s1120" type="#_x0000_t75" alt="airport_catchment.jpg" style="position:absolute;left:1440;top:1800;width:88833;height:6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DBR3AAAAA3AAAAA8AAABkcnMvZG93bnJldi54bWxET01LAzEQvQv+hzCCN5u0YpVt07ItCF56&#10;sNX7dDNmYzeTZTO26783guBtHu9zlusxdupMQw6JLUwnBhRxk1xgb+Ht8Hz3BCoLssMuMVn4pgzr&#10;1fXVEiuXLvxK5714VUI4V2ihFekrrXPTUsQ8ST1x4T7SEFEKHLx2A15KeOz0zJi5jhi4NLTY07al&#10;5rT/ihaOuNvVm8/HIGhEez/fvtcmWHt7M9YLUEKj/Iv/3C+uzL9/gN9nygV6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MFHcAAAADcAAAADwAAAAAAAAAAAAAAAACfAgAA&#10;ZHJzL2Rvd25yZXYueG1sUEsFBgAAAAAEAAQA9wAAAIwDAAAAAA==&#10;">
                    <v:imagedata r:id="rId287" o:title="airport_catchment" croptop="390f" cropbottom="390f" cropleft="9965f" cropright="13952f"/>
                    <v:path arrowok="t"/>
                  </v:shape>
                  <v:shape id="Freeform 398" o:spid="_x0000_s1121" style="position:absolute;left:72913;top:38814;width:10002;height:8763;visibility:visible;mso-wrap-style:square;v-text-anchor:middle" coordsize="1000125,876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p0MIA&#10;AADcAAAADwAAAGRycy9kb3ducmV2LnhtbERPTWvCQBC9F/wPywi91Y0tiERX0YDUgz3UeNDbkB2z&#10;0exsyK5J/PfdQqG3ebzPWa4HW4uOWl85VjCdJCCIC6crLhWc8t3bHIQPyBprx6TgSR7Wq9HLElPt&#10;ev6m7hhKEUPYp6jAhNCkUvrCkEU/cQ1x5K6utRgibEupW+xjuK3le5LMpMWKY4PBhjJDxf34sAr6&#10;q93OP6m7XLpb+DoYk2fnLFfqdTxsFiACDeFf/Ofe6zj/Ywa/z8QL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6ynQwgAAANwAAAAPAAAAAAAAAAAAAAAAAJgCAABkcnMvZG93&#10;bnJldi54bWxQSwUGAAAAAAQABAD1AAAAhwMAAAAA&#10;" adj="-11796480,,5400" path="m,l9525,71437r9525,100013l109537,223837r-9525,33338l142875,371475r4762,61912l147637,490537r,109538l138112,652462r-14287,38100l209550,766762r104775,-4762l457200,790575r166687,28575l766762,852487r61913,23813l1000125,857250e" filled="f" strokecolor="gray [1629]" strokeweight=".25pt">
                    <v:stroke joinstyle="miter"/>
                    <v:formulas/>
                    <v:path arrowok="t" o:connecttype="custom" o:connectlocs="0,0;1,7;2,17;11,22;10,26;14,37;15,43;15,49;15,60;14,65;12,69;21,77;31,76;46,79;62,82;77,85;83,88;100,86" o:connectangles="0,0,0,0,0,0,0,0,0,0,0,0,0,0,0,0,0,0" textboxrect="0,0,1000125,876300"/>
                    <v:textbox>
                      <w:txbxContent>
                        <w:p w:rsidR="008B57DD" w:rsidRDefault="008B57DD" w:rsidP="00660414"/>
                      </w:txbxContent>
                    </v:textbox>
                  </v:shape>
                  <v:oval id="Oval 399" o:spid="_x0000_s1122" style="position:absolute;left:79920;top:4176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w2cMA&#10;AADcAAAADwAAAGRycy9kb3ducmV2LnhtbERPzWrCQBC+C32HZQpepG5qQEuaVWqhUA+RaH2AITtN&#10;QrKzMbtN0rd3CwVv8/H9TrqbTCsG6l1tWcHzMgJBXFhdc6ng8vXx9ALCeWSNrWVS8EsOdtuHWYqJ&#10;tiOfaDj7UoQQdgkqqLzvEildUZFBt7QdceC+bW/QB9iXUvc4hnDTylUUraXBmkNDhR29V1Q05x+j&#10;4Mo+y4/xaeH2U+aiQ37hLmuUmj9Ob68gPE3+Lv53f+owP97A3zPhAr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nw2cMAAADcAAAADwAAAAAAAAAAAAAAAACYAgAAZHJzL2Rv&#10;d25yZXYueG1sUEsFBgAAAAAEAAQA9QAAAIgDAAAAAA==&#10;" fillcolor="red" strokecolor="black [3213]" strokeweight=".25pt">
                    <v:textbox>
                      <w:txbxContent>
                        <w:p w:rsidR="008B57DD" w:rsidRDefault="008B57DD" w:rsidP="00660414"/>
                      </w:txbxContent>
                    </v:textbox>
                  </v:oval>
                  <v:shape id="TextBox 9" o:spid="_x0000_s1123" type="#_x0000_t202" style="position:absolute;left:78840;top:42207;width:8380;height:32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hTsUA&#10;AADcAAAADwAAAGRycy9kb3ducmV2LnhtbESPzW7CQAyE75X6DitX4lY20BZByoIQBam38vcAVtZk&#10;02S9UXaB0KevD5V6szXjmc/zZe8bdaUuVoENjIYZKOIi2IpLA6fj9nkKKiZki01gMnCnCMvF48Mc&#10;cxtuvKfrIZVKQjjmaMCl1OZax8KRxzgMLbFo59B5TLJ2pbYd3iTcN3qcZRPtsWJpcNjS2lFRHy7e&#10;wDTzX3U9G++if/0Zvbn1R9i038YMnvrVO6hEffo3/11/WsF/EVp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CFOxQAAANwAAAAPAAAAAAAAAAAAAAAAAJgCAABkcnMv&#10;ZG93bnJldi54bWxQSwUGAAAAAAQABAD1AAAAigMAAAAA&#10;" filled="f" stroked="f">
                    <v:textbox style="mso-fit-shape-to-text:t">
                      <w:txbxContent>
                        <w:p w:rsidR="008B57DD" w:rsidRDefault="008B57DD" w:rsidP="00660414">
                          <w:pPr>
                            <w:pStyle w:val="NormalWeb"/>
                            <w:spacing w:before="0" w:beforeAutospacing="0" w:after="0" w:afterAutospacing="0"/>
                          </w:pPr>
                          <w:r>
                            <w:rPr>
                              <w:rFonts w:ascii="Arial" w:hAnsi="Arial" w:cs="Arial"/>
                              <w:color w:val="000000" w:themeColor="text1"/>
                              <w:kern w:val="24"/>
                              <w:sz w:val="18"/>
                              <w:szCs w:val="18"/>
                            </w:rPr>
                            <w:t>Tulcea</w:t>
                          </w:r>
                        </w:p>
                      </w:txbxContent>
                    </v:textbox>
                  </v:shape>
                </v:group>
                <v:rect id="Rectangle 396" o:spid="_x0000_s1124" style="position:absolute;width:91440;height:68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KN7bwA&#10;AADcAAAADwAAAGRycy9kb3ducmV2LnhtbERPzQrCMAy+C75DieBNOxVEp1VEEERPTvEc1rgN13Ss&#10;VevbW0Hwlo/vN8t1MLV4UusqywpGwwQEcW51xYWCy3k3mIFwHlljbZkUvMnBetXtLDHV9sUnema+&#10;EDGEXYoKSu+bVEqXl2TQDW1DHLmbbQ36CNtC6hZfMdzUcpwkU2mw4thQYkPbkvJ79jAKrrOTLi7h&#10;kJnj5LG9jafOBO+U6vfCZgHCU/B/8c+913H+ZA7fZ+IFcv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DQo3tvAAAANwAAAAPAAAAAAAAAAAAAAAAAJgCAABkcnMvZG93bnJldi54&#10;bWxQSwUGAAAAAAQABAD1AAAAgQMAAAAA&#10;" filled="f" strokecolor="black [3213]" strokeweight=".5pt">
                  <v:textbox>
                    <w:txbxContent>
                      <w:p w:rsidR="008B57DD" w:rsidRDefault="008B57DD" w:rsidP="00660414"/>
                    </w:txbxContent>
                  </v:textbox>
                </v:rect>
                <w10:anchorlock/>
              </v:group>
            </w:pict>
          </mc:Fallback>
        </mc:AlternateContent>
      </w:r>
    </w:p>
    <w:p w:rsidR="00660414" w:rsidRDefault="00660414" w:rsidP="00660414">
      <w:r w:rsidRPr="00F923DC">
        <w:rPr>
          <w:b/>
          <w:sz w:val="22"/>
          <w:szCs w:val="22"/>
        </w:rPr>
        <w:t xml:space="preserve">Figure </w:t>
      </w:r>
      <w:r>
        <w:rPr>
          <w:b/>
          <w:sz w:val="22"/>
          <w:szCs w:val="22"/>
        </w:rPr>
        <w:t>7</w:t>
      </w:r>
      <w:r w:rsidRPr="00F923DC">
        <w:rPr>
          <w:b/>
          <w:sz w:val="22"/>
          <w:szCs w:val="22"/>
        </w:rPr>
        <w:t xml:space="preserve">.2: </w:t>
      </w:r>
      <w:r w:rsidRPr="00947CA0">
        <w:rPr>
          <w:b/>
          <w:sz w:val="22"/>
          <w:szCs w:val="22"/>
        </w:rPr>
        <w:t>Current and Future Airport Locations and Catchment Areas</w:t>
      </w:r>
    </w:p>
    <w:p w:rsidR="00660414" w:rsidRPr="00964168" w:rsidRDefault="00660414" w:rsidP="00A4081F">
      <w:pPr>
        <w:pStyle w:val="NumberedParas"/>
      </w:pPr>
      <w:r>
        <w:t>The proposed airports’</w:t>
      </w:r>
      <w:r w:rsidRPr="00964168">
        <w:t xml:space="preserve"> classification</w:t>
      </w:r>
      <w:r>
        <w:t>s</w:t>
      </w:r>
      <w:r w:rsidRPr="00964168">
        <w:t xml:space="preserve"> </w:t>
      </w:r>
      <w:r>
        <w:t>are</w:t>
      </w:r>
      <w:r w:rsidRPr="00964168">
        <w:t xml:space="preserve"> set out in Figure </w:t>
      </w:r>
      <w:r>
        <w:t>7</w:t>
      </w:r>
      <w:r w:rsidRPr="00964168">
        <w:t>.</w:t>
      </w:r>
      <w:r>
        <w:t>3</w:t>
      </w:r>
      <w:r w:rsidRPr="00964168">
        <w:t>.</w:t>
      </w:r>
      <w:r>
        <w:t xml:space="preserve">  The structure and location of these airports gives good coverage of airports which should act as International Hubs, in different regions of the country, supported by a denser network of Regional Airports.</w:t>
      </w:r>
    </w:p>
    <w:p w:rsidR="00660414" w:rsidRDefault="00660414" w:rsidP="00660414">
      <w:pPr>
        <w:rPr>
          <w:b/>
        </w:rPr>
      </w:pPr>
      <w:r>
        <w:rPr>
          <w:noProof/>
          <w:lang w:val="ro-RO" w:eastAsia="ro-RO"/>
        </w:rPr>
        <w:drawing>
          <wp:inline distT="0" distB="0" distL="0" distR="0" wp14:anchorId="4026434E" wp14:editId="16F0DC62">
            <wp:extent cx="5943600" cy="4184015"/>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stretch>
                      <a:fillRect/>
                    </a:stretch>
                  </pic:blipFill>
                  <pic:spPr>
                    <a:xfrm>
                      <a:off x="0" y="0"/>
                      <a:ext cx="5943600" cy="4184015"/>
                    </a:xfrm>
                    <a:prstGeom prst="rect">
                      <a:avLst/>
                    </a:prstGeom>
                  </pic:spPr>
                </pic:pic>
              </a:graphicData>
            </a:graphic>
          </wp:inline>
        </w:drawing>
      </w:r>
    </w:p>
    <w:p w:rsidR="00660414" w:rsidRPr="008C5B1B" w:rsidRDefault="00660414" w:rsidP="00660414">
      <w:pPr>
        <w:pStyle w:val="ListParagraph"/>
        <w:ind w:left="680"/>
        <w:rPr>
          <w:i/>
          <w:sz w:val="18"/>
          <w:szCs w:val="18"/>
        </w:rPr>
      </w:pPr>
      <w:r w:rsidRPr="00103DB7">
        <w:rPr>
          <w:i/>
          <w:sz w:val="18"/>
          <w:szCs w:val="18"/>
        </w:rPr>
        <w:t>Source: AECOM Analysis</w:t>
      </w:r>
    </w:p>
    <w:p w:rsidR="00660414" w:rsidRPr="00F923DC" w:rsidRDefault="00660414" w:rsidP="00660414">
      <w:pPr>
        <w:rPr>
          <w:b/>
          <w:sz w:val="22"/>
          <w:szCs w:val="22"/>
        </w:rPr>
      </w:pPr>
      <w:r w:rsidRPr="00F923DC">
        <w:rPr>
          <w:b/>
          <w:sz w:val="22"/>
          <w:szCs w:val="22"/>
        </w:rPr>
        <w:t xml:space="preserve">Figure </w:t>
      </w:r>
      <w:r>
        <w:rPr>
          <w:b/>
          <w:sz w:val="22"/>
          <w:szCs w:val="22"/>
        </w:rPr>
        <w:t>7</w:t>
      </w:r>
      <w:r w:rsidRPr="00F923DC">
        <w:rPr>
          <w:b/>
          <w:sz w:val="22"/>
          <w:szCs w:val="22"/>
        </w:rPr>
        <w:t>.</w:t>
      </w:r>
      <w:r>
        <w:rPr>
          <w:b/>
          <w:sz w:val="22"/>
          <w:szCs w:val="22"/>
        </w:rPr>
        <w:t>3</w:t>
      </w:r>
      <w:r w:rsidRPr="00F923DC">
        <w:rPr>
          <w:b/>
          <w:sz w:val="22"/>
          <w:szCs w:val="22"/>
        </w:rPr>
        <w:t xml:space="preserve">: Location and Future Classification of Airports in Romania </w:t>
      </w:r>
    </w:p>
    <w:p w:rsidR="00660414" w:rsidRDefault="00660414" w:rsidP="00660414"/>
    <w:p w:rsidR="00660414" w:rsidRDefault="00660414" w:rsidP="00660414">
      <w:pPr>
        <w:pStyle w:val="Hdg3"/>
      </w:pPr>
      <w:r>
        <w:t>Air Forecasts</w:t>
      </w:r>
    </w:p>
    <w:p w:rsidR="00660414" w:rsidRDefault="00660414" w:rsidP="00A4081F">
      <w:pPr>
        <w:pStyle w:val="NumberedParas"/>
      </w:pPr>
      <w:r>
        <w:t xml:space="preserve">As we indicated in paragraph </w:t>
      </w:r>
      <w:r w:rsidRPr="008C5B1B">
        <w:rPr>
          <w:highlight w:val="yellow"/>
        </w:rPr>
        <w:t>7.2.19</w:t>
      </w:r>
      <w:r>
        <w:t>, a bespoke aviation model has been developed to provide a basis forecasting future levels of air travel demand in Romania. Air passenger demand by airport is a function of:</w:t>
      </w:r>
    </w:p>
    <w:p w:rsidR="00660414" w:rsidRDefault="00660414" w:rsidP="00273D5E">
      <w:pPr>
        <w:pStyle w:val="BulletLevel1"/>
      </w:pPr>
      <w:r>
        <w:t>The size of the catchment area of the airport in terms of population, and also attractions in terms of tourism;</w:t>
      </w:r>
    </w:p>
    <w:p w:rsidR="00660414" w:rsidRDefault="00660414" w:rsidP="00273D5E">
      <w:pPr>
        <w:pStyle w:val="BulletLevel1"/>
      </w:pPr>
      <w:r>
        <w:t>The average income of the catchment area as higher income areas generate more air travel per capita;</w:t>
      </w:r>
    </w:p>
    <w:p w:rsidR="00660414" w:rsidRDefault="00660414" w:rsidP="00273D5E">
      <w:pPr>
        <w:pStyle w:val="BulletLevel1"/>
      </w:pPr>
      <w:r>
        <w:t>The nature of the flights that are available from the airport in terms of the type, domestic/international, and the number of flights;</w:t>
      </w:r>
    </w:p>
    <w:p w:rsidR="00660414" w:rsidRDefault="00660414" w:rsidP="00273D5E">
      <w:pPr>
        <w:pStyle w:val="BulletLevel1"/>
      </w:pPr>
      <w:r>
        <w:t>Future air demand has been shown to be strongly linked to GDP growth; and</w:t>
      </w:r>
    </w:p>
    <w:p w:rsidR="00660414" w:rsidRDefault="00660414" w:rsidP="00273D5E">
      <w:pPr>
        <w:pStyle w:val="BulletLevel1"/>
      </w:pPr>
      <w:r>
        <w:t xml:space="preserve">The capacity of the airport in terms of flights that can be handled and the terminal capacity for passenger throughput.  The approach taken has been to estimate potential demand first, based on the future proposed role of the airport and the services that implies, and then assess the capacity shortfall.  </w:t>
      </w:r>
    </w:p>
    <w:p w:rsidR="00660414" w:rsidRDefault="00660414" w:rsidP="00A4081F">
      <w:pPr>
        <w:pStyle w:val="NumberedParas"/>
      </w:pPr>
      <w:r>
        <w:t>The derivation of a model to predict future air demands therefore needs to take each of the above into consideration in developing the modal parameters and the forecasting processes. One of the main drivers of major changes in demand through an airport is due to a change in category of airport as a result of investment in facilities and success in attracting new airline operators to run new services from the airport.  It should be emphasized that the growth of an airport is not only dependent on the increase in capacity and facilities but depends on services committed to an airport.  No investment should be made unless there are appropriate assurances in place regarding future services, since these are the major determinants of demand.</w:t>
      </w:r>
    </w:p>
    <w:p w:rsidR="00660414" w:rsidRDefault="00660414" w:rsidP="00A4081F">
      <w:pPr>
        <w:pStyle w:val="NumberedParas"/>
      </w:pPr>
      <w:r>
        <w:t>A description of the model is provided in a separate Technical Note.</w:t>
      </w:r>
    </w:p>
    <w:p w:rsidR="00660414" w:rsidRPr="00D64424" w:rsidRDefault="00660414" w:rsidP="00A4081F">
      <w:pPr>
        <w:pStyle w:val="NumberedParas"/>
      </w:pPr>
      <w:r w:rsidRPr="00D64424">
        <w:t xml:space="preserve">Tables </w:t>
      </w:r>
      <w:r>
        <w:t>7</w:t>
      </w:r>
      <w:r w:rsidRPr="00D64424">
        <w:t xml:space="preserve">.3 and </w:t>
      </w:r>
      <w:r>
        <w:t>7</w:t>
      </w:r>
      <w:r w:rsidRPr="00D64424">
        <w:t>.4 set out the 2020 and 2025 forecasts per airport, their TEN-T status and the proposed airport classification.</w:t>
      </w:r>
    </w:p>
    <w:p w:rsidR="00660414" w:rsidRPr="00D64424" w:rsidRDefault="00660414" w:rsidP="00660414">
      <w:pPr>
        <w:ind w:left="851"/>
        <w:rPr>
          <w:b/>
          <w:sz w:val="22"/>
          <w:szCs w:val="22"/>
        </w:rPr>
      </w:pPr>
      <w:r w:rsidRPr="00D64424">
        <w:rPr>
          <w:b/>
          <w:sz w:val="22"/>
          <w:szCs w:val="22"/>
        </w:rPr>
        <w:t>Table</w:t>
      </w:r>
      <w:r>
        <w:rPr>
          <w:b/>
          <w:sz w:val="22"/>
          <w:szCs w:val="22"/>
        </w:rPr>
        <w:t xml:space="preserve"> 7.3</w:t>
      </w:r>
      <w:r w:rsidRPr="00D64424">
        <w:rPr>
          <w:b/>
          <w:sz w:val="22"/>
          <w:szCs w:val="22"/>
        </w:rPr>
        <w:t>: Romanian Airports’ 2020 Forecasts, TEN-T Classification and Future AECOM Classification</w:t>
      </w:r>
    </w:p>
    <w:tbl>
      <w:tblPr>
        <w:tblW w:w="467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1699"/>
        <w:gridCol w:w="1276"/>
        <w:gridCol w:w="1559"/>
        <w:gridCol w:w="1419"/>
        <w:gridCol w:w="2599"/>
      </w:tblGrid>
      <w:tr w:rsidR="00660414" w:rsidRPr="00F923DC" w:rsidTr="007613DE">
        <w:tc>
          <w:tcPr>
            <w:tcW w:w="650" w:type="pct"/>
            <w:vMerge w:val="restar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Airport</w:t>
            </w:r>
          </w:p>
        </w:tc>
        <w:tc>
          <w:tcPr>
            <w:tcW w:w="864"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TEN-T Classification</w:t>
            </w:r>
          </w:p>
        </w:tc>
        <w:tc>
          <w:tcPr>
            <w:tcW w:w="2164" w:type="pct"/>
            <w:gridSpan w:val="3"/>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2020 Forecasts</w:t>
            </w:r>
          </w:p>
        </w:tc>
        <w:tc>
          <w:tcPr>
            <w:tcW w:w="1322"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AECOM</w:t>
            </w:r>
          </w:p>
        </w:tc>
      </w:tr>
      <w:tr w:rsidR="00660414" w:rsidRPr="00F923DC" w:rsidTr="007613DE">
        <w:tc>
          <w:tcPr>
            <w:tcW w:w="650" w:type="pct"/>
            <w:vMerge/>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p>
        </w:tc>
        <w:tc>
          <w:tcPr>
            <w:tcW w:w="864"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Core/ Comprehensive</w:t>
            </w:r>
          </w:p>
        </w:tc>
        <w:tc>
          <w:tcPr>
            <w:tcW w:w="649"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Domestic</w:t>
            </w:r>
          </w:p>
        </w:tc>
        <w:tc>
          <w:tcPr>
            <w:tcW w:w="793"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International</w:t>
            </w:r>
          </w:p>
        </w:tc>
        <w:tc>
          <w:tcPr>
            <w:tcW w:w="722"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TOTAL</w:t>
            </w:r>
          </w:p>
        </w:tc>
        <w:tc>
          <w:tcPr>
            <w:tcW w:w="1322" w:type="pct"/>
            <w:shd w:val="clear" w:color="auto" w:fill="B8CCE4" w:themeFill="accent1" w:themeFillTint="66"/>
            <w:vAlign w:val="center"/>
          </w:tcPr>
          <w:p w:rsidR="00660414" w:rsidRPr="00F923DC" w:rsidRDefault="00660414" w:rsidP="007613DE">
            <w:pPr>
              <w:tabs>
                <w:tab w:val="center" w:pos="4153"/>
                <w:tab w:val="right" w:pos="8306"/>
              </w:tabs>
              <w:jc w:val="center"/>
              <w:rPr>
                <w:b/>
                <w:sz w:val="20"/>
                <w:szCs w:val="20"/>
              </w:rPr>
            </w:pPr>
            <w:r w:rsidRPr="00F923DC">
              <w:rPr>
                <w:b/>
                <w:sz w:val="20"/>
                <w:szCs w:val="20"/>
              </w:rPr>
              <w:t>Classification</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 xml:space="preserve">Bucharest </w:t>
            </w:r>
          </w:p>
        </w:tc>
        <w:tc>
          <w:tcPr>
            <w:tcW w:w="864" w:type="pct"/>
          </w:tcPr>
          <w:p w:rsidR="00660414" w:rsidRPr="008C5B1B" w:rsidRDefault="00660414" w:rsidP="007613DE">
            <w:pPr>
              <w:tabs>
                <w:tab w:val="center" w:pos="4153"/>
                <w:tab w:val="right" w:pos="8306"/>
              </w:tabs>
              <w:jc w:val="center"/>
            </w:pPr>
            <w:r w:rsidRPr="008C5B1B">
              <w:t>Core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861,945</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8,850,387</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9,712,332</w:t>
            </w:r>
          </w:p>
        </w:tc>
        <w:tc>
          <w:tcPr>
            <w:tcW w:w="1322" w:type="pct"/>
          </w:tcPr>
          <w:p w:rsidR="00660414" w:rsidRPr="008C5B1B" w:rsidRDefault="00660414" w:rsidP="007613DE">
            <w:pPr>
              <w:tabs>
                <w:tab w:val="center" w:pos="4153"/>
                <w:tab w:val="right" w:pos="8306"/>
              </w:tabs>
            </w:pPr>
            <w:r w:rsidRPr="008C5B1B">
              <w:t>International</w:t>
            </w:r>
            <w:r>
              <w:t xml:space="preserve"> Major</w:t>
            </w:r>
            <w:r w:rsidRPr="008C5B1B">
              <w:t xml:space="preserve"> </w:t>
            </w:r>
            <w:r>
              <w:t xml:space="preserve">Hub </w:t>
            </w:r>
            <w:r w:rsidRPr="008C5B1B">
              <w:t>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Craiova</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437,186</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1,574,902</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2,012,088</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Timisoara</w:t>
            </w:r>
          </w:p>
        </w:tc>
        <w:tc>
          <w:tcPr>
            <w:tcW w:w="864" w:type="pct"/>
          </w:tcPr>
          <w:p w:rsidR="00660414" w:rsidRPr="008C5B1B" w:rsidRDefault="00660414" w:rsidP="007613DE">
            <w:pPr>
              <w:tabs>
                <w:tab w:val="center" w:pos="4153"/>
                <w:tab w:val="right" w:pos="8306"/>
              </w:tabs>
              <w:jc w:val="center"/>
            </w:pPr>
            <w:r w:rsidRPr="008C5B1B">
              <w:t>Core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444,687</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1,349,157</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1,793,844</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Sibiu</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329,746</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1,187,865</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1,517,612</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Cluj</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253,842</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1,094,722</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1,348,564</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Bacau</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258,620</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931,641</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1,190,261</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Iasi</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155,122</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558,807</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713,929</w:t>
            </w:r>
          </w:p>
        </w:tc>
        <w:tc>
          <w:tcPr>
            <w:tcW w:w="1322" w:type="pct"/>
          </w:tcPr>
          <w:p w:rsidR="00660414" w:rsidRPr="008C5B1B" w:rsidRDefault="00660414" w:rsidP="007613DE">
            <w:pPr>
              <w:tabs>
                <w:tab w:val="center" w:pos="4153"/>
                <w:tab w:val="right" w:pos="8306"/>
              </w:tabs>
            </w:pPr>
            <w:r w:rsidRPr="008C5B1B">
              <w:t>International Hub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Targu Mures</w:t>
            </w:r>
          </w:p>
        </w:tc>
        <w:tc>
          <w:tcPr>
            <w:tcW w:w="864" w:type="pct"/>
          </w:tcPr>
          <w:p w:rsidR="00660414" w:rsidRPr="008C5B1B" w:rsidRDefault="00660414" w:rsidP="007613DE">
            <w:pPr>
              <w:tabs>
                <w:tab w:val="center" w:pos="4153"/>
                <w:tab w:val="right" w:pos="8306"/>
              </w:tabs>
              <w:jc w:val="center"/>
            </w:pPr>
            <w:r w:rsidRPr="008C5B1B">
              <w:t>N/A</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149,948</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540,166</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690,114</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Oradea</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52,305</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185,671</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237,976</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Brasov</w:t>
            </w:r>
          </w:p>
        </w:tc>
        <w:tc>
          <w:tcPr>
            <w:tcW w:w="864" w:type="pct"/>
          </w:tcPr>
          <w:p w:rsidR="00660414" w:rsidRPr="008C5B1B" w:rsidRDefault="00660414" w:rsidP="007613DE">
            <w:pPr>
              <w:tabs>
                <w:tab w:val="center" w:pos="4153"/>
                <w:tab w:val="right" w:pos="8306"/>
              </w:tabs>
              <w:jc w:val="center"/>
            </w:pPr>
            <w:r w:rsidRPr="008C5B1B">
              <w:t>N/A</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52,199</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185,297</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237,496</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Constanta</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51,479</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182,740</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234,219</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Suceava</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51,390</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182,425</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233,816</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Tulcea</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42,081</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149,378</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191,459</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Baia Mare</w:t>
            </w:r>
          </w:p>
        </w:tc>
        <w:tc>
          <w:tcPr>
            <w:tcW w:w="864" w:type="pct"/>
          </w:tcPr>
          <w:p w:rsidR="00660414" w:rsidRPr="008C5B1B" w:rsidRDefault="00660414" w:rsidP="007613DE">
            <w:pPr>
              <w:tabs>
                <w:tab w:val="center" w:pos="4153"/>
                <w:tab w:val="right" w:pos="8306"/>
              </w:tabs>
              <w:jc w:val="center"/>
            </w:pPr>
            <w:r w:rsidRPr="008C5B1B">
              <w:t>Comprehensive</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39,405</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139,882</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179,287</w:t>
            </w:r>
          </w:p>
        </w:tc>
        <w:tc>
          <w:tcPr>
            <w:tcW w:w="1322" w:type="pct"/>
          </w:tcPr>
          <w:p w:rsidR="00660414" w:rsidRPr="008C5B1B" w:rsidRDefault="00660414" w:rsidP="007613DE">
            <w:pPr>
              <w:tabs>
                <w:tab w:val="center" w:pos="4153"/>
                <w:tab w:val="right" w:pos="8306"/>
              </w:tabs>
            </w:pPr>
            <w:r w:rsidRPr="008C5B1B">
              <w:t>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Arad</w:t>
            </w:r>
          </w:p>
        </w:tc>
        <w:tc>
          <w:tcPr>
            <w:tcW w:w="864" w:type="pct"/>
          </w:tcPr>
          <w:p w:rsidR="00660414" w:rsidRPr="008C5B1B" w:rsidRDefault="00660414" w:rsidP="007613DE">
            <w:pPr>
              <w:tabs>
                <w:tab w:val="center" w:pos="4153"/>
                <w:tab w:val="right" w:pos="8306"/>
              </w:tabs>
              <w:jc w:val="center"/>
            </w:pPr>
            <w:r w:rsidRPr="008C5B1B">
              <w:t>N/A</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24,147</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12,475</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36,621</w:t>
            </w:r>
          </w:p>
        </w:tc>
        <w:tc>
          <w:tcPr>
            <w:tcW w:w="1322" w:type="pct"/>
          </w:tcPr>
          <w:p w:rsidR="00660414" w:rsidRPr="008C5B1B" w:rsidRDefault="00660414" w:rsidP="007613DE">
            <w:pPr>
              <w:tabs>
                <w:tab w:val="center" w:pos="4153"/>
                <w:tab w:val="right" w:pos="8306"/>
              </w:tabs>
            </w:pPr>
            <w:r w:rsidRPr="008C5B1B">
              <w:t>Smaller 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r w:rsidRPr="008C5B1B">
              <w:rPr>
                <w:color w:val="000000"/>
              </w:rPr>
              <w:t>Satu Mare</w:t>
            </w:r>
          </w:p>
        </w:tc>
        <w:tc>
          <w:tcPr>
            <w:tcW w:w="864" w:type="pct"/>
          </w:tcPr>
          <w:p w:rsidR="00660414" w:rsidRPr="008C5B1B" w:rsidRDefault="00660414" w:rsidP="007613DE">
            <w:pPr>
              <w:tabs>
                <w:tab w:val="center" w:pos="4153"/>
                <w:tab w:val="right" w:pos="8306"/>
              </w:tabs>
              <w:jc w:val="center"/>
            </w:pPr>
            <w:r w:rsidRPr="008C5B1B">
              <w:t>N/A</w:t>
            </w:r>
          </w:p>
        </w:tc>
        <w:tc>
          <w:tcPr>
            <w:tcW w:w="649" w:type="pct"/>
            <w:vAlign w:val="bottom"/>
          </w:tcPr>
          <w:p w:rsidR="00660414" w:rsidRPr="008C5B1B" w:rsidRDefault="00660414" w:rsidP="007613DE">
            <w:pPr>
              <w:tabs>
                <w:tab w:val="center" w:pos="4153"/>
                <w:tab w:val="right" w:pos="8306"/>
              </w:tabs>
              <w:jc w:val="center"/>
              <w:rPr>
                <w:color w:val="000000"/>
              </w:rPr>
            </w:pPr>
            <w:r w:rsidRPr="008C5B1B">
              <w:rPr>
                <w:color w:val="000000"/>
              </w:rPr>
              <w:t>26,241</w:t>
            </w:r>
          </w:p>
        </w:tc>
        <w:tc>
          <w:tcPr>
            <w:tcW w:w="793" w:type="pct"/>
            <w:vAlign w:val="bottom"/>
          </w:tcPr>
          <w:p w:rsidR="00660414" w:rsidRPr="008C5B1B" w:rsidRDefault="00660414" w:rsidP="007613DE">
            <w:pPr>
              <w:tabs>
                <w:tab w:val="center" w:pos="4153"/>
                <w:tab w:val="right" w:pos="8306"/>
              </w:tabs>
              <w:jc w:val="center"/>
              <w:rPr>
                <w:color w:val="000000"/>
              </w:rPr>
            </w:pPr>
            <w:r w:rsidRPr="008C5B1B">
              <w:rPr>
                <w:color w:val="000000"/>
              </w:rPr>
              <w:t>4,308</w:t>
            </w:r>
          </w:p>
        </w:tc>
        <w:tc>
          <w:tcPr>
            <w:tcW w:w="722" w:type="pct"/>
            <w:vAlign w:val="bottom"/>
          </w:tcPr>
          <w:p w:rsidR="00660414" w:rsidRPr="008C5B1B" w:rsidRDefault="00660414" w:rsidP="007613DE">
            <w:pPr>
              <w:tabs>
                <w:tab w:val="center" w:pos="4153"/>
                <w:tab w:val="right" w:pos="8306"/>
              </w:tabs>
              <w:jc w:val="center"/>
              <w:rPr>
                <w:color w:val="000000"/>
              </w:rPr>
            </w:pPr>
            <w:r w:rsidRPr="008C5B1B">
              <w:rPr>
                <w:color w:val="000000"/>
              </w:rPr>
              <w:t>30,550</w:t>
            </w:r>
          </w:p>
        </w:tc>
        <w:tc>
          <w:tcPr>
            <w:tcW w:w="1322" w:type="pct"/>
          </w:tcPr>
          <w:p w:rsidR="00660414" w:rsidRPr="008C5B1B" w:rsidRDefault="00660414" w:rsidP="007613DE">
            <w:pPr>
              <w:tabs>
                <w:tab w:val="center" w:pos="4153"/>
                <w:tab w:val="right" w:pos="8306"/>
              </w:tabs>
            </w:pPr>
            <w:r w:rsidRPr="008C5B1B">
              <w:t>Smaller Regional Airport</w:t>
            </w:r>
          </w:p>
        </w:tc>
      </w:tr>
      <w:tr w:rsidR="00660414" w:rsidRPr="00F923DC" w:rsidTr="007613DE">
        <w:tc>
          <w:tcPr>
            <w:tcW w:w="650" w:type="pct"/>
            <w:vAlign w:val="bottom"/>
          </w:tcPr>
          <w:p w:rsidR="00660414" w:rsidRPr="008C5B1B" w:rsidRDefault="00660414" w:rsidP="007613DE">
            <w:pPr>
              <w:tabs>
                <w:tab w:val="center" w:pos="4153"/>
                <w:tab w:val="right" w:pos="8306"/>
              </w:tabs>
              <w:rPr>
                <w:color w:val="000000"/>
              </w:rPr>
            </w:pPr>
          </w:p>
        </w:tc>
        <w:tc>
          <w:tcPr>
            <w:tcW w:w="864" w:type="pct"/>
          </w:tcPr>
          <w:p w:rsidR="00660414" w:rsidRPr="008C5B1B" w:rsidRDefault="00660414" w:rsidP="007613DE">
            <w:pPr>
              <w:tabs>
                <w:tab w:val="center" w:pos="4153"/>
                <w:tab w:val="right" w:pos="8306"/>
              </w:tabs>
              <w:jc w:val="center"/>
            </w:pPr>
          </w:p>
        </w:tc>
        <w:tc>
          <w:tcPr>
            <w:tcW w:w="649" w:type="pct"/>
            <w:vAlign w:val="bottom"/>
          </w:tcPr>
          <w:p w:rsidR="00660414" w:rsidRPr="008C5B1B" w:rsidRDefault="00660414" w:rsidP="007613DE">
            <w:pPr>
              <w:tabs>
                <w:tab w:val="center" w:pos="4153"/>
                <w:tab w:val="right" w:pos="8306"/>
              </w:tabs>
              <w:jc w:val="center"/>
              <w:rPr>
                <w:b/>
                <w:bCs/>
                <w:color w:val="000000"/>
              </w:rPr>
            </w:pPr>
            <w:r w:rsidRPr="008C5B1B">
              <w:rPr>
                <w:b/>
                <w:bCs/>
                <w:color w:val="000000"/>
              </w:rPr>
              <w:t>3,094,350</w:t>
            </w:r>
          </w:p>
        </w:tc>
        <w:tc>
          <w:tcPr>
            <w:tcW w:w="793" w:type="pct"/>
            <w:vAlign w:val="bottom"/>
          </w:tcPr>
          <w:p w:rsidR="00660414" w:rsidRPr="008C5B1B" w:rsidRDefault="00660414" w:rsidP="007613DE">
            <w:pPr>
              <w:tabs>
                <w:tab w:val="center" w:pos="4153"/>
                <w:tab w:val="right" w:pos="8306"/>
              </w:tabs>
              <w:jc w:val="center"/>
              <w:rPr>
                <w:b/>
                <w:bCs/>
                <w:color w:val="000000"/>
              </w:rPr>
            </w:pPr>
            <w:r w:rsidRPr="008C5B1B">
              <w:rPr>
                <w:b/>
                <w:bCs/>
                <w:color w:val="000000"/>
              </w:rPr>
              <w:t>16,877,817</w:t>
            </w:r>
          </w:p>
        </w:tc>
        <w:tc>
          <w:tcPr>
            <w:tcW w:w="722" w:type="pct"/>
            <w:vAlign w:val="bottom"/>
          </w:tcPr>
          <w:p w:rsidR="00660414" w:rsidRPr="008C5B1B" w:rsidRDefault="00660414" w:rsidP="007613DE">
            <w:pPr>
              <w:tabs>
                <w:tab w:val="center" w:pos="4153"/>
                <w:tab w:val="right" w:pos="8306"/>
              </w:tabs>
              <w:jc w:val="center"/>
              <w:rPr>
                <w:b/>
                <w:bCs/>
                <w:color w:val="000000"/>
              </w:rPr>
            </w:pPr>
            <w:r w:rsidRPr="008C5B1B">
              <w:rPr>
                <w:b/>
                <w:bCs/>
                <w:color w:val="000000"/>
              </w:rPr>
              <w:t>19,972,167</w:t>
            </w:r>
          </w:p>
        </w:tc>
        <w:tc>
          <w:tcPr>
            <w:tcW w:w="1322" w:type="pct"/>
          </w:tcPr>
          <w:p w:rsidR="00660414" w:rsidRPr="008C5B1B" w:rsidRDefault="00660414" w:rsidP="007613DE">
            <w:pPr>
              <w:tabs>
                <w:tab w:val="center" w:pos="4153"/>
                <w:tab w:val="right" w:pos="8306"/>
              </w:tabs>
            </w:pPr>
          </w:p>
        </w:tc>
      </w:tr>
    </w:tbl>
    <w:p w:rsidR="00660414" w:rsidRPr="00751C60" w:rsidRDefault="00660414" w:rsidP="00660414">
      <w:pPr>
        <w:spacing w:after="200" w:line="276" w:lineRule="auto"/>
        <w:ind w:left="851"/>
        <w:rPr>
          <w:rFonts w:ascii="Calibri" w:eastAsia="Calibri" w:hAnsi="Calibri"/>
          <w:i/>
        </w:rPr>
      </w:pPr>
      <w:r w:rsidRPr="00751C60">
        <w:rPr>
          <w:rFonts w:ascii="Calibri" w:eastAsia="Calibri" w:hAnsi="Calibri"/>
          <w:i/>
        </w:rPr>
        <w:t>Source AECOM Analysis</w:t>
      </w:r>
    </w:p>
    <w:p w:rsidR="00660414" w:rsidRDefault="00660414" w:rsidP="00660414">
      <w:pPr>
        <w:rPr>
          <w:i/>
          <w:sz w:val="22"/>
          <w:szCs w:val="22"/>
        </w:rPr>
      </w:pPr>
      <w:r>
        <w:br w:type="page"/>
      </w:r>
    </w:p>
    <w:p w:rsidR="00660414" w:rsidRPr="00D64424" w:rsidRDefault="00660414" w:rsidP="00660414">
      <w:pPr>
        <w:spacing w:after="200" w:line="276" w:lineRule="auto"/>
        <w:ind w:left="851"/>
        <w:rPr>
          <w:b/>
          <w:sz w:val="22"/>
          <w:szCs w:val="22"/>
        </w:rPr>
      </w:pPr>
      <w:r w:rsidRPr="00D64424">
        <w:rPr>
          <w:b/>
          <w:sz w:val="22"/>
          <w:szCs w:val="22"/>
        </w:rPr>
        <w:t xml:space="preserve">Table </w:t>
      </w:r>
      <w:r>
        <w:rPr>
          <w:b/>
          <w:sz w:val="22"/>
          <w:szCs w:val="22"/>
        </w:rPr>
        <w:t>7.4</w:t>
      </w:r>
      <w:r w:rsidRPr="00D64424">
        <w:rPr>
          <w:b/>
          <w:sz w:val="22"/>
          <w:szCs w:val="22"/>
        </w:rPr>
        <w:t>: Romanian Airports’ 2025 Forecasts, TEN-T Classification and Future AECOM Classification</w:t>
      </w:r>
    </w:p>
    <w:tbl>
      <w:tblPr>
        <w:tblW w:w="9748"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701"/>
        <w:gridCol w:w="1418"/>
        <w:gridCol w:w="1559"/>
        <w:gridCol w:w="1417"/>
        <w:gridCol w:w="2377"/>
      </w:tblGrid>
      <w:tr w:rsidR="00660414" w:rsidTr="007613DE">
        <w:tc>
          <w:tcPr>
            <w:tcW w:w="1276" w:type="dxa"/>
            <w:vMerge w:val="restart"/>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Airport</w:t>
            </w:r>
          </w:p>
        </w:tc>
        <w:tc>
          <w:tcPr>
            <w:tcW w:w="1701"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TEN-T Classification</w:t>
            </w:r>
          </w:p>
        </w:tc>
        <w:tc>
          <w:tcPr>
            <w:tcW w:w="4394" w:type="dxa"/>
            <w:gridSpan w:val="3"/>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2025 Forecasts</w:t>
            </w:r>
          </w:p>
        </w:tc>
        <w:tc>
          <w:tcPr>
            <w:tcW w:w="2377"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AECOM</w:t>
            </w:r>
          </w:p>
        </w:tc>
      </w:tr>
      <w:tr w:rsidR="00660414" w:rsidTr="007613DE">
        <w:tc>
          <w:tcPr>
            <w:tcW w:w="1276" w:type="dxa"/>
            <w:vMerge/>
            <w:shd w:val="clear" w:color="auto" w:fill="B8CCE4" w:themeFill="accent1" w:themeFillTint="66"/>
            <w:vAlign w:val="center"/>
          </w:tcPr>
          <w:p w:rsidR="00660414" w:rsidRPr="00D64424" w:rsidRDefault="00660414" w:rsidP="007613DE">
            <w:pPr>
              <w:tabs>
                <w:tab w:val="center" w:pos="4153"/>
                <w:tab w:val="right" w:pos="8306"/>
              </w:tabs>
              <w:jc w:val="center"/>
              <w:rPr>
                <w:b/>
              </w:rPr>
            </w:pPr>
          </w:p>
        </w:tc>
        <w:tc>
          <w:tcPr>
            <w:tcW w:w="1701"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Core/ Comprehensive</w:t>
            </w:r>
          </w:p>
        </w:tc>
        <w:tc>
          <w:tcPr>
            <w:tcW w:w="1418"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Domestic</w:t>
            </w:r>
          </w:p>
        </w:tc>
        <w:tc>
          <w:tcPr>
            <w:tcW w:w="1559"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International</w:t>
            </w:r>
          </w:p>
        </w:tc>
        <w:tc>
          <w:tcPr>
            <w:tcW w:w="1417"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TOTAL</w:t>
            </w:r>
          </w:p>
        </w:tc>
        <w:tc>
          <w:tcPr>
            <w:tcW w:w="2377" w:type="dxa"/>
            <w:shd w:val="clear" w:color="auto" w:fill="B8CCE4" w:themeFill="accent1" w:themeFillTint="66"/>
            <w:vAlign w:val="center"/>
          </w:tcPr>
          <w:p w:rsidR="00660414" w:rsidRPr="00D64424" w:rsidRDefault="00660414" w:rsidP="007613DE">
            <w:pPr>
              <w:tabs>
                <w:tab w:val="center" w:pos="4153"/>
                <w:tab w:val="right" w:pos="8306"/>
              </w:tabs>
              <w:jc w:val="center"/>
              <w:rPr>
                <w:b/>
              </w:rPr>
            </w:pPr>
            <w:r w:rsidRPr="00D64424">
              <w:rPr>
                <w:b/>
              </w:rPr>
              <w:t>Classification</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Pr>
                <w:color w:val="000000"/>
              </w:rPr>
              <w:t xml:space="preserve">Bucharest </w:t>
            </w:r>
          </w:p>
        </w:tc>
        <w:tc>
          <w:tcPr>
            <w:tcW w:w="1701" w:type="dxa"/>
          </w:tcPr>
          <w:p w:rsidR="00660414" w:rsidRPr="002826E4" w:rsidRDefault="00660414" w:rsidP="007613DE">
            <w:pPr>
              <w:tabs>
                <w:tab w:val="center" w:pos="4153"/>
                <w:tab w:val="right" w:pos="8306"/>
              </w:tabs>
              <w:jc w:val="center"/>
            </w:pPr>
            <w:r>
              <w:t>Core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1,067,966</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10,965,787</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12,033,752</w:t>
            </w:r>
          </w:p>
        </w:tc>
        <w:tc>
          <w:tcPr>
            <w:tcW w:w="2377" w:type="dxa"/>
          </w:tcPr>
          <w:p w:rsidR="00660414" w:rsidRPr="002826E4" w:rsidRDefault="00660414" w:rsidP="007613DE">
            <w:pPr>
              <w:tabs>
                <w:tab w:val="center" w:pos="4153"/>
                <w:tab w:val="right" w:pos="8306"/>
              </w:tabs>
            </w:pPr>
            <w:r>
              <w:t>International Major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Craiova</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555,340</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2,000,536</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2,555,877</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Timisoara</w:t>
            </w:r>
          </w:p>
        </w:tc>
        <w:tc>
          <w:tcPr>
            <w:tcW w:w="1701" w:type="dxa"/>
          </w:tcPr>
          <w:p w:rsidR="00660414" w:rsidRPr="002826E4" w:rsidRDefault="00660414" w:rsidP="007613DE">
            <w:pPr>
              <w:tabs>
                <w:tab w:val="center" w:pos="4153"/>
                <w:tab w:val="right" w:pos="8306"/>
              </w:tabs>
              <w:jc w:val="center"/>
            </w:pPr>
            <w:r w:rsidRPr="002826E4">
              <w:t>Core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549,561</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1,667,339</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2,216,900</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Sibiu</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409,844</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1,476,408</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1,886,252</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Cluj</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317,455</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1,369,059</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1,686,514</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Bacau</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320,053</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1,152,948</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1,473,002</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Iasi</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194,879</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702,024</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896,903</w:t>
            </w:r>
          </w:p>
        </w:tc>
        <w:tc>
          <w:tcPr>
            <w:tcW w:w="2377" w:type="dxa"/>
          </w:tcPr>
          <w:p w:rsidR="00660414" w:rsidRPr="002826E4" w:rsidRDefault="00660414" w:rsidP="007613DE">
            <w:pPr>
              <w:tabs>
                <w:tab w:val="center" w:pos="4153"/>
                <w:tab w:val="right" w:pos="8306"/>
              </w:tabs>
            </w:pPr>
            <w:r>
              <w:t>International Hub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Targu Mures</w:t>
            </w:r>
          </w:p>
        </w:tc>
        <w:tc>
          <w:tcPr>
            <w:tcW w:w="1701" w:type="dxa"/>
          </w:tcPr>
          <w:p w:rsidR="00660414" w:rsidRPr="002826E4" w:rsidRDefault="00660414" w:rsidP="007613DE">
            <w:pPr>
              <w:tabs>
                <w:tab w:val="center" w:pos="4153"/>
                <w:tab w:val="right" w:pos="8306"/>
              </w:tabs>
              <w:jc w:val="center"/>
            </w:pPr>
            <w:r w:rsidRPr="002826E4">
              <w:t>N/A</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186,371</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671,377</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857,748</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Oradea</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65,574</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232,774</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298,348</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Brasov</w:t>
            </w:r>
          </w:p>
        </w:tc>
        <w:tc>
          <w:tcPr>
            <w:tcW w:w="1701" w:type="dxa"/>
          </w:tcPr>
          <w:p w:rsidR="00660414" w:rsidRPr="002826E4" w:rsidRDefault="00660414" w:rsidP="007613DE">
            <w:pPr>
              <w:tabs>
                <w:tab w:val="center" w:pos="4153"/>
                <w:tab w:val="right" w:pos="8306"/>
              </w:tabs>
              <w:jc w:val="center"/>
            </w:pPr>
            <w:r w:rsidRPr="002826E4">
              <w:t>N/A</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64,510</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228,997</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293,507</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Constanta</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64,220</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227,967</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292,186</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Suceava</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63,848</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226,648</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290,496</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Tulcea</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52,005</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184,608</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236,613</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Baia Mare</w:t>
            </w:r>
          </w:p>
        </w:tc>
        <w:tc>
          <w:tcPr>
            <w:tcW w:w="1701" w:type="dxa"/>
          </w:tcPr>
          <w:p w:rsidR="00660414" w:rsidRPr="002826E4" w:rsidRDefault="00660414" w:rsidP="007613DE">
            <w:pPr>
              <w:tabs>
                <w:tab w:val="center" w:pos="4153"/>
                <w:tab w:val="right" w:pos="8306"/>
              </w:tabs>
              <w:jc w:val="center"/>
            </w:pPr>
            <w:r w:rsidRPr="002826E4">
              <w:t>Comprehensive</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49,402</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175,368</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224,771</w:t>
            </w:r>
          </w:p>
        </w:tc>
        <w:tc>
          <w:tcPr>
            <w:tcW w:w="2377" w:type="dxa"/>
          </w:tcPr>
          <w:p w:rsidR="00660414" w:rsidRPr="002826E4" w:rsidRDefault="00660414" w:rsidP="007613DE">
            <w:pPr>
              <w:tabs>
                <w:tab w:val="center" w:pos="4153"/>
                <w:tab w:val="right" w:pos="8306"/>
              </w:tabs>
            </w:pPr>
            <w:r>
              <w:t>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Arad</w:t>
            </w:r>
          </w:p>
        </w:tc>
        <w:tc>
          <w:tcPr>
            <w:tcW w:w="1701" w:type="dxa"/>
          </w:tcPr>
          <w:p w:rsidR="00660414" w:rsidRPr="002826E4" w:rsidRDefault="00660414" w:rsidP="007613DE">
            <w:pPr>
              <w:tabs>
                <w:tab w:val="center" w:pos="4153"/>
                <w:tab w:val="right" w:pos="8306"/>
              </w:tabs>
              <w:jc w:val="center"/>
            </w:pPr>
            <w:r w:rsidRPr="002826E4">
              <w:t>N/A</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29,841</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15,417</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45,258</w:t>
            </w:r>
          </w:p>
        </w:tc>
        <w:tc>
          <w:tcPr>
            <w:tcW w:w="2377" w:type="dxa"/>
          </w:tcPr>
          <w:p w:rsidR="00660414" w:rsidRPr="002826E4" w:rsidRDefault="00660414" w:rsidP="007613DE">
            <w:pPr>
              <w:tabs>
                <w:tab w:val="center" w:pos="4153"/>
                <w:tab w:val="right" w:pos="8306"/>
              </w:tabs>
            </w:pPr>
            <w:r>
              <w:t>Smaller Regional Airport</w:t>
            </w:r>
          </w:p>
        </w:tc>
      </w:tr>
      <w:tr w:rsidR="00660414" w:rsidTr="007613DE">
        <w:tc>
          <w:tcPr>
            <w:tcW w:w="1276" w:type="dxa"/>
            <w:vAlign w:val="bottom"/>
          </w:tcPr>
          <w:p w:rsidR="00660414" w:rsidRPr="002826E4" w:rsidRDefault="00660414" w:rsidP="007613DE">
            <w:pPr>
              <w:tabs>
                <w:tab w:val="center" w:pos="4153"/>
                <w:tab w:val="right" w:pos="8306"/>
              </w:tabs>
              <w:rPr>
                <w:color w:val="000000"/>
              </w:rPr>
            </w:pPr>
            <w:r w:rsidRPr="002826E4">
              <w:rPr>
                <w:color w:val="000000"/>
              </w:rPr>
              <w:t>Satu Mare</w:t>
            </w:r>
          </w:p>
        </w:tc>
        <w:tc>
          <w:tcPr>
            <w:tcW w:w="1701" w:type="dxa"/>
          </w:tcPr>
          <w:p w:rsidR="00660414" w:rsidRPr="002826E4" w:rsidRDefault="00660414" w:rsidP="007613DE">
            <w:pPr>
              <w:tabs>
                <w:tab w:val="center" w:pos="4153"/>
                <w:tab w:val="right" w:pos="8306"/>
              </w:tabs>
              <w:jc w:val="center"/>
            </w:pPr>
            <w:r w:rsidRPr="002826E4">
              <w:t>N/A</w:t>
            </w:r>
          </w:p>
        </w:tc>
        <w:tc>
          <w:tcPr>
            <w:tcW w:w="1418" w:type="dxa"/>
            <w:vAlign w:val="bottom"/>
          </w:tcPr>
          <w:p w:rsidR="00660414" w:rsidRPr="002826E4" w:rsidRDefault="00660414" w:rsidP="007613DE">
            <w:pPr>
              <w:tabs>
                <w:tab w:val="center" w:pos="4153"/>
                <w:tab w:val="right" w:pos="8306"/>
              </w:tabs>
              <w:jc w:val="center"/>
              <w:rPr>
                <w:color w:val="000000"/>
              </w:rPr>
            </w:pPr>
            <w:r>
              <w:rPr>
                <w:color w:val="000000"/>
              </w:rPr>
              <w:t>32,861</w:t>
            </w:r>
          </w:p>
        </w:tc>
        <w:tc>
          <w:tcPr>
            <w:tcW w:w="1559" w:type="dxa"/>
            <w:vAlign w:val="bottom"/>
          </w:tcPr>
          <w:p w:rsidR="00660414" w:rsidRPr="002826E4" w:rsidRDefault="00660414" w:rsidP="007613DE">
            <w:pPr>
              <w:tabs>
                <w:tab w:val="center" w:pos="4153"/>
                <w:tab w:val="right" w:pos="8306"/>
              </w:tabs>
              <w:jc w:val="center"/>
              <w:rPr>
                <w:color w:val="000000"/>
              </w:rPr>
            </w:pPr>
            <w:r>
              <w:rPr>
                <w:color w:val="000000"/>
              </w:rPr>
              <w:t>5,395</w:t>
            </w:r>
          </w:p>
        </w:tc>
        <w:tc>
          <w:tcPr>
            <w:tcW w:w="1417" w:type="dxa"/>
            <w:vAlign w:val="bottom"/>
          </w:tcPr>
          <w:p w:rsidR="00660414" w:rsidRPr="002826E4" w:rsidRDefault="00660414" w:rsidP="007613DE">
            <w:pPr>
              <w:tabs>
                <w:tab w:val="center" w:pos="4153"/>
                <w:tab w:val="right" w:pos="8306"/>
              </w:tabs>
              <w:jc w:val="center"/>
              <w:rPr>
                <w:color w:val="000000"/>
              </w:rPr>
            </w:pPr>
            <w:r>
              <w:rPr>
                <w:color w:val="000000"/>
              </w:rPr>
              <w:t>38,256</w:t>
            </w:r>
          </w:p>
        </w:tc>
        <w:tc>
          <w:tcPr>
            <w:tcW w:w="2377" w:type="dxa"/>
          </w:tcPr>
          <w:p w:rsidR="00660414" w:rsidRPr="002826E4" w:rsidRDefault="00660414" w:rsidP="007613DE">
            <w:pPr>
              <w:tabs>
                <w:tab w:val="center" w:pos="4153"/>
                <w:tab w:val="right" w:pos="8306"/>
              </w:tabs>
            </w:pPr>
            <w:r>
              <w:t>Smaller Regional Airport</w:t>
            </w:r>
          </w:p>
        </w:tc>
      </w:tr>
      <w:tr w:rsidR="00660414" w:rsidTr="007613DE">
        <w:tc>
          <w:tcPr>
            <w:tcW w:w="1276" w:type="dxa"/>
            <w:vAlign w:val="bottom"/>
          </w:tcPr>
          <w:p w:rsidR="00660414" w:rsidRPr="00D64424" w:rsidRDefault="00660414" w:rsidP="007613DE">
            <w:pPr>
              <w:tabs>
                <w:tab w:val="center" w:pos="4153"/>
                <w:tab w:val="right" w:pos="8306"/>
              </w:tabs>
              <w:rPr>
                <w:color w:val="000000"/>
              </w:rPr>
            </w:pPr>
          </w:p>
        </w:tc>
        <w:tc>
          <w:tcPr>
            <w:tcW w:w="1701" w:type="dxa"/>
          </w:tcPr>
          <w:p w:rsidR="00660414" w:rsidRPr="004C46CE" w:rsidRDefault="00660414" w:rsidP="007613DE">
            <w:pPr>
              <w:tabs>
                <w:tab w:val="center" w:pos="4153"/>
                <w:tab w:val="right" w:pos="8306"/>
              </w:tabs>
              <w:jc w:val="center"/>
            </w:pPr>
          </w:p>
        </w:tc>
        <w:tc>
          <w:tcPr>
            <w:tcW w:w="1418" w:type="dxa"/>
            <w:vAlign w:val="bottom"/>
          </w:tcPr>
          <w:p w:rsidR="00660414" w:rsidRPr="00D64424" w:rsidRDefault="00660414" w:rsidP="007613DE">
            <w:pPr>
              <w:tabs>
                <w:tab w:val="center" w:pos="4153"/>
                <w:tab w:val="right" w:pos="8306"/>
              </w:tabs>
              <w:jc w:val="center"/>
              <w:rPr>
                <w:b/>
                <w:bCs/>
                <w:color w:val="000000"/>
              </w:rPr>
            </w:pPr>
            <w:r w:rsidRPr="00D64424">
              <w:rPr>
                <w:b/>
                <w:bCs/>
                <w:color w:val="000000"/>
              </w:rPr>
              <w:t>3,854,703</w:t>
            </w:r>
          </w:p>
        </w:tc>
        <w:tc>
          <w:tcPr>
            <w:tcW w:w="1559" w:type="dxa"/>
            <w:vAlign w:val="bottom"/>
          </w:tcPr>
          <w:p w:rsidR="00660414" w:rsidRPr="00D64424" w:rsidRDefault="00660414" w:rsidP="007613DE">
            <w:pPr>
              <w:tabs>
                <w:tab w:val="center" w:pos="4153"/>
                <w:tab w:val="right" w:pos="8306"/>
              </w:tabs>
              <w:jc w:val="center"/>
              <w:rPr>
                <w:b/>
                <w:bCs/>
                <w:color w:val="000000"/>
              </w:rPr>
            </w:pPr>
            <w:r w:rsidRPr="00D64424">
              <w:rPr>
                <w:b/>
                <w:bCs/>
                <w:color w:val="000000"/>
              </w:rPr>
              <w:t>20,989,429</w:t>
            </w:r>
          </w:p>
        </w:tc>
        <w:tc>
          <w:tcPr>
            <w:tcW w:w="1417" w:type="dxa"/>
            <w:vAlign w:val="bottom"/>
          </w:tcPr>
          <w:p w:rsidR="00660414" w:rsidRPr="00D64424" w:rsidRDefault="00660414" w:rsidP="007613DE">
            <w:pPr>
              <w:tabs>
                <w:tab w:val="center" w:pos="4153"/>
                <w:tab w:val="right" w:pos="8306"/>
              </w:tabs>
              <w:jc w:val="center"/>
              <w:rPr>
                <w:b/>
                <w:bCs/>
                <w:color w:val="000000"/>
              </w:rPr>
            </w:pPr>
            <w:r w:rsidRPr="00D64424">
              <w:rPr>
                <w:b/>
                <w:bCs/>
                <w:color w:val="000000"/>
              </w:rPr>
              <w:t>24,844,132</w:t>
            </w:r>
          </w:p>
        </w:tc>
        <w:tc>
          <w:tcPr>
            <w:tcW w:w="2377" w:type="dxa"/>
          </w:tcPr>
          <w:p w:rsidR="00660414" w:rsidRPr="004C46CE" w:rsidRDefault="00660414" w:rsidP="007613DE">
            <w:pPr>
              <w:tabs>
                <w:tab w:val="center" w:pos="4153"/>
                <w:tab w:val="right" w:pos="8306"/>
              </w:tabs>
            </w:pPr>
          </w:p>
        </w:tc>
      </w:tr>
    </w:tbl>
    <w:p w:rsidR="00660414" w:rsidRPr="00544233" w:rsidRDefault="00660414" w:rsidP="00660414">
      <w:pPr>
        <w:spacing w:after="200" w:line="276" w:lineRule="auto"/>
        <w:ind w:left="851"/>
        <w:rPr>
          <w:rFonts w:ascii="Calibri" w:eastAsia="Calibri" w:hAnsi="Calibri"/>
          <w:i/>
        </w:rPr>
      </w:pPr>
      <w:r w:rsidRPr="00751C60">
        <w:rPr>
          <w:rFonts w:ascii="Calibri" w:eastAsia="Calibri" w:hAnsi="Calibri"/>
          <w:i/>
        </w:rPr>
        <w:t>Source AECOM Analysis</w:t>
      </w:r>
    </w:p>
    <w:p w:rsidR="00660414" w:rsidRDefault="00660414" w:rsidP="00A4081F">
      <w:pPr>
        <w:pStyle w:val="NumberedParas"/>
      </w:pPr>
      <w:r w:rsidRPr="00D64424">
        <w:t xml:space="preserve">Figure </w:t>
      </w:r>
      <w:r>
        <w:t>7.4 provides</w:t>
      </w:r>
      <w:r w:rsidRPr="00D64424">
        <w:t xml:space="preserve"> an illustration of the full growth compared to the factored past trends growth.</w:t>
      </w:r>
    </w:p>
    <w:p w:rsidR="00660414" w:rsidRDefault="00660414" w:rsidP="00660414">
      <w:pPr>
        <w:pStyle w:val="Body"/>
        <w:ind w:left="851"/>
      </w:pPr>
      <w:r>
        <w:rPr>
          <w:noProof/>
          <w:lang w:val="ro-RO" w:eastAsia="ro-RO"/>
        </w:rPr>
        <w:drawing>
          <wp:inline distT="0" distB="0" distL="0" distR="0" wp14:anchorId="23371F8A" wp14:editId="14C1AD3A">
            <wp:extent cx="3828177" cy="2857500"/>
            <wp:effectExtent l="19050" t="0" r="19923" b="0"/>
            <wp:docPr id="7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660414" w:rsidRDefault="00660414" w:rsidP="00A4081F">
      <w:pPr>
        <w:pStyle w:val="NumberedParas"/>
        <w:numPr>
          <w:ilvl w:val="0"/>
          <w:numId w:val="0"/>
        </w:numPr>
        <w:ind w:left="851"/>
      </w:pPr>
      <w:r w:rsidRPr="00F923DC">
        <w:t>Source: Actual flight departures by airport that were provided by the airport authority and used as baseline figures for the Air Forecasting Model</w:t>
      </w:r>
    </w:p>
    <w:p w:rsidR="00660414" w:rsidRPr="00D64424" w:rsidRDefault="00660414" w:rsidP="00660414">
      <w:pPr>
        <w:ind w:left="851"/>
        <w:rPr>
          <w:b/>
          <w:sz w:val="22"/>
          <w:szCs w:val="22"/>
        </w:rPr>
      </w:pPr>
      <w:r w:rsidRPr="00D64424">
        <w:rPr>
          <w:b/>
          <w:sz w:val="22"/>
          <w:szCs w:val="22"/>
        </w:rPr>
        <w:t xml:space="preserve">Figure </w:t>
      </w:r>
      <w:r>
        <w:rPr>
          <w:b/>
          <w:sz w:val="22"/>
          <w:szCs w:val="22"/>
        </w:rPr>
        <w:t>7.4</w:t>
      </w:r>
      <w:r w:rsidRPr="00D64424">
        <w:rPr>
          <w:b/>
          <w:sz w:val="22"/>
          <w:szCs w:val="22"/>
        </w:rPr>
        <w:t xml:space="preserve">: </w:t>
      </w:r>
      <w:r>
        <w:rPr>
          <w:b/>
          <w:sz w:val="22"/>
          <w:szCs w:val="22"/>
        </w:rPr>
        <w:t xml:space="preserve">Potential </w:t>
      </w:r>
      <w:r w:rsidRPr="00D64424">
        <w:rPr>
          <w:b/>
          <w:sz w:val="22"/>
          <w:szCs w:val="22"/>
        </w:rPr>
        <w:t xml:space="preserve">Air Forecasts Compared with </w:t>
      </w:r>
      <w:r>
        <w:rPr>
          <w:b/>
          <w:sz w:val="22"/>
          <w:szCs w:val="22"/>
        </w:rPr>
        <w:t>Trend Analysis</w:t>
      </w:r>
      <w:r w:rsidRPr="00D64424">
        <w:rPr>
          <w:b/>
          <w:sz w:val="22"/>
          <w:szCs w:val="22"/>
        </w:rPr>
        <w:t xml:space="preserve"> </w:t>
      </w:r>
    </w:p>
    <w:p w:rsidR="00660414" w:rsidRPr="008C5B1B" w:rsidRDefault="00660414" w:rsidP="00660414">
      <w:r>
        <w:br w:type="page"/>
      </w:r>
    </w:p>
    <w:p w:rsidR="00660414" w:rsidRPr="004A246E" w:rsidRDefault="00660414" w:rsidP="00660414">
      <w:pPr>
        <w:pStyle w:val="Hdg3"/>
      </w:pPr>
      <w:r w:rsidRPr="004A246E">
        <w:t>Airport Infrastructure, Future Demand and Capacities</w:t>
      </w:r>
    </w:p>
    <w:p w:rsidR="00660414" w:rsidRPr="00A72AA9" w:rsidRDefault="00660414" w:rsidP="00660414">
      <w:pPr>
        <w:rPr>
          <w:b/>
          <w:sz w:val="22"/>
          <w:szCs w:val="22"/>
        </w:rPr>
      </w:pPr>
      <w:r w:rsidRPr="00A72AA9">
        <w:rPr>
          <w:b/>
          <w:sz w:val="22"/>
          <w:szCs w:val="22"/>
        </w:rPr>
        <w:t>Airside constraints – aprons, taxiways and runways</w:t>
      </w:r>
    </w:p>
    <w:p w:rsidR="00660414" w:rsidRPr="00A72AA9" w:rsidRDefault="00660414" w:rsidP="00A4081F">
      <w:pPr>
        <w:pStyle w:val="NumberedParas"/>
      </w:pPr>
      <w:r w:rsidRPr="00A72AA9">
        <w:t xml:space="preserve">Table </w:t>
      </w:r>
      <w:r>
        <w:t>7.5</w:t>
      </w:r>
      <w:r w:rsidRPr="00A72AA9">
        <w:t xml:space="preserve"> sets out the assumptions in calculating the demand for apron stands.</w:t>
      </w:r>
      <w:r>
        <w:t xml:space="preserve"> </w:t>
      </w:r>
    </w:p>
    <w:p w:rsidR="00660414" w:rsidRDefault="00660414" w:rsidP="00660414">
      <w:pPr>
        <w:ind w:left="851"/>
        <w:rPr>
          <w:b/>
          <w:sz w:val="22"/>
          <w:szCs w:val="22"/>
        </w:rPr>
      </w:pPr>
      <w:r w:rsidRPr="001C5C72">
        <w:rPr>
          <w:b/>
          <w:sz w:val="22"/>
          <w:szCs w:val="22"/>
        </w:rPr>
        <w:t xml:space="preserve">Table </w:t>
      </w:r>
      <w:r>
        <w:rPr>
          <w:b/>
          <w:sz w:val="22"/>
          <w:szCs w:val="22"/>
        </w:rPr>
        <w:t>7</w:t>
      </w:r>
      <w:r w:rsidRPr="001C5C72">
        <w:rPr>
          <w:b/>
          <w:sz w:val="22"/>
          <w:szCs w:val="22"/>
        </w:rPr>
        <w:t>.5: Assumptions in Determining Apron Space</w:t>
      </w:r>
    </w:p>
    <w:tbl>
      <w:tblPr>
        <w:tblW w:w="9559"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126"/>
        <w:gridCol w:w="1276"/>
        <w:gridCol w:w="1276"/>
        <w:gridCol w:w="1275"/>
        <w:gridCol w:w="1276"/>
        <w:gridCol w:w="1134"/>
        <w:gridCol w:w="1196"/>
      </w:tblGrid>
      <w:tr w:rsidR="00660414" w:rsidRPr="008F4A19" w:rsidTr="007613DE">
        <w:trPr>
          <w:trHeight w:val="963"/>
          <w:tblHeader/>
          <w:jc w:val="center"/>
        </w:trPr>
        <w:tc>
          <w:tcPr>
            <w:tcW w:w="2126" w:type="dxa"/>
            <w:tcBorders>
              <w:top w:val="single" w:sz="12" w:space="0" w:color="4F81BD"/>
              <w:left w:val="single" w:sz="12" w:space="0" w:color="4F81BD"/>
              <w:bottom w:val="single" w:sz="12" w:space="0" w:color="4F81BD"/>
            </w:tcBorders>
            <w:shd w:val="clear" w:color="auto" w:fill="B8CCE4" w:themeFill="accent1" w:themeFillTint="66"/>
            <w:vAlign w:val="center"/>
          </w:tcPr>
          <w:p w:rsidR="00660414" w:rsidRPr="00320919" w:rsidRDefault="00660414" w:rsidP="007613DE">
            <w:pPr>
              <w:rPr>
                <w:b/>
              </w:rPr>
            </w:pPr>
            <w:r w:rsidRPr="00320919">
              <w:rPr>
                <w:b/>
              </w:rPr>
              <w:t>Airport Classification</w:t>
            </w:r>
          </w:p>
        </w:tc>
        <w:tc>
          <w:tcPr>
            <w:tcW w:w="1276"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sidRPr="00320919">
              <w:rPr>
                <w:b/>
              </w:rPr>
              <w:t xml:space="preserve">Pax Per </w:t>
            </w:r>
          </w:p>
          <w:p w:rsidR="00660414" w:rsidRPr="00320919" w:rsidRDefault="00660414" w:rsidP="007613DE">
            <w:pPr>
              <w:ind w:left="-3761" w:firstLine="3761"/>
              <w:jc w:val="center"/>
              <w:rPr>
                <w:b/>
              </w:rPr>
            </w:pPr>
            <w:r w:rsidRPr="00320919">
              <w:rPr>
                <w:b/>
              </w:rPr>
              <w:t xml:space="preserve">Code D </w:t>
            </w:r>
          </w:p>
          <w:p w:rsidR="00660414" w:rsidRPr="00320919" w:rsidRDefault="00660414" w:rsidP="007613DE">
            <w:pPr>
              <w:ind w:left="-3761" w:firstLine="3761"/>
              <w:jc w:val="center"/>
              <w:rPr>
                <w:b/>
              </w:rPr>
            </w:pPr>
            <w:r w:rsidRPr="00320919">
              <w:rPr>
                <w:b/>
              </w:rPr>
              <w:t>Aircraft</w:t>
            </w:r>
          </w:p>
          <w:p w:rsidR="00660414" w:rsidRPr="00320919" w:rsidRDefault="00660414" w:rsidP="007613DE">
            <w:pPr>
              <w:ind w:left="-3761" w:firstLine="3761"/>
              <w:jc w:val="center"/>
              <w:rPr>
                <w:b/>
              </w:rPr>
            </w:pPr>
            <w:r>
              <w:rPr>
                <w:b/>
              </w:rPr>
              <w:t xml:space="preserve">(70% </w:t>
            </w:r>
            <w:r w:rsidRPr="00320919">
              <w:rPr>
                <w:b/>
              </w:rPr>
              <w:t>load)</w:t>
            </w:r>
          </w:p>
        </w:tc>
        <w:tc>
          <w:tcPr>
            <w:tcW w:w="1276"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Pr>
                <w:b/>
              </w:rPr>
              <w:t>Code C</w:t>
            </w:r>
          </w:p>
          <w:p w:rsidR="00660414" w:rsidRPr="00320919" w:rsidRDefault="00660414" w:rsidP="007613DE">
            <w:pPr>
              <w:ind w:left="-3761" w:firstLine="3761"/>
              <w:jc w:val="center"/>
              <w:rPr>
                <w:b/>
              </w:rPr>
            </w:pPr>
            <w:r w:rsidRPr="00320919">
              <w:rPr>
                <w:b/>
              </w:rPr>
              <w:t>Percentage</w:t>
            </w:r>
          </w:p>
          <w:p w:rsidR="00660414" w:rsidRPr="00320919" w:rsidRDefault="00660414" w:rsidP="007613DE">
            <w:pPr>
              <w:ind w:left="-3761" w:firstLine="3761"/>
              <w:jc w:val="center"/>
              <w:rPr>
                <w:b/>
              </w:rPr>
            </w:pPr>
            <w:r w:rsidRPr="00320919">
              <w:rPr>
                <w:b/>
              </w:rPr>
              <w:t>Of Flights</w:t>
            </w:r>
          </w:p>
          <w:p w:rsidR="00660414" w:rsidRPr="00320919" w:rsidRDefault="00660414" w:rsidP="007613DE">
            <w:pPr>
              <w:ind w:left="-3761" w:firstLine="3794"/>
              <w:jc w:val="center"/>
              <w:rPr>
                <w:b/>
              </w:rPr>
            </w:pPr>
          </w:p>
        </w:tc>
        <w:tc>
          <w:tcPr>
            <w:tcW w:w="1275"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sidRPr="00320919">
              <w:rPr>
                <w:b/>
              </w:rPr>
              <w:t xml:space="preserve">Pax Per </w:t>
            </w:r>
          </w:p>
          <w:p w:rsidR="00660414" w:rsidRPr="00320919" w:rsidRDefault="00660414" w:rsidP="007613DE">
            <w:pPr>
              <w:ind w:left="-3761" w:firstLine="3761"/>
              <w:jc w:val="center"/>
              <w:rPr>
                <w:b/>
              </w:rPr>
            </w:pPr>
            <w:r w:rsidRPr="00320919">
              <w:rPr>
                <w:b/>
              </w:rPr>
              <w:t xml:space="preserve">Code D </w:t>
            </w:r>
          </w:p>
          <w:p w:rsidR="00660414" w:rsidRPr="00320919" w:rsidRDefault="00660414" w:rsidP="007613DE">
            <w:pPr>
              <w:ind w:left="-3761" w:firstLine="3761"/>
              <w:jc w:val="center"/>
              <w:rPr>
                <w:b/>
              </w:rPr>
            </w:pPr>
            <w:r w:rsidRPr="00320919">
              <w:rPr>
                <w:b/>
              </w:rPr>
              <w:t>Aircraft</w:t>
            </w:r>
          </w:p>
          <w:p w:rsidR="00660414" w:rsidRPr="00320919" w:rsidRDefault="00660414" w:rsidP="007613DE">
            <w:pPr>
              <w:ind w:left="-3761" w:firstLine="3761"/>
              <w:jc w:val="center"/>
              <w:rPr>
                <w:b/>
              </w:rPr>
            </w:pPr>
            <w:r w:rsidRPr="00320919">
              <w:rPr>
                <w:b/>
              </w:rPr>
              <w:t>(70% load)</w:t>
            </w:r>
          </w:p>
        </w:tc>
        <w:tc>
          <w:tcPr>
            <w:tcW w:w="1276"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sidRPr="00320919">
              <w:rPr>
                <w:b/>
              </w:rPr>
              <w:t xml:space="preserve">Code C </w:t>
            </w:r>
          </w:p>
          <w:p w:rsidR="00660414" w:rsidRPr="00320919" w:rsidRDefault="00660414" w:rsidP="007613DE">
            <w:pPr>
              <w:ind w:left="-3761" w:firstLine="3761"/>
              <w:jc w:val="center"/>
              <w:rPr>
                <w:b/>
              </w:rPr>
            </w:pPr>
            <w:r w:rsidRPr="00320919">
              <w:rPr>
                <w:b/>
              </w:rPr>
              <w:t>Percentage</w:t>
            </w:r>
          </w:p>
          <w:p w:rsidR="00660414" w:rsidRPr="00320919" w:rsidRDefault="00660414" w:rsidP="007613DE">
            <w:pPr>
              <w:ind w:left="-3761" w:firstLine="3761"/>
              <w:jc w:val="center"/>
              <w:rPr>
                <w:b/>
              </w:rPr>
            </w:pPr>
            <w:r w:rsidRPr="00320919">
              <w:rPr>
                <w:b/>
              </w:rPr>
              <w:t>Of Flights</w:t>
            </w:r>
          </w:p>
          <w:p w:rsidR="00660414" w:rsidRPr="00320919" w:rsidRDefault="00660414" w:rsidP="007613DE">
            <w:pPr>
              <w:ind w:left="-3761" w:firstLine="3761"/>
              <w:jc w:val="center"/>
              <w:rPr>
                <w:b/>
              </w:rPr>
            </w:pPr>
          </w:p>
        </w:tc>
        <w:tc>
          <w:tcPr>
            <w:tcW w:w="1134"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sidRPr="00320919">
              <w:rPr>
                <w:b/>
              </w:rPr>
              <w:t xml:space="preserve">Pax Per </w:t>
            </w:r>
          </w:p>
          <w:p w:rsidR="00660414" w:rsidRPr="00320919" w:rsidRDefault="00660414" w:rsidP="007613DE">
            <w:pPr>
              <w:ind w:left="-3761" w:firstLine="3761"/>
              <w:jc w:val="center"/>
              <w:rPr>
                <w:b/>
              </w:rPr>
            </w:pPr>
            <w:r w:rsidRPr="00320919">
              <w:rPr>
                <w:b/>
              </w:rPr>
              <w:t xml:space="preserve">Code D </w:t>
            </w:r>
          </w:p>
          <w:p w:rsidR="00660414" w:rsidRPr="00320919" w:rsidRDefault="00660414" w:rsidP="007613DE">
            <w:pPr>
              <w:ind w:left="-3761" w:firstLine="3761"/>
              <w:jc w:val="center"/>
              <w:rPr>
                <w:b/>
              </w:rPr>
            </w:pPr>
            <w:r w:rsidRPr="00320919">
              <w:rPr>
                <w:b/>
              </w:rPr>
              <w:t>Aircraft</w:t>
            </w:r>
          </w:p>
          <w:p w:rsidR="00660414" w:rsidRPr="00320919" w:rsidRDefault="00660414" w:rsidP="007613DE">
            <w:pPr>
              <w:ind w:left="-3761" w:firstLine="3761"/>
              <w:jc w:val="center"/>
              <w:rPr>
                <w:b/>
              </w:rPr>
            </w:pPr>
            <w:r w:rsidRPr="00320919">
              <w:rPr>
                <w:b/>
              </w:rPr>
              <w:t>(90% load)</w:t>
            </w:r>
          </w:p>
        </w:tc>
        <w:tc>
          <w:tcPr>
            <w:tcW w:w="1196" w:type="dxa"/>
            <w:tcBorders>
              <w:top w:val="single" w:sz="12" w:space="0" w:color="4F81BD"/>
              <w:bottom w:val="single" w:sz="12" w:space="0" w:color="4F81BD"/>
            </w:tcBorders>
            <w:shd w:val="clear" w:color="auto" w:fill="B8CCE4" w:themeFill="accent1" w:themeFillTint="66"/>
          </w:tcPr>
          <w:p w:rsidR="00660414" w:rsidRPr="00320919" w:rsidRDefault="00660414" w:rsidP="007613DE">
            <w:pPr>
              <w:ind w:left="-3761" w:firstLine="3761"/>
              <w:jc w:val="center"/>
              <w:rPr>
                <w:b/>
              </w:rPr>
            </w:pPr>
            <w:r w:rsidRPr="00320919">
              <w:rPr>
                <w:b/>
              </w:rPr>
              <w:t>ATR</w:t>
            </w:r>
          </w:p>
          <w:p w:rsidR="00660414" w:rsidRPr="00320919" w:rsidRDefault="00660414" w:rsidP="007613DE">
            <w:pPr>
              <w:ind w:left="-3761" w:firstLine="3761"/>
              <w:jc w:val="center"/>
              <w:rPr>
                <w:b/>
              </w:rPr>
            </w:pPr>
            <w:r w:rsidRPr="00320919">
              <w:rPr>
                <w:b/>
              </w:rPr>
              <w:t>Percentage</w:t>
            </w:r>
          </w:p>
          <w:p w:rsidR="00660414" w:rsidRPr="00320919" w:rsidRDefault="00660414" w:rsidP="007613DE">
            <w:pPr>
              <w:ind w:left="-3761" w:firstLine="3761"/>
              <w:jc w:val="center"/>
              <w:rPr>
                <w:b/>
              </w:rPr>
            </w:pPr>
            <w:r w:rsidRPr="00320919">
              <w:rPr>
                <w:b/>
              </w:rPr>
              <w:t>Of Flights</w:t>
            </w:r>
          </w:p>
          <w:p w:rsidR="00660414" w:rsidRPr="00320919" w:rsidRDefault="00660414" w:rsidP="007613DE">
            <w:pPr>
              <w:ind w:left="-3761" w:firstLine="3761"/>
              <w:jc w:val="center"/>
              <w:rPr>
                <w:b/>
              </w:rPr>
            </w:pPr>
          </w:p>
        </w:tc>
      </w:tr>
      <w:tr w:rsidR="00660414" w:rsidRPr="008F4A19" w:rsidTr="007613DE">
        <w:trPr>
          <w:trHeight w:val="538"/>
          <w:jc w:val="center"/>
        </w:trPr>
        <w:tc>
          <w:tcPr>
            <w:tcW w:w="2126" w:type="dxa"/>
            <w:tcBorders>
              <w:top w:val="single" w:sz="12" w:space="0" w:color="4F81BD"/>
            </w:tcBorders>
            <w:vAlign w:val="center"/>
          </w:tcPr>
          <w:p w:rsidR="00660414" w:rsidRPr="008C5B1B" w:rsidRDefault="00660414" w:rsidP="007613DE">
            <w:pPr>
              <w:spacing w:after="120" w:line="276" w:lineRule="auto"/>
              <w:ind w:left="93"/>
              <w:rPr>
                <w:color w:val="000000"/>
                <w:sz w:val="20"/>
                <w:szCs w:val="20"/>
                <w:lang w:val="en-US"/>
              </w:rPr>
            </w:pPr>
            <w:r w:rsidRPr="008C5B1B">
              <w:rPr>
                <w:sz w:val="20"/>
                <w:szCs w:val="20"/>
                <w:lang w:val="en-US"/>
              </w:rPr>
              <w:t xml:space="preserve">International </w:t>
            </w:r>
            <w:r>
              <w:rPr>
                <w:sz w:val="20"/>
                <w:szCs w:val="20"/>
                <w:lang w:val="en-US"/>
              </w:rPr>
              <w:t xml:space="preserve">Major Hub </w:t>
            </w:r>
            <w:r w:rsidRPr="008C5B1B">
              <w:rPr>
                <w:sz w:val="20"/>
                <w:szCs w:val="20"/>
                <w:lang w:val="en-US"/>
              </w:rPr>
              <w:t>Airport</w:t>
            </w:r>
          </w:p>
        </w:tc>
        <w:tc>
          <w:tcPr>
            <w:tcW w:w="1276" w:type="dxa"/>
            <w:tcBorders>
              <w:top w:val="single" w:sz="12" w:space="0" w:color="4F81BD"/>
            </w:tcBorders>
            <w:vAlign w:val="center"/>
          </w:tcPr>
          <w:p w:rsidR="00660414" w:rsidRPr="008C5B1B" w:rsidRDefault="00660414" w:rsidP="007613DE">
            <w:pPr>
              <w:spacing w:after="120" w:line="276" w:lineRule="auto"/>
              <w:ind w:left="235"/>
              <w:jc w:val="center"/>
              <w:rPr>
                <w:sz w:val="22"/>
                <w:szCs w:val="22"/>
              </w:rPr>
            </w:pPr>
            <w:r w:rsidRPr="008C5B1B">
              <w:rPr>
                <w:sz w:val="22"/>
                <w:szCs w:val="22"/>
              </w:rPr>
              <w:t>210</w:t>
            </w:r>
          </w:p>
        </w:tc>
        <w:tc>
          <w:tcPr>
            <w:tcW w:w="1276" w:type="dxa"/>
            <w:tcBorders>
              <w:top w:val="single" w:sz="12" w:space="0" w:color="4F81BD"/>
            </w:tcBorders>
            <w:vAlign w:val="center"/>
          </w:tcPr>
          <w:p w:rsidR="00660414" w:rsidRPr="008C5B1B" w:rsidRDefault="00660414" w:rsidP="007613DE">
            <w:pPr>
              <w:spacing w:after="120" w:line="276" w:lineRule="auto"/>
              <w:ind w:left="235"/>
              <w:jc w:val="center"/>
              <w:rPr>
                <w:sz w:val="22"/>
                <w:szCs w:val="22"/>
              </w:rPr>
            </w:pPr>
            <w:r w:rsidRPr="008C5B1B">
              <w:rPr>
                <w:sz w:val="22"/>
                <w:szCs w:val="22"/>
              </w:rPr>
              <w:t>70%</w:t>
            </w:r>
          </w:p>
        </w:tc>
        <w:tc>
          <w:tcPr>
            <w:tcW w:w="1275" w:type="dxa"/>
            <w:tcBorders>
              <w:top w:val="single" w:sz="12" w:space="0" w:color="4F81BD"/>
            </w:tcBorders>
            <w:vAlign w:val="center"/>
          </w:tcPr>
          <w:p w:rsidR="00660414" w:rsidRPr="008C5B1B" w:rsidRDefault="00660414" w:rsidP="007613DE">
            <w:pPr>
              <w:spacing w:after="120" w:line="276" w:lineRule="auto"/>
              <w:ind w:left="235"/>
              <w:jc w:val="center"/>
              <w:rPr>
                <w:sz w:val="22"/>
                <w:szCs w:val="22"/>
              </w:rPr>
            </w:pPr>
            <w:r w:rsidRPr="008C5B1B">
              <w:rPr>
                <w:sz w:val="22"/>
                <w:szCs w:val="22"/>
              </w:rPr>
              <w:t>126</w:t>
            </w:r>
          </w:p>
        </w:tc>
        <w:tc>
          <w:tcPr>
            <w:tcW w:w="1276" w:type="dxa"/>
            <w:tcBorders>
              <w:top w:val="single" w:sz="12" w:space="0" w:color="4F81BD"/>
            </w:tcBorders>
            <w:vAlign w:val="center"/>
          </w:tcPr>
          <w:p w:rsidR="00660414" w:rsidRPr="008C5B1B" w:rsidRDefault="00660414" w:rsidP="007613DE">
            <w:pPr>
              <w:spacing w:after="120" w:line="276" w:lineRule="auto"/>
              <w:ind w:left="235" w:firstLine="1"/>
              <w:jc w:val="center"/>
              <w:rPr>
                <w:sz w:val="22"/>
                <w:szCs w:val="22"/>
              </w:rPr>
            </w:pPr>
            <w:r w:rsidRPr="008C5B1B">
              <w:rPr>
                <w:sz w:val="22"/>
                <w:szCs w:val="22"/>
              </w:rPr>
              <w:t>20%</w:t>
            </w:r>
          </w:p>
        </w:tc>
        <w:tc>
          <w:tcPr>
            <w:tcW w:w="1134" w:type="dxa"/>
            <w:tcBorders>
              <w:top w:val="single" w:sz="12" w:space="0" w:color="4F81BD"/>
            </w:tcBorders>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45</w:t>
            </w:r>
          </w:p>
        </w:tc>
        <w:tc>
          <w:tcPr>
            <w:tcW w:w="1196" w:type="dxa"/>
            <w:tcBorders>
              <w:top w:val="single" w:sz="12" w:space="0" w:color="4F81BD"/>
            </w:tcBorders>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10%</w:t>
            </w:r>
          </w:p>
        </w:tc>
      </w:tr>
      <w:tr w:rsidR="00660414" w:rsidRPr="008F4A19" w:rsidTr="007613DE">
        <w:trPr>
          <w:trHeight w:val="329"/>
          <w:jc w:val="center"/>
        </w:trPr>
        <w:tc>
          <w:tcPr>
            <w:tcW w:w="2126" w:type="dxa"/>
            <w:vAlign w:val="center"/>
          </w:tcPr>
          <w:p w:rsidR="00660414" w:rsidRPr="008C5B1B" w:rsidRDefault="00660414" w:rsidP="007613DE">
            <w:pPr>
              <w:spacing w:after="120" w:line="276" w:lineRule="auto"/>
              <w:ind w:left="93"/>
              <w:rPr>
                <w:color w:val="000000"/>
                <w:sz w:val="20"/>
                <w:szCs w:val="20"/>
                <w:lang w:val="en-US"/>
              </w:rPr>
            </w:pPr>
            <w:r w:rsidRPr="008C5B1B">
              <w:rPr>
                <w:sz w:val="20"/>
                <w:szCs w:val="20"/>
                <w:lang w:val="en-US"/>
              </w:rPr>
              <w:t>International Hub Airports</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210</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50%</w:t>
            </w:r>
          </w:p>
        </w:tc>
        <w:tc>
          <w:tcPr>
            <w:tcW w:w="1275" w:type="dxa"/>
            <w:vAlign w:val="center"/>
          </w:tcPr>
          <w:p w:rsidR="00660414" w:rsidRPr="008C5B1B" w:rsidRDefault="00660414" w:rsidP="007613DE">
            <w:pPr>
              <w:spacing w:after="120" w:line="276" w:lineRule="auto"/>
              <w:ind w:left="235"/>
              <w:jc w:val="center"/>
              <w:rPr>
                <w:sz w:val="22"/>
                <w:szCs w:val="22"/>
              </w:rPr>
            </w:pPr>
            <w:r w:rsidRPr="008C5B1B">
              <w:rPr>
                <w:sz w:val="22"/>
                <w:szCs w:val="22"/>
              </w:rPr>
              <w:t>126</w:t>
            </w:r>
          </w:p>
        </w:tc>
        <w:tc>
          <w:tcPr>
            <w:tcW w:w="1276" w:type="dxa"/>
            <w:vAlign w:val="center"/>
          </w:tcPr>
          <w:p w:rsidR="00660414" w:rsidRPr="008C5B1B" w:rsidRDefault="00660414" w:rsidP="007613DE">
            <w:pPr>
              <w:spacing w:after="120" w:line="276" w:lineRule="auto"/>
              <w:ind w:left="235" w:firstLine="1"/>
              <w:jc w:val="center"/>
              <w:rPr>
                <w:sz w:val="22"/>
                <w:szCs w:val="22"/>
              </w:rPr>
            </w:pPr>
            <w:r w:rsidRPr="008C5B1B">
              <w:rPr>
                <w:sz w:val="22"/>
                <w:szCs w:val="22"/>
              </w:rPr>
              <w:t>40%</w:t>
            </w:r>
          </w:p>
        </w:tc>
        <w:tc>
          <w:tcPr>
            <w:tcW w:w="1134"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45</w:t>
            </w:r>
          </w:p>
        </w:tc>
        <w:tc>
          <w:tcPr>
            <w:tcW w:w="1196"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10%</w:t>
            </w:r>
          </w:p>
        </w:tc>
      </w:tr>
      <w:tr w:rsidR="00660414" w:rsidRPr="008F4A19" w:rsidTr="007613DE">
        <w:trPr>
          <w:trHeight w:val="329"/>
          <w:jc w:val="center"/>
        </w:trPr>
        <w:tc>
          <w:tcPr>
            <w:tcW w:w="2126" w:type="dxa"/>
            <w:vAlign w:val="center"/>
          </w:tcPr>
          <w:p w:rsidR="00660414" w:rsidRPr="008C5B1B" w:rsidRDefault="00660414" w:rsidP="007613DE">
            <w:pPr>
              <w:spacing w:after="120" w:line="276" w:lineRule="auto"/>
              <w:ind w:left="93"/>
              <w:rPr>
                <w:color w:val="000000"/>
                <w:sz w:val="20"/>
                <w:szCs w:val="20"/>
                <w:lang w:val="en-US"/>
              </w:rPr>
            </w:pPr>
            <w:r w:rsidRPr="008C5B1B">
              <w:rPr>
                <w:sz w:val="20"/>
                <w:szCs w:val="20"/>
                <w:lang w:val="en-US"/>
              </w:rPr>
              <w:t>Regional Airports</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210</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40%</w:t>
            </w:r>
          </w:p>
        </w:tc>
        <w:tc>
          <w:tcPr>
            <w:tcW w:w="1275" w:type="dxa"/>
            <w:vAlign w:val="center"/>
          </w:tcPr>
          <w:p w:rsidR="00660414" w:rsidRPr="008C5B1B" w:rsidRDefault="00660414" w:rsidP="007613DE">
            <w:pPr>
              <w:spacing w:after="120" w:line="276" w:lineRule="auto"/>
              <w:ind w:left="235"/>
              <w:jc w:val="center"/>
              <w:rPr>
                <w:sz w:val="22"/>
                <w:szCs w:val="22"/>
              </w:rPr>
            </w:pPr>
            <w:r w:rsidRPr="008C5B1B">
              <w:rPr>
                <w:sz w:val="22"/>
                <w:szCs w:val="22"/>
              </w:rPr>
              <w:t>126</w:t>
            </w:r>
          </w:p>
        </w:tc>
        <w:tc>
          <w:tcPr>
            <w:tcW w:w="1276" w:type="dxa"/>
            <w:vAlign w:val="center"/>
          </w:tcPr>
          <w:p w:rsidR="00660414" w:rsidRPr="008C5B1B" w:rsidRDefault="00660414" w:rsidP="007613DE">
            <w:pPr>
              <w:spacing w:after="120" w:line="276" w:lineRule="auto"/>
              <w:ind w:left="235" w:firstLine="1"/>
              <w:jc w:val="center"/>
              <w:rPr>
                <w:sz w:val="22"/>
                <w:szCs w:val="22"/>
              </w:rPr>
            </w:pPr>
            <w:r w:rsidRPr="008C5B1B">
              <w:rPr>
                <w:sz w:val="22"/>
                <w:szCs w:val="22"/>
              </w:rPr>
              <w:t>40%</w:t>
            </w:r>
          </w:p>
        </w:tc>
        <w:tc>
          <w:tcPr>
            <w:tcW w:w="1134"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45</w:t>
            </w:r>
          </w:p>
        </w:tc>
        <w:tc>
          <w:tcPr>
            <w:tcW w:w="1196"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20%</w:t>
            </w:r>
          </w:p>
        </w:tc>
      </w:tr>
      <w:tr w:rsidR="00660414" w:rsidRPr="008F4A19" w:rsidTr="007613DE">
        <w:trPr>
          <w:trHeight w:val="329"/>
          <w:jc w:val="center"/>
        </w:trPr>
        <w:tc>
          <w:tcPr>
            <w:tcW w:w="2126" w:type="dxa"/>
            <w:vAlign w:val="center"/>
          </w:tcPr>
          <w:p w:rsidR="00660414" w:rsidRPr="008C5B1B" w:rsidRDefault="00660414" w:rsidP="007613DE">
            <w:pPr>
              <w:spacing w:after="120" w:line="276" w:lineRule="auto"/>
              <w:ind w:left="93"/>
              <w:rPr>
                <w:sz w:val="20"/>
                <w:szCs w:val="20"/>
                <w:lang w:val="en-US"/>
              </w:rPr>
            </w:pPr>
            <w:r w:rsidRPr="008C5B1B">
              <w:rPr>
                <w:sz w:val="20"/>
                <w:szCs w:val="20"/>
                <w:lang w:val="en-US"/>
              </w:rPr>
              <w:t>Smaller Regional Airport</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210</w:t>
            </w:r>
          </w:p>
        </w:tc>
        <w:tc>
          <w:tcPr>
            <w:tcW w:w="1276" w:type="dxa"/>
            <w:vAlign w:val="center"/>
          </w:tcPr>
          <w:p w:rsidR="00660414" w:rsidRPr="008C5B1B" w:rsidRDefault="00660414" w:rsidP="007613DE">
            <w:pPr>
              <w:spacing w:after="120" w:line="276" w:lineRule="auto"/>
              <w:ind w:left="235"/>
              <w:jc w:val="center"/>
              <w:rPr>
                <w:sz w:val="22"/>
                <w:szCs w:val="22"/>
              </w:rPr>
            </w:pPr>
            <w:r w:rsidRPr="008C5B1B">
              <w:rPr>
                <w:sz w:val="22"/>
                <w:szCs w:val="22"/>
              </w:rPr>
              <w:t>0%</w:t>
            </w:r>
          </w:p>
        </w:tc>
        <w:tc>
          <w:tcPr>
            <w:tcW w:w="1275" w:type="dxa"/>
            <w:vAlign w:val="center"/>
          </w:tcPr>
          <w:p w:rsidR="00660414" w:rsidRPr="008C5B1B" w:rsidRDefault="00660414" w:rsidP="007613DE">
            <w:pPr>
              <w:spacing w:after="120" w:line="276" w:lineRule="auto"/>
              <w:ind w:left="235"/>
              <w:jc w:val="center"/>
              <w:rPr>
                <w:sz w:val="22"/>
                <w:szCs w:val="22"/>
              </w:rPr>
            </w:pPr>
            <w:r w:rsidRPr="008C5B1B">
              <w:rPr>
                <w:sz w:val="22"/>
                <w:szCs w:val="22"/>
              </w:rPr>
              <w:t>126</w:t>
            </w:r>
          </w:p>
        </w:tc>
        <w:tc>
          <w:tcPr>
            <w:tcW w:w="1276" w:type="dxa"/>
            <w:vAlign w:val="center"/>
          </w:tcPr>
          <w:p w:rsidR="00660414" w:rsidRPr="008C5B1B" w:rsidRDefault="00660414" w:rsidP="007613DE">
            <w:pPr>
              <w:spacing w:after="120" w:line="276" w:lineRule="auto"/>
              <w:ind w:left="235" w:firstLine="1"/>
              <w:jc w:val="center"/>
              <w:rPr>
                <w:sz w:val="22"/>
                <w:szCs w:val="22"/>
              </w:rPr>
            </w:pPr>
            <w:r w:rsidRPr="008C5B1B">
              <w:rPr>
                <w:sz w:val="22"/>
                <w:szCs w:val="22"/>
              </w:rPr>
              <w:t>10%</w:t>
            </w:r>
          </w:p>
        </w:tc>
        <w:tc>
          <w:tcPr>
            <w:tcW w:w="1134"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45</w:t>
            </w:r>
          </w:p>
        </w:tc>
        <w:tc>
          <w:tcPr>
            <w:tcW w:w="1196" w:type="dxa"/>
            <w:vAlign w:val="center"/>
          </w:tcPr>
          <w:p w:rsidR="00660414" w:rsidRPr="008C5B1B" w:rsidRDefault="00660414" w:rsidP="007613DE">
            <w:pPr>
              <w:spacing w:after="120" w:line="276" w:lineRule="auto"/>
              <w:ind w:left="235" w:hanging="141"/>
              <w:jc w:val="center"/>
              <w:rPr>
                <w:sz w:val="22"/>
                <w:szCs w:val="22"/>
              </w:rPr>
            </w:pPr>
            <w:r w:rsidRPr="008C5B1B">
              <w:rPr>
                <w:sz w:val="22"/>
                <w:szCs w:val="22"/>
              </w:rPr>
              <w:t>90%</w:t>
            </w:r>
          </w:p>
        </w:tc>
      </w:tr>
    </w:tbl>
    <w:p w:rsidR="00660414" w:rsidRDefault="00660414" w:rsidP="00660414">
      <w:pPr>
        <w:rPr>
          <w:sz w:val="22"/>
          <w:szCs w:val="22"/>
        </w:rPr>
      </w:pPr>
    </w:p>
    <w:p w:rsidR="00660414" w:rsidRDefault="00660414" w:rsidP="00A4081F">
      <w:pPr>
        <w:pStyle w:val="NumberedParas"/>
      </w:pPr>
      <w:r>
        <w:t xml:space="preserve">The assumptions above were used to then determine the number of the various aircraft types within the peak hour. These peak hour requirements where then compare to the current number of aircraft stands to determine the shortfall in aircraft stands. </w:t>
      </w:r>
    </w:p>
    <w:p w:rsidR="00660414" w:rsidRPr="001C6AE7" w:rsidRDefault="00660414" w:rsidP="00A4081F">
      <w:pPr>
        <w:pStyle w:val="NumberedParas"/>
      </w:pPr>
      <w:r w:rsidRPr="001C6AE7">
        <w:t xml:space="preserve">Table </w:t>
      </w:r>
      <w:r>
        <w:t>7.6</w:t>
      </w:r>
      <w:r w:rsidRPr="001C6AE7">
        <w:t xml:space="preserve"> sets out the current number of apron stands as well as the demand for 2020.  Again the peak hour passengers were used to determine the number of aircraft that will be required within the peak hour.  A 20% factor has been assumed </w:t>
      </w:r>
      <w:r>
        <w:t xml:space="preserve">(40% for Bucharest) </w:t>
      </w:r>
      <w:r w:rsidRPr="001C6AE7">
        <w:t>and added to include aircraft from before or after the peak hour that will still occupy apron stands at the airport.</w:t>
      </w:r>
    </w:p>
    <w:p w:rsidR="00660414" w:rsidRDefault="00660414" w:rsidP="00660414">
      <w:pPr>
        <w:ind w:left="851"/>
        <w:rPr>
          <w:b/>
          <w:sz w:val="22"/>
          <w:szCs w:val="22"/>
        </w:rPr>
      </w:pPr>
    </w:p>
    <w:p w:rsidR="00660414" w:rsidRPr="001C6AE7" w:rsidRDefault="00660414" w:rsidP="00660414">
      <w:pPr>
        <w:ind w:left="851"/>
        <w:rPr>
          <w:b/>
          <w:sz w:val="22"/>
          <w:szCs w:val="22"/>
        </w:rPr>
      </w:pPr>
      <w:r w:rsidRPr="001C6AE7">
        <w:rPr>
          <w:b/>
          <w:sz w:val="22"/>
          <w:szCs w:val="22"/>
        </w:rPr>
        <w:t xml:space="preserve">Table </w:t>
      </w:r>
      <w:r>
        <w:rPr>
          <w:b/>
          <w:sz w:val="22"/>
          <w:szCs w:val="22"/>
        </w:rPr>
        <w:t>7.6</w:t>
      </w:r>
      <w:r w:rsidRPr="001C6AE7">
        <w:rPr>
          <w:b/>
          <w:sz w:val="22"/>
          <w:szCs w:val="22"/>
        </w:rPr>
        <w:t>: Airports Peak Hour Apron Space Requirement (2020)</w:t>
      </w:r>
    </w:p>
    <w:tbl>
      <w:tblPr>
        <w:tblW w:w="10493"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1648"/>
        <w:gridCol w:w="1474"/>
        <w:gridCol w:w="1421"/>
        <w:gridCol w:w="1179"/>
        <w:gridCol w:w="1126"/>
        <w:gridCol w:w="1115"/>
        <w:gridCol w:w="1265"/>
        <w:gridCol w:w="1265"/>
      </w:tblGrid>
      <w:tr w:rsidR="00660414" w:rsidRPr="00F923DC" w:rsidTr="007613DE">
        <w:trPr>
          <w:trHeight w:val="734"/>
          <w:tblHeader/>
          <w:jc w:val="center"/>
        </w:trPr>
        <w:tc>
          <w:tcPr>
            <w:tcW w:w="1648" w:type="dxa"/>
            <w:tcBorders>
              <w:top w:val="single" w:sz="12" w:space="0" w:color="4F81BD"/>
              <w:left w:val="single" w:sz="12" w:space="0" w:color="4F81BD"/>
              <w:bottom w:val="single" w:sz="12" w:space="0" w:color="4F81BD"/>
            </w:tcBorders>
            <w:shd w:val="clear" w:color="auto" w:fill="DBE5F1"/>
            <w:vAlign w:val="center"/>
          </w:tcPr>
          <w:p w:rsidR="00660414" w:rsidRPr="00F923DC" w:rsidRDefault="00660414" w:rsidP="007613DE">
            <w:pPr>
              <w:rPr>
                <w:rFonts w:cs="Arial"/>
                <w:b/>
              </w:rPr>
            </w:pPr>
            <w:r w:rsidRPr="00F923DC">
              <w:rPr>
                <w:rFonts w:cs="Arial"/>
                <w:b/>
              </w:rPr>
              <w:t>Airport Name</w:t>
            </w:r>
          </w:p>
        </w:tc>
        <w:tc>
          <w:tcPr>
            <w:tcW w:w="1474"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Current</w:t>
            </w:r>
          </w:p>
          <w:p w:rsidR="00660414" w:rsidRPr="00F923DC" w:rsidRDefault="00660414" w:rsidP="007613DE">
            <w:pPr>
              <w:ind w:left="-3761" w:firstLine="3761"/>
              <w:jc w:val="center"/>
              <w:rPr>
                <w:rFonts w:cs="Arial"/>
                <w:b/>
              </w:rPr>
            </w:pPr>
            <w:r w:rsidRPr="00F923DC">
              <w:rPr>
                <w:rFonts w:cs="Arial"/>
                <w:b/>
              </w:rPr>
              <w:t xml:space="preserve">Number of </w:t>
            </w:r>
          </w:p>
          <w:p w:rsidR="00660414" w:rsidRPr="00F923DC" w:rsidRDefault="00660414" w:rsidP="007613DE">
            <w:pPr>
              <w:ind w:left="-3761" w:firstLine="3761"/>
              <w:jc w:val="center"/>
              <w:rPr>
                <w:rFonts w:cs="Arial"/>
                <w:b/>
              </w:rPr>
            </w:pPr>
            <w:r w:rsidRPr="00F923DC">
              <w:rPr>
                <w:rFonts w:cs="Arial"/>
                <w:b/>
              </w:rPr>
              <w:t>Apron</w:t>
            </w:r>
          </w:p>
          <w:p w:rsidR="00660414" w:rsidRPr="00F923DC" w:rsidRDefault="00660414" w:rsidP="007613DE">
            <w:pPr>
              <w:ind w:left="-3761" w:firstLine="3761"/>
              <w:jc w:val="center"/>
              <w:rPr>
                <w:rFonts w:cs="Arial"/>
                <w:b/>
              </w:rPr>
            </w:pPr>
            <w:r w:rsidRPr="00F923DC">
              <w:rPr>
                <w:rFonts w:cs="Arial"/>
                <w:b/>
              </w:rPr>
              <w:t xml:space="preserve"> Stands</w:t>
            </w:r>
          </w:p>
        </w:tc>
        <w:tc>
          <w:tcPr>
            <w:tcW w:w="1421"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 xml:space="preserve">Peak Hour </w:t>
            </w:r>
          </w:p>
          <w:p w:rsidR="00660414" w:rsidRPr="00F923DC" w:rsidRDefault="00660414" w:rsidP="007613DE">
            <w:pPr>
              <w:ind w:left="-3761" w:firstLine="3761"/>
              <w:jc w:val="center"/>
              <w:rPr>
                <w:rFonts w:cs="Arial"/>
                <w:b/>
              </w:rPr>
            </w:pPr>
            <w:r w:rsidRPr="00F923DC">
              <w:rPr>
                <w:rFonts w:cs="Arial"/>
                <w:b/>
              </w:rPr>
              <w:t>Passengers</w:t>
            </w:r>
          </w:p>
        </w:tc>
        <w:tc>
          <w:tcPr>
            <w:tcW w:w="1179"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 xml:space="preserve">Code D </w:t>
            </w:r>
          </w:p>
          <w:p w:rsidR="00660414" w:rsidRPr="00F923DC" w:rsidRDefault="00660414" w:rsidP="007613DE">
            <w:pPr>
              <w:ind w:left="-3761" w:firstLine="3761"/>
              <w:jc w:val="center"/>
              <w:rPr>
                <w:rFonts w:cs="Arial"/>
                <w:b/>
              </w:rPr>
            </w:pPr>
            <w:r w:rsidRPr="00F923DC">
              <w:rPr>
                <w:rFonts w:cs="Arial"/>
                <w:b/>
              </w:rPr>
              <w:t xml:space="preserve">Apron </w:t>
            </w:r>
          </w:p>
          <w:p w:rsidR="00660414" w:rsidRPr="00F923DC" w:rsidRDefault="00660414" w:rsidP="007613DE">
            <w:pPr>
              <w:ind w:left="-3761" w:firstLine="3761"/>
              <w:jc w:val="center"/>
              <w:rPr>
                <w:rFonts w:cs="Arial"/>
                <w:b/>
              </w:rPr>
            </w:pPr>
            <w:r w:rsidRPr="00F923DC">
              <w:rPr>
                <w:rFonts w:cs="Arial"/>
                <w:b/>
              </w:rPr>
              <w:t>Stands</w:t>
            </w:r>
          </w:p>
        </w:tc>
        <w:tc>
          <w:tcPr>
            <w:tcW w:w="1126"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Code C</w:t>
            </w:r>
          </w:p>
          <w:p w:rsidR="00660414" w:rsidRPr="00F923DC" w:rsidRDefault="00660414" w:rsidP="007613DE">
            <w:pPr>
              <w:ind w:left="-3761" w:firstLine="3761"/>
              <w:jc w:val="center"/>
              <w:rPr>
                <w:rFonts w:cs="Arial"/>
                <w:b/>
              </w:rPr>
            </w:pPr>
            <w:r w:rsidRPr="00F923DC">
              <w:rPr>
                <w:rFonts w:cs="Arial"/>
                <w:b/>
              </w:rPr>
              <w:t xml:space="preserve">Apron </w:t>
            </w:r>
          </w:p>
          <w:p w:rsidR="00660414" w:rsidRPr="00F923DC" w:rsidRDefault="00660414" w:rsidP="007613DE">
            <w:pPr>
              <w:ind w:left="-3761" w:firstLine="3761"/>
              <w:jc w:val="center"/>
              <w:rPr>
                <w:rFonts w:cs="Arial"/>
                <w:b/>
              </w:rPr>
            </w:pPr>
            <w:r w:rsidRPr="00F923DC">
              <w:rPr>
                <w:rFonts w:cs="Arial"/>
                <w:b/>
              </w:rPr>
              <w:t>Stands</w:t>
            </w:r>
          </w:p>
        </w:tc>
        <w:tc>
          <w:tcPr>
            <w:tcW w:w="1115"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 xml:space="preserve">ATR </w:t>
            </w:r>
          </w:p>
          <w:p w:rsidR="00660414" w:rsidRPr="00F923DC" w:rsidRDefault="00660414" w:rsidP="007613DE">
            <w:pPr>
              <w:ind w:left="-3761" w:firstLine="3761"/>
              <w:jc w:val="center"/>
              <w:rPr>
                <w:rFonts w:cs="Arial"/>
                <w:b/>
              </w:rPr>
            </w:pPr>
            <w:r w:rsidRPr="00F923DC">
              <w:rPr>
                <w:rFonts w:cs="Arial"/>
                <w:b/>
              </w:rPr>
              <w:t xml:space="preserve">Apron </w:t>
            </w:r>
          </w:p>
          <w:p w:rsidR="00660414" w:rsidRPr="00F923DC" w:rsidRDefault="00660414" w:rsidP="007613DE">
            <w:pPr>
              <w:ind w:left="-3761" w:firstLine="3761"/>
              <w:jc w:val="center"/>
              <w:rPr>
                <w:rFonts w:cs="Arial"/>
                <w:b/>
              </w:rPr>
            </w:pPr>
            <w:r w:rsidRPr="00F923DC">
              <w:rPr>
                <w:rFonts w:cs="Arial"/>
                <w:b/>
              </w:rPr>
              <w:t>Stands</w:t>
            </w:r>
          </w:p>
        </w:tc>
        <w:tc>
          <w:tcPr>
            <w:tcW w:w="1265"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sidRPr="00F923DC">
              <w:rPr>
                <w:rFonts w:cs="Arial"/>
                <w:b/>
              </w:rPr>
              <w:t xml:space="preserve">Total </w:t>
            </w:r>
          </w:p>
          <w:p w:rsidR="00660414" w:rsidRPr="00F923DC" w:rsidRDefault="00660414" w:rsidP="007613DE">
            <w:pPr>
              <w:ind w:left="-3761" w:firstLine="3761"/>
              <w:jc w:val="center"/>
              <w:rPr>
                <w:rFonts w:cs="Arial"/>
                <w:b/>
              </w:rPr>
            </w:pPr>
            <w:r w:rsidRPr="00F923DC">
              <w:rPr>
                <w:rFonts w:cs="Arial"/>
                <w:b/>
              </w:rPr>
              <w:t>Number</w:t>
            </w:r>
          </w:p>
          <w:p w:rsidR="00660414" w:rsidRPr="00F923DC" w:rsidRDefault="00660414" w:rsidP="007613DE">
            <w:pPr>
              <w:ind w:left="-3761" w:firstLine="3761"/>
              <w:jc w:val="center"/>
              <w:rPr>
                <w:rFonts w:cs="Arial"/>
                <w:b/>
              </w:rPr>
            </w:pPr>
            <w:r w:rsidRPr="00F923DC">
              <w:rPr>
                <w:rFonts w:cs="Arial"/>
                <w:b/>
              </w:rPr>
              <w:t>Of Stands</w:t>
            </w:r>
          </w:p>
        </w:tc>
        <w:tc>
          <w:tcPr>
            <w:tcW w:w="1265" w:type="dxa"/>
            <w:tcBorders>
              <w:top w:val="single" w:sz="12" w:space="0" w:color="4F81BD"/>
              <w:bottom w:val="single" w:sz="12" w:space="0" w:color="4F81BD"/>
            </w:tcBorders>
            <w:shd w:val="clear" w:color="auto" w:fill="DBE5F1"/>
          </w:tcPr>
          <w:p w:rsidR="00660414" w:rsidRPr="00F923DC" w:rsidRDefault="00660414" w:rsidP="007613DE">
            <w:pPr>
              <w:ind w:left="-3761" w:firstLine="3761"/>
              <w:jc w:val="center"/>
              <w:rPr>
                <w:rFonts w:cs="Arial"/>
                <w:b/>
              </w:rPr>
            </w:pPr>
            <w:r>
              <w:rPr>
                <w:rFonts w:cs="Arial"/>
                <w:b/>
              </w:rPr>
              <w:t>Shortfall</w:t>
            </w:r>
          </w:p>
          <w:p w:rsidR="00660414" w:rsidRPr="00F923DC" w:rsidRDefault="00660414" w:rsidP="007613DE">
            <w:pPr>
              <w:ind w:left="-3761" w:firstLine="3761"/>
              <w:jc w:val="center"/>
              <w:rPr>
                <w:rFonts w:cs="Arial"/>
                <w:b/>
              </w:rPr>
            </w:pPr>
            <w:r w:rsidRPr="00F923DC">
              <w:rPr>
                <w:rFonts w:cs="Arial"/>
                <w:b/>
              </w:rPr>
              <w:t>Number</w:t>
            </w:r>
          </w:p>
          <w:p w:rsidR="00660414" w:rsidRDefault="00660414" w:rsidP="007613DE">
            <w:pPr>
              <w:jc w:val="center"/>
              <w:rPr>
                <w:rFonts w:cs="Arial"/>
                <w:b/>
              </w:rPr>
            </w:pPr>
            <w:r w:rsidRPr="00F923DC">
              <w:rPr>
                <w:rFonts w:cs="Arial"/>
                <w:b/>
              </w:rPr>
              <w:t>Of Stands</w:t>
            </w:r>
          </w:p>
        </w:tc>
      </w:tr>
      <w:tr w:rsidR="00660414" w:rsidRPr="00F923DC" w:rsidTr="007613DE">
        <w:trPr>
          <w:trHeight w:val="329"/>
          <w:jc w:val="center"/>
        </w:trPr>
        <w:tc>
          <w:tcPr>
            <w:tcW w:w="1648" w:type="dxa"/>
            <w:tcBorders>
              <w:top w:val="single" w:sz="12" w:space="0" w:color="4F81BD"/>
            </w:tcBorders>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Bucharest </w:t>
            </w:r>
          </w:p>
        </w:tc>
        <w:tc>
          <w:tcPr>
            <w:tcW w:w="1474"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62</w:t>
            </w:r>
          </w:p>
        </w:tc>
        <w:tc>
          <w:tcPr>
            <w:tcW w:w="1421"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4,310</w:t>
            </w:r>
          </w:p>
        </w:tc>
        <w:tc>
          <w:tcPr>
            <w:tcW w:w="1179"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w:t>
            </w:r>
          </w:p>
        </w:tc>
        <w:tc>
          <w:tcPr>
            <w:tcW w:w="1126"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w:t>
            </w:r>
          </w:p>
        </w:tc>
        <w:tc>
          <w:tcPr>
            <w:tcW w:w="1115"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10</w:t>
            </w:r>
          </w:p>
        </w:tc>
        <w:tc>
          <w:tcPr>
            <w:tcW w:w="1265"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Cs/>
                <w:kern w:val="24"/>
                <w:sz w:val="22"/>
                <w:szCs w:val="22"/>
              </w:rPr>
              <w:t>45</w:t>
            </w:r>
          </w:p>
        </w:tc>
        <w:tc>
          <w:tcPr>
            <w:tcW w:w="1265" w:type="dxa"/>
            <w:tcBorders>
              <w:top w:val="single" w:sz="12" w:space="0" w:color="4F81BD"/>
            </w:tcBorders>
            <w:vAlign w:val="bottom"/>
          </w:tcPr>
          <w:p w:rsidR="00660414" w:rsidRPr="008C5B1B" w:rsidRDefault="00660414" w:rsidP="007613DE">
            <w:pPr>
              <w:ind w:left="-3761" w:firstLine="3761"/>
              <w:jc w:val="center"/>
              <w:rPr>
                <w:rFonts w:cs="Arial"/>
                <w:sz w:val="22"/>
                <w:szCs w:val="22"/>
              </w:rPr>
            </w:pPr>
            <w:r w:rsidRPr="008C5B1B">
              <w:rPr>
                <w:rFonts w:cs="Arial"/>
                <w:sz w:val="22"/>
                <w:szCs w:val="22"/>
              </w:rPr>
              <w:t>0</w:t>
            </w:r>
            <w:r>
              <w:rPr>
                <w:rFonts w:cs="Arial"/>
                <w:sz w:val="22"/>
                <w:szCs w:val="22"/>
              </w:rPr>
              <w:t>¹</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Craiova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12</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1,786</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265" w:type="dxa"/>
            <w:vAlign w:val="bottom"/>
          </w:tcPr>
          <w:p w:rsidR="00660414" w:rsidRPr="00F923DC" w:rsidRDefault="00660414" w:rsidP="007613DE">
            <w:pPr>
              <w:pStyle w:val="NormalWeb"/>
              <w:jc w:val="center"/>
              <w:textAlignment w:val="bottom"/>
              <w:rPr>
                <w:rFonts w:ascii="Arial" w:hAnsi="Arial" w:cs="Arial"/>
                <w:b/>
                <w:color w:val="FF0000"/>
                <w:sz w:val="22"/>
                <w:szCs w:val="22"/>
              </w:rPr>
            </w:pPr>
            <w:r w:rsidRPr="00F923DC">
              <w:rPr>
                <w:rFonts w:ascii="Arial" w:hAnsi="Arial" w:cs="Arial"/>
                <w:b/>
                <w:bCs/>
                <w:color w:val="FF0000"/>
                <w:kern w:val="24"/>
                <w:sz w:val="22"/>
                <w:szCs w:val="22"/>
              </w:rPr>
              <w:t>18</w:t>
            </w:r>
          </w:p>
        </w:tc>
        <w:tc>
          <w:tcPr>
            <w:tcW w:w="1265" w:type="dxa"/>
            <w:vAlign w:val="bottom"/>
          </w:tcPr>
          <w:p w:rsidR="00660414" w:rsidRPr="008C5B1B" w:rsidRDefault="00660414" w:rsidP="007613DE">
            <w:pPr>
              <w:pStyle w:val="NormalWeb"/>
              <w:jc w:val="center"/>
              <w:textAlignment w:val="bottom"/>
              <w:rPr>
                <w:rFonts w:ascii="Arial" w:hAnsi="Arial" w:cs="Arial"/>
                <w:bCs/>
                <w:kern w:val="24"/>
                <w:sz w:val="22"/>
                <w:szCs w:val="22"/>
              </w:rPr>
            </w:pPr>
            <w:r w:rsidRPr="008C5B1B">
              <w:rPr>
                <w:rFonts w:ascii="Arial" w:hAnsi="Arial" w:cs="Arial"/>
                <w:bCs/>
                <w:kern w:val="24"/>
                <w:sz w:val="22"/>
                <w:szCs w:val="22"/>
              </w:rPr>
              <w:t>6</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Timisoara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26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1,592</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17</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Sibiu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1,347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15</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Cluj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1,197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Cs/>
                <w:kern w:val="24"/>
                <w:sz w:val="22"/>
                <w:szCs w:val="22"/>
              </w:rPr>
              <w:t>12</w:t>
            </w:r>
          </w:p>
        </w:tc>
        <w:tc>
          <w:tcPr>
            <w:tcW w:w="1265" w:type="dxa"/>
            <w:vAlign w:val="bottom"/>
          </w:tcPr>
          <w:p w:rsidR="00660414" w:rsidRPr="00012188" w:rsidRDefault="00660414" w:rsidP="007613DE">
            <w:pPr>
              <w:pStyle w:val="NormalWeb"/>
              <w:jc w:val="center"/>
              <w:textAlignment w:val="bottom"/>
              <w:rPr>
                <w:rFonts w:ascii="Arial" w:hAnsi="Arial" w:cs="Arial"/>
                <w:bCs/>
                <w:kern w:val="24"/>
                <w:sz w:val="22"/>
                <w:szCs w:val="22"/>
              </w:rPr>
            </w:pPr>
            <w:r w:rsidRPr="00012188">
              <w:rPr>
                <w:rFonts w:ascii="Arial" w:hAnsi="Arial" w:cs="Arial"/>
                <w:bCs/>
                <w:kern w:val="24"/>
                <w:sz w:val="22"/>
                <w:szCs w:val="22"/>
              </w:rPr>
              <w:t>2</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Bacau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1,056</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12</w:t>
            </w:r>
          </w:p>
        </w:tc>
        <w:tc>
          <w:tcPr>
            <w:tcW w:w="1265" w:type="dxa"/>
            <w:vAlign w:val="bottom"/>
          </w:tcPr>
          <w:p w:rsidR="00660414" w:rsidRPr="008C5B1B" w:rsidRDefault="00660414" w:rsidP="007613DE">
            <w:pPr>
              <w:pStyle w:val="NormalWeb"/>
              <w:jc w:val="center"/>
              <w:textAlignment w:val="bottom"/>
              <w:rPr>
                <w:rFonts w:ascii="Arial" w:hAnsi="Arial" w:cs="Arial"/>
                <w:bCs/>
                <w:kern w:val="24"/>
                <w:sz w:val="22"/>
                <w:szCs w:val="22"/>
              </w:rPr>
            </w:pPr>
            <w:r w:rsidRPr="008C5B1B">
              <w:rPr>
                <w:rFonts w:ascii="Arial" w:hAnsi="Arial" w:cs="Arial"/>
                <w:bCs/>
                <w:kern w:val="24"/>
                <w:sz w:val="22"/>
                <w:szCs w:val="22"/>
              </w:rPr>
              <w:t>8</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Iasi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w:t>
            </w:r>
            <w:r>
              <w:rPr>
                <w:rFonts w:ascii="Arial" w:hAnsi="Arial" w:cs="Arial"/>
                <w:color w:val="000000"/>
                <w:kern w:val="24"/>
                <w:sz w:val="22"/>
                <w:szCs w:val="22"/>
              </w:rPr>
              <w:t>2</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634</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9</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Targu Mures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9</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817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2</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3</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4</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bCs/>
                <w:kern w:val="24"/>
                <w:sz w:val="22"/>
                <w:szCs w:val="22"/>
              </w:rPr>
              <w:t>11</w:t>
            </w:r>
          </w:p>
        </w:tc>
        <w:tc>
          <w:tcPr>
            <w:tcW w:w="1265" w:type="dxa"/>
            <w:vAlign w:val="bottom"/>
          </w:tcPr>
          <w:p w:rsidR="00660414" w:rsidRPr="00012188" w:rsidRDefault="00660414" w:rsidP="007613DE">
            <w:pPr>
              <w:pStyle w:val="NormalWeb"/>
              <w:jc w:val="center"/>
              <w:textAlignment w:val="bottom"/>
              <w:rPr>
                <w:rFonts w:ascii="Arial" w:hAnsi="Arial" w:cs="Arial"/>
                <w:bCs/>
                <w:kern w:val="24"/>
                <w:sz w:val="22"/>
                <w:szCs w:val="22"/>
              </w:rPr>
            </w:pPr>
            <w:r w:rsidRPr="00012188">
              <w:rPr>
                <w:rFonts w:ascii="Arial" w:hAnsi="Arial" w:cs="Arial"/>
                <w:bCs/>
                <w:kern w:val="24"/>
                <w:sz w:val="22"/>
                <w:szCs w:val="22"/>
              </w:rPr>
              <w:t>2</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Oradea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10</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282</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5</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Brasov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0</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281</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012188" w:rsidRDefault="00660414" w:rsidP="007613DE">
            <w:pPr>
              <w:pStyle w:val="NormalWeb"/>
              <w:jc w:val="center"/>
              <w:textAlignment w:val="bottom"/>
              <w:rPr>
                <w:rFonts w:ascii="Arial" w:hAnsi="Arial" w:cs="Arial"/>
                <w:sz w:val="22"/>
                <w:szCs w:val="22"/>
              </w:rPr>
            </w:pPr>
            <w:r w:rsidRPr="008C5B1B">
              <w:rPr>
                <w:rFonts w:ascii="Arial" w:hAnsi="Arial" w:cs="Arial"/>
                <w:bCs/>
                <w:kern w:val="24"/>
                <w:sz w:val="22"/>
                <w:szCs w:val="22"/>
              </w:rPr>
              <w:t>5</w:t>
            </w:r>
          </w:p>
        </w:tc>
        <w:tc>
          <w:tcPr>
            <w:tcW w:w="1265" w:type="dxa"/>
            <w:vAlign w:val="bottom"/>
          </w:tcPr>
          <w:p w:rsidR="00660414" w:rsidRPr="008C5B1B" w:rsidRDefault="00660414" w:rsidP="007613DE">
            <w:pPr>
              <w:pStyle w:val="NormalWeb"/>
              <w:jc w:val="center"/>
              <w:textAlignment w:val="bottom"/>
              <w:rPr>
                <w:rFonts w:ascii="Arial" w:hAnsi="Arial" w:cs="Arial"/>
                <w:bCs/>
                <w:kern w:val="24"/>
                <w:sz w:val="22"/>
                <w:szCs w:val="22"/>
              </w:rPr>
            </w:pPr>
            <w:r>
              <w:rPr>
                <w:rFonts w:ascii="Arial" w:hAnsi="Arial" w:cs="Arial"/>
                <w:bCs/>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Constanta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7</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277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5</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Suceava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277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5</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Tulcea </w:t>
            </w:r>
          </w:p>
        </w:tc>
        <w:tc>
          <w:tcPr>
            <w:tcW w:w="1474"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227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5</w:t>
            </w:r>
          </w:p>
        </w:tc>
        <w:tc>
          <w:tcPr>
            <w:tcW w:w="1265" w:type="dxa"/>
            <w:vAlign w:val="bottom"/>
          </w:tcPr>
          <w:p w:rsidR="00660414" w:rsidRPr="008C5B1B" w:rsidRDefault="00660414" w:rsidP="007613DE">
            <w:pPr>
              <w:pStyle w:val="NormalWeb"/>
              <w:jc w:val="center"/>
              <w:textAlignment w:val="bottom"/>
              <w:rPr>
                <w:rFonts w:ascii="Arial" w:hAnsi="Arial" w:cs="Arial"/>
                <w:bCs/>
                <w:kern w:val="24"/>
                <w:sz w:val="22"/>
                <w:szCs w:val="22"/>
              </w:rPr>
            </w:pPr>
            <w:r w:rsidRPr="008C5B1B">
              <w:rPr>
                <w:rFonts w:ascii="Arial" w:hAnsi="Arial" w:cs="Arial"/>
                <w:bCs/>
                <w:kern w:val="24"/>
                <w:sz w:val="22"/>
                <w:szCs w:val="22"/>
              </w:rPr>
              <w:t>1</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Baia Mare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5</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212</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4</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Arad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9</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54</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0</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4</w:t>
            </w:r>
          </w:p>
        </w:tc>
        <w:tc>
          <w:tcPr>
            <w:tcW w:w="1265" w:type="dxa"/>
            <w:vAlign w:val="bottom"/>
          </w:tcPr>
          <w:p w:rsidR="00660414" w:rsidRPr="00012188" w:rsidRDefault="00660414" w:rsidP="007613DE">
            <w:pPr>
              <w:pStyle w:val="NormalWeb"/>
              <w:jc w:val="center"/>
              <w:textAlignment w:val="bottom"/>
              <w:rPr>
                <w:rFonts w:ascii="Arial" w:hAnsi="Arial" w:cs="Arial"/>
                <w:kern w:val="24"/>
                <w:sz w:val="22"/>
                <w:szCs w:val="22"/>
              </w:rPr>
            </w:pPr>
            <w:r>
              <w:rPr>
                <w:rFonts w:ascii="Arial" w:hAnsi="Arial" w:cs="Arial"/>
                <w:kern w:val="24"/>
                <w:sz w:val="22"/>
                <w:szCs w:val="22"/>
              </w:rPr>
              <w:t>0</w:t>
            </w:r>
          </w:p>
        </w:tc>
      </w:tr>
      <w:tr w:rsidR="00660414" w:rsidRPr="00F923DC" w:rsidTr="007613DE">
        <w:trPr>
          <w:trHeight w:val="329"/>
          <w:jc w:val="center"/>
        </w:trPr>
        <w:tc>
          <w:tcPr>
            <w:tcW w:w="1648"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Satu Mare </w:t>
            </w:r>
          </w:p>
        </w:tc>
        <w:tc>
          <w:tcPr>
            <w:tcW w:w="1474"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2</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45</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0</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26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3</w:t>
            </w:r>
          </w:p>
        </w:tc>
        <w:tc>
          <w:tcPr>
            <w:tcW w:w="1265" w:type="dxa"/>
            <w:vAlign w:val="bottom"/>
          </w:tcPr>
          <w:p w:rsidR="00660414" w:rsidRPr="008C5B1B" w:rsidRDefault="00660414" w:rsidP="007613DE">
            <w:pPr>
              <w:pStyle w:val="NormalWeb"/>
              <w:jc w:val="center"/>
              <w:textAlignment w:val="bottom"/>
              <w:rPr>
                <w:rFonts w:ascii="Arial" w:hAnsi="Arial" w:cs="Arial"/>
                <w:bCs/>
                <w:kern w:val="24"/>
                <w:sz w:val="22"/>
                <w:szCs w:val="22"/>
              </w:rPr>
            </w:pPr>
            <w:r w:rsidRPr="008C5B1B">
              <w:rPr>
                <w:rFonts w:ascii="Arial" w:hAnsi="Arial" w:cs="Arial"/>
                <w:bCs/>
                <w:kern w:val="24"/>
                <w:sz w:val="22"/>
                <w:szCs w:val="22"/>
              </w:rPr>
              <w:t>1</w:t>
            </w:r>
          </w:p>
        </w:tc>
      </w:tr>
    </w:tbl>
    <w:p w:rsidR="00660414" w:rsidRDefault="00660414" w:rsidP="00A4081F">
      <w:pPr>
        <w:pStyle w:val="NumberedParas"/>
        <w:numPr>
          <w:ilvl w:val="0"/>
          <w:numId w:val="0"/>
        </w:numPr>
        <w:ind w:left="1673"/>
      </w:pPr>
      <w:r>
        <w:rPr>
          <w:rFonts w:cs="Arial"/>
        </w:rPr>
        <w:t>¹</w:t>
      </w:r>
      <w:r>
        <w:t xml:space="preserve"> </w:t>
      </w:r>
      <w:r w:rsidRPr="008C5B1B">
        <w:t>These figure does not include cargo apron stands</w:t>
      </w:r>
    </w:p>
    <w:p w:rsidR="00660414" w:rsidRPr="001C6AE7" w:rsidRDefault="00660414" w:rsidP="00A4081F">
      <w:pPr>
        <w:pStyle w:val="NumberedParas"/>
      </w:pPr>
      <w:r w:rsidRPr="001C6AE7">
        <w:t xml:space="preserve">Table </w:t>
      </w:r>
      <w:r>
        <w:t>7.7</w:t>
      </w:r>
      <w:r w:rsidRPr="001C6AE7">
        <w:t xml:space="preserve"> sets out the apron stands demand for 2025.</w:t>
      </w:r>
    </w:p>
    <w:p w:rsidR="00660414" w:rsidRDefault="00660414" w:rsidP="00660414">
      <w:pPr>
        <w:ind w:left="851"/>
        <w:rPr>
          <w:b/>
          <w:sz w:val="22"/>
          <w:szCs w:val="22"/>
        </w:rPr>
      </w:pPr>
    </w:p>
    <w:p w:rsidR="00660414" w:rsidRPr="001C6AE7" w:rsidRDefault="00660414" w:rsidP="00660414">
      <w:pPr>
        <w:ind w:left="851"/>
        <w:rPr>
          <w:b/>
          <w:sz w:val="22"/>
          <w:szCs w:val="22"/>
        </w:rPr>
      </w:pPr>
      <w:r w:rsidRPr="001C6AE7">
        <w:rPr>
          <w:b/>
          <w:sz w:val="22"/>
          <w:szCs w:val="22"/>
        </w:rPr>
        <w:t xml:space="preserve">Table </w:t>
      </w:r>
      <w:r>
        <w:rPr>
          <w:b/>
          <w:sz w:val="22"/>
          <w:szCs w:val="22"/>
        </w:rPr>
        <w:t>7.7</w:t>
      </w:r>
      <w:r w:rsidRPr="001C6AE7">
        <w:rPr>
          <w:b/>
          <w:sz w:val="22"/>
          <w:szCs w:val="22"/>
        </w:rPr>
        <w:t>: Airports Peak Hour Apron Space Requirement (2025)</w:t>
      </w:r>
    </w:p>
    <w:tbl>
      <w:tblPr>
        <w:tblW w:w="10156"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1493"/>
        <w:gridCol w:w="1306"/>
        <w:gridCol w:w="1421"/>
        <w:gridCol w:w="1179"/>
        <w:gridCol w:w="1126"/>
        <w:gridCol w:w="1115"/>
        <w:gridCol w:w="1258"/>
        <w:gridCol w:w="1258"/>
      </w:tblGrid>
      <w:tr w:rsidR="00660414" w:rsidRPr="001C6AE7" w:rsidTr="007613DE">
        <w:trPr>
          <w:trHeight w:val="734"/>
          <w:tblHeader/>
          <w:jc w:val="center"/>
        </w:trPr>
        <w:tc>
          <w:tcPr>
            <w:tcW w:w="1493" w:type="dxa"/>
            <w:tcBorders>
              <w:top w:val="single" w:sz="12" w:space="0" w:color="4F81BD"/>
              <w:left w:val="single" w:sz="12" w:space="0" w:color="4F81BD"/>
              <w:bottom w:val="single" w:sz="12" w:space="0" w:color="4F81BD"/>
            </w:tcBorders>
            <w:shd w:val="clear" w:color="auto" w:fill="DBE5F1"/>
            <w:vAlign w:val="center"/>
          </w:tcPr>
          <w:p w:rsidR="00660414" w:rsidRPr="008C5B1B" w:rsidRDefault="00660414" w:rsidP="007613DE">
            <w:pPr>
              <w:rPr>
                <w:rFonts w:cs="Arial"/>
                <w:b/>
              </w:rPr>
            </w:pPr>
            <w:r w:rsidRPr="008C5B1B">
              <w:rPr>
                <w:rFonts w:cs="Arial"/>
                <w:b/>
              </w:rPr>
              <w:t>Airport Name</w:t>
            </w:r>
          </w:p>
        </w:tc>
        <w:tc>
          <w:tcPr>
            <w:tcW w:w="1306"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Current</w:t>
            </w:r>
          </w:p>
          <w:p w:rsidR="00660414" w:rsidRPr="008C5B1B" w:rsidRDefault="00660414" w:rsidP="007613DE">
            <w:pPr>
              <w:ind w:left="-3761" w:firstLine="3761"/>
              <w:jc w:val="center"/>
              <w:rPr>
                <w:rFonts w:cs="Arial"/>
                <w:b/>
              </w:rPr>
            </w:pPr>
            <w:r w:rsidRPr="008C5B1B">
              <w:rPr>
                <w:rFonts w:cs="Arial"/>
                <w:b/>
              </w:rPr>
              <w:t xml:space="preserve">Number of </w:t>
            </w:r>
          </w:p>
          <w:p w:rsidR="00660414" w:rsidRPr="008C5B1B" w:rsidRDefault="00660414" w:rsidP="007613DE">
            <w:pPr>
              <w:ind w:left="-3761" w:firstLine="3761"/>
              <w:jc w:val="center"/>
              <w:rPr>
                <w:rFonts w:cs="Arial"/>
                <w:b/>
              </w:rPr>
            </w:pPr>
            <w:r w:rsidRPr="008C5B1B">
              <w:rPr>
                <w:rFonts w:cs="Arial"/>
                <w:b/>
              </w:rPr>
              <w:t>Apron Stands</w:t>
            </w:r>
          </w:p>
        </w:tc>
        <w:tc>
          <w:tcPr>
            <w:tcW w:w="1421"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 xml:space="preserve">Peak Hour </w:t>
            </w:r>
          </w:p>
          <w:p w:rsidR="00660414" w:rsidRPr="008C5B1B" w:rsidRDefault="00660414" w:rsidP="007613DE">
            <w:pPr>
              <w:ind w:left="-3761" w:firstLine="3761"/>
              <w:jc w:val="center"/>
              <w:rPr>
                <w:rFonts w:cs="Arial"/>
                <w:b/>
              </w:rPr>
            </w:pPr>
            <w:r w:rsidRPr="008C5B1B">
              <w:rPr>
                <w:rFonts w:cs="Arial"/>
                <w:b/>
              </w:rPr>
              <w:t>Passengers</w:t>
            </w:r>
          </w:p>
        </w:tc>
        <w:tc>
          <w:tcPr>
            <w:tcW w:w="1179"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 xml:space="preserve">Code D </w:t>
            </w:r>
          </w:p>
          <w:p w:rsidR="00660414" w:rsidRPr="008C5B1B" w:rsidRDefault="00660414" w:rsidP="007613DE">
            <w:pPr>
              <w:ind w:left="-3761" w:firstLine="3761"/>
              <w:jc w:val="center"/>
              <w:rPr>
                <w:rFonts w:cs="Arial"/>
                <w:b/>
              </w:rPr>
            </w:pPr>
            <w:r w:rsidRPr="008C5B1B">
              <w:rPr>
                <w:rFonts w:cs="Arial"/>
                <w:b/>
              </w:rPr>
              <w:t xml:space="preserve">Apron </w:t>
            </w:r>
          </w:p>
          <w:p w:rsidR="00660414" w:rsidRPr="008C5B1B" w:rsidRDefault="00660414" w:rsidP="007613DE">
            <w:pPr>
              <w:ind w:left="-3761" w:firstLine="3761"/>
              <w:jc w:val="center"/>
              <w:rPr>
                <w:rFonts w:cs="Arial"/>
                <w:b/>
              </w:rPr>
            </w:pPr>
            <w:r w:rsidRPr="008C5B1B">
              <w:rPr>
                <w:rFonts w:cs="Arial"/>
                <w:b/>
              </w:rPr>
              <w:t>Stands</w:t>
            </w:r>
          </w:p>
        </w:tc>
        <w:tc>
          <w:tcPr>
            <w:tcW w:w="1126"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Code C</w:t>
            </w:r>
          </w:p>
          <w:p w:rsidR="00660414" w:rsidRPr="008C5B1B" w:rsidRDefault="00660414" w:rsidP="007613DE">
            <w:pPr>
              <w:ind w:left="-3761" w:firstLine="3761"/>
              <w:jc w:val="center"/>
              <w:rPr>
                <w:rFonts w:cs="Arial"/>
                <w:b/>
              </w:rPr>
            </w:pPr>
            <w:r w:rsidRPr="008C5B1B">
              <w:rPr>
                <w:rFonts w:cs="Arial"/>
                <w:b/>
              </w:rPr>
              <w:t xml:space="preserve">Apron </w:t>
            </w:r>
          </w:p>
          <w:p w:rsidR="00660414" w:rsidRPr="008C5B1B" w:rsidRDefault="00660414" w:rsidP="007613DE">
            <w:pPr>
              <w:ind w:left="-3761" w:firstLine="3761"/>
              <w:jc w:val="center"/>
              <w:rPr>
                <w:rFonts w:cs="Arial"/>
                <w:b/>
              </w:rPr>
            </w:pPr>
            <w:r w:rsidRPr="008C5B1B">
              <w:rPr>
                <w:rFonts w:cs="Arial"/>
                <w:b/>
              </w:rPr>
              <w:t>Stands</w:t>
            </w:r>
          </w:p>
        </w:tc>
        <w:tc>
          <w:tcPr>
            <w:tcW w:w="1115"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 xml:space="preserve">ATR </w:t>
            </w:r>
          </w:p>
          <w:p w:rsidR="00660414" w:rsidRPr="008C5B1B" w:rsidRDefault="00660414" w:rsidP="007613DE">
            <w:pPr>
              <w:ind w:left="-3761" w:firstLine="3761"/>
              <w:jc w:val="center"/>
              <w:rPr>
                <w:rFonts w:cs="Arial"/>
                <w:b/>
              </w:rPr>
            </w:pPr>
            <w:r w:rsidRPr="008C5B1B">
              <w:rPr>
                <w:rFonts w:cs="Arial"/>
                <w:b/>
              </w:rPr>
              <w:t xml:space="preserve">Apron </w:t>
            </w:r>
          </w:p>
          <w:p w:rsidR="00660414" w:rsidRPr="008C5B1B" w:rsidRDefault="00660414" w:rsidP="007613DE">
            <w:pPr>
              <w:ind w:left="-3761" w:firstLine="3761"/>
              <w:jc w:val="center"/>
              <w:rPr>
                <w:rFonts w:cs="Arial"/>
                <w:b/>
              </w:rPr>
            </w:pPr>
            <w:r w:rsidRPr="008C5B1B">
              <w:rPr>
                <w:rFonts w:cs="Arial"/>
                <w:b/>
              </w:rPr>
              <w:t>Stands</w:t>
            </w:r>
          </w:p>
        </w:tc>
        <w:tc>
          <w:tcPr>
            <w:tcW w:w="1258" w:type="dxa"/>
            <w:tcBorders>
              <w:top w:val="single" w:sz="12" w:space="0" w:color="4F81BD"/>
              <w:bottom w:val="single" w:sz="12" w:space="0" w:color="4F81BD"/>
            </w:tcBorders>
            <w:shd w:val="clear" w:color="auto" w:fill="DBE5F1"/>
          </w:tcPr>
          <w:p w:rsidR="00660414" w:rsidRPr="008C5B1B" w:rsidRDefault="00660414" w:rsidP="007613DE">
            <w:pPr>
              <w:ind w:left="-3761" w:firstLine="3761"/>
              <w:jc w:val="center"/>
              <w:rPr>
                <w:rFonts w:cs="Arial"/>
                <w:b/>
              </w:rPr>
            </w:pPr>
            <w:r w:rsidRPr="008C5B1B">
              <w:rPr>
                <w:rFonts w:cs="Arial"/>
                <w:b/>
              </w:rPr>
              <w:t xml:space="preserve">Total </w:t>
            </w:r>
          </w:p>
          <w:p w:rsidR="00660414" w:rsidRPr="008C5B1B" w:rsidRDefault="00660414" w:rsidP="007613DE">
            <w:pPr>
              <w:ind w:left="-3761" w:firstLine="3761"/>
              <w:jc w:val="center"/>
              <w:rPr>
                <w:rFonts w:cs="Arial"/>
                <w:b/>
              </w:rPr>
            </w:pPr>
            <w:r w:rsidRPr="008C5B1B">
              <w:rPr>
                <w:rFonts w:cs="Arial"/>
                <w:b/>
              </w:rPr>
              <w:t>Number</w:t>
            </w:r>
          </w:p>
          <w:p w:rsidR="00660414" w:rsidRPr="008C5B1B" w:rsidRDefault="00660414" w:rsidP="007613DE">
            <w:pPr>
              <w:ind w:left="-3761" w:firstLine="3761"/>
              <w:jc w:val="center"/>
              <w:rPr>
                <w:rFonts w:cs="Arial"/>
                <w:b/>
              </w:rPr>
            </w:pPr>
            <w:r w:rsidRPr="008C5B1B">
              <w:rPr>
                <w:rFonts w:cs="Arial"/>
                <w:b/>
              </w:rPr>
              <w:t>Of Stands</w:t>
            </w:r>
          </w:p>
        </w:tc>
        <w:tc>
          <w:tcPr>
            <w:tcW w:w="1258" w:type="dxa"/>
            <w:tcBorders>
              <w:top w:val="single" w:sz="12" w:space="0" w:color="4F81BD"/>
              <w:bottom w:val="single" w:sz="12" w:space="0" w:color="4F81BD"/>
            </w:tcBorders>
            <w:shd w:val="clear" w:color="auto" w:fill="DBE5F1"/>
          </w:tcPr>
          <w:p w:rsidR="00660414" w:rsidRPr="00002E54" w:rsidRDefault="00660414" w:rsidP="007613DE">
            <w:pPr>
              <w:ind w:left="-3761" w:firstLine="3761"/>
              <w:jc w:val="center"/>
              <w:rPr>
                <w:rFonts w:cs="Arial"/>
                <w:b/>
              </w:rPr>
            </w:pPr>
            <w:r>
              <w:rPr>
                <w:rFonts w:cs="Arial"/>
                <w:b/>
              </w:rPr>
              <w:t>Shortfall</w:t>
            </w:r>
          </w:p>
          <w:p w:rsidR="00660414" w:rsidRPr="00002E54" w:rsidRDefault="00660414" w:rsidP="007613DE">
            <w:pPr>
              <w:ind w:left="-3761" w:firstLine="3761"/>
              <w:jc w:val="center"/>
              <w:rPr>
                <w:rFonts w:cs="Arial"/>
                <w:b/>
              </w:rPr>
            </w:pPr>
            <w:r w:rsidRPr="00002E54">
              <w:rPr>
                <w:rFonts w:cs="Arial"/>
                <w:b/>
              </w:rPr>
              <w:t>Number</w:t>
            </w:r>
          </w:p>
          <w:p w:rsidR="00660414" w:rsidRPr="00002E54" w:rsidRDefault="00660414" w:rsidP="007613DE">
            <w:pPr>
              <w:ind w:left="-3761" w:firstLine="3761"/>
              <w:jc w:val="center"/>
              <w:rPr>
                <w:rFonts w:cs="Arial"/>
                <w:b/>
              </w:rPr>
            </w:pPr>
            <w:r w:rsidRPr="00002E54">
              <w:rPr>
                <w:rFonts w:cs="Arial"/>
                <w:b/>
              </w:rPr>
              <w:t>Of Stands</w:t>
            </w:r>
          </w:p>
        </w:tc>
      </w:tr>
      <w:tr w:rsidR="00660414" w:rsidRPr="001C6AE7" w:rsidTr="007613DE">
        <w:trPr>
          <w:trHeight w:val="329"/>
          <w:jc w:val="center"/>
        </w:trPr>
        <w:tc>
          <w:tcPr>
            <w:tcW w:w="1493" w:type="dxa"/>
            <w:tcBorders>
              <w:top w:val="single" w:sz="12" w:space="0" w:color="4F81BD"/>
            </w:tcBorders>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Bucharest </w:t>
            </w:r>
          </w:p>
        </w:tc>
        <w:tc>
          <w:tcPr>
            <w:tcW w:w="1306"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62</w:t>
            </w:r>
          </w:p>
        </w:tc>
        <w:tc>
          <w:tcPr>
            <w:tcW w:w="1421"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5,340</w:t>
            </w:r>
          </w:p>
        </w:tc>
        <w:tc>
          <w:tcPr>
            <w:tcW w:w="1179"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18</w:t>
            </w:r>
          </w:p>
        </w:tc>
        <w:tc>
          <w:tcPr>
            <w:tcW w:w="1126"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9</w:t>
            </w:r>
          </w:p>
        </w:tc>
        <w:tc>
          <w:tcPr>
            <w:tcW w:w="1115"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12</w:t>
            </w:r>
          </w:p>
        </w:tc>
        <w:tc>
          <w:tcPr>
            <w:tcW w:w="1258"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Cs/>
                <w:kern w:val="24"/>
                <w:sz w:val="22"/>
                <w:szCs w:val="22"/>
              </w:rPr>
              <w:t>55</w:t>
            </w:r>
          </w:p>
        </w:tc>
        <w:tc>
          <w:tcPr>
            <w:tcW w:w="1258" w:type="dxa"/>
            <w:tcBorders>
              <w:top w:val="single" w:sz="12" w:space="0" w:color="4F81BD"/>
            </w:tcBorders>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0¹</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Craiova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12</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2,269</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8</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24</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sidRPr="008C5B1B">
              <w:rPr>
                <w:rFonts w:ascii="Arial" w:hAnsi="Arial" w:cs="Arial"/>
                <w:color w:val="000000"/>
                <w:kern w:val="24"/>
                <w:sz w:val="22"/>
                <w:szCs w:val="22"/>
              </w:rPr>
              <w:t>12</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Timisoara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26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1,968</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21</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Sibiu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1,674</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17</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sidRPr="008C5B1B">
              <w:rPr>
                <w:rFonts w:ascii="Arial" w:hAnsi="Arial" w:cs="Arial"/>
                <w:color w:val="000000"/>
                <w:kern w:val="24"/>
                <w:sz w:val="22"/>
                <w:szCs w:val="22"/>
              </w:rPr>
              <w:t>1</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Cluj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1,497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16</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sidRPr="008C5B1B">
              <w:rPr>
                <w:rFonts w:ascii="Arial" w:hAnsi="Arial" w:cs="Arial"/>
                <w:color w:val="000000"/>
                <w:kern w:val="24"/>
                <w:sz w:val="22"/>
                <w:szCs w:val="22"/>
              </w:rPr>
              <w:t>2</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Bacau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1,307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15</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sidRPr="008C5B1B">
              <w:rPr>
                <w:rFonts w:ascii="Arial" w:hAnsi="Arial" w:cs="Arial"/>
                <w:color w:val="000000"/>
                <w:kern w:val="24"/>
                <w:sz w:val="22"/>
                <w:szCs w:val="22"/>
              </w:rPr>
              <w:t>11</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Iasi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w:t>
            </w:r>
            <w:r>
              <w:rPr>
                <w:rFonts w:ascii="Arial" w:hAnsi="Arial" w:cs="Arial"/>
                <w:color w:val="000000"/>
                <w:kern w:val="24"/>
                <w:sz w:val="22"/>
                <w:szCs w:val="22"/>
              </w:rPr>
              <w:t>2</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796</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9</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Targu Mures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9</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1,015</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2</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4</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5</w:t>
            </w:r>
          </w:p>
        </w:tc>
        <w:tc>
          <w:tcPr>
            <w:tcW w:w="1258" w:type="dxa"/>
            <w:vAlign w:val="bottom"/>
          </w:tcPr>
          <w:p w:rsidR="00660414" w:rsidRPr="008C5B1B" w:rsidRDefault="00660414" w:rsidP="007613DE">
            <w:pPr>
              <w:pStyle w:val="NormalWeb"/>
              <w:jc w:val="center"/>
              <w:textAlignment w:val="bottom"/>
              <w:rPr>
                <w:rFonts w:ascii="Arial" w:hAnsi="Arial" w:cs="Arial"/>
                <w:b/>
                <w:color w:val="FF0000"/>
                <w:sz w:val="22"/>
                <w:szCs w:val="22"/>
              </w:rPr>
            </w:pPr>
            <w:r w:rsidRPr="008C5B1B">
              <w:rPr>
                <w:rFonts w:ascii="Arial" w:hAnsi="Arial" w:cs="Arial"/>
                <w:b/>
                <w:bCs/>
                <w:color w:val="FF0000"/>
                <w:kern w:val="24"/>
                <w:sz w:val="22"/>
                <w:szCs w:val="22"/>
              </w:rPr>
              <w:t>14</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5</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Oradea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10</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353</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6</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Brasov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0</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347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012188" w:rsidRDefault="00660414" w:rsidP="007613DE">
            <w:pPr>
              <w:pStyle w:val="NormalWeb"/>
              <w:jc w:val="center"/>
              <w:textAlignment w:val="bottom"/>
              <w:rPr>
                <w:rFonts w:ascii="Arial" w:hAnsi="Arial" w:cs="Arial"/>
                <w:sz w:val="22"/>
                <w:szCs w:val="22"/>
              </w:rPr>
            </w:pPr>
            <w:r w:rsidRPr="008C5B1B">
              <w:rPr>
                <w:rFonts w:ascii="Arial" w:hAnsi="Arial" w:cs="Arial"/>
                <w:bCs/>
                <w:kern w:val="24"/>
                <w:sz w:val="22"/>
                <w:szCs w:val="22"/>
              </w:rPr>
              <w:t>6</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Constanta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7</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346</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6</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Suceava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6</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344</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w:t>
            </w:r>
          </w:p>
        </w:tc>
        <w:tc>
          <w:tcPr>
            <w:tcW w:w="1258"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Tulcea </w:t>
            </w:r>
          </w:p>
        </w:tc>
        <w:tc>
          <w:tcPr>
            <w:tcW w:w="130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280</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5</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1</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Baia Mare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5</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266</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5</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rPr>
                <w:rFonts w:ascii="Arial" w:hAnsi="Arial" w:cs="Arial"/>
                <w:sz w:val="22"/>
                <w:szCs w:val="22"/>
              </w:rPr>
            </w:pPr>
            <w:r w:rsidRPr="00F923DC">
              <w:rPr>
                <w:rFonts w:ascii="Arial" w:hAnsi="Arial" w:cs="Arial"/>
                <w:color w:val="000000"/>
                <w:kern w:val="24"/>
                <w:sz w:val="22"/>
                <w:szCs w:val="22"/>
              </w:rPr>
              <w:t xml:space="preserve">Arad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9</w:t>
            </w:r>
          </w:p>
        </w:tc>
        <w:tc>
          <w:tcPr>
            <w:tcW w:w="142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67</w:t>
            </w:r>
          </w:p>
        </w:tc>
        <w:tc>
          <w:tcPr>
            <w:tcW w:w="1179"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0</w:t>
            </w:r>
          </w:p>
        </w:tc>
        <w:tc>
          <w:tcPr>
            <w:tcW w:w="1126"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kern w:val="24"/>
                <w:sz w:val="22"/>
                <w:szCs w:val="22"/>
              </w:rPr>
              <w:t>4</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0</w:t>
            </w:r>
          </w:p>
        </w:tc>
      </w:tr>
      <w:tr w:rsidR="00660414" w:rsidRPr="001C6AE7" w:rsidTr="007613DE">
        <w:trPr>
          <w:trHeight w:val="329"/>
          <w:jc w:val="center"/>
        </w:trPr>
        <w:tc>
          <w:tcPr>
            <w:tcW w:w="1493" w:type="dxa"/>
            <w:vAlign w:val="bottom"/>
          </w:tcPr>
          <w:p w:rsidR="00660414" w:rsidRPr="00F923DC" w:rsidRDefault="00660414" w:rsidP="007613DE">
            <w:pPr>
              <w:pStyle w:val="NormalWeb"/>
              <w:spacing w:line="283" w:lineRule="atLeast"/>
              <w:rPr>
                <w:rFonts w:ascii="Arial" w:hAnsi="Arial" w:cs="Arial"/>
                <w:sz w:val="22"/>
                <w:szCs w:val="22"/>
              </w:rPr>
            </w:pPr>
            <w:r w:rsidRPr="00F923DC">
              <w:rPr>
                <w:rFonts w:ascii="Arial" w:hAnsi="Arial" w:cs="Arial"/>
                <w:color w:val="000000"/>
                <w:kern w:val="24"/>
                <w:sz w:val="22"/>
                <w:szCs w:val="22"/>
              </w:rPr>
              <w:t xml:space="preserve">Satu Mare </w:t>
            </w:r>
          </w:p>
        </w:tc>
        <w:tc>
          <w:tcPr>
            <w:tcW w:w="1306" w:type="dxa"/>
            <w:vAlign w:val="bottom"/>
          </w:tcPr>
          <w:p w:rsidR="00660414" w:rsidRPr="00F923DC" w:rsidRDefault="00660414" w:rsidP="007613DE">
            <w:pPr>
              <w:pStyle w:val="NormalWeb"/>
              <w:jc w:val="center"/>
              <w:textAlignment w:val="bottom"/>
              <w:rPr>
                <w:rFonts w:ascii="Arial" w:hAnsi="Arial" w:cs="Arial"/>
                <w:color w:val="000000"/>
                <w:kern w:val="24"/>
                <w:sz w:val="22"/>
                <w:szCs w:val="22"/>
              </w:rPr>
            </w:pPr>
            <w:r w:rsidRPr="00F923DC">
              <w:rPr>
                <w:rFonts w:ascii="Arial" w:hAnsi="Arial" w:cs="Arial"/>
                <w:color w:val="000000"/>
                <w:kern w:val="24"/>
                <w:sz w:val="22"/>
                <w:szCs w:val="22"/>
              </w:rPr>
              <w:t>2</w:t>
            </w:r>
          </w:p>
        </w:tc>
        <w:tc>
          <w:tcPr>
            <w:tcW w:w="1421" w:type="dxa"/>
            <w:vAlign w:val="bottom"/>
          </w:tcPr>
          <w:p w:rsidR="00660414" w:rsidRPr="00F923DC" w:rsidRDefault="00660414" w:rsidP="007613DE">
            <w:pPr>
              <w:pStyle w:val="NormalWeb"/>
              <w:spacing w:line="283" w:lineRule="atLeast"/>
              <w:jc w:val="center"/>
              <w:textAlignment w:val="bottom"/>
              <w:rPr>
                <w:rFonts w:ascii="Arial" w:hAnsi="Arial" w:cs="Arial"/>
                <w:sz w:val="22"/>
                <w:szCs w:val="22"/>
              </w:rPr>
            </w:pPr>
            <w:r w:rsidRPr="00F923DC">
              <w:rPr>
                <w:rFonts w:ascii="Arial" w:hAnsi="Arial" w:cs="Arial"/>
                <w:color w:val="000000"/>
                <w:kern w:val="24"/>
                <w:sz w:val="22"/>
                <w:szCs w:val="22"/>
              </w:rPr>
              <w:t>57</w:t>
            </w:r>
          </w:p>
        </w:tc>
        <w:tc>
          <w:tcPr>
            <w:tcW w:w="1179" w:type="dxa"/>
            <w:vAlign w:val="bottom"/>
          </w:tcPr>
          <w:p w:rsidR="00660414" w:rsidRPr="00F923DC" w:rsidRDefault="00660414" w:rsidP="007613DE">
            <w:pPr>
              <w:pStyle w:val="NormalWeb"/>
              <w:spacing w:line="283" w:lineRule="atLeast"/>
              <w:jc w:val="center"/>
              <w:textAlignment w:val="bottom"/>
              <w:rPr>
                <w:rFonts w:ascii="Arial" w:hAnsi="Arial" w:cs="Arial"/>
                <w:sz w:val="22"/>
                <w:szCs w:val="22"/>
              </w:rPr>
            </w:pPr>
            <w:r w:rsidRPr="00F923DC">
              <w:rPr>
                <w:rFonts w:ascii="Arial" w:hAnsi="Arial" w:cs="Arial"/>
                <w:color w:val="000000"/>
                <w:kern w:val="24"/>
                <w:sz w:val="22"/>
                <w:szCs w:val="22"/>
              </w:rPr>
              <w:t>0</w:t>
            </w:r>
          </w:p>
        </w:tc>
        <w:tc>
          <w:tcPr>
            <w:tcW w:w="1126" w:type="dxa"/>
            <w:vAlign w:val="bottom"/>
          </w:tcPr>
          <w:p w:rsidR="00660414" w:rsidRPr="00F923DC" w:rsidRDefault="00660414" w:rsidP="007613DE">
            <w:pPr>
              <w:pStyle w:val="NormalWeb"/>
              <w:spacing w:line="283" w:lineRule="atLeast"/>
              <w:jc w:val="center"/>
              <w:textAlignment w:val="bottom"/>
              <w:rPr>
                <w:rFonts w:ascii="Arial" w:hAnsi="Arial" w:cs="Arial"/>
                <w:sz w:val="22"/>
                <w:szCs w:val="22"/>
              </w:rPr>
            </w:pPr>
            <w:r w:rsidRPr="00F923DC">
              <w:rPr>
                <w:rFonts w:ascii="Arial" w:hAnsi="Arial" w:cs="Arial"/>
                <w:color w:val="000000"/>
                <w:kern w:val="24"/>
                <w:sz w:val="22"/>
                <w:szCs w:val="22"/>
              </w:rPr>
              <w:t>1</w:t>
            </w:r>
          </w:p>
        </w:tc>
        <w:tc>
          <w:tcPr>
            <w:tcW w:w="1115" w:type="dxa"/>
            <w:vAlign w:val="bottom"/>
          </w:tcPr>
          <w:p w:rsidR="00660414" w:rsidRPr="00F923DC" w:rsidRDefault="00660414" w:rsidP="007613DE">
            <w:pPr>
              <w:pStyle w:val="NormalWeb"/>
              <w:spacing w:line="283" w:lineRule="atLeast"/>
              <w:jc w:val="center"/>
              <w:textAlignment w:val="bottom"/>
              <w:rPr>
                <w:rFonts w:ascii="Arial" w:hAnsi="Arial" w:cs="Arial"/>
                <w:sz w:val="22"/>
                <w:szCs w:val="22"/>
              </w:rPr>
            </w:pPr>
            <w:r w:rsidRPr="00F923DC">
              <w:rPr>
                <w:rFonts w:ascii="Arial" w:hAnsi="Arial" w:cs="Arial"/>
                <w:color w:val="000000"/>
                <w:kern w:val="24"/>
                <w:sz w:val="22"/>
                <w:szCs w:val="22"/>
              </w:rPr>
              <w:t>2</w:t>
            </w:r>
          </w:p>
        </w:tc>
        <w:tc>
          <w:tcPr>
            <w:tcW w:w="1258"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4</w:t>
            </w:r>
          </w:p>
        </w:tc>
        <w:tc>
          <w:tcPr>
            <w:tcW w:w="1258" w:type="dxa"/>
            <w:vAlign w:val="bottom"/>
          </w:tcPr>
          <w:p w:rsidR="00660414" w:rsidRPr="008C5B1B" w:rsidRDefault="00660414" w:rsidP="007613DE">
            <w:pPr>
              <w:pStyle w:val="NormalWeb"/>
              <w:jc w:val="center"/>
              <w:textAlignment w:val="bottom"/>
              <w:rPr>
                <w:rFonts w:ascii="Arial" w:hAnsi="Arial" w:cs="Arial"/>
                <w:color w:val="000000"/>
                <w:kern w:val="24"/>
                <w:sz w:val="22"/>
                <w:szCs w:val="22"/>
              </w:rPr>
            </w:pPr>
            <w:r>
              <w:rPr>
                <w:rFonts w:ascii="Arial" w:hAnsi="Arial" w:cs="Arial"/>
                <w:color w:val="000000"/>
                <w:kern w:val="24"/>
                <w:sz w:val="22"/>
                <w:szCs w:val="22"/>
              </w:rPr>
              <w:t>2</w:t>
            </w:r>
          </w:p>
        </w:tc>
      </w:tr>
    </w:tbl>
    <w:p w:rsidR="00660414" w:rsidRPr="00F257E0" w:rsidRDefault="00660414" w:rsidP="00660414">
      <w:pPr>
        <w:pStyle w:val="ListParagraph"/>
        <w:ind w:left="680"/>
        <w:rPr>
          <w:lang w:val="ro-RO"/>
        </w:rPr>
      </w:pPr>
      <w:r>
        <w:rPr>
          <w:lang w:val="ro-RO"/>
        </w:rPr>
        <w:t>¹ This figure does not include cargo apron stands</w:t>
      </w:r>
    </w:p>
    <w:p w:rsidR="00660414" w:rsidRPr="001C6AE7" w:rsidRDefault="00660414" w:rsidP="00A4081F">
      <w:pPr>
        <w:pStyle w:val="NumberedParas"/>
      </w:pPr>
      <w:r w:rsidRPr="001C6AE7">
        <w:t xml:space="preserve">From Table </w:t>
      </w:r>
      <w:r>
        <w:t>7.7</w:t>
      </w:r>
      <w:r w:rsidRPr="001C6AE7">
        <w:t xml:space="preserve"> it is clear that the following airports will run out of apron stand capacity by 2025:  Craiova, Cluj-Napoca, Bacau, Oradea, Tulcea and Satu Mare.  </w:t>
      </w:r>
    </w:p>
    <w:p w:rsidR="00660414" w:rsidRPr="001C6AE7" w:rsidRDefault="00660414" w:rsidP="00A4081F">
      <w:pPr>
        <w:pStyle w:val="NumberedParas"/>
      </w:pPr>
      <w:r w:rsidRPr="001C6AE7">
        <w:t xml:space="preserve">Table </w:t>
      </w:r>
      <w:r>
        <w:t>7.8</w:t>
      </w:r>
      <w:r w:rsidRPr="001C6AE7">
        <w:t xml:space="preserve"> sets out the Navigational Aids, Approach Lighting and Aircraft Rescue and Firefighting (AFFR) at the various airports.</w:t>
      </w:r>
    </w:p>
    <w:p w:rsidR="00660414" w:rsidRPr="001C6AE7" w:rsidRDefault="00660414" w:rsidP="00660414">
      <w:pPr>
        <w:ind w:left="851"/>
        <w:rPr>
          <w:b/>
          <w:sz w:val="22"/>
          <w:szCs w:val="22"/>
        </w:rPr>
      </w:pPr>
      <w:r w:rsidRPr="001C6AE7">
        <w:rPr>
          <w:b/>
          <w:sz w:val="22"/>
          <w:szCs w:val="22"/>
        </w:rPr>
        <w:t xml:space="preserve">Table </w:t>
      </w:r>
      <w:r>
        <w:rPr>
          <w:b/>
          <w:sz w:val="22"/>
          <w:szCs w:val="22"/>
        </w:rPr>
        <w:t>7.8</w:t>
      </w:r>
      <w:r w:rsidRPr="001C6AE7">
        <w:rPr>
          <w:b/>
          <w:sz w:val="22"/>
          <w:szCs w:val="22"/>
        </w:rPr>
        <w:t xml:space="preserve"> – Technical Characteristics of Romanian Airfields </w:t>
      </w:r>
    </w:p>
    <w:tbl>
      <w:tblPr>
        <w:tblW w:w="10348" w:type="dxa"/>
        <w:tblInd w:w="108" w:type="dxa"/>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609"/>
        <w:gridCol w:w="1588"/>
        <w:gridCol w:w="3141"/>
        <w:gridCol w:w="1701"/>
        <w:gridCol w:w="1309"/>
      </w:tblGrid>
      <w:tr w:rsidR="00660414" w:rsidRPr="00F923DC" w:rsidTr="007613DE">
        <w:trPr>
          <w:trHeight w:val="734"/>
          <w:tblHeader/>
        </w:trPr>
        <w:tc>
          <w:tcPr>
            <w:tcW w:w="2609" w:type="dxa"/>
            <w:tcBorders>
              <w:top w:val="single" w:sz="12" w:space="0" w:color="4F81BD"/>
              <w:left w:val="single" w:sz="12" w:space="0" w:color="4F81BD"/>
              <w:bottom w:val="single" w:sz="12" w:space="0" w:color="4F81BD"/>
            </w:tcBorders>
            <w:shd w:val="clear" w:color="auto" w:fill="DBE5F1"/>
            <w:vAlign w:val="center"/>
          </w:tcPr>
          <w:p w:rsidR="00660414" w:rsidRPr="00F923DC" w:rsidRDefault="00660414" w:rsidP="007613DE">
            <w:pPr>
              <w:rPr>
                <w:rFonts w:cs="Arial"/>
                <w:b/>
                <w:sz w:val="22"/>
                <w:szCs w:val="22"/>
              </w:rPr>
            </w:pPr>
            <w:r w:rsidRPr="00F923DC">
              <w:rPr>
                <w:rFonts w:cs="Arial"/>
                <w:b/>
                <w:sz w:val="22"/>
                <w:szCs w:val="22"/>
              </w:rPr>
              <w:t>Airport Name</w:t>
            </w:r>
          </w:p>
        </w:tc>
        <w:tc>
          <w:tcPr>
            <w:tcW w:w="1588"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Highest PCN</w:t>
            </w:r>
          </w:p>
        </w:tc>
        <w:tc>
          <w:tcPr>
            <w:tcW w:w="3141"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Navigational Aids</w:t>
            </w:r>
          </w:p>
        </w:tc>
        <w:tc>
          <w:tcPr>
            <w:tcW w:w="1701"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Approach Lighting</w:t>
            </w:r>
          </w:p>
        </w:tc>
        <w:tc>
          <w:tcPr>
            <w:tcW w:w="1309"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ARFF   Category</w:t>
            </w:r>
          </w:p>
        </w:tc>
      </w:tr>
      <w:tr w:rsidR="00660414" w:rsidRPr="00F923DC" w:rsidTr="007613DE">
        <w:trPr>
          <w:trHeight w:val="329"/>
        </w:trPr>
        <w:tc>
          <w:tcPr>
            <w:tcW w:w="2609" w:type="dxa"/>
            <w:tcBorders>
              <w:top w:val="single" w:sz="12" w:space="0" w:color="4F81BD"/>
            </w:tcBorders>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Bucharest Henri Coanda</w:t>
            </w:r>
          </w:p>
        </w:tc>
        <w:tc>
          <w:tcPr>
            <w:tcW w:w="1588" w:type="dxa"/>
            <w:tcBorders>
              <w:top w:val="single" w:sz="12" w:space="0" w:color="4F81BD"/>
            </w:tcBorders>
            <w:vAlign w:val="center"/>
          </w:tcPr>
          <w:p w:rsidR="00660414" w:rsidRPr="00F923DC" w:rsidRDefault="00660414" w:rsidP="007613DE">
            <w:pPr>
              <w:jc w:val="center"/>
              <w:rPr>
                <w:rFonts w:cs="Arial"/>
                <w:sz w:val="22"/>
                <w:szCs w:val="22"/>
              </w:rPr>
            </w:pPr>
            <w:r w:rsidRPr="00F923DC">
              <w:rPr>
                <w:rFonts w:cs="Arial"/>
                <w:sz w:val="22"/>
                <w:szCs w:val="22"/>
              </w:rPr>
              <w:t>78 R/D/W/T</w:t>
            </w:r>
          </w:p>
        </w:tc>
        <w:tc>
          <w:tcPr>
            <w:tcW w:w="3141" w:type="dxa"/>
            <w:tcBorders>
              <w:top w:val="single" w:sz="12" w:space="0" w:color="4F81BD"/>
            </w:tcBorders>
            <w:vAlign w:val="center"/>
          </w:tcPr>
          <w:p w:rsidR="00660414" w:rsidRPr="00F923DC" w:rsidRDefault="00660414" w:rsidP="007613DE">
            <w:pPr>
              <w:jc w:val="center"/>
              <w:rPr>
                <w:rFonts w:cs="Arial"/>
                <w:sz w:val="22"/>
                <w:szCs w:val="22"/>
              </w:rPr>
            </w:pPr>
            <w:r w:rsidRPr="00F923DC">
              <w:rPr>
                <w:rFonts w:cs="Arial"/>
                <w:sz w:val="22"/>
                <w:szCs w:val="22"/>
              </w:rPr>
              <w:t>NDB, DME, ILS Cat. III</w:t>
            </w:r>
          </w:p>
        </w:tc>
        <w:tc>
          <w:tcPr>
            <w:tcW w:w="1701" w:type="dxa"/>
            <w:tcBorders>
              <w:top w:val="single" w:sz="12" w:space="0" w:color="4F81BD"/>
            </w:tcBorders>
            <w:vAlign w:val="center"/>
          </w:tcPr>
          <w:p w:rsidR="00660414" w:rsidRPr="00F923DC" w:rsidRDefault="00660414" w:rsidP="007613DE">
            <w:pPr>
              <w:jc w:val="center"/>
              <w:rPr>
                <w:rFonts w:cs="Arial"/>
                <w:sz w:val="22"/>
                <w:szCs w:val="22"/>
              </w:rPr>
            </w:pPr>
            <w:r w:rsidRPr="00F923DC">
              <w:rPr>
                <w:rFonts w:cs="Arial"/>
                <w:sz w:val="22"/>
                <w:szCs w:val="22"/>
              </w:rPr>
              <w:t>Cat. I, ALSF-II</w:t>
            </w:r>
          </w:p>
        </w:tc>
        <w:tc>
          <w:tcPr>
            <w:tcW w:w="1309" w:type="dxa"/>
            <w:tcBorders>
              <w:top w:val="single" w:sz="12" w:space="0" w:color="4F81BD"/>
            </w:tcBorders>
            <w:vAlign w:val="center"/>
          </w:tcPr>
          <w:p w:rsidR="00660414" w:rsidRPr="00F923DC" w:rsidRDefault="00660414" w:rsidP="007613DE">
            <w:pPr>
              <w:jc w:val="center"/>
              <w:rPr>
                <w:rFonts w:cs="Arial"/>
                <w:sz w:val="22"/>
                <w:szCs w:val="22"/>
              </w:rPr>
            </w:pPr>
            <w:r w:rsidRPr="00F923DC">
              <w:rPr>
                <w:rFonts w:cs="Arial"/>
                <w:sz w:val="22"/>
                <w:szCs w:val="22"/>
              </w:rPr>
              <w:t>9</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Timisoara</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42 R/B/W/T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 DME, ILS Cat. III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 ALSF-II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8</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Cluj</w:t>
            </w:r>
          </w:p>
        </w:tc>
        <w:tc>
          <w:tcPr>
            <w:tcW w:w="1588" w:type="dxa"/>
            <w:vAlign w:val="center"/>
          </w:tcPr>
          <w:p w:rsidR="00660414" w:rsidRDefault="00660414" w:rsidP="007613DE">
            <w:pPr>
              <w:jc w:val="center"/>
              <w:rPr>
                <w:rFonts w:cs="Arial"/>
                <w:sz w:val="22"/>
                <w:szCs w:val="22"/>
              </w:rPr>
            </w:pPr>
            <w:r>
              <w:rPr>
                <w:rFonts w:cs="Arial"/>
                <w:sz w:val="22"/>
                <w:szCs w:val="22"/>
              </w:rPr>
              <w:t>114</w:t>
            </w:r>
            <w:r w:rsidRPr="00F923DC">
              <w:rPr>
                <w:rFonts w:cs="Arial"/>
                <w:sz w:val="22"/>
                <w:szCs w:val="22"/>
              </w:rPr>
              <w:t xml:space="preserve"> R/</w:t>
            </w:r>
            <w:r>
              <w:rPr>
                <w:rFonts w:cs="Arial"/>
                <w:sz w:val="22"/>
                <w:szCs w:val="22"/>
              </w:rPr>
              <w:t>B</w:t>
            </w:r>
            <w:r w:rsidRPr="00F923DC">
              <w:rPr>
                <w:rFonts w:cs="Arial"/>
                <w:sz w:val="22"/>
                <w:szCs w:val="22"/>
              </w:rPr>
              <w:t>/W/T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 ILS Cat. I</w:t>
            </w:r>
            <w:r>
              <w:rPr>
                <w:rFonts w:cs="Arial"/>
                <w:sz w:val="22"/>
                <w:szCs w:val="22"/>
              </w:rPr>
              <w:t>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8</w:t>
            </w:r>
          </w:p>
        </w:tc>
      </w:tr>
      <w:tr w:rsidR="00660414" w:rsidRPr="00F923DC" w:rsidTr="007613DE">
        <w:trPr>
          <w:trHeight w:val="329"/>
        </w:trPr>
        <w:tc>
          <w:tcPr>
            <w:tcW w:w="2609" w:type="dxa"/>
            <w:vAlign w:val="center"/>
          </w:tcPr>
          <w:p w:rsidR="00660414" w:rsidRPr="00F923DC" w:rsidRDefault="00660414" w:rsidP="007613DE">
            <w:pPr>
              <w:rPr>
                <w:rFonts w:cs="Arial"/>
                <w:sz w:val="22"/>
                <w:szCs w:val="22"/>
                <w:lang w:val="en-US"/>
              </w:rPr>
            </w:pPr>
            <w:r w:rsidRPr="00F923DC">
              <w:rPr>
                <w:rFonts w:cs="Arial"/>
                <w:sz w:val="22"/>
                <w:szCs w:val="22"/>
                <w:lang w:val="en-US"/>
              </w:rPr>
              <w:t>Iasi</w:t>
            </w:r>
          </w:p>
        </w:tc>
        <w:tc>
          <w:tcPr>
            <w:tcW w:w="1588" w:type="dxa"/>
            <w:vAlign w:val="center"/>
          </w:tcPr>
          <w:p w:rsidR="00660414" w:rsidRPr="00F923DC" w:rsidRDefault="00660414" w:rsidP="007613DE">
            <w:pPr>
              <w:jc w:val="center"/>
              <w:rPr>
                <w:rFonts w:cs="Arial"/>
                <w:sz w:val="22"/>
                <w:szCs w:val="22"/>
              </w:rPr>
            </w:pPr>
            <w:r>
              <w:rPr>
                <w:rFonts w:cs="Arial"/>
                <w:sz w:val="22"/>
                <w:szCs w:val="22"/>
              </w:rPr>
              <w:t>99</w:t>
            </w:r>
            <w:r w:rsidRPr="00F923DC">
              <w:rPr>
                <w:rFonts w:cs="Arial"/>
                <w:sz w:val="22"/>
                <w:szCs w:val="22"/>
              </w:rPr>
              <w:t xml:space="preserve"> </w:t>
            </w:r>
            <w:r>
              <w:rPr>
                <w:rFonts w:cs="Arial"/>
                <w:sz w:val="22"/>
                <w:szCs w:val="22"/>
              </w:rPr>
              <w:t>F</w:t>
            </w:r>
            <w:r w:rsidRPr="00F923DC">
              <w:rPr>
                <w:rFonts w:cs="Arial"/>
                <w:sz w:val="22"/>
                <w:szCs w:val="22"/>
              </w:rPr>
              <w:t>/D/W/T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 DME,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r>
              <w:rPr>
                <w:rFonts w:cs="Arial"/>
                <w:sz w:val="22"/>
                <w:szCs w:val="22"/>
              </w:rPr>
              <w:t>II</w:t>
            </w:r>
          </w:p>
        </w:tc>
        <w:tc>
          <w:tcPr>
            <w:tcW w:w="1309" w:type="dxa"/>
            <w:vAlign w:val="center"/>
          </w:tcPr>
          <w:p w:rsidR="00660414" w:rsidRDefault="00660414" w:rsidP="007613DE">
            <w:pPr>
              <w:jc w:val="center"/>
              <w:rPr>
                <w:rFonts w:cs="Arial"/>
                <w:sz w:val="22"/>
                <w:szCs w:val="22"/>
              </w:rPr>
            </w:pPr>
            <w:r w:rsidRPr="00F923DC">
              <w:rPr>
                <w:rFonts w:cs="Arial"/>
                <w:sz w:val="22"/>
                <w:szCs w:val="22"/>
              </w:rPr>
              <w:t>6</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Craiova</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29 R/A/W/T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 ILS Cat. 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7</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Bacau</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19 R/C/W/T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 NDB</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6</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Constanta</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62 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VOR/DME, NDB,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ALS  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7 (8)</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Targu Mures</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45 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 DME,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7</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Sibiu</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56 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 NDB,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ALS 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7 (8)</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Oradea</w:t>
            </w:r>
          </w:p>
        </w:tc>
        <w:tc>
          <w:tcPr>
            <w:tcW w:w="1588" w:type="dxa"/>
            <w:vAlign w:val="center"/>
          </w:tcPr>
          <w:p w:rsidR="00660414" w:rsidRPr="00F923DC" w:rsidRDefault="00660414" w:rsidP="007613DE">
            <w:pPr>
              <w:jc w:val="center"/>
              <w:rPr>
                <w:rFonts w:cs="Arial"/>
                <w:sz w:val="22"/>
                <w:szCs w:val="22"/>
              </w:rPr>
            </w:pPr>
            <w:r>
              <w:rPr>
                <w:rFonts w:cs="Arial"/>
                <w:sz w:val="22"/>
                <w:szCs w:val="22"/>
              </w:rPr>
              <w:t>55</w:t>
            </w:r>
            <w:r w:rsidRPr="00F923DC">
              <w:rPr>
                <w:rFonts w:cs="Arial"/>
                <w:sz w:val="22"/>
                <w:szCs w:val="22"/>
              </w:rPr>
              <w:t xml:space="preserve"> 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 DME,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6</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Brasov</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Not open yet</w:t>
            </w:r>
          </w:p>
        </w:tc>
        <w:tc>
          <w:tcPr>
            <w:tcW w:w="3141" w:type="dxa"/>
            <w:vAlign w:val="center"/>
          </w:tcPr>
          <w:p w:rsidR="00660414" w:rsidRPr="00F923DC" w:rsidRDefault="00660414" w:rsidP="007613DE">
            <w:pPr>
              <w:rPr>
                <w:rFonts w:cs="Arial"/>
                <w:sz w:val="22"/>
                <w:szCs w:val="22"/>
              </w:rPr>
            </w:pPr>
          </w:p>
        </w:tc>
        <w:tc>
          <w:tcPr>
            <w:tcW w:w="1701" w:type="dxa"/>
            <w:vAlign w:val="center"/>
          </w:tcPr>
          <w:p w:rsidR="00660414" w:rsidRPr="00F923DC" w:rsidRDefault="00660414" w:rsidP="007613DE">
            <w:pPr>
              <w:jc w:val="center"/>
              <w:rPr>
                <w:rFonts w:cs="Arial"/>
                <w:sz w:val="22"/>
                <w:szCs w:val="22"/>
              </w:rPr>
            </w:pPr>
          </w:p>
        </w:tc>
        <w:tc>
          <w:tcPr>
            <w:tcW w:w="1309" w:type="dxa"/>
            <w:vAlign w:val="center"/>
          </w:tcPr>
          <w:p w:rsidR="00660414" w:rsidRPr="00F923DC" w:rsidRDefault="00660414" w:rsidP="007613DE">
            <w:pPr>
              <w:jc w:val="center"/>
              <w:rPr>
                <w:rFonts w:cs="Arial"/>
                <w:sz w:val="22"/>
                <w:szCs w:val="22"/>
              </w:rPr>
            </w:pP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Suceava</w:t>
            </w:r>
          </w:p>
        </w:tc>
        <w:tc>
          <w:tcPr>
            <w:tcW w:w="1588" w:type="dxa"/>
            <w:vAlign w:val="center"/>
          </w:tcPr>
          <w:p w:rsidR="00660414" w:rsidRPr="00F923DC" w:rsidRDefault="00660414" w:rsidP="007613DE">
            <w:pPr>
              <w:jc w:val="center"/>
              <w:rPr>
                <w:rFonts w:cs="Arial"/>
                <w:sz w:val="22"/>
                <w:szCs w:val="22"/>
              </w:rPr>
            </w:pPr>
            <w:r>
              <w:rPr>
                <w:rFonts w:cs="Arial"/>
                <w:sz w:val="22"/>
                <w:szCs w:val="22"/>
              </w:rPr>
              <w:t xml:space="preserve">65 </w:t>
            </w:r>
            <w:r w:rsidRPr="00F923DC">
              <w:rPr>
                <w:rFonts w:cs="Arial"/>
                <w:sz w:val="22"/>
                <w:szCs w:val="22"/>
              </w:rPr>
              <w:t>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5</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Arad</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41 R/C/W/T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VOR, NDB</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7</w:t>
            </w:r>
          </w:p>
        </w:tc>
      </w:tr>
      <w:tr w:rsidR="00660414" w:rsidRPr="00F923DC" w:rsidTr="007613DE">
        <w:trPr>
          <w:trHeight w:val="329"/>
        </w:trPr>
        <w:tc>
          <w:tcPr>
            <w:tcW w:w="2609"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Satu Mare</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61 R/C/W/T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DVOR/DME,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5 (7)</w:t>
            </w:r>
          </w:p>
        </w:tc>
      </w:tr>
      <w:tr w:rsidR="00660414" w:rsidRPr="00F923DC" w:rsidTr="007613DE">
        <w:trPr>
          <w:trHeight w:val="329"/>
        </w:trPr>
        <w:tc>
          <w:tcPr>
            <w:tcW w:w="2609" w:type="dxa"/>
            <w:vAlign w:val="center"/>
          </w:tcPr>
          <w:p w:rsidR="00660414" w:rsidRPr="00F923DC" w:rsidRDefault="00660414" w:rsidP="007613DE">
            <w:pPr>
              <w:rPr>
                <w:rFonts w:cs="Arial"/>
                <w:sz w:val="22"/>
                <w:szCs w:val="22"/>
                <w:lang w:val="en-US"/>
              </w:rPr>
            </w:pPr>
            <w:r w:rsidRPr="00F923DC">
              <w:rPr>
                <w:rFonts w:cs="Arial"/>
                <w:sz w:val="22"/>
                <w:szCs w:val="22"/>
                <w:lang w:val="en-US"/>
              </w:rPr>
              <w:t>Baia Mare</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22 R/D/W/T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 DME, ILS Cat. II</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Cat. II</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5 (6)</w:t>
            </w:r>
          </w:p>
        </w:tc>
      </w:tr>
      <w:tr w:rsidR="00660414" w:rsidRPr="00F923DC" w:rsidTr="007613DE">
        <w:trPr>
          <w:trHeight w:val="329"/>
        </w:trPr>
        <w:tc>
          <w:tcPr>
            <w:tcW w:w="2609" w:type="dxa"/>
            <w:vAlign w:val="center"/>
          </w:tcPr>
          <w:p w:rsidR="00660414" w:rsidRPr="00F923DC" w:rsidRDefault="00660414" w:rsidP="007613DE">
            <w:pPr>
              <w:rPr>
                <w:rFonts w:cs="Arial"/>
                <w:sz w:val="22"/>
                <w:szCs w:val="22"/>
                <w:lang w:val="en-US"/>
              </w:rPr>
            </w:pPr>
            <w:r w:rsidRPr="00F923DC">
              <w:rPr>
                <w:rFonts w:cs="Arial"/>
                <w:sz w:val="22"/>
                <w:szCs w:val="22"/>
                <w:lang w:val="en-US"/>
              </w:rPr>
              <w:t>Tulcea</w:t>
            </w:r>
          </w:p>
        </w:tc>
        <w:tc>
          <w:tcPr>
            <w:tcW w:w="1588" w:type="dxa"/>
            <w:vAlign w:val="center"/>
          </w:tcPr>
          <w:p w:rsidR="00660414" w:rsidRPr="00F923DC" w:rsidRDefault="00660414" w:rsidP="007613DE">
            <w:pPr>
              <w:jc w:val="center"/>
              <w:rPr>
                <w:rFonts w:cs="Arial"/>
                <w:sz w:val="22"/>
                <w:szCs w:val="22"/>
              </w:rPr>
            </w:pPr>
            <w:r w:rsidRPr="00F923DC">
              <w:rPr>
                <w:rFonts w:cs="Arial"/>
                <w:sz w:val="22"/>
                <w:szCs w:val="22"/>
              </w:rPr>
              <w:t>36 R/C/W/T</w:t>
            </w:r>
          </w:p>
        </w:tc>
        <w:tc>
          <w:tcPr>
            <w:tcW w:w="3141" w:type="dxa"/>
            <w:vAlign w:val="center"/>
          </w:tcPr>
          <w:p w:rsidR="00660414" w:rsidRPr="00F923DC" w:rsidRDefault="00660414" w:rsidP="007613DE">
            <w:pPr>
              <w:jc w:val="center"/>
              <w:rPr>
                <w:rFonts w:cs="Arial"/>
                <w:sz w:val="22"/>
                <w:szCs w:val="22"/>
              </w:rPr>
            </w:pPr>
            <w:r w:rsidRPr="00F923DC">
              <w:rPr>
                <w:rFonts w:cs="Arial"/>
                <w:sz w:val="22"/>
                <w:szCs w:val="22"/>
              </w:rPr>
              <w:t>NDB(LO)</w:t>
            </w:r>
          </w:p>
        </w:tc>
        <w:tc>
          <w:tcPr>
            <w:tcW w:w="1701" w:type="dxa"/>
            <w:vAlign w:val="center"/>
          </w:tcPr>
          <w:p w:rsidR="00660414" w:rsidRPr="00F923DC" w:rsidRDefault="00660414" w:rsidP="007613DE">
            <w:pPr>
              <w:jc w:val="center"/>
              <w:rPr>
                <w:rFonts w:cs="Arial"/>
                <w:sz w:val="22"/>
                <w:szCs w:val="22"/>
              </w:rPr>
            </w:pPr>
            <w:r w:rsidRPr="00F923DC">
              <w:rPr>
                <w:rFonts w:cs="Arial"/>
                <w:sz w:val="22"/>
                <w:szCs w:val="22"/>
              </w:rPr>
              <w:t>ALS-II, SALS</w:t>
            </w:r>
          </w:p>
        </w:tc>
        <w:tc>
          <w:tcPr>
            <w:tcW w:w="1309" w:type="dxa"/>
            <w:vAlign w:val="center"/>
          </w:tcPr>
          <w:p w:rsidR="00660414" w:rsidRPr="00F923DC" w:rsidRDefault="00660414" w:rsidP="007613DE">
            <w:pPr>
              <w:jc w:val="center"/>
              <w:rPr>
                <w:rFonts w:cs="Arial"/>
                <w:sz w:val="22"/>
                <w:szCs w:val="22"/>
              </w:rPr>
            </w:pPr>
            <w:r w:rsidRPr="00F923DC">
              <w:rPr>
                <w:rFonts w:cs="Arial"/>
                <w:sz w:val="22"/>
                <w:szCs w:val="22"/>
              </w:rPr>
              <w:t>5 (6)</w:t>
            </w:r>
          </w:p>
        </w:tc>
      </w:tr>
    </w:tbl>
    <w:p w:rsidR="00660414" w:rsidRDefault="00660414" w:rsidP="00660414">
      <w:pPr>
        <w:rPr>
          <w:sz w:val="16"/>
          <w:szCs w:val="16"/>
        </w:rPr>
      </w:pPr>
    </w:p>
    <w:p w:rsidR="00660414" w:rsidRPr="0034777D" w:rsidRDefault="00660414" w:rsidP="00660414">
      <w:pPr>
        <w:ind w:left="851"/>
        <w:rPr>
          <w:sz w:val="16"/>
          <w:szCs w:val="16"/>
        </w:rPr>
      </w:pPr>
      <w:r w:rsidRPr="0034777D">
        <w:rPr>
          <w:sz w:val="16"/>
          <w:szCs w:val="16"/>
        </w:rPr>
        <w:t xml:space="preserve">DVOR/DME – Doppler VHF Omni-directional Range     </w:t>
      </w:r>
      <w:r w:rsidRPr="0034777D">
        <w:rPr>
          <w:sz w:val="16"/>
          <w:szCs w:val="16"/>
        </w:rPr>
        <w:tab/>
        <w:t>ILS – Instrument Landing System</w:t>
      </w:r>
    </w:p>
    <w:p w:rsidR="00660414" w:rsidRPr="0034777D" w:rsidRDefault="00660414" w:rsidP="00660414">
      <w:pPr>
        <w:ind w:left="851"/>
        <w:rPr>
          <w:sz w:val="16"/>
          <w:szCs w:val="16"/>
        </w:rPr>
      </w:pPr>
      <w:r w:rsidRPr="0034777D">
        <w:rPr>
          <w:sz w:val="16"/>
          <w:szCs w:val="16"/>
        </w:rPr>
        <w:t>NDB – Non-directional Beacon</w:t>
      </w:r>
      <w:r w:rsidRPr="0034777D">
        <w:rPr>
          <w:sz w:val="16"/>
          <w:szCs w:val="16"/>
        </w:rPr>
        <w:tab/>
      </w:r>
      <w:r w:rsidRPr="0034777D">
        <w:rPr>
          <w:sz w:val="16"/>
          <w:szCs w:val="16"/>
        </w:rPr>
        <w:tab/>
      </w:r>
      <w:r w:rsidRPr="0034777D">
        <w:rPr>
          <w:sz w:val="16"/>
          <w:szCs w:val="16"/>
        </w:rPr>
        <w:tab/>
      </w:r>
      <w:r>
        <w:rPr>
          <w:sz w:val="16"/>
          <w:szCs w:val="16"/>
        </w:rPr>
        <w:tab/>
      </w:r>
      <w:r w:rsidRPr="0034777D">
        <w:rPr>
          <w:sz w:val="16"/>
          <w:szCs w:val="16"/>
        </w:rPr>
        <w:t>ALSF – Approach Lighting System with Sequenced Flashing Lights</w:t>
      </w:r>
    </w:p>
    <w:p w:rsidR="00660414" w:rsidRDefault="00660414" w:rsidP="00660414">
      <w:pPr>
        <w:ind w:left="851"/>
      </w:pPr>
      <w:r w:rsidRPr="000F1D03">
        <w:rPr>
          <w:sz w:val="16"/>
          <w:szCs w:val="16"/>
        </w:rPr>
        <w:t>ALS – Approach Lighting System</w:t>
      </w:r>
      <w:r w:rsidRPr="000F1D03">
        <w:rPr>
          <w:sz w:val="16"/>
          <w:szCs w:val="16"/>
        </w:rPr>
        <w:tab/>
      </w:r>
      <w:r w:rsidRPr="000F1D03">
        <w:rPr>
          <w:sz w:val="16"/>
          <w:szCs w:val="16"/>
        </w:rPr>
        <w:tab/>
      </w:r>
    </w:p>
    <w:p w:rsidR="00660414" w:rsidRDefault="00660414" w:rsidP="00660414"/>
    <w:p w:rsidR="00660414" w:rsidRPr="00A72AA9" w:rsidRDefault="00660414" w:rsidP="00A4081F">
      <w:pPr>
        <w:pStyle w:val="NumberedParas"/>
      </w:pPr>
      <w:r w:rsidRPr="00A72AA9">
        <w:t xml:space="preserve">Figure </w:t>
      </w:r>
      <w:r>
        <w:t>7.5</w:t>
      </w:r>
      <w:r w:rsidRPr="00A72AA9">
        <w:t xml:space="preserve"> summarises the current situation regarding runway constraints. The restriction is primary due to the relatively low PCN of the airfields and the fact that 8 out of 14 are rated the lowest possible, in terms of the strength of the material underlying the pavement.  This does mean that it may be possible for an A310 (Code 4D aircraft) to be operated at greater number of airfield if restrictions were imposed (for example, if the payload or fuel weight was reduced).</w:t>
      </w:r>
    </w:p>
    <w:p w:rsidR="00660414" w:rsidRPr="008940D6" w:rsidRDefault="00660414" w:rsidP="00660414">
      <w:pPr>
        <w:jc w:val="center"/>
        <w:rPr>
          <w:b/>
        </w:rPr>
      </w:pPr>
      <w:r>
        <w:rPr>
          <w:noProof/>
          <w:lang w:val="ro-RO" w:eastAsia="ro-RO"/>
        </w:rPr>
        <w:drawing>
          <wp:inline distT="0" distB="0" distL="0" distR="0" wp14:anchorId="651F5778" wp14:editId="7E6B88C8">
            <wp:extent cx="5943600" cy="418846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cstate="print"/>
                    <a:stretch>
                      <a:fillRect/>
                    </a:stretch>
                  </pic:blipFill>
                  <pic:spPr>
                    <a:xfrm>
                      <a:off x="0" y="0"/>
                      <a:ext cx="5943600" cy="4188460"/>
                    </a:xfrm>
                    <a:prstGeom prst="rect">
                      <a:avLst/>
                    </a:prstGeom>
                  </pic:spPr>
                </pic:pic>
              </a:graphicData>
            </a:graphic>
          </wp:inline>
        </w:drawing>
      </w:r>
    </w:p>
    <w:p w:rsidR="00660414" w:rsidRDefault="00660414" w:rsidP="00660414">
      <w:pPr>
        <w:ind w:firstLine="567"/>
        <w:rPr>
          <w:b/>
          <w:sz w:val="22"/>
          <w:szCs w:val="22"/>
        </w:rPr>
      </w:pPr>
      <w:r w:rsidRPr="00A72AA9">
        <w:rPr>
          <w:b/>
          <w:sz w:val="22"/>
          <w:szCs w:val="22"/>
        </w:rPr>
        <w:t xml:space="preserve">Figure </w:t>
      </w:r>
      <w:r>
        <w:rPr>
          <w:b/>
          <w:sz w:val="22"/>
          <w:szCs w:val="22"/>
        </w:rPr>
        <w:t>7.5</w:t>
      </w:r>
      <w:r w:rsidRPr="00A72AA9">
        <w:rPr>
          <w:b/>
          <w:sz w:val="22"/>
          <w:szCs w:val="22"/>
        </w:rPr>
        <w:t>: Airports with Runway Constraints</w:t>
      </w:r>
      <w:r>
        <w:rPr>
          <w:b/>
          <w:sz w:val="22"/>
          <w:szCs w:val="22"/>
        </w:rPr>
        <w:t xml:space="preserve"> </w:t>
      </w:r>
    </w:p>
    <w:p w:rsidR="00660414" w:rsidRDefault="00660414" w:rsidP="00A4081F">
      <w:pPr>
        <w:pStyle w:val="NumberedParas"/>
        <w:numPr>
          <w:ilvl w:val="0"/>
          <w:numId w:val="0"/>
        </w:numPr>
        <w:ind w:left="1673"/>
      </w:pPr>
    </w:p>
    <w:p w:rsidR="00660414" w:rsidRDefault="00660414" w:rsidP="00A4081F">
      <w:pPr>
        <w:pStyle w:val="NumberedParas"/>
      </w:pPr>
      <w:r w:rsidRPr="004C6745">
        <w:t xml:space="preserve">Table </w:t>
      </w:r>
      <w:r>
        <w:t>7</w:t>
      </w:r>
      <w:r w:rsidRPr="001B56B1">
        <w:t xml:space="preserve">.10 </w:t>
      </w:r>
      <w:r w:rsidRPr="004C6745">
        <w:t xml:space="preserve">sets out the detailed dimensions of the longest runway at each airport (width and length), and the ICAO (International Civil Aviation Organization) reference code.  This code is calculated by examining the airport’s runway length (forming the number), as well as the maximum wing span and outer main gear wheel span of aircraft that the airfield can safely accommodate (forming the letter).  Table </w:t>
      </w:r>
      <w:r>
        <w:t>7</w:t>
      </w:r>
      <w:r w:rsidRPr="001B56B1">
        <w:t>.11</w:t>
      </w:r>
      <w:r w:rsidRPr="004C6745">
        <w:t xml:space="preserve"> details the precise technical characteristics taken into account in this calculation.</w:t>
      </w:r>
    </w:p>
    <w:p w:rsidR="00660414" w:rsidRPr="001C5C72" w:rsidRDefault="00660414" w:rsidP="00660414">
      <w:pPr>
        <w:ind w:left="851"/>
        <w:rPr>
          <w:b/>
          <w:sz w:val="22"/>
          <w:szCs w:val="22"/>
        </w:rPr>
      </w:pPr>
      <w:r w:rsidRPr="001C5C72">
        <w:rPr>
          <w:b/>
          <w:sz w:val="22"/>
          <w:szCs w:val="22"/>
        </w:rPr>
        <w:t xml:space="preserve">Table </w:t>
      </w:r>
      <w:r>
        <w:rPr>
          <w:b/>
          <w:sz w:val="22"/>
          <w:szCs w:val="22"/>
        </w:rPr>
        <w:t>7</w:t>
      </w:r>
      <w:r w:rsidRPr="001C5C72">
        <w:rPr>
          <w:b/>
          <w:sz w:val="22"/>
          <w:szCs w:val="22"/>
        </w:rPr>
        <w:t>.10 - Romanian Airports Detailed Runway Characteristics and ICAO Reference Codes</w:t>
      </w:r>
    </w:p>
    <w:tbl>
      <w:tblPr>
        <w:tblW w:w="9497" w:type="dxa"/>
        <w:tblInd w:w="959" w:type="dxa"/>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693"/>
        <w:gridCol w:w="3260"/>
        <w:gridCol w:w="3544"/>
      </w:tblGrid>
      <w:tr w:rsidR="00660414" w:rsidRPr="00F923DC" w:rsidTr="007613DE">
        <w:trPr>
          <w:trHeight w:val="734"/>
          <w:tblHeader/>
        </w:trPr>
        <w:tc>
          <w:tcPr>
            <w:tcW w:w="2693" w:type="dxa"/>
            <w:tcBorders>
              <w:top w:val="single" w:sz="12" w:space="0" w:color="4F81BD"/>
              <w:left w:val="single" w:sz="12" w:space="0" w:color="4F81BD"/>
              <w:bottom w:val="single" w:sz="12" w:space="0" w:color="4F81BD"/>
            </w:tcBorders>
            <w:shd w:val="clear" w:color="auto" w:fill="DBE5F1"/>
            <w:vAlign w:val="center"/>
          </w:tcPr>
          <w:p w:rsidR="00660414" w:rsidRPr="00F923DC" w:rsidRDefault="00660414" w:rsidP="007613DE">
            <w:pPr>
              <w:rPr>
                <w:rFonts w:cs="Arial"/>
                <w:b/>
                <w:sz w:val="22"/>
                <w:szCs w:val="22"/>
              </w:rPr>
            </w:pPr>
            <w:r w:rsidRPr="00F923DC">
              <w:rPr>
                <w:rFonts w:cs="Arial"/>
                <w:b/>
                <w:sz w:val="22"/>
                <w:szCs w:val="22"/>
              </w:rPr>
              <w:t>Airport Name</w:t>
            </w:r>
          </w:p>
        </w:tc>
        <w:tc>
          <w:tcPr>
            <w:tcW w:w="3260"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Longest Runway (Length x Width) in metre</w:t>
            </w:r>
          </w:p>
        </w:tc>
        <w:tc>
          <w:tcPr>
            <w:tcW w:w="3544" w:type="dxa"/>
            <w:tcBorders>
              <w:top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ICAO Reference Code</w:t>
            </w:r>
          </w:p>
        </w:tc>
      </w:tr>
      <w:tr w:rsidR="00660414" w:rsidRPr="00F923DC" w:rsidTr="007613DE">
        <w:trPr>
          <w:trHeight w:val="329"/>
        </w:trPr>
        <w:tc>
          <w:tcPr>
            <w:tcW w:w="2693" w:type="dxa"/>
            <w:tcBorders>
              <w:top w:val="single" w:sz="12" w:space="0" w:color="4F81BD"/>
            </w:tcBorders>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Bucharest Henri Coanda</w:t>
            </w:r>
          </w:p>
        </w:tc>
        <w:tc>
          <w:tcPr>
            <w:tcW w:w="3260" w:type="dxa"/>
            <w:tcBorders>
              <w:top w:val="single" w:sz="12" w:space="0" w:color="4F81BD"/>
            </w:tcBorders>
            <w:vAlign w:val="center"/>
          </w:tcPr>
          <w:p w:rsidR="00660414" w:rsidRPr="00F923DC" w:rsidRDefault="00660414" w:rsidP="007613DE">
            <w:pPr>
              <w:jc w:val="center"/>
              <w:rPr>
                <w:rFonts w:cs="Arial"/>
                <w:sz w:val="22"/>
                <w:szCs w:val="22"/>
              </w:rPr>
            </w:pPr>
            <w:r w:rsidRPr="00F923DC">
              <w:rPr>
                <w:rFonts w:cs="Arial"/>
                <w:sz w:val="22"/>
                <w:szCs w:val="22"/>
              </w:rPr>
              <w:t>3,500 x 45</w:t>
            </w:r>
          </w:p>
        </w:tc>
        <w:tc>
          <w:tcPr>
            <w:tcW w:w="3544" w:type="dxa"/>
            <w:tcBorders>
              <w:top w:val="single" w:sz="12" w:space="0" w:color="4F81BD"/>
            </w:tcBorders>
            <w:vAlign w:val="center"/>
          </w:tcPr>
          <w:p w:rsidR="00660414" w:rsidRDefault="00660414" w:rsidP="007613DE">
            <w:pPr>
              <w:jc w:val="center"/>
              <w:rPr>
                <w:rFonts w:eastAsia="Calibri" w:cs="Arial"/>
                <w:sz w:val="22"/>
                <w:szCs w:val="22"/>
              </w:rPr>
            </w:pPr>
            <w:r w:rsidRPr="00F923DC">
              <w:rPr>
                <w:rFonts w:cs="Arial"/>
                <w:sz w:val="22"/>
                <w:szCs w:val="22"/>
              </w:rPr>
              <w:t>4</w:t>
            </w:r>
            <w:r>
              <w:rPr>
                <w:rFonts w:cs="Arial"/>
                <w:sz w:val="22"/>
                <w:szCs w:val="22"/>
              </w:rPr>
              <w:t>E</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Timisoara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3,500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Cluj</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2,100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r w:rsidR="00660414" w:rsidRPr="00F923DC" w:rsidTr="007613DE">
        <w:trPr>
          <w:trHeight w:val="329"/>
        </w:trPr>
        <w:tc>
          <w:tcPr>
            <w:tcW w:w="2693" w:type="dxa"/>
            <w:vAlign w:val="center"/>
          </w:tcPr>
          <w:p w:rsidR="00660414" w:rsidRPr="00F923DC" w:rsidRDefault="00660414" w:rsidP="007613DE">
            <w:pPr>
              <w:rPr>
                <w:rFonts w:cs="Arial"/>
                <w:sz w:val="22"/>
                <w:szCs w:val="22"/>
                <w:lang w:val="en-US"/>
              </w:rPr>
            </w:pPr>
            <w:r w:rsidRPr="00F923DC">
              <w:rPr>
                <w:rFonts w:cs="Arial"/>
                <w:sz w:val="22"/>
                <w:szCs w:val="22"/>
                <w:lang w:val="en-US"/>
              </w:rPr>
              <w:t>Iasi</w:t>
            </w:r>
          </w:p>
        </w:tc>
        <w:tc>
          <w:tcPr>
            <w:tcW w:w="3260" w:type="dxa"/>
            <w:vAlign w:val="center"/>
          </w:tcPr>
          <w:p w:rsidR="00660414" w:rsidRPr="00F923DC" w:rsidRDefault="00660414" w:rsidP="007613DE">
            <w:pPr>
              <w:jc w:val="center"/>
              <w:rPr>
                <w:rFonts w:cs="Arial"/>
                <w:sz w:val="22"/>
                <w:szCs w:val="22"/>
              </w:rPr>
            </w:pPr>
            <w:r>
              <w:rPr>
                <w:rFonts w:cs="Arial"/>
                <w:sz w:val="22"/>
                <w:szCs w:val="22"/>
              </w:rPr>
              <w:t>2,400</w:t>
            </w:r>
            <w:r w:rsidRPr="00F923DC">
              <w:rPr>
                <w:rFonts w:cs="Arial"/>
                <w:sz w:val="22"/>
                <w:szCs w:val="22"/>
              </w:rPr>
              <w:t xml:space="preserve"> x 45</w:t>
            </w:r>
          </w:p>
        </w:tc>
        <w:tc>
          <w:tcPr>
            <w:tcW w:w="3544" w:type="dxa"/>
            <w:vAlign w:val="center"/>
          </w:tcPr>
          <w:p w:rsidR="00660414" w:rsidRDefault="00660414" w:rsidP="007613DE">
            <w:pPr>
              <w:jc w:val="center"/>
              <w:rPr>
                <w:rFonts w:eastAsia="Calibri" w:cs="Arial"/>
                <w:sz w:val="22"/>
                <w:szCs w:val="22"/>
              </w:rPr>
            </w:pPr>
            <w:r w:rsidRPr="00F923DC">
              <w:rPr>
                <w:rFonts w:cs="Arial"/>
                <w:sz w:val="22"/>
                <w:szCs w:val="22"/>
              </w:rPr>
              <w:t>4</w:t>
            </w:r>
            <w:r>
              <w:rPr>
                <w:rFonts w:cs="Arial"/>
                <w:sz w:val="22"/>
                <w:szCs w:val="22"/>
              </w:rPr>
              <w:t>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Craiova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2,500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Bacau</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2,500 x 80</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Constanta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3,500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Targu Mures</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2,000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Sibiu</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2,630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Oradea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 xml:space="preserve">2,100 x </w:t>
            </w:r>
            <w:r>
              <w:rPr>
                <w:rFonts w:cs="Arial"/>
                <w:sz w:val="22"/>
                <w:szCs w:val="22"/>
              </w:rPr>
              <w:t>30</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Brasov</w:t>
            </w:r>
          </w:p>
        </w:tc>
        <w:tc>
          <w:tcPr>
            <w:tcW w:w="3260" w:type="dxa"/>
            <w:vAlign w:val="center"/>
          </w:tcPr>
          <w:p w:rsidR="00660414" w:rsidRPr="00F923DC" w:rsidRDefault="00660414" w:rsidP="007613DE">
            <w:pPr>
              <w:jc w:val="center"/>
              <w:rPr>
                <w:rFonts w:cs="Arial"/>
                <w:sz w:val="22"/>
                <w:szCs w:val="22"/>
              </w:rPr>
            </w:pPr>
          </w:p>
        </w:tc>
        <w:tc>
          <w:tcPr>
            <w:tcW w:w="3544" w:type="dxa"/>
            <w:vAlign w:val="center"/>
          </w:tcPr>
          <w:p w:rsidR="00660414" w:rsidRPr="00F923DC" w:rsidRDefault="00660414" w:rsidP="007613DE">
            <w:pPr>
              <w:rPr>
                <w:rFonts w:cs="Arial"/>
                <w:sz w:val="22"/>
                <w:szCs w:val="22"/>
              </w:rPr>
            </w:pP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Suceava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2,460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Arad</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2,000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r w:rsidR="00660414" w:rsidRPr="00F923DC" w:rsidTr="007613DE">
        <w:trPr>
          <w:trHeight w:val="329"/>
        </w:trPr>
        <w:tc>
          <w:tcPr>
            <w:tcW w:w="2693" w:type="dxa"/>
            <w:vAlign w:val="center"/>
          </w:tcPr>
          <w:p w:rsidR="00660414" w:rsidRPr="00F923DC" w:rsidRDefault="00660414" w:rsidP="007613DE">
            <w:pPr>
              <w:rPr>
                <w:rFonts w:cs="Arial"/>
                <w:color w:val="000000"/>
                <w:sz w:val="22"/>
                <w:szCs w:val="22"/>
                <w:lang w:val="en-US"/>
              </w:rPr>
            </w:pPr>
            <w:r w:rsidRPr="00F923DC">
              <w:rPr>
                <w:rFonts w:cs="Arial"/>
                <w:sz w:val="22"/>
                <w:szCs w:val="22"/>
                <w:lang w:val="en-US"/>
              </w:rPr>
              <w:t>Satu Mare</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2,500 x 45</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4D</w:t>
            </w:r>
          </w:p>
        </w:tc>
      </w:tr>
      <w:tr w:rsidR="00660414" w:rsidRPr="00F923DC" w:rsidTr="007613DE">
        <w:trPr>
          <w:trHeight w:val="329"/>
        </w:trPr>
        <w:tc>
          <w:tcPr>
            <w:tcW w:w="2693" w:type="dxa"/>
            <w:vAlign w:val="center"/>
          </w:tcPr>
          <w:p w:rsidR="00660414" w:rsidRPr="00F923DC" w:rsidRDefault="00660414" w:rsidP="007613DE">
            <w:pPr>
              <w:rPr>
                <w:rFonts w:cs="Arial"/>
                <w:sz w:val="22"/>
                <w:szCs w:val="22"/>
                <w:lang w:val="en-US"/>
              </w:rPr>
            </w:pPr>
            <w:r w:rsidRPr="00F923DC">
              <w:rPr>
                <w:rFonts w:cs="Arial"/>
                <w:sz w:val="22"/>
                <w:szCs w:val="22"/>
                <w:lang w:val="en-US"/>
              </w:rPr>
              <w:t>Baia Mare</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1,790 x 30</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3C</w:t>
            </w:r>
          </w:p>
        </w:tc>
      </w:tr>
      <w:tr w:rsidR="00660414" w:rsidRPr="00F923DC" w:rsidTr="007613DE">
        <w:trPr>
          <w:trHeight w:val="329"/>
        </w:trPr>
        <w:tc>
          <w:tcPr>
            <w:tcW w:w="2693" w:type="dxa"/>
            <w:vAlign w:val="center"/>
          </w:tcPr>
          <w:p w:rsidR="00660414" w:rsidRPr="00F923DC" w:rsidRDefault="00660414" w:rsidP="007613DE">
            <w:pPr>
              <w:rPr>
                <w:rFonts w:cs="Arial"/>
                <w:sz w:val="22"/>
                <w:szCs w:val="22"/>
                <w:lang w:val="en-US"/>
              </w:rPr>
            </w:pPr>
            <w:r w:rsidRPr="00F923DC">
              <w:rPr>
                <w:rFonts w:cs="Arial"/>
                <w:sz w:val="22"/>
                <w:szCs w:val="22"/>
                <w:lang w:val="en-US"/>
              </w:rPr>
              <w:t>Tulcea</w:t>
            </w:r>
          </w:p>
        </w:tc>
        <w:tc>
          <w:tcPr>
            <w:tcW w:w="3260" w:type="dxa"/>
            <w:vAlign w:val="center"/>
          </w:tcPr>
          <w:p w:rsidR="00660414" w:rsidRPr="00F923DC" w:rsidRDefault="00660414" w:rsidP="007613DE">
            <w:pPr>
              <w:jc w:val="center"/>
              <w:rPr>
                <w:rFonts w:cs="Arial"/>
                <w:sz w:val="22"/>
                <w:szCs w:val="22"/>
              </w:rPr>
            </w:pPr>
            <w:r w:rsidRPr="00F923DC">
              <w:rPr>
                <w:rFonts w:cs="Arial"/>
                <w:sz w:val="22"/>
                <w:szCs w:val="22"/>
              </w:rPr>
              <w:t>2,000 x 30</w:t>
            </w:r>
          </w:p>
        </w:tc>
        <w:tc>
          <w:tcPr>
            <w:tcW w:w="3544" w:type="dxa"/>
            <w:vAlign w:val="center"/>
          </w:tcPr>
          <w:p w:rsidR="00660414" w:rsidRPr="00F923DC" w:rsidRDefault="00660414" w:rsidP="007613DE">
            <w:pPr>
              <w:jc w:val="center"/>
              <w:rPr>
                <w:rFonts w:cs="Arial"/>
                <w:sz w:val="22"/>
                <w:szCs w:val="22"/>
              </w:rPr>
            </w:pPr>
            <w:r w:rsidRPr="00F923DC">
              <w:rPr>
                <w:rFonts w:cs="Arial"/>
                <w:sz w:val="22"/>
                <w:szCs w:val="22"/>
              </w:rPr>
              <w:t>4C</w:t>
            </w:r>
          </w:p>
        </w:tc>
      </w:tr>
    </w:tbl>
    <w:p w:rsidR="00660414" w:rsidRDefault="00660414" w:rsidP="00660414"/>
    <w:p w:rsidR="00660414" w:rsidRPr="004C6745" w:rsidRDefault="00660414" w:rsidP="00660414"/>
    <w:p w:rsidR="00660414" w:rsidRPr="001C5C72" w:rsidRDefault="00660414" w:rsidP="00660414">
      <w:pPr>
        <w:ind w:left="851"/>
        <w:rPr>
          <w:b/>
          <w:sz w:val="22"/>
          <w:szCs w:val="22"/>
        </w:rPr>
      </w:pPr>
      <w:r w:rsidRPr="001C5C72">
        <w:rPr>
          <w:b/>
          <w:sz w:val="22"/>
          <w:szCs w:val="22"/>
        </w:rPr>
        <w:t xml:space="preserve">Table </w:t>
      </w:r>
      <w:r>
        <w:rPr>
          <w:b/>
          <w:sz w:val="22"/>
          <w:szCs w:val="22"/>
        </w:rPr>
        <w:t>7</w:t>
      </w:r>
      <w:r w:rsidRPr="001C5C72">
        <w:rPr>
          <w:b/>
          <w:sz w:val="22"/>
          <w:szCs w:val="22"/>
        </w:rPr>
        <w:t>.11 - Calculating an Airfield’s ICAO Reference Code</w:t>
      </w:r>
    </w:p>
    <w:tbl>
      <w:tblPr>
        <w:tblW w:w="0" w:type="auto"/>
        <w:jc w:val="center"/>
        <w:tblBorders>
          <w:top w:val="single" w:sz="6" w:space="0" w:color="4F81BD"/>
          <w:left w:val="single" w:sz="6" w:space="0" w:color="4F81BD"/>
          <w:bottom w:val="single" w:sz="6" w:space="0" w:color="4F81BD"/>
          <w:right w:val="single" w:sz="6" w:space="0" w:color="4F81BD"/>
          <w:insideH w:val="single" w:sz="6" w:space="0" w:color="4F81BD"/>
          <w:insideV w:val="single" w:sz="6" w:space="0" w:color="4F81BD"/>
        </w:tblBorders>
        <w:tblLook w:val="04A0" w:firstRow="1" w:lastRow="0" w:firstColumn="1" w:lastColumn="0" w:noHBand="0" w:noVBand="1"/>
      </w:tblPr>
      <w:tblGrid>
        <w:gridCol w:w="1630"/>
        <w:gridCol w:w="1705"/>
        <w:gridCol w:w="1706"/>
        <w:gridCol w:w="1706"/>
        <w:gridCol w:w="1706"/>
      </w:tblGrid>
      <w:tr w:rsidR="00660414" w:rsidRPr="004C6745" w:rsidTr="007613DE">
        <w:trPr>
          <w:jc w:val="center"/>
        </w:trPr>
        <w:tc>
          <w:tcPr>
            <w:tcW w:w="1630" w:type="dxa"/>
            <w:tcBorders>
              <w:top w:val="single" w:sz="12" w:space="0" w:color="4F81BD"/>
              <w:left w:val="single" w:sz="12" w:space="0" w:color="4F81BD"/>
              <w:bottom w:val="single" w:sz="12" w:space="0" w:color="4F81BD"/>
            </w:tcBorders>
            <w:shd w:val="clear" w:color="auto" w:fill="DBE5F1"/>
            <w:vAlign w:val="center"/>
          </w:tcPr>
          <w:p w:rsidR="00660414" w:rsidRPr="004C6745" w:rsidRDefault="00660414" w:rsidP="007613DE">
            <w:pPr>
              <w:rPr>
                <w:b/>
              </w:rPr>
            </w:pPr>
            <w:r w:rsidRPr="004C6745">
              <w:rPr>
                <w:b/>
              </w:rPr>
              <w:t>Code Number</w:t>
            </w:r>
          </w:p>
        </w:tc>
        <w:tc>
          <w:tcPr>
            <w:tcW w:w="1705" w:type="dxa"/>
            <w:tcBorders>
              <w:top w:val="single" w:sz="12" w:space="0" w:color="4F81BD"/>
              <w:bottom w:val="single" w:sz="12" w:space="0" w:color="4F81BD"/>
            </w:tcBorders>
            <w:shd w:val="clear" w:color="auto" w:fill="DBE5F1"/>
            <w:vAlign w:val="center"/>
          </w:tcPr>
          <w:p w:rsidR="00660414" w:rsidRPr="004C6745" w:rsidRDefault="00660414" w:rsidP="007613DE">
            <w:pPr>
              <w:jc w:val="center"/>
              <w:rPr>
                <w:b/>
              </w:rPr>
            </w:pPr>
            <w:r w:rsidRPr="004C6745">
              <w:rPr>
                <w:b/>
              </w:rPr>
              <w:t>Reference Field Length (m)</w:t>
            </w:r>
          </w:p>
        </w:tc>
        <w:tc>
          <w:tcPr>
            <w:tcW w:w="1706" w:type="dxa"/>
            <w:tcBorders>
              <w:top w:val="single" w:sz="12" w:space="0" w:color="4F81BD"/>
              <w:bottom w:val="single" w:sz="12" w:space="0" w:color="4F81BD"/>
            </w:tcBorders>
            <w:shd w:val="clear" w:color="auto" w:fill="DBE5F1"/>
            <w:vAlign w:val="center"/>
          </w:tcPr>
          <w:p w:rsidR="00660414" w:rsidRPr="004C6745" w:rsidRDefault="00660414" w:rsidP="007613DE">
            <w:pPr>
              <w:jc w:val="center"/>
              <w:rPr>
                <w:b/>
              </w:rPr>
            </w:pPr>
            <w:r w:rsidRPr="004C6745">
              <w:rPr>
                <w:b/>
              </w:rPr>
              <w:t>Code Letter</w:t>
            </w:r>
          </w:p>
        </w:tc>
        <w:tc>
          <w:tcPr>
            <w:tcW w:w="1706" w:type="dxa"/>
            <w:tcBorders>
              <w:top w:val="single" w:sz="12" w:space="0" w:color="4F81BD"/>
              <w:bottom w:val="single" w:sz="12" w:space="0" w:color="4F81BD"/>
            </w:tcBorders>
            <w:shd w:val="clear" w:color="auto" w:fill="DBE5F1"/>
            <w:vAlign w:val="center"/>
          </w:tcPr>
          <w:p w:rsidR="00660414" w:rsidRPr="004C6745" w:rsidRDefault="00660414" w:rsidP="007613DE">
            <w:pPr>
              <w:jc w:val="center"/>
              <w:rPr>
                <w:b/>
              </w:rPr>
            </w:pPr>
            <w:r w:rsidRPr="004C6745">
              <w:rPr>
                <w:b/>
              </w:rPr>
              <w:t>Wing Span (m)</w:t>
            </w:r>
          </w:p>
        </w:tc>
        <w:tc>
          <w:tcPr>
            <w:tcW w:w="1706" w:type="dxa"/>
            <w:tcBorders>
              <w:top w:val="single" w:sz="12" w:space="0" w:color="4F81BD"/>
              <w:bottom w:val="single" w:sz="12" w:space="0" w:color="4F81BD"/>
              <w:right w:val="single" w:sz="12" w:space="0" w:color="4F81BD"/>
            </w:tcBorders>
            <w:shd w:val="clear" w:color="auto" w:fill="DBE5F1"/>
            <w:vAlign w:val="center"/>
          </w:tcPr>
          <w:p w:rsidR="00660414" w:rsidRPr="004C6745" w:rsidRDefault="00660414" w:rsidP="007613DE">
            <w:pPr>
              <w:jc w:val="center"/>
              <w:rPr>
                <w:b/>
              </w:rPr>
            </w:pPr>
            <w:r w:rsidRPr="004C6745">
              <w:rPr>
                <w:b/>
              </w:rPr>
              <w:t>Outer Main Gear Wheel Span (m)</w:t>
            </w:r>
          </w:p>
        </w:tc>
      </w:tr>
      <w:tr w:rsidR="00660414" w:rsidRPr="004C6745" w:rsidTr="007613DE">
        <w:trPr>
          <w:trHeight w:val="329"/>
          <w:jc w:val="center"/>
        </w:trPr>
        <w:tc>
          <w:tcPr>
            <w:tcW w:w="1630" w:type="dxa"/>
            <w:tcBorders>
              <w:top w:val="single" w:sz="12" w:space="0" w:color="4F81BD"/>
              <w:left w:val="single" w:sz="12" w:space="0" w:color="4F81BD"/>
            </w:tcBorders>
            <w:vAlign w:val="center"/>
          </w:tcPr>
          <w:p w:rsidR="00660414" w:rsidRPr="004C6745" w:rsidRDefault="00660414" w:rsidP="007613DE">
            <w:pPr>
              <w:jc w:val="center"/>
            </w:pPr>
            <w:r w:rsidRPr="004C6745">
              <w:t>1</w:t>
            </w:r>
          </w:p>
        </w:tc>
        <w:tc>
          <w:tcPr>
            <w:tcW w:w="1705" w:type="dxa"/>
            <w:tcBorders>
              <w:top w:val="single" w:sz="12" w:space="0" w:color="4F81BD"/>
            </w:tcBorders>
            <w:vAlign w:val="center"/>
          </w:tcPr>
          <w:p w:rsidR="00660414" w:rsidRPr="004C6745" w:rsidRDefault="00660414" w:rsidP="007613DE">
            <w:pPr>
              <w:jc w:val="center"/>
            </w:pPr>
            <w:r w:rsidRPr="004C6745">
              <w:t>&lt; 800</w:t>
            </w:r>
          </w:p>
        </w:tc>
        <w:tc>
          <w:tcPr>
            <w:tcW w:w="1706" w:type="dxa"/>
            <w:tcBorders>
              <w:top w:val="single" w:sz="12" w:space="0" w:color="4F81BD"/>
            </w:tcBorders>
            <w:vAlign w:val="center"/>
          </w:tcPr>
          <w:p w:rsidR="00660414" w:rsidRPr="004C6745" w:rsidRDefault="00660414" w:rsidP="007613DE">
            <w:pPr>
              <w:jc w:val="center"/>
            </w:pPr>
            <w:r w:rsidRPr="004C6745">
              <w:t>A</w:t>
            </w:r>
          </w:p>
        </w:tc>
        <w:tc>
          <w:tcPr>
            <w:tcW w:w="1706" w:type="dxa"/>
            <w:tcBorders>
              <w:top w:val="single" w:sz="12" w:space="0" w:color="4F81BD"/>
            </w:tcBorders>
            <w:vAlign w:val="center"/>
          </w:tcPr>
          <w:p w:rsidR="00660414" w:rsidRPr="004C6745" w:rsidRDefault="00660414" w:rsidP="007613DE">
            <w:pPr>
              <w:jc w:val="center"/>
            </w:pPr>
            <w:r w:rsidRPr="004C6745">
              <w:t>&lt; 15</w:t>
            </w:r>
          </w:p>
        </w:tc>
        <w:tc>
          <w:tcPr>
            <w:tcW w:w="1706" w:type="dxa"/>
            <w:tcBorders>
              <w:top w:val="single" w:sz="12" w:space="0" w:color="4F81BD"/>
              <w:right w:val="single" w:sz="12" w:space="0" w:color="4F81BD"/>
            </w:tcBorders>
            <w:vAlign w:val="center"/>
          </w:tcPr>
          <w:p w:rsidR="00660414" w:rsidRPr="004C6745" w:rsidRDefault="00660414" w:rsidP="007613DE">
            <w:pPr>
              <w:jc w:val="center"/>
            </w:pPr>
            <w:r w:rsidRPr="004C6745">
              <w:t>&lt; 4.5</w:t>
            </w:r>
          </w:p>
        </w:tc>
      </w:tr>
      <w:tr w:rsidR="00660414" w:rsidRPr="004C6745" w:rsidTr="007613DE">
        <w:trPr>
          <w:trHeight w:val="329"/>
          <w:jc w:val="center"/>
        </w:trPr>
        <w:tc>
          <w:tcPr>
            <w:tcW w:w="1630" w:type="dxa"/>
            <w:tcBorders>
              <w:left w:val="single" w:sz="12" w:space="0" w:color="4F81BD"/>
            </w:tcBorders>
            <w:vAlign w:val="center"/>
          </w:tcPr>
          <w:p w:rsidR="00660414" w:rsidRPr="004C6745" w:rsidRDefault="00660414" w:rsidP="007613DE">
            <w:pPr>
              <w:jc w:val="center"/>
            </w:pPr>
            <w:r w:rsidRPr="004C6745">
              <w:t>2</w:t>
            </w:r>
          </w:p>
        </w:tc>
        <w:tc>
          <w:tcPr>
            <w:tcW w:w="1705" w:type="dxa"/>
            <w:vAlign w:val="center"/>
          </w:tcPr>
          <w:p w:rsidR="00660414" w:rsidRPr="004C6745" w:rsidRDefault="00660414" w:rsidP="007613DE">
            <w:pPr>
              <w:jc w:val="center"/>
            </w:pPr>
            <w:r w:rsidRPr="004C6745">
              <w:t>800 &lt; 1,200</w:t>
            </w:r>
          </w:p>
        </w:tc>
        <w:tc>
          <w:tcPr>
            <w:tcW w:w="1706" w:type="dxa"/>
            <w:vAlign w:val="center"/>
          </w:tcPr>
          <w:p w:rsidR="00660414" w:rsidRPr="004C6745" w:rsidRDefault="00660414" w:rsidP="007613DE">
            <w:pPr>
              <w:jc w:val="center"/>
            </w:pPr>
            <w:r w:rsidRPr="004C6745">
              <w:t>B</w:t>
            </w:r>
          </w:p>
        </w:tc>
        <w:tc>
          <w:tcPr>
            <w:tcW w:w="1706" w:type="dxa"/>
            <w:vAlign w:val="center"/>
          </w:tcPr>
          <w:p w:rsidR="00660414" w:rsidRPr="004C6745" w:rsidRDefault="00660414" w:rsidP="007613DE">
            <w:pPr>
              <w:jc w:val="center"/>
            </w:pPr>
            <w:r w:rsidRPr="004C6745">
              <w:t>15 &lt; 24</w:t>
            </w:r>
          </w:p>
        </w:tc>
        <w:tc>
          <w:tcPr>
            <w:tcW w:w="1706" w:type="dxa"/>
            <w:tcBorders>
              <w:right w:val="single" w:sz="12" w:space="0" w:color="4F81BD"/>
            </w:tcBorders>
            <w:vAlign w:val="center"/>
          </w:tcPr>
          <w:p w:rsidR="00660414" w:rsidRPr="004C6745" w:rsidRDefault="00660414" w:rsidP="007613DE">
            <w:pPr>
              <w:jc w:val="center"/>
            </w:pPr>
            <w:r w:rsidRPr="004C6745">
              <w:t>4.5 &lt; 6</w:t>
            </w:r>
          </w:p>
        </w:tc>
      </w:tr>
      <w:tr w:rsidR="00660414" w:rsidRPr="004C6745" w:rsidTr="007613DE">
        <w:trPr>
          <w:trHeight w:val="329"/>
          <w:jc w:val="center"/>
        </w:trPr>
        <w:tc>
          <w:tcPr>
            <w:tcW w:w="1630" w:type="dxa"/>
            <w:tcBorders>
              <w:left w:val="single" w:sz="12" w:space="0" w:color="4F81BD"/>
            </w:tcBorders>
            <w:vAlign w:val="center"/>
          </w:tcPr>
          <w:p w:rsidR="00660414" w:rsidRPr="004C6745" w:rsidRDefault="00660414" w:rsidP="007613DE">
            <w:pPr>
              <w:jc w:val="center"/>
            </w:pPr>
            <w:r w:rsidRPr="004C6745">
              <w:t>3</w:t>
            </w:r>
          </w:p>
        </w:tc>
        <w:tc>
          <w:tcPr>
            <w:tcW w:w="1705" w:type="dxa"/>
            <w:vAlign w:val="center"/>
          </w:tcPr>
          <w:p w:rsidR="00660414" w:rsidRPr="004C6745" w:rsidRDefault="00660414" w:rsidP="007613DE">
            <w:pPr>
              <w:jc w:val="center"/>
            </w:pPr>
            <w:r w:rsidRPr="004C6745">
              <w:t>1,200 &lt; 1,800</w:t>
            </w:r>
          </w:p>
        </w:tc>
        <w:tc>
          <w:tcPr>
            <w:tcW w:w="1706" w:type="dxa"/>
            <w:vAlign w:val="center"/>
          </w:tcPr>
          <w:p w:rsidR="00660414" w:rsidRPr="004C6745" w:rsidRDefault="00660414" w:rsidP="007613DE">
            <w:pPr>
              <w:jc w:val="center"/>
            </w:pPr>
            <w:r w:rsidRPr="004C6745">
              <w:t>C</w:t>
            </w:r>
          </w:p>
        </w:tc>
        <w:tc>
          <w:tcPr>
            <w:tcW w:w="1706" w:type="dxa"/>
            <w:vAlign w:val="center"/>
          </w:tcPr>
          <w:p w:rsidR="00660414" w:rsidRPr="004C6745" w:rsidRDefault="00660414" w:rsidP="007613DE">
            <w:pPr>
              <w:jc w:val="center"/>
            </w:pPr>
            <w:r w:rsidRPr="004C6745">
              <w:t>24 &lt; 36</w:t>
            </w:r>
          </w:p>
        </w:tc>
        <w:tc>
          <w:tcPr>
            <w:tcW w:w="1706" w:type="dxa"/>
            <w:tcBorders>
              <w:right w:val="single" w:sz="12" w:space="0" w:color="4F81BD"/>
            </w:tcBorders>
            <w:vAlign w:val="center"/>
          </w:tcPr>
          <w:p w:rsidR="00660414" w:rsidRPr="004C6745" w:rsidRDefault="00660414" w:rsidP="007613DE">
            <w:pPr>
              <w:jc w:val="center"/>
            </w:pPr>
            <w:r w:rsidRPr="004C6745">
              <w:t>6 &lt; 9</w:t>
            </w:r>
          </w:p>
        </w:tc>
      </w:tr>
      <w:tr w:rsidR="00660414" w:rsidRPr="004C6745" w:rsidTr="007613DE">
        <w:trPr>
          <w:trHeight w:val="329"/>
          <w:jc w:val="center"/>
        </w:trPr>
        <w:tc>
          <w:tcPr>
            <w:tcW w:w="1630" w:type="dxa"/>
            <w:tcBorders>
              <w:left w:val="single" w:sz="12" w:space="0" w:color="4F81BD"/>
              <w:bottom w:val="single" w:sz="12" w:space="0" w:color="4F81BD"/>
            </w:tcBorders>
            <w:vAlign w:val="center"/>
          </w:tcPr>
          <w:p w:rsidR="00660414" w:rsidRPr="004C6745" w:rsidRDefault="00660414" w:rsidP="007613DE">
            <w:pPr>
              <w:jc w:val="center"/>
            </w:pPr>
            <w:r w:rsidRPr="004C6745">
              <w:t>4</w:t>
            </w:r>
          </w:p>
        </w:tc>
        <w:tc>
          <w:tcPr>
            <w:tcW w:w="1705" w:type="dxa"/>
            <w:tcBorders>
              <w:bottom w:val="single" w:sz="12" w:space="0" w:color="4F81BD"/>
            </w:tcBorders>
            <w:vAlign w:val="center"/>
          </w:tcPr>
          <w:p w:rsidR="00660414" w:rsidRPr="004C6745" w:rsidRDefault="00660414" w:rsidP="007613DE">
            <w:pPr>
              <w:jc w:val="center"/>
            </w:pPr>
            <w:r w:rsidRPr="004C6745">
              <w:t>&gt; 1,799</w:t>
            </w:r>
          </w:p>
        </w:tc>
        <w:tc>
          <w:tcPr>
            <w:tcW w:w="1706" w:type="dxa"/>
            <w:vAlign w:val="center"/>
          </w:tcPr>
          <w:p w:rsidR="00660414" w:rsidRPr="004C6745" w:rsidRDefault="00660414" w:rsidP="007613DE">
            <w:pPr>
              <w:jc w:val="center"/>
            </w:pPr>
            <w:r w:rsidRPr="004C6745">
              <w:t>D</w:t>
            </w:r>
          </w:p>
        </w:tc>
        <w:tc>
          <w:tcPr>
            <w:tcW w:w="1706" w:type="dxa"/>
            <w:vAlign w:val="center"/>
          </w:tcPr>
          <w:p w:rsidR="00660414" w:rsidRPr="004C6745" w:rsidRDefault="00660414" w:rsidP="007613DE">
            <w:pPr>
              <w:jc w:val="center"/>
            </w:pPr>
            <w:r w:rsidRPr="004C6745">
              <w:t>36 &lt; 52</w:t>
            </w:r>
          </w:p>
        </w:tc>
        <w:tc>
          <w:tcPr>
            <w:tcW w:w="1706" w:type="dxa"/>
            <w:tcBorders>
              <w:right w:val="single" w:sz="12" w:space="0" w:color="4F81BD"/>
            </w:tcBorders>
            <w:vAlign w:val="center"/>
          </w:tcPr>
          <w:p w:rsidR="00660414" w:rsidRPr="004C6745" w:rsidRDefault="00660414" w:rsidP="007613DE">
            <w:pPr>
              <w:jc w:val="center"/>
            </w:pPr>
            <w:r w:rsidRPr="004C6745">
              <w:t>9 &lt; 14</w:t>
            </w:r>
          </w:p>
        </w:tc>
      </w:tr>
      <w:tr w:rsidR="00660414" w:rsidRPr="004C6745" w:rsidTr="007613DE">
        <w:trPr>
          <w:trHeight w:val="329"/>
          <w:jc w:val="center"/>
        </w:trPr>
        <w:tc>
          <w:tcPr>
            <w:tcW w:w="3335" w:type="dxa"/>
            <w:gridSpan w:val="2"/>
            <w:vMerge w:val="restart"/>
            <w:tcBorders>
              <w:top w:val="single" w:sz="12" w:space="0" w:color="4F81BD"/>
              <w:left w:val="nil"/>
              <w:right w:val="single" w:sz="12" w:space="0" w:color="4F81BD"/>
            </w:tcBorders>
            <w:vAlign w:val="center"/>
          </w:tcPr>
          <w:p w:rsidR="00660414" w:rsidRPr="004C6745" w:rsidRDefault="00660414" w:rsidP="007613DE">
            <w:pPr>
              <w:jc w:val="center"/>
            </w:pPr>
          </w:p>
        </w:tc>
        <w:tc>
          <w:tcPr>
            <w:tcW w:w="1706" w:type="dxa"/>
            <w:tcBorders>
              <w:left w:val="single" w:sz="12" w:space="0" w:color="4F81BD"/>
            </w:tcBorders>
            <w:vAlign w:val="center"/>
          </w:tcPr>
          <w:p w:rsidR="00660414" w:rsidRPr="004C6745" w:rsidRDefault="00660414" w:rsidP="007613DE">
            <w:pPr>
              <w:jc w:val="center"/>
            </w:pPr>
            <w:r w:rsidRPr="004C6745">
              <w:t>E</w:t>
            </w:r>
          </w:p>
        </w:tc>
        <w:tc>
          <w:tcPr>
            <w:tcW w:w="1706" w:type="dxa"/>
            <w:vAlign w:val="center"/>
          </w:tcPr>
          <w:p w:rsidR="00660414" w:rsidRPr="004C6745" w:rsidRDefault="00660414" w:rsidP="007613DE">
            <w:pPr>
              <w:jc w:val="center"/>
            </w:pPr>
            <w:r w:rsidRPr="004C6745">
              <w:t>52 &lt; 65</w:t>
            </w:r>
          </w:p>
        </w:tc>
        <w:tc>
          <w:tcPr>
            <w:tcW w:w="1706" w:type="dxa"/>
            <w:tcBorders>
              <w:right w:val="single" w:sz="12" w:space="0" w:color="4F81BD"/>
            </w:tcBorders>
            <w:vAlign w:val="center"/>
          </w:tcPr>
          <w:p w:rsidR="00660414" w:rsidRPr="004C6745" w:rsidRDefault="00660414" w:rsidP="007613DE">
            <w:pPr>
              <w:jc w:val="center"/>
            </w:pPr>
            <w:r w:rsidRPr="004C6745">
              <w:t>9 &lt; 14</w:t>
            </w:r>
          </w:p>
        </w:tc>
      </w:tr>
      <w:tr w:rsidR="00660414" w:rsidRPr="004C6745" w:rsidTr="007613DE">
        <w:trPr>
          <w:trHeight w:val="329"/>
          <w:jc w:val="center"/>
        </w:trPr>
        <w:tc>
          <w:tcPr>
            <w:tcW w:w="3335" w:type="dxa"/>
            <w:gridSpan w:val="2"/>
            <w:vMerge/>
            <w:tcBorders>
              <w:left w:val="nil"/>
              <w:bottom w:val="nil"/>
              <w:right w:val="single" w:sz="12" w:space="0" w:color="4F81BD"/>
            </w:tcBorders>
            <w:vAlign w:val="center"/>
          </w:tcPr>
          <w:p w:rsidR="00660414" w:rsidRPr="004C6745" w:rsidRDefault="00660414" w:rsidP="007613DE">
            <w:pPr>
              <w:jc w:val="center"/>
            </w:pPr>
          </w:p>
        </w:tc>
        <w:tc>
          <w:tcPr>
            <w:tcW w:w="1706" w:type="dxa"/>
            <w:tcBorders>
              <w:left w:val="single" w:sz="12" w:space="0" w:color="4F81BD"/>
              <w:bottom w:val="single" w:sz="12" w:space="0" w:color="4F81BD"/>
            </w:tcBorders>
            <w:vAlign w:val="center"/>
          </w:tcPr>
          <w:p w:rsidR="00660414" w:rsidRPr="004C6745" w:rsidRDefault="00660414" w:rsidP="007613DE">
            <w:pPr>
              <w:jc w:val="center"/>
            </w:pPr>
            <w:r w:rsidRPr="004C6745">
              <w:t>F</w:t>
            </w:r>
          </w:p>
        </w:tc>
        <w:tc>
          <w:tcPr>
            <w:tcW w:w="1706" w:type="dxa"/>
            <w:tcBorders>
              <w:bottom w:val="single" w:sz="12" w:space="0" w:color="4F81BD"/>
            </w:tcBorders>
            <w:vAlign w:val="center"/>
          </w:tcPr>
          <w:p w:rsidR="00660414" w:rsidRPr="004C6745" w:rsidRDefault="00660414" w:rsidP="007613DE">
            <w:pPr>
              <w:jc w:val="center"/>
            </w:pPr>
            <w:r w:rsidRPr="004C6745">
              <w:t>65 &lt; 80</w:t>
            </w:r>
          </w:p>
        </w:tc>
        <w:tc>
          <w:tcPr>
            <w:tcW w:w="1706" w:type="dxa"/>
            <w:tcBorders>
              <w:bottom w:val="single" w:sz="12" w:space="0" w:color="4F81BD"/>
              <w:right w:val="single" w:sz="12" w:space="0" w:color="4F81BD"/>
            </w:tcBorders>
            <w:vAlign w:val="center"/>
          </w:tcPr>
          <w:p w:rsidR="00660414" w:rsidRPr="004C6745" w:rsidRDefault="00660414" w:rsidP="007613DE">
            <w:pPr>
              <w:jc w:val="center"/>
            </w:pPr>
            <w:r w:rsidRPr="004C6745">
              <w:t>14 &lt; 16</w:t>
            </w:r>
          </w:p>
        </w:tc>
      </w:tr>
    </w:tbl>
    <w:p w:rsidR="00660414" w:rsidRPr="004C6745" w:rsidRDefault="00660414" w:rsidP="00660414">
      <w:pPr>
        <w:rPr>
          <w:sz w:val="22"/>
          <w:szCs w:val="22"/>
        </w:rPr>
      </w:pPr>
    </w:p>
    <w:p w:rsidR="00660414" w:rsidRDefault="00660414" w:rsidP="00660414">
      <w:r>
        <w:br w:type="page"/>
      </w:r>
    </w:p>
    <w:p w:rsidR="00660414" w:rsidRPr="001C5C72" w:rsidRDefault="00660414" w:rsidP="00660414">
      <w:pPr>
        <w:rPr>
          <w:b/>
          <w:sz w:val="22"/>
          <w:szCs w:val="22"/>
        </w:rPr>
      </w:pPr>
      <w:r w:rsidRPr="001C5C72">
        <w:rPr>
          <w:b/>
          <w:sz w:val="22"/>
          <w:szCs w:val="22"/>
        </w:rPr>
        <w:t xml:space="preserve">Table </w:t>
      </w:r>
      <w:r>
        <w:rPr>
          <w:b/>
          <w:sz w:val="22"/>
          <w:szCs w:val="22"/>
        </w:rPr>
        <w:t>7</w:t>
      </w:r>
      <w:r w:rsidRPr="001C5C72">
        <w:rPr>
          <w:b/>
          <w:sz w:val="22"/>
          <w:szCs w:val="22"/>
        </w:rPr>
        <w:t>.12 - Airfield Requirements of Popular Commercial Aircraft</w:t>
      </w:r>
    </w:p>
    <w:p w:rsidR="00660414" w:rsidRPr="004C6745" w:rsidRDefault="00660414" w:rsidP="00660414">
      <w:pPr>
        <w:rPr>
          <w:color w:val="000000"/>
          <w:sz w:val="22"/>
          <w:szCs w:val="22"/>
        </w:rPr>
      </w:pPr>
      <w:r w:rsidRPr="004C6745">
        <w:rPr>
          <w:color w:val="000000"/>
          <w:sz w:val="22"/>
          <w:szCs w:val="22"/>
        </w:rPr>
        <w:t>(</w:t>
      </w:r>
      <w:r w:rsidRPr="004C6745">
        <w:rPr>
          <w:i/>
          <w:color w:val="000000"/>
          <w:sz w:val="22"/>
          <w:szCs w:val="22"/>
        </w:rPr>
        <w:t>Italics indicate a type currently operated by TAROM</w:t>
      </w:r>
      <w:r w:rsidRPr="004C6745">
        <w:rPr>
          <w:color w:val="000000"/>
          <w:sz w:val="22"/>
          <w:szCs w:val="22"/>
        </w:rPr>
        <w:t>)</w:t>
      </w:r>
    </w:p>
    <w:tbl>
      <w:tblPr>
        <w:tblpPr w:leftFromText="180" w:rightFromText="180" w:vertAnchor="text" w:horzAnchor="margin" w:tblpXSpec="center" w:tblpY="63"/>
        <w:tblW w:w="6838" w:type="dxa"/>
        <w:tblBorders>
          <w:top w:val="single" w:sz="12" w:space="0" w:color="4F81BD"/>
          <w:left w:val="single" w:sz="12" w:space="0" w:color="4F81BD"/>
          <w:bottom w:val="single" w:sz="12" w:space="0" w:color="4F81BD"/>
          <w:right w:val="single" w:sz="12" w:space="0" w:color="4F81BD"/>
        </w:tblBorders>
        <w:tblLayout w:type="fixed"/>
        <w:tblLook w:val="04A0" w:firstRow="1" w:lastRow="0" w:firstColumn="1" w:lastColumn="0" w:noHBand="0" w:noVBand="1"/>
      </w:tblPr>
      <w:tblGrid>
        <w:gridCol w:w="1384"/>
        <w:gridCol w:w="1134"/>
        <w:gridCol w:w="859"/>
        <w:gridCol w:w="859"/>
        <w:gridCol w:w="859"/>
        <w:gridCol w:w="859"/>
        <w:gridCol w:w="884"/>
      </w:tblGrid>
      <w:tr w:rsidR="00660414" w:rsidRPr="00F923DC" w:rsidTr="007613DE">
        <w:trPr>
          <w:tblHeader/>
        </w:trPr>
        <w:tc>
          <w:tcPr>
            <w:tcW w:w="1384" w:type="dxa"/>
            <w:vMerge w:val="restart"/>
            <w:tcBorders>
              <w:right w:val="single" w:sz="6" w:space="0" w:color="4F81BD"/>
            </w:tcBorders>
            <w:shd w:val="clear" w:color="auto" w:fill="DBE5F1"/>
            <w:vAlign w:val="center"/>
          </w:tcPr>
          <w:p w:rsidR="00660414" w:rsidRPr="00F923DC" w:rsidRDefault="00660414" w:rsidP="007613DE">
            <w:pPr>
              <w:rPr>
                <w:rFonts w:cs="Arial"/>
                <w:b/>
              </w:rPr>
            </w:pPr>
            <w:r w:rsidRPr="00F923DC">
              <w:rPr>
                <w:rFonts w:cs="Arial"/>
                <w:b/>
              </w:rPr>
              <w:t>Aircraft</w:t>
            </w:r>
          </w:p>
        </w:tc>
        <w:tc>
          <w:tcPr>
            <w:tcW w:w="1134" w:type="dxa"/>
            <w:vMerge w:val="restart"/>
            <w:tcBorders>
              <w:left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ARFF Category</w:t>
            </w:r>
          </w:p>
        </w:tc>
        <w:tc>
          <w:tcPr>
            <w:tcW w:w="3436" w:type="dxa"/>
            <w:gridSpan w:val="4"/>
            <w:tcBorders>
              <w:left w:val="single" w:sz="6" w:space="0" w:color="4F81BD"/>
              <w:bottom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Aircraft Classification Number (ACN)</w:t>
            </w:r>
          </w:p>
        </w:tc>
        <w:tc>
          <w:tcPr>
            <w:tcW w:w="884" w:type="dxa"/>
            <w:vMerge w:val="restart"/>
            <w:tcBorders>
              <w:left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ICAO Ref. Code</w:t>
            </w:r>
          </w:p>
        </w:tc>
      </w:tr>
      <w:tr w:rsidR="00660414" w:rsidRPr="00F923DC" w:rsidTr="007613DE">
        <w:trPr>
          <w:tblHeader/>
        </w:trPr>
        <w:tc>
          <w:tcPr>
            <w:tcW w:w="1384" w:type="dxa"/>
            <w:vMerge/>
            <w:tcBorders>
              <w:bottom w:val="single" w:sz="6" w:space="0" w:color="4F81BD"/>
              <w:right w:val="single" w:sz="6" w:space="0" w:color="4F81BD"/>
            </w:tcBorders>
          </w:tcPr>
          <w:p w:rsidR="00660414" w:rsidRPr="00F923DC" w:rsidRDefault="00660414" w:rsidP="007613DE">
            <w:pPr>
              <w:rPr>
                <w:rFonts w:cs="Arial"/>
              </w:rPr>
            </w:pPr>
          </w:p>
        </w:tc>
        <w:tc>
          <w:tcPr>
            <w:tcW w:w="1134" w:type="dxa"/>
            <w:vMerge/>
            <w:tcBorders>
              <w:left w:val="single" w:sz="6" w:space="0" w:color="4F81BD"/>
              <w:bottom w:val="single" w:sz="6" w:space="0" w:color="4F81BD"/>
              <w:right w:val="single" w:sz="6" w:space="0" w:color="4F81BD"/>
            </w:tcBorders>
          </w:tcPr>
          <w:p w:rsidR="00660414" w:rsidRPr="00F923DC" w:rsidRDefault="00660414" w:rsidP="007613DE">
            <w:pPr>
              <w:rPr>
                <w:rFonts w:cs="Arial"/>
              </w:rPr>
            </w:pPr>
          </w:p>
        </w:tc>
        <w:tc>
          <w:tcPr>
            <w:tcW w:w="859" w:type="dxa"/>
            <w:tcBorders>
              <w:top w:val="single" w:sz="6" w:space="0" w:color="4F81BD"/>
              <w:left w:val="single" w:sz="6" w:space="0" w:color="4F81BD"/>
              <w:bottom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A</w:t>
            </w:r>
          </w:p>
        </w:tc>
        <w:tc>
          <w:tcPr>
            <w:tcW w:w="859" w:type="dxa"/>
            <w:tcBorders>
              <w:top w:val="single" w:sz="6" w:space="0" w:color="4F81BD"/>
              <w:left w:val="single" w:sz="6" w:space="0" w:color="4F81BD"/>
              <w:bottom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B</w:t>
            </w:r>
          </w:p>
        </w:tc>
        <w:tc>
          <w:tcPr>
            <w:tcW w:w="859" w:type="dxa"/>
            <w:tcBorders>
              <w:top w:val="single" w:sz="6" w:space="0" w:color="4F81BD"/>
              <w:left w:val="single" w:sz="6" w:space="0" w:color="4F81BD"/>
              <w:bottom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C</w:t>
            </w:r>
          </w:p>
        </w:tc>
        <w:tc>
          <w:tcPr>
            <w:tcW w:w="859" w:type="dxa"/>
            <w:tcBorders>
              <w:top w:val="single" w:sz="6" w:space="0" w:color="4F81BD"/>
              <w:left w:val="single" w:sz="6" w:space="0" w:color="4F81BD"/>
              <w:bottom w:val="single" w:sz="6" w:space="0" w:color="4F81BD"/>
              <w:right w:val="single" w:sz="6" w:space="0" w:color="4F81BD"/>
            </w:tcBorders>
            <w:shd w:val="clear" w:color="auto" w:fill="DBE5F1"/>
            <w:vAlign w:val="center"/>
          </w:tcPr>
          <w:p w:rsidR="00660414" w:rsidRPr="00F923DC" w:rsidRDefault="00660414" w:rsidP="007613DE">
            <w:pPr>
              <w:jc w:val="center"/>
              <w:rPr>
                <w:rFonts w:cs="Arial"/>
                <w:b/>
              </w:rPr>
            </w:pPr>
            <w:r w:rsidRPr="00F923DC">
              <w:rPr>
                <w:rFonts w:cs="Arial"/>
                <w:b/>
              </w:rPr>
              <w:t>D</w:t>
            </w:r>
          </w:p>
        </w:tc>
        <w:tc>
          <w:tcPr>
            <w:tcW w:w="884" w:type="dxa"/>
            <w:vMerge/>
            <w:tcBorders>
              <w:left w:val="single" w:sz="6" w:space="0" w:color="4F81BD"/>
              <w:bottom w:val="single" w:sz="6" w:space="0" w:color="4F81BD"/>
              <w:right w:val="single" w:sz="6" w:space="0" w:color="4F81BD"/>
            </w:tcBorders>
          </w:tcPr>
          <w:p w:rsidR="00660414" w:rsidRPr="00F923DC" w:rsidRDefault="00660414" w:rsidP="007613DE">
            <w:pPr>
              <w:rPr>
                <w:rFonts w:cs="Arial"/>
              </w:rPr>
            </w:pP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A310-300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8</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40-47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48-56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57-66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65-75</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4D</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A318</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38</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ATR42-500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10</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12</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ATR72-500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15</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3C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737-300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40</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46</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737-700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48</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50</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i/>
              </w:rPr>
            </w:pPr>
            <w:r w:rsidRPr="00F923DC">
              <w:rPr>
                <w:rFonts w:cs="Arial"/>
                <w:i/>
              </w:rPr>
              <w:t>737-800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55</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57</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i/>
              </w:rPr>
            </w:pPr>
            <w:r w:rsidRPr="00F923DC">
              <w:rPr>
                <w:rFonts w:cs="Arial"/>
                <w:i/>
              </w:rPr>
              <w:t>4C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A320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19-46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23-49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27-51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31-53</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A321</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47-56</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50-59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52-62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54-64</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4C</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757-200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32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38</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45</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52</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4D</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A330-200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8</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48-53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56-61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66-73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78-85</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4E</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A330-300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46-54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54-62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64-74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75-86</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4E</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767-300ER</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8</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40</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57</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66</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4D</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777-200ER</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50</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82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101</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4E</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747-400</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53</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62</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85</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4E</w:t>
            </w:r>
          </w:p>
        </w:tc>
      </w:tr>
      <w:tr w:rsidR="00660414" w:rsidRPr="00F923DC" w:rsidTr="007613DE">
        <w:trPr>
          <w:trHeight w:val="329"/>
          <w:tblHeader/>
        </w:trPr>
        <w:tc>
          <w:tcPr>
            <w:tcW w:w="1384" w:type="dxa"/>
            <w:tcBorders>
              <w:top w:val="single" w:sz="6" w:space="0" w:color="4F81BD"/>
              <w:left w:val="single" w:sz="12" w:space="0" w:color="4F81BD"/>
              <w:bottom w:val="single" w:sz="6" w:space="0" w:color="4F81BD"/>
              <w:right w:val="single" w:sz="6" w:space="0" w:color="4F81BD"/>
            </w:tcBorders>
            <w:vAlign w:val="center"/>
          </w:tcPr>
          <w:p w:rsidR="00660414" w:rsidRPr="00F923DC" w:rsidRDefault="00660414" w:rsidP="007613DE">
            <w:pPr>
              <w:rPr>
                <w:rFonts w:cs="Arial"/>
              </w:rPr>
            </w:pPr>
            <w:r w:rsidRPr="00F923DC">
              <w:rPr>
                <w:rFonts w:cs="Arial"/>
              </w:rPr>
              <w:t>747-8</w:t>
            </w:r>
          </w:p>
        </w:tc>
        <w:tc>
          <w:tcPr>
            <w:tcW w:w="113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10</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64</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71</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89</w:t>
            </w:r>
          </w:p>
        </w:tc>
        <w:tc>
          <w:tcPr>
            <w:tcW w:w="859"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112</w:t>
            </w:r>
          </w:p>
        </w:tc>
        <w:tc>
          <w:tcPr>
            <w:tcW w:w="884" w:type="dxa"/>
            <w:tcBorders>
              <w:top w:val="single" w:sz="6" w:space="0" w:color="4F81BD"/>
              <w:left w:val="single" w:sz="6" w:space="0" w:color="4F81BD"/>
              <w:bottom w:val="single" w:sz="6" w:space="0" w:color="4F81BD"/>
              <w:right w:val="single" w:sz="6" w:space="0" w:color="4F81BD"/>
            </w:tcBorders>
            <w:vAlign w:val="center"/>
          </w:tcPr>
          <w:p w:rsidR="00660414" w:rsidRPr="00F923DC" w:rsidRDefault="00660414" w:rsidP="007613DE">
            <w:pPr>
              <w:jc w:val="center"/>
              <w:rPr>
                <w:rFonts w:cs="Arial"/>
              </w:rPr>
            </w:pPr>
            <w:r w:rsidRPr="00F923DC">
              <w:rPr>
                <w:rFonts w:cs="Arial"/>
              </w:rPr>
              <w:t>4F</w:t>
            </w:r>
          </w:p>
        </w:tc>
      </w:tr>
      <w:tr w:rsidR="00660414" w:rsidRPr="00F923DC" w:rsidTr="007613DE">
        <w:trPr>
          <w:trHeight w:val="329"/>
          <w:tblHeader/>
        </w:trPr>
        <w:tc>
          <w:tcPr>
            <w:tcW w:w="1384" w:type="dxa"/>
            <w:tcBorders>
              <w:top w:val="single" w:sz="6" w:space="0" w:color="4F81BD"/>
              <w:left w:val="single" w:sz="12" w:space="0" w:color="4F81BD"/>
              <w:bottom w:val="single" w:sz="12" w:space="0" w:color="4F81BD"/>
              <w:right w:val="single" w:sz="6" w:space="0" w:color="4F81BD"/>
            </w:tcBorders>
            <w:vAlign w:val="center"/>
          </w:tcPr>
          <w:p w:rsidR="00660414" w:rsidRPr="00F923DC" w:rsidRDefault="00660414" w:rsidP="007613DE">
            <w:pPr>
              <w:rPr>
                <w:rFonts w:cs="Arial"/>
              </w:rPr>
            </w:pPr>
            <w:r w:rsidRPr="00F923DC">
              <w:rPr>
                <w:rFonts w:cs="Arial"/>
              </w:rPr>
              <w:t>A380-800</w:t>
            </w:r>
          </w:p>
        </w:tc>
        <w:tc>
          <w:tcPr>
            <w:tcW w:w="1134"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10</w:t>
            </w:r>
          </w:p>
        </w:tc>
        <w:tc>
          <w:tcPr>
            <w:tcW w:w="859"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55</w:t>
            </w:r>
          </w:p>
        </w:tc>
        <w:tc>
          <w:tcPr>
            <w:tcW w:w="859"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64-67</w:t>
            </w:r>
          </w:p>
        </w:tc>
        <w:tc>
          <w:tcPr>
            <w:tcW w:w="859"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76-88</w:t>
            </w:r>
          </w:p>
        </w:tc>
        <w:tc>
          <w:tcPr>
            <w:tcW w:w="859"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88-110</w:t>
            </w:r>
          </w:p>
        </w:tc>
        <w:tc>
          <w:tcPr>
            <w:tcW w:w="884" w:type="dxa"/>
            <w:tcBorders>
              <w:top w:val="single" w:sz="6" w:space="0" w:color="4F81BD"/>
              <w:left w:val="single" w:sz="6" w:space="0" w:color="4F81BD"/>
              <w:bottom w:val="single" w:sz="12" w:space="0" w:color="4F81BD"/>
              <w:right w:val="single" w:sz="6" w:space="0" w:color="4F81BD"/>
            </w:tcBorders>
            <w:vAlign w:val="center"/>
          </w:tcPr>
          <w:p w:rsidR="00660414" w:rsidRPr="00F923DC" w:rsidRDefault="00660414" w:rsidP="007613DE">
            <w:pPr>
              <w:jc w:val="center"/>
              <w:rPr>
                <w:rFonts w:cs="Arial"/>
              </w:rPr>
            </w:pPr>
            <w:r w:rsidRPr="00F923DC">
              <w:rPr>
                <w:rFonts w:cs="Arial"/>
              </w:rPr>
              <w:t>4F</w:t>
            </w:r>
          </w:p>
        </w:tc>
      </w:tr>
    </w:tbl>
    <w:p w:rsidR="00660414" w:rsidRPr="004C6745"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Pr="004C6745" w:rsidRDefault="00660414" w:rsidP="00A4081F">
      <w:pPr>
        <w:pStyle w:val="NumberedParas"/>
      </w:pPr>
      <w:r w:rsidRPr="004C6745">
        <w:t xml:space="preserve">While the ICAO reference code is able to offer a straightforward insight as to whether a particular aircraft would be able to operate at a particular airfield (by comparing the airfield’s reference code with the aircraft’s reference code), there are also further operational aspects which must be considered. Table </w:t>
      </w:r>
      <w:r>
        <w:t>7</w:t>
      </w:r>
      <w:r w:rsidRPr="001B56B1">
        <w:t>.12</w:t>
      </w:r>
      <w:r w:rsidRPr="004C6745">
        <w:t xml:space="preserve"> details the airfield requirements of a number of popular commercial aircraft.</w:t>
      </w:r>
    </w:p>
    <w:p w:rsidR="00660414" w:rsidRDefault="00660414" w:rsidP="00A4081F">
      <w:pPr>
        <w:pStyle w:val="NumberedParas"/>
      </w:pPr>
      <w:r w:rsidRPr="001B56B1">
        <w:t>The majority of low-cost carriers</w:t>
      </w:r>
      <w:r>
        <w:t>’</w:t>
      </w:r>
      <w:r w:rsidRPr="001B56B1">
        <w:t xml:space="preserve"> fleet include aircraft such as the A320 and B737-800.  Taken that into consideration Tulcea Airport’s runway needs to be </w:t>
      </w:r>
      <w:r>
        <w:t xml:space="preserve">upgraded, not only because of the length of the runway but the width of 30 metres put an additional restriction to the airport’s operations. The upgrade of Oradea Airport’s runway is part of the reference case and therefore not part of this master plan. </w:t>
      </w:r>
    </w:p>
    <w:p w:rsidR="00660414" w:rsidRPr="001B56B1" w:rsidRDefault="00660414" w:rsidP="00A4081F">
      <w:pPr>
        <w:pStyle w:val="NumberedParas"/>
      </w:pPr>
      <w:r>
        <w:t>Although Cluj Airport has recently built a new runway, the intention is to have direct flight to the USA and therefore needs to extend the runway to 3,420m.</w:t>
      </w:r>
    </w:p>
    <w:p w:rsidR="00660414" w:rsidRPr="001C6AE7" w:rsidRDefault="00660414" w:rsidP="00660414">
      <w:pPr>
        <w:pStyle w:val="Hdg3"/>
      </w:pPr>
      <w:r w:rsidRPr="001C6AE7">
        <w:t>Passenger terminal capacity constraints.</w:t>
      </w:r>
    </w:p>
    <w:p w:rsidR="00660414" w:rsidRPr="001C6AE7" w:rsidRDefault="00660414" w:rsidP="00A4081F">
      <w:pPr>
        <w:pStyle w:val="NumberedParas"/>
      </w:pPr>
      <w:r w:rsidRPr="001C6AE7">
        <w:t xml:space="preserve">In determining the passenger terminal capacity demand, we </w:t>
      </w:r>
      <w:r>
        <w:t>have analysed airport</w:t>
      </w:r>
      <w:r w:rsidRPr="001C6AE7">
        <w:t xml:space="preserve"> flight schedules to establish the number of passenger flights within the peak hour to calculate the peak hour capacity.  During our consultation process we sent out questionnaires to the various airports to get the current peak hour capacities of the airports. We then compare</w:t>
      </w:r>
      <w:r>
        <w:t>d</w:t>
      </w:r>
      <w:r w:rsidRPr="001C6AE7">
        <w:t xml:space="preserve"> the existing peak hour capacities of the various airports with the current peak hour capacity demand to determine which airports have passenger terminal constraints. </w:t>
      </w:r>
    </w:p>
    <w:p w:rsidR="00660414" w:rsidRPr="001C6AE7" w:rsidRDefault="00660414" w:rsidP="00A4081F">
      <w:pPr>
        <w:pStyle w:val="NumberedParas"/>
      </w:pPr>
      <w:r w:rsidRPr="001C6AE7">
        <w:t xml:space="preserve">Table </w:t>
      </w:r>
      <w:r>
        <w:t>7.13</w:t>
      </w:r>
      <w:r w:rsidRPr="001C6AE7">
        <w:t xml:space="preserve"> sets out the 2011 peak hour passenger terminal capacity as well as the peak hour capacity demand.</w:t>
      </w:r>
    </w:p>
    <w:p w:rsidR="00660414" w:rsidRDefault="00660414" w:rsidP="00660414">
      <w:pPr>
        <w:tabs>
          <w:tab w:val="left" w:pos="6255"/>
        </w:tabs>
        <w:rPr>
          <w:b/>
          <w:sz w:val="22"/>
          <w:szCs w:val="22"/>
        </w:rPr>
      </w:pPr>
    </w:p>
    <w:p w:rsidR="00660414" w:rsidRPr="001C6AE7" w:rsidRDefault="00660414" w:rsidP="00660414">
      <w:pPr>
        <w:ind w:left="851"/>
        <w:rPr>
          <w:b/>
          <w:sz w:val="22"/>
          <w:szCs w:val="22"/>
        </w:rPr>
      </w:pPr>
      <w:r w:rsidRPr="001C6AE7">
        <w:rPr>
          <w:b/>
          <w:sz w:val="22"/>
          <w:szCs w:val="22"/>
        </w:rPr>
        <w:t xml:space="preserve">Table </w:t>
      </w:r>
      <w:r>
        <w:rPr>
          <w:b/>
          <w:sz w:val="22"/>
          <w:szCs w:val="22"/>
        </w:rPr>
        <w:t>7.13</w:t>
      </w:r>
      <w:r w:rsidRPr="001C6AE7">
        <w:rPr>
          <w:b/>
          <w:sz w:val="22"/>
          <w:szCs w:val="22"/>
        </w:rPr>
        <w:t xml:space="preserve"> – Airports Peak Hour Capacity (2011)</w:t>
      </w:r>
    </w:p>
    <w:tbl>
      <w:tblPr>
        <w:tblW w:w="9497"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126"/>
        <w:gridCol w:w="1985"/>
        <w:gridCol w:w="1559"/>
        <w:gridCol w:w="1701"/>
        <w:gridCol w:w="2126"/>
      </w:tblGrid>
      <w:tr w:rsidR="00660414" w:rsidRPr="001C6AE7" w:rsidTr="007613DE">
        <w:trPr>
          <w:trHeight w:val="734"/>
          <w:tblHeader/>
          <w:jc w:val="center"/>
        </w:trPr>
        <w:tc>
          <w:tcPr>
            <w:tcW w:w="2126" w:type="dxa"/>
            <w:tcBorders>
              <w:top w:val="single" w:sz="12" w:space="0" w:color="4F81BD"/>
              <w:left w:val="single" w:sz="12" w:space="0" w:color="4F81BD"/>
              <w:bottom w:val="single" w:sz="12" w:space="0" w:color="4F81BD"/>
            </w:tcBorders>
            <w:shd w:val="clear" w:color="auto" w:fill="DBE5F1"/>
            <w:vAlign w:val="center"/>
          </w:tcPr>
          <w:p w:rsidR="00660414" w:rsidRPr="001C6AE7" w:rsidRDefault="00660414" w:rsidP="007613DE">
            <w:pPr>
              <w:jc w:val="center"/>
              <w:rPr>
                <w:b/>
                <w:bCs/>
                <w:color w:val="000000"/>
                <w:sz w:val="22"/>
                <w:szCs w:val="22"/>
                <w:lang w:val="en-US"/>
              </w:rPr>
            </w:pPr>
            <w:r w:rsidRPr="001C6AE7">
              <w:rPr>
                <w:b/>
                <w:bCs/>
                <w:color w:val="000000"/>
                <w:sz w:val="22"/>
                <w:szCs w:val="22"/>
                <w:lang w:val="en-US"/>
              </w:rPr>
              <w:t>Airport Name</w:t>
            </w:r>
          </w:p>
        </w:tc>
        <w:tc>
          <w:tcPr>
            <w:tcW w:w="1985" w:type="dxa"/>
            <w:tcBorders>
              <w:top w:val="single" w:sz="12" w:space="0" w:color="4F81BD"/>
              <w:bottom w:val="single" w:sz="12" w:space="0" w:color="4F81BD"/>
            </w:tcBorders>
            <w:shd w:val="clear" w:color="auto" w:fill="DBE5F1"/>
            <w:vAlign w:val="center"/>
          </w:tcPr>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Peak Hour</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Capacity</w:t>
            </w:r>
          </w:p>
          <w:p w:rsidR="00660414" w:rsidRPr="001C6AE7" w:rsidRDefault="00660414" w:rsidP="007613DE">
            <w:pPr>
              <w:jc w:val="center"/>
              <w:rPr>
                <w:b/>
                <w:bCs/>
                <w:color w:val="000000"/>
                <w:sz w:val="22"/>
                <w:szCs w:val="22"/>
                <w:lang w:val="en-US"/>
              </w:rPr>
            </w:pPr>
            <w:r w:rsidRPr="001C6AE7">
              <w:rPr>
                <w:b/>
                <w:bCs/>
                <w:color w:val="000000"/>
                <w:sz w:val="22"/>
                <w:szCs w:val="22"/>
                <w:lang w:val="en-US"/>
              </w:rPr>
              <w:t>(Passengers)¹</w:t>
            </w:r>
          </w:p>
        </w:tc>
        <w:tc>
          <w:tcPr>
            <w:tcW w:w="1559" w:type="dxa"/>
            <w:tcBorders>
              <w:top w:val="single" w:sz="12" w:space="0" w:color="4F81BD"/>
              <w:bottom w:val="single" w:sz="12" w:space="0" w:color="4F81BD"/>
            </w:tcBorders>
            <w:shd w:val="clear" w:color="auto" w:fill="DBE5F1"/>
            <w:vAlign w:val="center"/>
          </w:tcPr>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Daily</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 xml:space="preserve"> Passengers</w:t>
            </w:r>
          </w:p>
        </w:tc>
        <w:tc>
          <w:tcPr>
            <w:tcW w:w="1701" w:type="dxa"/>
            <w:tcBorders>
              <w:top w:val="single" w:sz="12" w:space="0" w:color="4F81BD"/>
              <w:bottom w:val="single" w:sz="12" w:space="0" w:color="4F81BD"/>
            </w:tcBorders>
            <w:shd w:val="clear" w:color="auto" w:fill="DBE5F1"/>
            <w:vAlign w:val="center"/>
          </w:tcPr>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Percentage of</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Flights within</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 xml:space="preserve"> the</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Peak Hour</w:t>
            </w:r>
          </w:p>
        </w:tc>
        <w:tc>
          <w:tcPr>
            <w:tcW w:w="2126" w:type="dxa"/>
            <w:tcBorders>
              <w:top w:val="single" w:sz="12" w:space="0" w:color="4F81BD"/>
              <w:bottom w:val="single" w:sz="12" w:space="0" w:color="4F81BD"/>
            </w:tcBorders>
            <w:shd w:val="clear" w:color="auto" w:fill="DBE5F1"/>
            <w:vAlign w:val="center"/>
          </w:tcPr>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Peak Hour</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Capacity</w:t>
            </w:r>
          </w:p>
          <w:p w:rsidR="00660414" w:rsidRPr="001C6AE7" w:rsidRDefault="00660414" w:rsidP="007613DE">
            <w:pPr>
              <w:ind w:left="-3761" w:firstLine="3761"/>
              <w:jc w:val="center"/>
              <w:rPr>
                <w:b/>
                <w:bCs/>
                <w:color w:val="000000"/>
                <w:sz w:val="22"/>
                <w:szCs w:val="22"/>
                <w:lang w:val="en-US"/>
              </w:rPr>
            </w:pPr>
            <w:r w:rsidRPr="001C6AE7">
              <w:rPr>
                <w:b/>
                <w:bCs/>
                <w:color w:val="000000"/>
                <w:sz w:val="22"/>
                <w:szCs w:val="22"/>
                <w:lang w:val="en-US"/>
              </w:rPr>
              <w:t xml:space="preserve"> Demand</w:t>
            </w:r>
          </w:p>
        </w:tc>
      </w:tr>
      <w:tr w:rsidR="00660414" w:rsidRPr="001C6AE7" w:rsidTr="007613DE">
        <w:trPr>
          <w:trHeight w:val="329"/>
          <w:jc w:val="center"/>
        </w:trPr>
        <w:tc>
          <w:tcPr>
            <w:tcW w:w="2126" w:type="dxa"/>
            <w:tcBorders>
              <w:top w:val="single" w:sz="12" w:space="0" w:color="4F81BD"/>
            </w:tcBorders>
            <w:vAlign w:val="center"/>
          </w:tcPr>
          <w:p w:rsidR="00660414" w:rsidRPr="001C6AE7" w:rsidRDefault="00660414" w:rsidP="007613DE">
            <w:pPr>
              <w:rPr>
                <w:color w:val="000000"/>
                <w:sz w:val="22"/>
                <w:szCs w:val="22"/>
                <w:lang w:val="en-US"/>
              </w:rPr>
            </w:pPr>
            <w:r w:rsidRPr="001C6AE7">
              <w:rPr>
                <w:sz w:val="22"/>
                <w:szCs w:val="22"/>
                <w:lang w:val="en-US"/>
              </w:rPr>
              <w:t>Bucharest Henri Coanda</w:t>
            </w:r>
          </w:p>
        </w:tc>
        <w:tc>
          <w:tcPr>
            <w:tcW w:w="1985" w:type="dxa"/>
            <w:tcBorders>
              <w:top w:val="single" w:sz="12" w:space="0" w:color="4F81BD"/>
            </w:tcBorders>
            <w:vAlign w:val="center"/>
          </w:tcPr>
          <w:p w:rsidR="00660414" w:rsidRPr="001C6AE7" w:rsidRDefault="00660414" w:rsidP="007613DE">
            <w:pPr>
              <w:jc w:val="center"/>
              <w:rPr>
                <w:sz w:val="22"/>
                <w:szCs w:val="22"/>
              </w:rPr>
            </w:pPr>
            <w:r w:rsidRPr="001C6AE7">
              <w:rPr>
                <w:sz w:val="22"/>
                <w:szCs w:val="22"/>
              </w:rPr>
              <w:t>4,500</w:t>
            </w:r>
          </w:p>
        </w:tc>
        <w:tc>
          <w:tcPr>
            <w:tcW w:w="1559" w:type="dxa"/>
            <w:tcBorders>
              <w:top w:val="single" w:sz="12" w:space="0" w:color="4F81BD"/>
            </w:tcBorders>
            <w:vAlign w:val="center"/>
          </w:tcPr>
          <w:p w:rsidR="00660414" w:rsidRPr="001C6AE7" w:rsidRDefault="00660414" w:rsidP="007613DE">
            <w:pPr>
              <w:jc w:val="center"/>
              <w:rPr>
                <w:sz w:val="22"/>
                <w:szCs w:val="22"/>
              </w:rPr>
            </w:pPr>
            <w:r w:rsidRPr="001C6AE7">
              <w:rPr>
                <w:sz w:val="22"/>
                <w:szCs w:val="22"/>
              </w:rPr>
              <w:t>20,056</w:t>
            </w:r>
          </w:p>
        </w:tc>
        <w:tc>
          <w:tcPr>
            <w:tcW w:w="1701" w:type="dxa"/>
            <w:tcBorders>
              <w:top w:val="single" w:sz="12" w:space="0" w:color="4F81BD"/>
            </w:tcBorders>
            <w:vAlign w:val="center"/>
          </w:tcPr>
          <w:p w:rsidR="00660414" w:rsidRPr="001C6AE7" w:rsidRDefault="00660414" w:rsidP="007613DE">
            <w:pPr>
              <w:ind w:left="-3761" w:firstLine="3761"/>
              <w:jc w:val="center"/>
              <w:rPr>
                <w:sz w:val="22"/>
                <w:szCs w:val="22"/>
              </w:rPr>
            </w:pPr>
            <w:r w:rsidRPr="001C6AE7">
              <w:rPr>
                <w:sz w:val="22"/>
                <w:szCs w:val="22"/>
              </w:rPr>
              <w:t>15%</w:t>
            </w:r>
          </w:p>
        </w:tc>
        <w:tc>
          <w:tcPr>
            <w:tcW w:w="2126" w:type="dxa"/>
            <w:tcBorders>
              <w:top w:val="single" w:sz="12" w:space="0" w:color="4F81BD"/>
            </w:tcBorders>
            <w:vAlign w:val="center"/>
          </w:tcPr>
          <w:p w:rsidR="00660414" w:rsidRPr="001C6AE7" w:rsidRDefault="00660414" w:rsidP="007613DE">
            <w:pPr>
              <w:jc w:val="center"/>
              <w:rPr>
                <w:sz w:val="22"/>
                <w:szCs w:val="22"/>
              </w:rPr>
            </w:pPr>
            <w:r w:rsidRPr="001C6AE7">
              <w:rPr>
                <w:sz w:val="22"/>
                <w:szCs w:val="22"/>
              </w:rPr>
              <w:t>3,000</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Timisoara</w:t>
            </w:r>
          </w:p>
        </w:tc>
        <w:tc>
          <w:tcPr>
            <w:tcW w:w="1985" w:type="dxa"/>
            <w:vAlign w:val="center"/>
          </w:tcPr>
          <w:p w:rsidR="00660414" w:rsidRPr="001C6AE7" w:rsidRDefault="00660414" w:rsidP="007613DE">
            <w:pPr>
              <w:jc w:val="center"/>
              <w:rPr>
                <w:sz w:val="22"/>
                <w:szCs w:val="22"/>
              </w:rPr>
            </w:pPr>
            <w:r w:rsidRPr="001C6AE7">
              <w:rPr>
                <w:sz w:val="22"/>
                <w:szCs w:val="22"/>
              </w:rPr>
              <w:t>1,200</w:t>
            </w:r>
          </w:p>
        </w:tc>
        <w:tc>
          <w:tcPr>
            <w:tcW w:w="1559" w:type="dxa"/>
            <w:vAlign w:val="center"/>
          </w:tcPr>
          <w:p w:rsidR="00660414" w:rsidRPr="001C6AE7" w:rsidRDefault="00660414" w:rsidP="007613DE">
            <w:pPr>
              <w:jc w:val="center"/>
              <w:rPr>
                <w:sz w:val="22"/>
                <w:szCs w:val="22"/>
              </w:rPr>
            </w:pPr>
            <w:r w:rsidRPr="001C6AE7">
              <w:rPr>
                <w:sz w:val="22"/>
                <w:szCs w:val="22"/>
              </w:rPr>
              <w:t>3,715</w:t>
            </w:r>
          </w:p>
        </w:tc>
        <w:tc>
          <w:tcPr>
            <w:tcW w:w="1701" w:type="dxa"/>
            <w:vAlign w:val="center"/>
          </w:tcPr>
          <w:p w:rsidR="00660414" w:rsidRPr="001C6AE7" w:rsidRDefault="00660414" w:rsidP="007613DE">
            <w:pPr>
              <w:ind w:left="-3761" w:firstLine="3761"/>
              <w:jc w:val="center"/>
              <w:rPr>
                <w:sz w:val="22"/>
                <w:szCs w:val="22"/>
              </w:rPr>
            </w:pPr>
            <w:r w:rsidRPr="001C6AE7">
              <w:rPr>
                <w:sz w:val="22"/>
                <w:szCs w:val="22"/>
              </w:rPr>
              <w:t>36%</w:t>
            </w:r>
          </w:p>
        </w:tc>
        <w:tc>
          <w:tcPr>
            <w:tcW w:w="2126" w:type="dxa"/>
            <w:vAlign w:val="center"/>
          </w:tcPr>
          <w:p w:rsidR="00660414" w:rsidRPr="008C5B1B" w:rsidRDefault="00660414" w:rsidP="007613DE">
            <w:pPr>
              <w:jc w:val="center"/>
              <w:rPr>
                <w:sz w:val="22"/>
                <w:szCs w:val="22"/>
              </w:rPr>
            </w:pPr>
            <w:r w:rsidRPr="008C5B1B">
              <w:rPr>
                <w:sz w:val="22"/>
                <w:szCs w:val="22"/>
              </w:rPr>
              <w:t>1,337</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Cluj</w:t>
            </w:r>
          </w:p>
        </w:tc>
        <w:tc>
          <w:tcPr>
            <w:tcW w:w="1985" w:type="dxa"/>
            <w:vAlign w:val="center"/>
          </w:tcPr>
          <w:p w:rsidR="00660414" w:rsidRPr="001C6AE7" w:rsidRDefault="00660414" w:rsidP="007613DE">
            <w:pPr>
              <w:jc w:val="center"/>
              <w:rPr>
                <w:sz w:val="22"/>
                <w:szCs w:val="22"/>
              </w:rPr>
            </w:pPr>
            <w:r w:rsidRPr="001C6AE7">
              <w:rPr>
                <w:sz w:val="22"/>
                <w:szCs w:val="22"/>
              </w:rPr>
              <w:t>1,500</w:t>
            </w:r>
          </w:p>
        </w:tc>
        <w:tc>
          <w:tcPr>
            <w:tcW w:w="1559" w:type="dxa"/>
            <w:vAlign w:val="center"/>
          </w:tcPr>
          <w:p w:rsidR="00660414" w:rsidRPr="001C6AE7" w:rsidRDefault="00660414" w:rsidP="007613DE">
            <w:pPr>
              <w:jc w:val="center"/>
              <w:rPr>
                <w:sz w:val="22"/>
                <w:szCs w:val="22"/>
              </w:rPr>
            </w:pPr>
            <w:r w:rsidRPr="001C6AE7">
              <w:rPr>
                <w:sz w:val="22"/>
                <w:szCs w:val="22"/>
              </w:rPr>
              <w:t>2,753</w:t>
            </w:r>
          </w:p>
        </w:tc>
        <w:tc>
          <w:tcPr>
            <w:tcW w:w="1701" w:type="dxa"/>
            <w:vAlign w:val="center"/>
          </w:tcPr>
          <w:p w:rsidR="00660414" w:rsidRPr="001C6AE7" w:rsidRDefault="00660414" w:rsidP="007613DE">
            <w:pPr>
              <w:ind w:left="-3761" w:firstLine="3761"/>
              <w:jc w:val="center"/>
              <w:rPr>
                <w:sz w:val="22"/>
                <w:szCs w:val="22"/>
              </w:rPr>
            </w:pPr>
            <w:r w:rsidRPr="001C6AE7">
              <w:rPr>
                <w:sz w:val="22"/>
                <w:szCs w:val="22"/>
              </w:rPr>
              <w:t>16%</w:t>
            </w:r>
          </w:p>
        </w:tc>
        <w:tc>
          <w:tcPr>
            <w:tcW w:w="2126" w:type="dxa"/>
            <w:vAlign w:val="center"/>
          </w:tcPr>
          <w:p w:rsidR="00660414" w:rsidRPr="001C6AE7" w:rsidRDefault="00660414" w:rsidP="007613DE">
            <w:pPr>
              <w:jc w:val="center"/>
              <w:rPr>
                <w:sz w:val="22"/>
                <w:szCs w:val="22"/>
              </w:rPr>
            </w:pPr>
            <w:r w:rsidRPr="001C6AE7">
              <w:rPr>
                <w:sz w:val="22"/>
                <w:szCs w:val="22"/>
              </w:rPr>
              <w:t>440</w:t>
            </w:r>
          </w:p>
        </w:tc>
      </w:tr>
      <w:tr w:rsidR="00660414" w:rsidRPr="001C6AE7" w:rsidTr="007613DE">
        <w:trPr>
          <w:trHeight w:val="329"/>
          <w:jc w:val="center"/>
        </w:trPr>
        <w:tc>
          <w:tcPr>
            <w:tcW w:w="2126" w:type="dxa"/>
            <w:vAlign w:val="center"/>
          </w:tcPr>
          <w:p w:rsidR="00660414" w:rsidRPr="001C6AE7" w:rsidRDefault="00660414" w:rsidP="007613DE">
            <w:pPr>
              <w:rPr>
                <w:sz w:val="22"/>
                <w:szCs w:val="22"/>
                <w:lang w:val="en-US"/>
              </w:rPr>
            </w:pPr>
            <w:r w:rsidRPr="001C6AE7">
              <w:rPr>
                <w:sz w:val="22"/>
                <w:szCs w:val="22"/>
                <w:lang w:val="en-US"/>
              </w:rPr>
              <w:t>Iasi</w:t>
            </w:r>
          </w:p>
        </w:tc>
        <w:tc>
          <w:tcPr>
            <w:tcW w:w="1985" w:type="dxa"/>
            <w:vAlign w:val="center"/>
          </w:tcPr>
          <w:p w:rsidR="00660414" w:rsidRPr="001C6AE7" w:rsidRDefault="00660414" w:rsidP="007613DE">
            <w:pPr>
              <w:jc w:val="center"/>
              <w:rPr>
                <w:sz w:val="22"/>
                <w:szCs w:val="22"/>
              </w:rPr>
            </w:pPr>
            <w:r w:rsidRPr="001C6AE7">
              <w:rPr>
                <w:sz w:val="22"/>
                <w:szCs w:val="22"/>
              </w:rPr>
              <w:t>300</w:t>
            </w:r>
          </w:p>
        </w:tc>
        <w:tc>
          <w:tcPr>
            <w:tcW w:w="1559" w:type="dxa"/>
            <w:vAlign w:val="center"/>
          </w:tcPr>
          <w:p w:rsidR="00660414" w:rsidRPr="001C6AE7" w:rsidRDefault="00660414" w:rsidP="007613DE">
            <w:pPr>
              <w:jc w:val="center"/>
              <w:rPr>
                <w:sz w:val="22"/>
                <w:szCs w:val="22"/>
              </w:rPr>
            </w:pPr>
            <w:r w:rsidRPr="001C6AE7">
              <w:rPr>
                <w:sz w:val="22"/>
                <w:szCs w:val="22"/>
              </w:rPr>
              <w:t>505</w:t>
            </w:r>
          </w:p>
        </w:tc>
        <w:tc>
          <w:tcPr>
            <w:tcW w:w="1701" w:type="dxa"/>
            <w:vAlign w:val="center"/>
          </w:tcPr>
          <w:p w:rsidR="00660414" w:rsidRPr="001C6AE7" w:rsidRDefault="00660414" w:rsidP="007613DE">
            <w:pPr>
              <w:ind w:left="-3761" w:firstLine="3761"/>
              <w:jc w:val="center"/>
              <w:rPr>
                <w:sz w:val="22"/>
                <w:szCs w:val="22"/>
              </w:rPr>
            </w:pPr>
            <w:r w:rsidRPr="001C6AE7">
              <w:rPr>
                <w:sz w:val="22"/>
                <w:szCs w:val="22"/>
              </w:rPr>
              <w:t>22%</w:t>
            </w:r>
          </w:p>
        </w:tc>
        <w:tc>
          <w:tcPr>
            <w:tcW w:w="2126" w:type="dxa"/>
            <w:vAlign w:val="center"/>
          </w:tcPr>
          <w:p w:rsidR="00660414" w:rsidRPr="001C6AE7" w:rsidRDefault="00660414" w:rsidP="007613DE">
            <w:pPr>
              <w:jc w:val="center"/>
              <w:rPr>
                <w:sz w:val="22"/>
                <w:szCs w:val="22"/>
              </w:rPr>
            </w:pPr>
            <w:r w:rsidRPr="001C6AE7">
              <w:rPr>
                <w:sz w:val="22"/>
                <w:szCs w:val="22"/>
              </w:rPr>
              <w:t>111</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Craiova</w:t>
            </w:r>
          </w:p>
        </w:tc>
        <w:tc>
          <w:tcPr>
            <w:tcW w:w="1985" w:type="dxa"/>
            <w:vAlign w:val="center"/>
          </w:tcPr>
          <w:p w:rsidR="00660414" w:rsidRPr="001C6AE7" w:rsidRDefault="00660414" w:rsidP="007613DE">
            <w:pPr>
              <w:jc w:val="center"/>
              <w:rPr>
                <w:sz w:val="22"/>
                <w:szCs w:val="22"/>
              </w:rPr>
            </w:pPr>
            <w:r w:rsidRPr="001C6AE7">
              <w:rPr>
                <w:sz w:val="22"/>
                <w:szCs w:val="22"/>
              </w:rPr>
              <w:t>600</w:t>
            </w:r>
          </w:p>
        </w:tc>
        <w:tc>
          <w:tcPr>
            <w:tcW w:w="1559" w:type="dxa"/>
            <w:vAlign w:val="center"/>
          </w:tcPr>
          <w:p w:rsidR="00660414" w:rsidRPr="001C6AE7" w:rsidRDefault="00660414" w:rsidP="007613DE">
            <w:pPr>
              <w:jc w:val="center"/>
              <w:rPr>
                <w:sz w:val="22"/>
                <w:szCs w:val="22"/>
              </w:rPr>
            </w:pPr>
            <w:r w:rsidRPr="001C6AE7">
              <w:rPr>
                <w:sz w:val="22"/>
                <w:szCs w:val="22"/>
              </w:rPr>
              <w:t>86</w:t>
            </w:r>
          </w:p>
        </w:tc>
        <w:tc>
          <w:tcPr>
            <w:tcW w:w="1701" w:type="dxa"/>
            <w:vAlign w:val="center"/>
          </w:tcPr>
          <w:p w:rsidR="00660414" w:rsidRPr="001C6AE7" w:rsidRDefault="00660414" w:rsidP="007613DE">
            <w:pPr>
              <w:ind w:left="-3761" w:firstLine="3761"/>
              <w:jc w:val="center"/>
              <w:rPr>
                <w:sz w:val="22"/>
                <w:szCs w:val="22"/>
              </w:rPr>
            </w:pPr>
            <w:r w:rsidRPr="001C6AE7">
              <w:rPr>
                <w:sz w:val="22"/>
                <w:szCs w:val="22"/>
              </w:rPr>
              <w:t>29%</w:t>
            </w:r>
          </w:p>
        </w:tc>
        <w:tc>
          <w:tcPr>
            <w:tcW w:w="2126" w:type="dxa"/>
            <w:vAlign w:val="center"/>
          </w:tcPr>
          <w:p w:rsidR="00660414" w:rsidRPr="001C6AE7" w:rsidRDefault="00660414" w:rsidP="007613DE">
            <w:pPr>
              <w:jc w:val="center"/>
              <w:rPr>
                <w:sz w:val="22"/>
                <w:szCs w:val="22"/>
              </w:rPr>
            </w:pPr>
            <w:r w:rsidRPr="001C6AE7">
              <w:rPr>
                <w:sz w:val="22"/>
                <w:szCs w:val="22"/>
              </w:rPr>
              <w:t>25</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Bacau</w:t>
            </w:r>
          </w:p>
        </w:tc>
        <w:tc>
          <w:tcPr>
            <w:tcW w:w="1985" w:type="dxa"/>
            <w:vAlign w:val="center"/>
          </w:tcPr>
          <w:p w:rsidR="00660414" w:rsidRPr="001C6AE7" w:rsidRDefault="00660414" w:rsidP="007613DE">
            <w:pPr>
              <w:jc w:val="center"/>
              <w:rPr>
                <w:sz w:val="22"/>
                <w:szCs w:val="22"/>
              </w:rPr>
            </w:pPr>
            <w:r>
              <w:rPr>
                <w:sz w:val="22"/>
                <w:szCs w:val="22"/>
              </w:rPr>
              <w:t>200</w:t>
            </w:r>
          </w:p>
        </w:tc>
        <w:tc>
          <w:tcPr>
            <w:tcW w:w="1559" w:type="dxa"/>
            <w:vAlign w:val="center"/>
          </w:tcPr>
          <w:p w:rsidR="00660414" w:rsidRPr="001C6AE7" w:rsidRDefault="00660414" w:rsidP="007613DE">
            <w:pPr>
              <w:jc w:val="center"/>
              <w:rPr>
                <w:sz w:val="22"/>
                <w:szCs w:val="22"/>
              </w:rPr>
            </w:pPr>
            <w:r w:rsidRPr="001C6AE7">
              <w:rPr>
                <w:sz w:val="22"/>
                <w:szCs w:val="22"/>
              </w:rPr>
              <w:t>897</w:t>
            </w:r>
          </w:p>
        </w:tc>
        <w:tc>
          <w:tcPr>
            <w:tcW w:w="1701" w:type="dxa"/>
            <w:vAlign w:val="center"/>
          </w:tcPr>
          <w:p w:rsidR="00660414" w:rsidRPr="001C6AE7" w:rsidRDefault="00660414" w:rsidP="007613DE">
            <w:pPr>
              <w:ind w:left="-3761" w:firstLine="3761"/>
              <w:jc w:val="center"/>
              <w:rPr>
                <w:sz w:val="22"/>
                <w:szCs w:val="22"/>
              </w:rPr>
            </w:pPr>
            <w:r w:rsidRPr="001C6AE7">
              <w:rPr>
                <w:sz w:val="22"/>
                <w:szCs w:val="22"/>
              </w:rPr>
              <w:t>30%</w:t>
            </w:r>
          </w:p>
        </w:tc>
        <w:tc>
          <w:tcPr>
            <w:tcW w:w="2126" w:type="dxa"/>
            <w:vAlign w:val="center"/>
          </w:tcPr>
          <w:p w:rsidR="00660414" w:rsidRPr="001C6AE7" w:rsidRDefault="00660414" w:rsidP="007613DE">
            <w:pPr>
              <w:jc w:val="center"/>
              <w:rPr>
                <w:sz w:val="22"/>
                <w:szCs w:val="22"/>
              </w:rPr>
            </w:pPr>
            <w:r w:rsidRPr="001C6AE7">
              <w:rPr>
                <w:sz w:val="22"/>
                <w:szCs w:val="22"/>
              </w:rPr>
              <w:t>269</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Constanta</w:t>
            </w:r>
          </w:p>
        </w:tc>
        <w:tc>
          <w:tcPr>
            <w:tcW w:w="1985" w:type="dxa"/>
            <w:vAlign w:val="center"/>
          </w:tcPr>
          <w:p w:rsidR="00660414" w:rsidRPr="001C6AE7" w:rsidRDefault="00660414" w:rsidP="007613DE">
            <w:pPr>
              <w:jc w:val="center"/>
              <w:rPr>
                <w:sz w:val="22"/>
                <w:szCs w:val="22"/>
              </w:rPr>
            </w:pPr>
            <w:r>
              <w:rPr>
                <w:sz w:val="22"/>
                <w:szCs w:val="22"/>
              </w:rPr>
              <w:t>400</w:t>
            </w:r>
          </w:p>
        </w:tc>
        <w:tc>
          <w:tcPr>
            <w:tcW w:w="1559" w:type="dxa"/>
            <w:vAlign w:val="center"/>
          </w:tcPr>
          <w:p w:rsidR="00660414" w:rsidRPr="001C6AE7" w:rsidRDefault="00660414" w:rsidP="007613DE">
            <w:pPr>
              <w:jc w:val="center"/>
              <w:rPr>
                <w:sz w:val="22"/>
                <w:szCs w:val="22"/>
              </w:rPr>
            </w:pPr>
            <w:r w:rsidRPr="001C6AE7">
              <w:rPr>
                <w:sz w:val="22"/>
                <w:szCs w:val="22"/>
              </w:rPr>
              <w:t>209</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sz w:val="22"/>
                <w:szCs w:val="22"/>
              </w:rPr>
            </w:pPr>
            <w:r w:rsidRPr="001C6AE7">
              <w:rPr>
                <w:sz w:val="22"/>
                <w:szCs w:val="22"/>
              </w:rPr>
              <w:t>209</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 xml:space="preserve">Targu </w:t>
            </w:r>
            <w:r w:rsidRPr="005967DB">
              <w:rPr>
                <w:sz w:val="22"/>
                <w:szCs w:val="22"/>
                <w:lang w:val="en-US"/>
              </w:rPr>
              <w:t>M</w:t>
            </w:r>
            <w:r w:rsidRPr="001C6AE7">
              <w:rPr>
                <w:sz w:val="22"/>
                <w:szCs w:val="22"/>
                <w:lang w:val="en-US"/>
              </w:rPr>
              <w:t>ures</w:t>
            </w:r>
          </w:p>
        </w:tc>
        <w:tc>
          <w:tcPr>
            <w:tcW w:w="1985" w:type="dxa"/>
            <w:vAlign w:val="center"/>
          </w:tcPr>
          <w:p w:rsidR="00660414" w:rsidRPr="001C6AE7" w:rsidRDefault="00660414" w:rsidP="007613DE">
            <w:pPr>
              <w:jc w:val="center"/>
              <w:rPr>
                <w:sz w:val="22"/>
                <w:szCs w:val="22"/>
              </w:rPr>
            </w:pPr>
            <w:r w:rsidRPr="001C6AE7">
              <w:rPr>
                <w:sz w:val="22"/>
                <w:szCs w:val="22"/>
              </w:rPr>
              <w:t>580</w:t>
            </w:r>
          </w:p>
        </w:tc>
        <w:tc>
          <w:tcPr>
            <w:tcW w:w="1559" w:type="dxa"/>
            <w:vAlign w:val="center"/>
          </w:tcPr>
          <w:p w:rsidR="00660414" w:rsidRPr="001C6AE7" w:rsidRDefault="00660414" w:rsidP="007613DE">
            <w:pPr>
              <w:jc w:val="center"/>
              <w:rPr>
                <w:sz w:val="22"/>
                <w:szCs w:val="22"/>
              </w:rPr>
            </w:pPr>
            <w:r>
              <w:rPr>
                <w:sz w:val="22"/>
                <w:szCs w:val="22"/>
              </w:rPr>
              <w:t>980</w:t>
            </w:r>
          </w:p>
        </w:tc>
        <w:tc>
          <w:tcPr>
            <w:tcW w:w="1701" w:type="dxa"/>
            <w:vAlign w:val="center"/>
          </w:tcPr>
          <w:p w:rsidR="00660414" w:rsidRPr="001C6AE7" w:rsidRDefault="00660414" w:rsidP="007613DE">
            <w:pPr>
              <w:jc w:val="center"/>
              <w:rPr>
                <w:sz w:val="22"/>
                <w:szCs w:val="22"/>
              </w:rPr>
            </w:pPr>
            <w:r w:rsidRPr="001C6AE7">
              <w:rPr>
                <w:sz w:val="22"/>
                <w:szCs w:val="22"/>
              </w:rPr>
              <w:t>40%</w:t>
            </w:r>
          </w:p>
        </w:tc>
        <w:tc>
          <w:tcPr>
            <w:tcW w:w="2126" w:type="dxa"/>
            <w:vAlign w:val="center"/>
          </w:tcPr>
          <w:p w:rsidR="00660414" w:rsidRPr="001C6AE7" w:rsidRDefault="00660414" w:rsidP="007613DE">
            <w:pPr>
              <w:jc w:val="center"/>
              <w:rPr>
                <w:sz w:val="22"/>
                <w:szCs w:val="22"/>
              </w:rPr>
            </w:pPr>
            <w:r>
              <w:rPr>
                <w:sz w:val="22"/>
                <w:szCs w:val="22"/>
              </w:rPr>
              <w:t>392</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Sibiu</w:t>
            </w:r>
          </w:p>
        </w:tc>
        <w:tc>
          <w:tcPr>
            <w:tcW w:w="1985" w:type="dxa"/>
            <w:vAlign w:val="center"/>
          </w:tcPr>
          <w:p w:rsidR="00660414" w:rsidRPr="001C6AE7" w:rsidRDefault="00660414" w:rsidP="007613DE">
            <w:pPr>
              <w:jc w:val="center"/>
              <w:rPr>
                <w:sz w:val="22"/>
                <w:szCs w:val="22"/>
              </w:rPr>
            </w:pPr>
            <w:r w:rsidRPr="001C6AE7">
              <w:rPr>
                <w:sz w:val="22"/>
                <w:szCs w:val="22"/>
              </w:rPr>
              <w:t>300</w:t>
            </w:r>
          </w:p>
        </w:tc>
        <w:tc>
          <w:tcPr>
            <w:tcW w:w="1559" w:type="dxa"/>
            <w:vAlign w:val="center"/>
          </w:tcPr>
          <w:p w:rsidR="00660414" w:rsidRPr="001C6AE7" w:rsidRDefault="00660414" w:rsidP="007613DE">
            <w:pPr>
              <w:jc w:val="center"/>
              <w:rPr>
                <w:sz w:val="22"/>
                <w:szCs w:val="22"/>
              </w:rPr>
            </w:pPr>
            <w:r w:rsidRPr="001C6AE7">
              <w:rPr>
                <w:sz w:val="22"/>
                <w:szCs w:val="22"/>
              </w:rPr>
              <w:t>485</w:t>
            </w:r>
          </w:p>
        </w:tc>
        <w:tc>
          <w:tcPr>
            <w:tcW w:w="1701" w:type="dxa"/>
            <w:vAlign w:val="center"/>
          </w:tcPr>
          <w:p w:rsidR="00660414" w:rsidRPr="001C6AE7" w:rsidRDefault="00660414" w:rsidP="007613DE">
            <w:pPr>
              <w:jc w:val="center"/>
              <w:rPr>
                <w:sz w:val="22"/>
                <w:szCs w:val="22"/>
              </w:rPr>
            </w:pPr>
            <w:r w:rsidRPr="001C6AE7">
              <w:rPr>
                <w:sz w:val="22"/>
                <w:szCs w:val="22"/>
              </w:rPr>
              <w:t>13%</w:t>
            </w:r>
          </w:p>
        </w:tc>
        <w:tc>
          <w:tcPr>
            <w:tcW w:w="2126" w:type="dxa"/>
            <w:vAlign w:val="center"/>
          </w:tcPr>
          <w:p w:rsidR="00660414" w:rsidRPr="001C6AE7" w:rsidRDefault="00660414" w:rsidP="007613DE">
            <w:pPr>
              <w:jc w:val="center"/>
              <w:rPr>
                <w:sz w:val="22"/>
                <w:szCs w:val="22"/>
              </w:rPr>
            </w:pPr>
            <w:r w:rsidRPr="001C6AE7">
              <w:rPr>
                <w:sz w:val="22"/>
                <w:szCs w:val="22"/>
              </w:rPr>
              <w:t>63</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Oradea</w:t>
            </w:r>
          </w:p>
        </w:tc>
        <w:tc>
          <w:tcPr>
            <w:tcW w:w="1985" w:type="dxa"/>
            <w:vAlign w:val="center"/>
          </w:tcPr>
          <w:p w:rsidR="00660414" w:rsidRPr="001C6AE7" w:rsidRDefault="00660414" w:rsidP="007613DE">
            <w:pPr>
              <w:jc w:val="center"/>
              <w:rPr>
                <w:sz w:val="22"/>
                <w:szCs w:val="22"/>
              </w:rPr>
            </w:pPr>
            <w:r w:rsidRPr="001C6AE7">
              <w:rPr>
                <w:sz w:val="22"/>
                <w:szCs w:val="22"/>
              </w:rPr>
              <w:t>600</w:t>
            </w:r>
          </w:p>
        </w:tc>
        <w:tc>
          <w:tcPr>
            <w:tcW w:w="1559" w:type="dxa"/>
            <w:vAlign w:val="center"/>
          </w:tcPr>
          <w:p w:rsidR="00660414" w:rsidRPr="001C6AE7" w:rsidRDefault="00660414" w:rsidP="007613DE">
            <w:pPr>
              <w:jc w:val="center"/>
              <w:rPr>
                <w:sz w:val="22"/>
                <w:szCs w:val="22"/>
              </w:rPr>
            </w:pPr>
            <w:r w:rsidRPr="001C6AE7">
              <w:rPr>
                <w:sz w:val="22"/>
                <w:szCs w:val="22"/>
              </w:rPr>
              <w:t>166</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sz w:val="22"/>
                <w:szCs w:val="22"/>
              </w:rPr>
            </w:pPr>
            <w:r w:rsidRPr="001C6AE7">
              <w:rPr>
                <w:sz w:val="22"/>
                <w:szCs w:val="22"/>
              </w:rPr>
              <w:t>166</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Brasov</w:t>
            </w:r>
          </w:p>
        </w:tc>
        <w:tc>
          <w:tcPr>
            <w:tcW w:w="1985" w:type="dxa"/>
            <w:vAlign w:val="center"/>
          </w:tcPr>
          <w:p w:rsidR="00660414" w:rsidRPr="001C6AE7" w:rsidRDefault="00660414" w:rsidP="007613DE">
            <w:pPr>
              <w:jc w:val="center"/>
              <w:rPr>
                <w:sz w:val="22"/>
                <w:szCs w:val="22"/>
              </w:rPr>
            </w:pPr>
            <w:r w:rsidRPr="001C6AE7">
              <w:rPr>
                <w:sz w:val="22"/>
                <w:szCs w:val="22"/>
              </w:rPr>
              <w:t>Not open yet</w:t>
            </w:r>
          </w:p>
        </w:tc>
        <w:tc>
          <w:tcPr>
            <w:tcW w:w="1559" w:type="dxa"/>
            <w:vAlign w:val="center"/>
          </w:tcPr>
          <w:p w:rsidR="00660414" w:rsidRPr="001C6AE7" w:rsidRDefault="00660414" w:rsidP="007613DE">
            <w:pPr>
              <w:jc w:val="center"/>
              <w:rPr>
                <w:sz w:val="22"/>
                <w:szCs w:val="22"/>
              </w:rPr>
            </w:pPr>
          </w:p>
        </w:tc>
        <w:tc>
          <w:tcPr>
            <w:tcW w:w="1701" w:type="dxa"/>
            <w:vAlign w:val="center"/>
          </w:tcPr>
          <w:p w:rsidR="00660414" w:rsidRPr="001C6AE7" w:rsidRDefault="00660414" w:rsidP="007613DE">
            <w:pPr>
              <w:jc w:val="center"/>
              <w:rPr>
                <w:sz w:val="22"/>
                <w:szCs w:val="22"/>
              </w:rPr>
            </w:pPr>
          </w:p>
        </w:tc>
        <w:tc>
          <w:tcPr>
            <w:tcW w:w="2126" w:type="dxa"/>
            <w:vAlign w:val="center"/>
          </w:tcPr>
          <w:p w:rsidR="00660414" w:rsidRPr="001C6AE7" w:rsidRDefault="00660414" w:rsidP="007613DE">
            <w:pPr>
              <w:jc w:val="center"/>
              <w:rPr>
                <w:sz w:val="22"/>
                <w:szCs w:val="22"/>
              </w:rPr>
            </w:pP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Suceava</w:t>
            </w:r>
          </w:p>
        </w:tc>
        <w:tc>
          <w:tcPr>
            <w:tcW w:w="1985" w:type="dxa"/>
            <w:vAlign w:val="center"/>
          </w:tcPr>
          <w:p w:rsidR="00660414" w:rsidRPr="001C6AE7" w:rsidRDefault="00660414" w:rsidP="007613DE">
            <w:pPr>
              <w:jc w:val="center"/>
              <w:rPr>
                <w:sz w:val="22"/>
                <w:szCs w:val="22"/>
              </w:rPr>
            </w:pPr>
            <w:r w:rsidRPr="001C6AE7">
              <w:rPr>
                <w:sz w:val="22"/>
                <w:szCs w:val="22"/>
              </w:rPr>
              <w:t>150</w:t>
            </w:r>
          </w:p>
        </w:tc>
        <w:tc>
          <w:tcPr>
            <w:tcW w:w="1559" w:type="dxa"/>
            <w:vAlign w:val="center"/>
          </w:tcPr>
          <w:p w:rsidR="00660414" w:rsidRPr="001C6AE7" w:rsidRDefault="00660414" w:rsidP="007613DE">
            <w:pPr>
              <w:jc w:val="center"/>
              <w:rPr>
                <w:sz w:val="22"/>
                <w:szCs w:val="22"/>
              </w:rPr>
            </w:pPr>
            <w:r w:rsidRPr="001C6AE7">
              <w:rPr>
                <w:sz w:val="22"/>
                <w:szCs w:val="22"/>
              </w:rPr>
              <w:t>75</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sz w:val="22"/>
                <w:szCs w:val="22"/>
              </w:rPr>
            </w:pPr>
            <w:r w:rsidRPr="001C6AE7">
              <w:rPr>
                <w:sz w:val="22"/>
                <w:szCs w:val="22"/>
              </w:rPr>
              <w:t>75</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Arad</w:t>
            </w:r>
          </w:p>
        </w:tc>
        <w:tc>
          <w:tcPr>
            <w:tcW w:w="1985" w:type="dxa"/>
            <w:vAlign w:val="center"/>
          </w:tcPr>
          <w:p w:rsidR="00660414" w:rsidRPr="001C6AE7" w:rsidRDefault="00660414" w:rsidP="007613DE">
            <w:pPr>
              <w:jc w:val="center"/>
              <w:rPr>
                <w:sz w:val="22"/>
                <w:szCs w:val="22"/>
              </w:rPr>
            </w:pPr>
            <w:r w:rsidRPr="001C6AE7">
              <w:rPr>
                <w:sz w:val="22"/>
                <w:szCs w:val="22"/>
              </w:rPr>
              <w:t>200</w:t>
            </w:r>
          </w:p>
        </w:tc>
        <w:tc>
          <w:tcPr>
            <w:tcW w:w="1559" w:type="dxa"/>
            <w:vAlign w:val="center"/>
          </w:tcPr>
          <w:p w:rsidR="00660414" w:rsidRPr="001C6AE7" w:rsidRDefault="00660414" w:rsidP="007613DE">
            <w:pPr>
              <w:jc w:val="center"/>
              <w:rPr>
                <w:sz w:val="22"/>
                <w:szCs w:val="22"/>
              </w:rPr>
            </w:pPr>
            <w:r w:rsidRPr="001C6AE7">
              <w:rPr>
                <w:sz w:val="22"/>
                <w:szCs w:val="22"/>
              </w:rPr>
              <w:t>41</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sz w:val="22"/>
                <w:szCs w:val="22"/>
              </w:rPr>
            </w:pPr>
            <w:r w:rsidRPr="001C6AE7">
              <w:rPr>
                <w:sz w:val="22"/>
                <w:szCs w:val="22"/>
              </w:rPr>
              <w:t>41</w:t>
            </w:r>
          </w:p>
        </w:tc>
      </w:tr>
      <w:tr w:rsidR="00660414" w:rsidRPr="001C6AE7" w:rsidTr="007613DE">
        <w:trPr>
          <w:trHeight w:val="329"/>
          <w:jc w:val="center"/>
        </w:trPr>
        <w:tc>
          <w:tcPr>
            <w:tcW w:w="2126" w:type="dxa"/>
            <w:vAlign w:val="center"/>
          </w:tcPr>
          <w:p w:rsidR="00660414" w:rsidRPr="001C6AE7" w:rsidRDefault="00660414" w:rsidP="007613DE">
            <w:pPr>
              <w:rPr>
                <w:color w:val="000000"/>
                <w:sz w:val="22"/>
                <w:szCs w:val="22"/>
                <w:lang w:val="en-US"/>
              </w:rPr>
            </w:pPr>
            <w:r w:rsidRPr="001C6AE7">
              <w:rPr>
                <w:sz w:val="22"/>
                <w:szCs w:val="22"/>
                <w:lang w:val="en-US"/>
              </w:rPr>
              <w:t>Satu Mare</w:t>
            </w:r>
          </w:p>
        </w:tc>
        <w:tc>
          <w:tcPr>
            <w:tcW w:w="1985" w:type="dxa"/>
            <w:vAlign w:val="center"/>
          </w:tcPr>
          <w:p w:rsidR="00660414" w:rsidRPr="001C6AE7" w:rsidRDefault="00660414" w:rsidP="007613DE">
            <w:pPr>
              <w:jc w:val="center"/>
              <w:rPr>
                <w:sz w:val="22"/>
                <w:szCs w:val="22"/>
              </w:rPr>
            </w:pPr>
            <w:r w:rsidRPr="001C6AE7">
              <w:rPr>
                <w:sz w:val="22"/>
                <w:szCs w:val="22"/>
              </w:rPr>
              <w:t>200</w:t>
            </w:r>
          </w:p>
        </w:tc>
        <w:tc>
          <w:tcPr>
            <w:tcW w:w="1559" w:type="dxa"/>
            <w:vAlign w:val="center"/>
          </w:tcPr>
          <w:p w:rsidR="00660414" w:rsidRPr="001C6AE7" w:rsidRDefault="00660414" w:rsidP="007613DE">
            <w:pPr>
              <w:jc w:val="center"/>
              <w:rPr>
                <w:sz w:val="22"/>
                <w:szCs w:val="22"/>
              </w:rPr>
            </w:pPr>
            <w:r w:rsidRPr="001C6AE7">
              <w:rPr>
                <w:sz w:val="22"/>
                <w:szCs w:val="22"/>
              </w:rPr>
              <w:t>62</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sz w:val="22"/>
                <w:szCs w:val="22"/>
              </w:rPr>
            </w:pPr>
            <w:r w:rsidRPr="001C6AE7">
              <w:rPr>
                <w:sz w:val="22"/>
                <w:szCs w:val="22"/>
              </w:rPr>
              <w:t>62</w:t>
            </w:r>
          </w:p>
        </w:tc>
      </w:tr>
      <w:tr w:rsidR="00660414" w:rsidRPr="001C6AE7" w:rsidTr="007613DE">
        <w:trPr>
          <w:trHeight w:val="329"/>
          <w:jc w:val="center"/>
        </w:trPr>
        <w:tc>
          <w:tcPr>
            <w:tcW w:w="2126" w:type="dxa"/>
            <w:vAlign w:val="center"/>
          </w:tcPr>
          <w:p w:rsidR="00660414" w:rsidRPr="001C6AE7" w:rsidRDefault="00660414" w:rsidP="007613DE">
            <w:pPr>
              <w:rPr>
                <w:sz w:val="22"/>
                <w:szCs w:val="22"/>
                <w:lang w:val="en-US"/>
              </w:rPr>
            </w:pPr>
            <w:r w:rsidRPr="001C6AE7">
              <w:rPr>
                <w:sz w:val="22"/>
                <w:szCs w:val="22"/>
                <w:lang w:val="en-US"/>
              </w:rPr>
              <w:t>Baia Mare</w:t>
            </w:r>
          </w:p>
        </w:tc>
        <w:tc>
          <w:tcPr>
            <w:tcW w:w="1985" w:type="dxa"/>
            <w:vAlign w:val="center"/>
          </w:tcPr>
          <w:p w:rsidR="00660414" w:rsidRPr="001C6AE7" w:rsidRDefault="00660414" w:rsidP="007613DE">
            <w:pPr>
              <w:jc w:val="center"/>
              <w:rPr>
                <w:sz w:val="22"/>
                <w:szCs w:val="22"/>
              </w:rPr>
            </w:pPr>
            <w:r w:rsidRPr="001C6AE7">
              <w:rPr>
                <w:sz w:val="22"/>
                <w:szCs w:val="22"/>
              </w:rPr>
              <w:t>100</w:t>
            </w:r>
          </w:p>
        </w:tc>
        <w:tc>
          <w:tcPr>
            <w:tcW w:w="1559" w:type="dxa"/>
            <w:vAlign w:val="center"/>
          </w:tcPr>
          <w:p w:rsidR="00660414" w:rsidRPr="001C6AE7" w:rsidRDefault="00660414" w:rsidP="007613DE">
            <w:pPr>
              <w:jc w:val="center"/>
              <w:rPr>
                <w:bCs/>
                <w:sz w:val="22"/>
                <w:szCs w:val="22"/>
              </w:rPr>
            </w:pPr>
            <w:r w:rsidRPr="001C6AE7">
              <w:rPr>
                <w:bCs/>
                <w:sz w:val="22"/>
                <w:szCs w:val="22"/>
              </w:rPr>
              <w:t>51</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bCs/>
                <w:sz w:val="22"/>
                <w:szCs w:val="22"/>
              </w:rPr>
            </w:pPr>
            <w:r w:rsidRPr="001C6AE7">
              <w:rPr>
                <w:bCs/>
                <w:sz w:val="22"/>
                <w:szCs w:val="22"/>
              </w:rPr>
              <w:t>51</w:t>
            </w:r>
          </w:p>
        </w:tc>
      </w:tr>
      <w:tr w:rsidR="00660414" w:rsidRPr="001C6AE7" w:rsidTr="007613DE">
        <w:trPr>
          <w:trHeight w:val="329"/>
          <w:jc w:val="center"/>
        </w:trPr>
        <w:tc>
          <w:tcPr>
            <w:tcW w:w="2126" w:type="dxa"/>
            <w:vAlign w:val="center"/>
          </w:tcPr>
          <w:p w:rsidR="00660414" w:rsidRPr="001C6AE7" w:rsidRDefault="00660414" w:rsidP="007613DE">
            <w:pPr>
              <w:rPr>
                <w:sz w:val="22"/>
                <w:szCs w:val="22"/>
                <w:lang w:val="en-US"/>
              </w:rPr>
            </w:pPr>
            <w:r w:rsidRPr="001C6AE7">
              <w:rPr>
                <w:sz w:val="22"/>
                <w:szCs w:val="22"/>
                <w:lang w:val="en-US"/>
              </w:rPr>
              <w:t>Tulcea</w:t>
            </w:r>
          </w:p>
        </w:tc>
        <w:tc>
          <w:tcPr>
            <w:tcW w:w="1985" w:type="dxa"/>
            <w:vAlign w:val="center"/>
          </w:tcPr>
          <w:p w:rsidR="00660414" w:rsidRPr="001C6AE7" w:rsidRDefault="00660414" w:rsidP="007613DE">
            <w:pPr>
              <w:jc w:val="center"/>
              <w:rPr>
                <w:sz w:val="22"/>
                <w:szCs w:val="22"/>
              </w:rPr>
            </w:pPr>
            <w:r w:rsidRPr="001C6AE7">
              <w:rPr>
                <w:sz w:val="22"/>
                <w:szCs w:val="22"/>
              </w:rPr>
              <w:t>Not available</w:t>
            </w:r>
          </w:p>
        </w:tc>
        <w:tc>
          <w:tcPr>
            <w:tcW w:w="1559" w:type="dxa"/>
            <w:vAlign w:val="center"/>
          </w:tcPr>
          <w:p w:rsidR="00660414" w:rsidRPr="001C6AE7" w:rsidRDefault="00660414" w:rsidP="007613DE">
            <w:pPr>
              <w:jc w:val="center"/>
              <w:rPr>
                <w:bCs/>
                <w:sz w:val="22"/>
                <w:szCs w:val="22"/>
              </w:rPr>
            </w:pPr>
            <w:r w:rsidRPr="001C6AE7">
              <w:rPr>
                <w:bCs/>
                <w:sz w:val="22"/>
                <w:szCs w:val="22"/>
              </w:rPr>
              <w:t>0</w:t>
            </w:r>
          </w:p>
        </w:tc>
        <w:tc>
          <w:tcPr>
            <w:tcW w:w="1701" w:type="dxa"/>
            <w:vAlign w:val="center"/>
          </w:tcPr>
          <w:p w:rsidR="00660414" w:rsidRPr="001C6AE7" w:rsidRDefault="00660414" w:rsidP="007613DE">
            <w:pPr>
              <w:jc w:val="center"/>
              <w:rPr>
                <w:sz w:val="22"/>
                <w:szCs w:val="22"/>
              </w:rPr>
            </w:pPr>
            <w:r w:rsidRPr="001C6AE7">
              <w:rPr>
                <w:sz w:val="22"/>
                <w:szCs w:val="22"/>
              </w:rPr>
              <w:t>100%</w:t>
            </w:r>
          </w:p>
        </w:tc>
        <w:tc>
          <w:tcPr>
            <w:tcW w:w="2126" w:type="dxa"/>
            <w:vAlign w:val="center"/>
          </w:tcPr>
          <w:p w:rsidR="00660414" w:rsidRPr="001C6AE7" w:rsidRDefault="00660414" w:rsidP="007613DE">
            <w:pPr>
              <w:jc w:val="center"/>
              <w:rPr>
                <w:bCs/>
                <w:sz w:val="22"/>
                <w:szCs w:val="22"/>
              </w:rPr>
            </w:pPr>
            <w:r w:rsidRPr="001C6AE7">
              <w:rPr>
                <w:bCs/>
                <w:sz w:val="22"/>
                <w:szCs w:val="22"/>
              </w:rPr>
              <w:t>0</w:t>
            </w:r>
          </w:p>
        </w:tc>
      </w:tr>
    </w:tbl>
    <w:p w:rsidR="00660414" w:rsidRDefault="00660414" w:rsidP="00660414">
      <w:pPr>
        <w:ind w:left="851"/>
      </w:pPr>
      <w:r w:rsidRPr="001806FC">
        <w:t>¹</w:t>
      </w:r>
      <w:r>
        <w:t xml:space="preserve"> Completed Questionnaires</w:t>
      </w:r>
    </w:p>
    <w:p w:rsidR="00660414" w:rsidRPr="001C6AE7" w:rsidRDefault="00660414" w:rsidP="00A4081F">
      <w:pPr>
        <w:pStyle w:val="NumberedParas"/>
      </w:pPr>
      <w:r w:rsidRPr="001C6AE7">
        <w:t xml:space="preserve">To determine the peak hour passenger demand for the 2020 do nothing scenario we have </w:t>
      </w:r>
      <w:r>
        <w:t>reviewed the current number of flights within the peak hour at each type of airport (see Table 7.13). The peak hour demand is also dependant on the runway capacity of an airport. For the smaller regional airports the peak hour percentage seems high although some of these airports only have one or two flights per day. T</w:t>
      </w:r>
      <w:r w:rsidRPr="001C6AE7">
        <w:t>he following percentage of flights within the peak hour for each airport category</w:t>
      </w:r>
      <w:r>
        <w:t xml:space="preserve"> is therefore assumed</w:t>
      </w:r>
      <w:r w:rsidRPr="001C6AE7">
        <w:t>:</w:t>
      </w:r>
    </w:p>
    <w:p w:rsidR="00660414" w:rsidRPr="001C6AE7" w:rsidRDefault="00660414" w:rsidP="00273D5E">
      <w:pPr>
        <w:pStyle w:val="BulletLevel1"/>
      </w:pPr>
      <w:r w:rsidRPr="001C6AE7">
        <w:t>International</w:t>
      </w:r>
      <w:r>
        <w:t xml:space="preserve"> Major</w:t>
      </w:r>
      <w:r w:rsidRPr="001C6AE7">
        <w:t xml:space="preserve"> </w:t>
      </w:r>
      <w:r>
        <w:t xml:space="preserve">Hub </w:t>
      </w:r>
      <w:r w:rsidRPr="001C6AE7">
        <w:t>Airport – 15%</w:t>
      </w:r>
    </w:p>
    <w:p w:rsidR="00660414" w:rsidRPr="001C6AE7" w:rsidRDefault="00660414" w:rsidP="00273D5E">
      <w:pPr>
        <w:pStyle w:val="BulletLevel1"/>
      </w:pPr>
      <w:r w:rsidRPr="001C6AE7">
        <w:t>International Hub Airports – 30%</w:t>
      </w:r>
    </w:p>
    <w:p w:rsidR="00660414" w:rsidRPr="001C6AE7" w:rsidRDefault="00660414" w:rsidP="00273D5E">
      <w:pPr>
        <w:pStyle w:val="BulletLevel1"/>
      </w:pPr>
      <w:r w:rsidRPr="001C6AE7">
        <w:t>Regional Airports – 40%</w:t>
      </w:r>
    </w:p>
    <w:p w:rsidR="00660414" w:rsidRPr="001C6AE7" w:rsidRDefault="00660414" w:rsidP="00273D5E">
      <w:pPr>
        <w:pStyle w:val="BulletLevel1"/>
      </w:pPr>
      <w:r w:rsidRPr="001C6AE7">
        <w:t>Smaller Regional Airports – 50%</w:t>
      </w:r>
    </w:p>
    <w:p w:rsidR="00660414" w:rsidRDefault="00660414" w:rsidP="00A4081F">
      <w:pPr>
        <w:pStyle w:val="NumberedParas"/>
      </w:pPr>
      <w:r>
        <w:t>It is important to note</w:t>
      </w:r>
      <w:r w:rsidRPr="001C6AE7">
        <w:t xml:space="preserve"> that the busier an airport gets in terms of passenger and air traffic movements, the more spreadout the flights are during the day and hence a lower percentage of flights within the peak hours. </w:t>
      </w:r>
    </w:p>
    <w:p w:rsidR="00660414" w:rsidRDefault="00660414" w:rsidP="00660414">
      <w:pPr>
        <w:rPr>
          <w:sz w:val="22"/>
          <w:szCs w:val="22"/>
        </w:rPr>
      </w:pPr>
      <w:r>
        <w:br w:type="page"/>
      </w:r>
    </w:p>
    <w:p w:rsidR="00660414" w:rsidRPr="001C6AE7" w:rsidRDefault="00660414" w:rsidP="00A4081F">
      <w:pPr>
        <w:pStyle w:val="NumberedParas"/>
      </w:pPr>
      <w:r w:rsidRPr="001C6AE7">
        <w:t xml:space="preserve">Table </w:t>
      </w:r>
      <w:r>
        <w:t>7.14</w:t>
      </w:r>
      <w:r w:rsidRPr="001C6AE7">
        <w:t xml:space="preserve"> sets out the Airport Passenger Terminal Demand for 2020.</w:t>
      </w:r>
    </w:p>
    <w:p w:rsidR="00660414" w:rsidRPr="001C6AE7" w:rsidRDefault="00660414" w:rsidP="00660414">
      <w:pPr>
        <w:ind w:left="851"/>
        <w:rPr>
          <w:b/>
          <w:sz w:val="22"/>
          <w:szCs w:val="22"/>
        </w:rPr>
      </w:pPr>
      <w:r w:rsidRPr="001C6AE7">
        <w:rPr>
          <w:b/>
          <w:sz w:val="22"/>
          <w:szCs w:val="22"/>
        </w:rPr>
        <w:t xml:space="preserve">Table </w:t>
      </w:r>
      <w:r>
        <w:rPr>
          <w:b/>
          <w:sz w:val="22"/>
          <w:szCs w:val="22"/>
        </w:rPr>
        <w:t>7.14</w:t>
      </w:r>
      <w:r w:rsidRPr="001C6AE7">
        <w:rPr>
          <w:b/>
          <w:sz w:val="22"/>
          <w:szCs w:val="22"/>
        </w:rPr>
        <w:t xml:space="preserve"> – Airports Peak Hour Passenger Terminal Capacity Requirements (2020)</w:t>
      </w:r>
    </w:p>
    <w:tbl>
      <w:tblPr>
        <w:tblW w:w="9355"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406"/>
        <w:gridCol w:w="1843"/>
        <w:gridCol w:w="1417"/>
        <w:gridCol w:w="1985"/>
        <w:gridCol w:w="1704"/>
      </w:tblGrid>
      <w:tr w:rsidR="00660414" w:rsidRPr="00F923DC" w:rsidTr="007613DE">
        <w:trPr>
          <w:trHeight w:val="1424"/>
          <w:tblHeader/>
          <w:jc w:val="center"/>
        </w:trPr>
        <w:tc>
          <w:tcPr>
            <w:tcW w:w="2406" w:type="dxa"/>
            <w:tcBorders>
              <w:top w:val="single" w:sz="12" w:space="0" w:color="4F81BD"/>
              <w:left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Airport Name</w:t>
            </w:r>
          </w:p>
        </w:tc>
        <w:tc>
          <w:tcPr>
            <w:tcW w:w="1843"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Peak Hour</w:t>
            </w:r>
          </w:p>
          <w:p w:rsidR="00660414" w:rsidRPr="00F923DC" w:rsidRDefault="00660414" w:rsidP="007613DE">
            <w:pPr>
              <w:ind w:left="-3761" w:firstLine="3761"/>
              <w:jc w:val="center"/>
              <w:rPr>
                <w:rFonts w:cs="Arial"/>
                <w:b/>
                <w:sz w:val="22"/>
                <w:szCs w:val="22"/>
              </w:rPr>
            </w:pPr>
            <w:r w:rsidRPr="00F923DC">
              <w:rPr>
                <w:rFonts w:cs="Arial"/>
                <w:b/>
                <w:sz w:val="22"/>
                <w:szCs w:val="22"/>
              </w:rPr>
              <w:t>Capacity</w:t>
            </w:r>
          </w:p>
          <w:p w:rsidR="00660414" w:rsidRPr="00F923DC" w:rsidRDefault="00660414" w:rsidP="007613DE">
            <w:pPr>
              <w:ind w:left="-3761" w:firstLine="3761"/>
              <w:jc w:val="center"/>
              <w:rPr>
                <w:rFonts w:cs="Arial"/>
                <w:b/>
                <w:sz w:val="22"/>
                <w:szCs w:val="22"/>
              </w:rPr>
            </w:pPr>
            <w:r w:rsidRPr="00F923DC">
              <w:rPr>
                <w:rFonts w:cs="Arial"/>
                <w:b/>
                <w:sz w:val="22"/>
                <w:szCs w:val="22"/>
              </w:rPr>
              <w:t>(Passengers)¹</w:t>
            </w:r>
          </w:p>
        </w:tc>
        <w:tc>
          <w:tcPr>
            <w:tcW w:w="1417"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Daily Passengers¹</w:t>
            </w:r>
          </w:p>
        </w:tc>
        <w:tc>
          <w:tcPr>
            <w:tcW w:w="1985"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Percentage of</w:t>
            </w:r>
          </w:p>
          <w:p w:rsidR="00660414" w:rsidRPr="00F923DC" w:rsidRDefault="00660414" w:rsidP="007613DE">
            <w:pPr>
              <w:ind w:left="-3761" w:firstLine="3761"/>
              <w:jc w:val="center"/>
              <w:rPr>
                <w:rFonts w:cs="Arial"/>
                <w:b/>
                <w:sz w:val="22"/>
                <w:szCs w:val="22"/>
              </w:rPr>
            </w:pPr>
            <w:r w:rsidRPr="00F923DC">
              <w:rPr>
                <w:rFonts w:cs="Arial"/>
                <w:b/>
                <w:sz w:val="22"/>
                <w:szCs w:val="22"/>
              </w:rPr>
              <w:t>Flights within</w:t>
            </w:r>
          </w:p>
          <w:p w:rsidR="00660414" w:rsidRPr="00F923DC" w:rsidRDefault="00660414" w:rsidP="007613DE">
            <w:pPr>
              <w:ind w:left="-3761" w:firstLine="3761"/>
              <w:jc w:val="center"/>
              <w:rPr>
                <w:rFonts w:cs="Arial"/>
                <w:b/>
                <w:sz w:val="22"/>
                <w:szCs w:val="22"/>
              </w:rPr>
            </w:pPr>
            <w:r w:rsidRPr="00F923DC">
              <w:rPr>
                <w:rFonts w:cs="Arial"/>
                <w:b/>
                <w:sz w:val="22"/>
                <w:szCs w:val="22"/>
              </w:rPr>
              <w:t>the</w:t>
            </w:r>
          </w:p>
          <w:p w:rsidR="00660414" w:rsidRPr="00F923DC" w:rsidRDefault="00660414" w:rsidP="007613DE">
            <w:pPr>
              <w:ind w:left="-3761" w:firstLine="3761"/>
              <w:jc w:val="center"/>
              <w:rPr>
                <w:rFonts w:cs="Arial"/>
                <w:b/>
                <w:sz w:val="22"/>
                <w:szCs w:val="22"/>
              </w:rPr>
            </w:pPr>
            <w:r w:rsidRPr="00F923DC">
              <w:rPr>
                <w:rFonts w:cs="Arial"/>
                <w:b/>
                <w:sz w:val="22"/>
                <w:szCs w:val="22"/>
              </w:rPr>
              <w:t>Peak Hour</w:t>
            </w:r>
          </w:p>
        </w:tc>
        <w:tc>
          <w:tcPr>
            <w:tcW w:w="1704"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Peak Hour</w:t>
            </w:r>
          </w:p>
          <w:p w:rsidR="00660414" w:rsidRPr="00F923DC" w:rsidRDefault="00660414" w:rsidP="007613DE">
            <w:pPr>
              <w:ind w:left="-3761" w:firstLine="3761"/>
              <w:jc w:val="center"/>
              <w:rPr>
                <w:rFonts w:cs="Arial"/>
                <w:b/>
                <w:sz w:val="22"/>
                <w:szCs w:val="22"/>
              </w:rPr>
            </w:pPr>
            <w:r w:rsidRPr="00F923DC">
              <w:rPr>
                <w:rFonts w:cs="Arial"/>
                <w:b/>
                <w:sz w:val="22"/>
                <w:szCs w:val="22"/>
              </w:rPr>
              <w:t>Passengers</w:t>
            </w:r>
          </w:p>
          <w:p w:rsidR="00660414" w:rsidRPr="00F923DC" w:rsidRDefault="00660414" w:rsidP="007613DE">
            <w:pPr>
              <w:ind w:left="-3761" w:firstLine="3761"/>
              <w:jc w:val="center"/>
              <w:rPr>
                <w:rFonts w:cs="Arial"/>
                <w:b/>
                <w:sz w:val="22"/>
                <w:szCs w:val="22"/>
              </w:rPr>
            </w:pPr>
            <w:r w:rsidRPr="00F923DC">
              <w:rPr>
                <w:rFonts w:cs="Arial"/>
                <w:b/>
                <w:sz w:val="22"/>
                <w:szCs w:val="22"/>
              </w:rPr>
              <w:t>(Passenger</w:t>
            </w:r>
          </w:p>
          <w:p w:rsidR="00660414" w:rsidRPr="00F923DC" w:rsidRDefault="00660414" w:rsidP="007613DE">
            <w:pPr>
              <w:ind w:left="-3761" w:firstLine="3761"/>
              <w:jc w:val="center"/>
              <w:rPr>
                <w:rFonts w:cs="Arial"/>
                <w:b/>
                <w:sz w:val="22"/>
                <w:szCs w:val="22"/>
              </w:rPr>
            </w:pPr>
            <w:r w:rsidRPr="00F923DC">
              <w:rPr>
                <w:rFonts w:cs="Arial"/>
                <w:b/>
                <w:sz w:val="22"/>
                <w:szCs w:val="22"/>
              </w:rPr>
              <w:t>Demand)</w:t>
            </w:r>
          </w:p>
        </w:tc>
      </w:tr>
      <w:tr w:rsidR="00660414" w:rsidRPr="00F923DC" w:rsidTr="007613DE">
        <w:trPr>
          <w:trHeight w:val="329"/>
          <w:jc w:val="center"/>
        </w:trPr>
        <w:tc>
          <w:tcPr>
            <w:tcW w:w="2406" w:type="dxa"/>
            <w:tcBorders>
              <w:top w:val="single" w:sz="12" w:space="0" w:color="4F81BD"/>
            </w:tcBorders>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Bucharest</w:t>
            </w:r>
          </w:p>
        </w:tc>
        <w:tc>
          <w:tcPr>
            <w:tcW w:w="1843"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4,500</w:t>
            </w:r>
          </w:p>
        </w:tc>
        <w:tc>
          <w:tcPr>
            <w:tcW w:w="1417" w:type="dxa"/>
            <w:tcBorders>
              <w:top w:val="single" w:sz="12" w:space="0" w:color="4F81BD"/>
            </w:tcBorders>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28,735</w:t>
            </w:r>
          </w:p>
        </w:tc>
        <w:tc>
          <w:tcPr>
            <w:tcW w:w="1985" w:type="dxa"/>
            <w:tcBorders>
              <w:top w:val="single" w:sz="12" w:space="0" w:color="4F81BD"/>
            </w:tcBorders>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15%</w:t>
            </w:r>
          </w:p>
        </w:tc>
        <w:tc>
          <w:tcPr>
            <w:tcW w:w="1704" w:type="dxa"/>
            <w:tcBorders>
              <w:top w:val="single" w:sz="12" w:space="0" w:color="4F81BD"/>
            </w:tcBorders>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4,310</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Craiova</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5,953</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1,786</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Timisoara</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1,200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5,307</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1,592</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Sibiu</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300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4,490</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1,347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Cluj</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1,500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3,990</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1,197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Bacau</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200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3,521</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1,056</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0B3107">
              <w:rPr>
                <w:rFonts w:ascii="Arial" w:hAnsi="Arial" w:cs="Arial"/>
                <w:color w:val="000000"/>
                <w:kern w:val="24"/>
                <w:sz w:val="22"/>
                <w:szCs w:val="22"/>
              </w:rPr>
              <w:t>Iasi</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1,422</w:t>
            </w:r>
          </w:p>
        </w:tc>
        <w:tc>
          <w:tcPr>
            <w:tcW w:w="1417" w:type="dxa"/>
            <w:vAlign w:val="bottom"/>
          </w:tcPr>
          <w:p w:rsidR="00660414" w:rsidRPr="000B3107"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2,112</w:t>
            </w:r>
          </w:p>
        </w:tc>
        <w:tc>
          <w:tcPr>
            <w:tcW w:w="1985" w:type="dxa"/>
            <w:vAlign w:val="bottom"/>
          </w:tcPr>
          <w:p w:rsidR="00660414" w:rsidRPr="000B3107" w:rsidRDefault="00660414" w:rsidP="007613DE">
            <w:pPr>
              <w:pStyle w:val="NormalWeb"/>
              <w:jc w:val="center"/>
              <w:rPr>
                <w:rFonts w:ascii="Arial" w:hAnsi="Arial" w:cs="Arial"/>
                <w:sz w:val="22"/>
                <w:szCs w:val="22"/>
              </w:rPr>
            </w:pPr>
            <w:r>
              <w:rPr>
                <w:rFonts w:ascii="Arial" w:hAnsi="Arial" w:cs="Arial"/>
                <w:color w:val="000000"/>
                <w:kern w:val="24"/>
                <w:sz w:val="22"/>
                <w:szCs w:val="22"/>
              </w:rPr>
              <w:t>40%</w:t>
            </w:r>
          </w:p>
        </w:tc>
        <w:tc>
          <w:tcPr>
            <w:tcW w:w="1704" w:type="dxa"/>
            <w:vAlign w:val="bottom"/>
          </w:tcPr>
          <w:p w:rsidR="00660414" w:rsidRPr="005E3E3D" w:rsidRDefault="00660414" w:rsidP="007613DE">
            <w:pPr>
              <w:pStyle w:val="NormalWeb"/>
              <w:jc w:val="center"/>
              <w:textAlignment w:val="bottom"/>
              <w:rPr>
                <w:rFonts w:ascii="Arial" w:hAnsi="Arial" w:cs="Arial"/>
                <w:sz w:val="22"/>
                <w:szCs w:val="22"/>
              </w:rPr>
            </w:pPr>
            <w:r w:rsidRPr="008C5B1B">
              <w:rPr>
                <w:rFonts w:ascii="Arial" w:hAnsi="Arial" w:cs="Arial"/>
                <w:bCs/>
                <w:kern w:val="24"/>
                <w:sz w:val="22"/>
                <w:szCs w:val="22"/>
              </w:rPr>
              <w:t>634</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Targu Mures</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580</w:t>
            </w:r>
          </w:p>
        </w:tc>
        <w:tc>
          <w:tcPr>
            <w:tcW w:w="1417" w:type="dxa"/>
            <w:vAlign w:val="bottom"/>
          </w:tcPr>
          <w:p w:rsidR="00660414"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2,042</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1704" w:type="dxa"/>
            <w:vAlign w:val="bottom"/>
          </w:tcPr>
          <w:p w:rsidR="00660414"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817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Oradea</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600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704</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282</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Brasov</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n/a</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703</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281</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Constanta</w:t>
            </w:r>
            <w:r>
              <w:rPr>
                <w:rFonts w:ascii="Arial" w:hAnsi="Arial" w:cs="Arial"/>
                <w:color w:val="000000"/>
                <w:kern w:val="24"/>
                <w:sz w:val="22"/>
                <w:szCs w:val="22"/>
              </w:rPr>
              <w:t>²</w:t>
            </w:r>
          </w:p>
        </w:tc>
        <w:tc>
          <w:tcPr>
            <w:tcW w:w="1843"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400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693</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277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Suceava</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692</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277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Tulcea</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566</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227</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Baia Mare</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530</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212</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Arad</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108</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54</w:t>
            </w:r>
          </w:p>
        </w:tc>
      </w:tr>
      <w:tr w:rsidR="00660414" w:rsidRPr="00F923DC" w:rsidTr="007613DE">
        <w:trPr>
          <w:trHeight w:val="329"/>
          <w:jc w:val="center"/>
        </w:trPr>
        <w:tc>
          <w:tcPr>
            <w:tcW w:w="2406"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Satu Mare</w:t>
            </w:r>
          </w:p>
        </w:tc>
        <w:tc>
          <w:tcPr>
            <w:tcW w:w="1843"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200</w:t>
            </w:r>
          </w:p>
        </w:tc>
        <w:tc>
          <w:tcPr>
            <w:tcW w:w="1417"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90</w:t>
            </w:r>
          </w:p>
        </w:tc>
        <w:tc>
          <w:tcPr>
            <w:tcW w:w="1985"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1704"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45</w:t>
            </w:r>
          </w:p>
        </w:tc>
      </w:tr>
    </w:tbl>
    <w:p w:rsidR="00660414" w:rsidRDefault="00660414" w:rsidP="00660414">
      <w:r w:rsidRPr="001806FC">
        <w:t>¹</w:t>
      </w:r>
      <w:r>
        <w:t xml:space="preserve"> Completed Questionnaires</w:t>
      </w:r>
    </w:p>
    <w:p w:rsidR="00660414" w:rsidRPr="001806FC" w:rsidRDefault="00660414" w:rsidP="00660414">
      <w:r>
        <w:rPr>
          <w:rFonts w:cs="Arial"/>
        </w:rPr>
        <w:t>²</w:t>
      </w:r>
      <w:r>
        <w:t xml:space="preserve"> Constanta Airport Level of Service is below LOS C</w:t>
      </w:r>
    </w:p>
    <w:p w:rsidR="00660414" w:rsidRPr="001C6AE7" w:rsidRDefault="00660414" w:rsidP="00A4081F">
      <w:pPr>
        <w:pStyle w:val="NumberedParas"/>
      </w:pPr>
      <w:r w:rsidRPr="001C6AE7">
        <w:t xml:space="preserve">From Table </w:t>
      </w:r>
      <w:r>
        <w:t>7.14</w:t>
      </w:r>
      <w:r w:rsidRPr="001C6AE7">
        <w:t xml:space="preserve"> it is clear that the following airports will run out of or reach the existing passenger terminal capacity by 2020:  Craiova, Timisoara, Sibiu, Bacau, Iasi,</w:t>
      </w:r>
      <w:r>
        <w:t xml:space="preserve"> Targu Mures, </w:t>
      </w:r>
      <w:r w:rsidRPr="001C6AE7">
        <w:t>Suceava, Tulcea, Baia Mare.</w:t>
      </w:r>
      <w:r>
        <w:t xml:space="preserve"> Although Constanta Airport seems to be capable of handling the growth in passengers, the passenger building currently operates at a very low Level of Service and hence, for a Level of Service C would require a new terminal building. </w:t>
      </w:r>
      <w:r w:rsidRPr="001C6AE7">
        <w:t xml:space="preserve">Table </w:t>
      </w:r>
      <w:r>
        <w:t>7.15</w:t>
      </w:r>
      <w:r w:rsidRPr="001C6AE7">
        <w:t xml:space="preserve"> sets out the Airport Passenger Terminal Demand for 2025.</w:t>
      </w:r>
    </w:p>
    <w:p w:rsidR="00660414" w:rsidRPr="00A0072B" w:rsidRDefault="00660414" w:rsidP="00660414">
      <w:pPr>
        <w:ind w:left="851"/>
        <w:rPr>
          <w:b/>
        </w:rPr>
      </w:pPr>
      <w:r w:rsidRPr="000F6545">
        <w:rPr>
          <w:b/>
          <w:sz w:val="22"/>
          <w:szCs w:val="22"/>
        </w:rPr>
        <w:t xml:space="preserve">Table </w:t>
      </w:r>
      <w:r>
        <w:rPr>
          <w:b/>
          <w:sz w:val="22"/>
          <w:szCs w:val="22"/>
        </w:rPr>
        <w:t>7</w:t>
      </w:r>
      <w:r w:rsidRPr="000F6545">
        <w:rPr>
          <w:b/>
          <w:sz w:val="22"/>
          <w:szCs w:val="22"/>
        </w:rPr>
        <w:t>.15 – Airports Peak Hour Passenger Terminal Capacity Requirements (2025</w:t>
      </w:r>
      <w:r w:rsidRPr="00A0072B">
        <w:rPr>
          <w:b/>
        </w:rPr>
        <w:t>)</w:t>
      </w:r>
    </w:p>
    <w:tbl>
      <w:tblPr>
        <w:tblW w:w="9517"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388"/>
        <w:gridCol w:w="1701"/>
        <w:gridCol w:w="1559"/>
        <w:gridCol w:w="1843"/>
        <w:gridCol w:w="2026"/>
      </w:tblGrid>
      <w:tr w:rsidR="00660414" w:rsidRPr="00F923DC" w:rsidTr="007613DE">
        <w:trPr>
          <w:trHeight w:val="734"/>
          <w:tblHeader/>
          <w:jc w:val="center"/>
        </w:trPr>
        <w:tc>
          <w:tcPr>
            <w:tcW w:w="2388" w:type="dxa"/>
            <w:tcBorders>
              <w:top w:val="single" w:sz="12" w:space="0" w:color="4F81BD"/>
              <w:left w:val="single" w:sz="12" w:space="0" w:color="4F81BD"/>
              <w:bottom w:val="single" w:sz="12" w:space="0" w:color="4F81BD"/>
            </w:tcBorders>
            <w:shd w:val="clear" w:color="auto" w:fill="DBE5F1"/>
            <w:vAlign w:val="center"/>
          </w:tcPr>
          <w:p w:rsidR="00660414" w:rsidRPr="00F923DC" w:rsidRDefault="00660414" w:rsidP="007613DE">
            <w:pPr>
              <w:jc w:val="center"/>
              <w:rPr>
                <w:rFonts w:cs="Arial"/>
                <w:b/>
                <w:sz w:val="22"/>
                <w:szCs w:val="22"/>
              </w:rPr>
            </w:pPr>
            <w:r w:rsidRPr="00F923DC">
              <w:rPr>
                <w:rFonts w:cs="Arial"/>
                <w:b/>
                <w:sz w:val="22"/>
                <w:szCs w:val="22"/>
              </w:rPr>
              <w:t>Airport Name</w:t>
            </w:r>
          </w:p>
        </w:tc>
        <w:tc>
          <w:tcPr>
            <w:tcW w:w="1701"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Peak Hour</w:t>
            </w:r>
          </w:p>
          <w:p w:rsidR="00660414" w:rsidRPr="00F923DC" w:rsidRDefault="00660414" w:rsidP="007613DE">
            <w:pPr>
              <w:ind w:left="-3761" w:firstLine="3761"/>
              <w:jc w:val="center"/>
              <w:rPr>
                <w:rFonts w:cs="Arial"/>
                <w:b/>
                <w:sz w:val="22"/>
                <w:szCs w:val="22"/>
              </w:rPr>
            </w:pPr>
            <w:r w:rsidRPr="00F923DC">
              <w:rPr>
                <w:rFonts w:cs="Arial"/>
                <w:b/>
                <w:sz w:val="22"/>
                <w:szCs w:val="22"/>
              </w:rPr>
              <w:t>Capacity</w:t>
            </w:r>
          </w:p>
          <w:p w:rsidR="00660414" w:rsidRPr="00F923DC" w:rsidRDefault="00660414" w:rsidP="007613DE">
            <w:pPr>
              <w:ind w:left="-3761" w:firstLine="3761"/>
              <w:jc w:val="center"/>
              <w:rPr>
                <w:rFonts w:cs="Arial"/>
                <w:b/>
                <w:sz w:val="22"/>
                <w:szCs w:val="22"/>
              </w:rPr>
            </w:pPr>
            <w:r w:rsidRPr="00F923DC">
              <w:rPr>
                <w:rFonts w:cs="Arial"/>
                <w:b/>
                <w:sz w:val="22"/>
                <w:szCs w:val="22"/>
              </w:rPr>
              <w:t>(Passengers)¹</w:t>
            </w:r>
          </w:p>
        </w:tc>
        <w:tc>
          <w:tcPr>
            <w:tcW w:w="1559"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Daily</w:t>
            </w:r>
          </w:p>
          <w:p w:rsidR="00660414" w:rsidRPr="00F923DC" w:rsidRDefault="00660414" w:rsidP="007613DE">
            <w:pPr>
              <w:ind w:left="-3761" w:firstLine="3761"/>
              <w:jc w:val="center"/>
              <w:rPr>
                <w:rFonts w:cs="Arial"/>
                <w:b/>
                <w:sz w:val="22"/>
                <w:szCs w:val="22"/>
              </w:rPr>
            </w:pPr>
            <w:r w:rsidRPr="00F923DC">
              <w:rPr>
                <w:rFonts w:cs="Arial"/>
                <w:b/>
                <w:sz w:val="22"/>
                <w:szCs w:val="22"/>
              </w:rPr>
              <w:t>Passengers</w:t>
            </w:r>
          </w:p>
        </w:tc>
        <w:tc>
          <w:tcPr>
            <w:tcW w:w="1843"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Percentage of</w:t>
            </w:r>
          </w:p>
          <w:p w:rsidR="00660414" w:rsidRPr="00F923DC" w:rsidRDefault="00660414" w:rsidP="007613DE">
            <w:pPr>
              <w:ind w:left="-3761" w:firstLine="3761"/>
              <w:jc w:val="center"/>
              <w:rPr>
                <w:rFonts w:cs="Arial"/>
                <w:b/>
                <w:sz w:val="22"/>
                <w:szCs w:val="22"/>
              </w:rPr>
            </w:pPr>
            <w:r w:rsidRPr="00F923DC">
              <w:rPr>
                <w:rFonts w:cs="Arial"/>
                <w:b/>
                <w:sz w:val="22"/>
                <w:szCs w:val="22"/>
              </w:rPr>
              <w:t>Flights within</w:t>
            </w:r>
          </w:p>
          <w:p w:rsidR="00660414" w:rsidRPr="00F923DC" w:rsidRDefault="00660414" w:rsidP="007613DE">
            <w:pPr>
              <w:ind w:left="-3761" w:firstLine="3761"/>
              <w:jc w:val="center"/>
              <w:rPr>
                <w:rFonts w:cs="Arial"/>
                <w:b/>
                <w:sz w:val="22"/>
                <w:szCs w:val="22"/>
              </w:rPr>
            </w:pPr>
            <w:r w:rsidRPr="00F923DC">
              <w:rPr>
                <w:rFonts w:cs="Arial"/>
                <w:b/>
                <w:sz w:val="22"/>
                <w:szCs w:val="22"/>
              </w:rPr>
              <w:t>the</w:t>
            </w:r>
          </w:p>
          <w:p w:rsidR="00660414" w:rsidRPr="00F923DC" w:rsidRDefault="00660414" w:rsidP="007613DE">
            <w:pPr>
              <w:ind w:left="-3761" w:firstLine="3761"/>
              <w:jc w:val="center"/>
              <w:rPr>
                <w:rFonts w:cs="Arial"/>
                <w:b/>
                <w:sz w:val="22"/>
                <w:szCs w:val="22"/>
              </w:rPr>
            </w:pPr>
            <w:r w:rsidRPr="00F923DC">
              <w:rPr>
                <w:rFonts w:cs="Arial"/>
                <w:b/>
                <w:sz w:val="22"/>
                <w:szCs w:val="22"/>
              </w:rPr>
              <w:t>Peak Hour</w:t>
            </w:r>
          </w:p>
        </w:tc>
        <w:tc>
          <w:tcPr>
            <w:tcW w:w="2026" w:type="dxa"/>
            <w:tcBorders>
              <w:top w:val="single" w:sz="12" w:space="0" w:color="4F81BD"/>
              <w:bottom w:val="single" w:sz="12" w:space="0" w:color="4F81BD"/>
            </w:tcBorders>
            <w:shd w:val="clear" w:color="auto" w:fill="DBE5F1"/>
            <w:vAlign w:val="center"/>
          </w:tcPr>
          <w:p w:rsidR="00660414" w:rsidRPr="00F923DC" w:rsidRDefault="00660414" w:rsidP="007613DE">
            <w:pPr>
              <w:ind w:left="-3761" w:firstLine="3761"/>
              <w:jc w:val="center"/>
              <w:rPr>
                <w:rFonts w:cs="Arial"/>
                <w:b/>
                <w:sz w:val="22"/>
                <w:szCs w:val="22"/>
              </w:rPr>
            </w:pPr>
            <w:r w:rsidRPr="00F923DC">
              <w:rPr>
                <w:rFonts w:cs="Arial"/>
                <w:b/>
                <w:sz w:val="22"/>
                <w:szCs w:val="22"/>
              </w:rPr>
              <w:t>Peak Hour</w:t>
            </w:r>
          </w:p>
          <w:p w:rsidR="00660414" w:rsidRPr="00F923DC" w:rsidRDefault="00660414" w:rsidP="007613DE">
            <w:pPr>
              <w:ind w:left="-3761" w:firstLine="3761"/>
              <w:jc w:val="center"/>
              <w:rPr>
                <w:rFonts w:cs="Arial"/>
                <w:b/>
                <w:sz w:val="22"/>
                <w:szCs w:val="22"/>
              </w:rPr>
            </w:pPr>
            <w:r w:rsidRPr="00F923DC">
              <w:rPr>
                <w:rFonts w:cs="Arial"/>
                <w:b/>
                <w:sz w:val="22"/>
                <w:szCs w:val="22"/>
              </w:rPr>
              <w:t>Passengers</w:t>
            </w:r>
          </w:p>
          <w:p w:rsidR="00660414" w:rsidRPr="00F923DC" w:rsidRDefault="00660414" w:rsidP="007613DE">
            <w:pPr>
              <w:ind w:left="-3761" w:firstLine="3761"/>
              <w:jc w:val="center"/>
              <w:rPr>
                <w:rFonts w:cs="Arial"/>
                <w:b/>
                <w:sz w:val="22"/>
                <w:szCs w:val="22"/>
              </w:rPr>
            </w:pPr>
            <w:r w:rsidRPr="00F923DC">
              <w:rPr>
                <w:rFonts w:cs="Arial"/>
                <w:b/>
                <w:sz w:val="22"/>
                <w:szCs w:val="22"/>
              </w:rPr>
              <w:t>(Passenger</w:t>
            </w:r>
          </w:p>
          <w:p w:rsidR="00660414" w:rsidRPr="00F923DC" w:rsidRDefault="00660414" w:rsidP="007613DE">
            <w:pPr>
              <w:ind w:left="-3761" w:firstLine="3761"/>
              <w:jc w:val="center"/>
              <w:rPr>
                <w:rFonts w:cs="Arial"/>
                <w:b/>
                <w:sz w:val="22"/>
                <w:szCs w:val="22"/>
              </w:rPr>
            </w:pPr>
            <w:r w:rsidRPr="00F923DC">
              <w:rPr>
                <w:rFonts w:cs="Arial"/>
                <w:b/>
                <w:sz w:val="22"/>
                <w:szCs w:val="22"/>
              </w:rPr>
              <w:t>Terminal</w:t>
            </w:r>
          </w:p>
          <w:p w:rsidR="00660414" w:rsidRPr="00F923DC" w:rsidRDefault="00660414" w:rsidP="007613DE">
            <w:pPr>
              <w:ind w:left="-3761" w:firstLine="3761"/>
              <w:jc w:val="center"/>
              <w:rPr>
                <w:rFonts w:cs="Arial"/>
                <w:b/>
                <w:sz w:val="22"/>
                <w:szCs w:val="22"/>
              </w:rPr>
            </w:pPr>
            <w:r w:rsidRPr="00F923DC">
              <w:rPr>
                <w:rFonts w:cs="Arial"/>
                <w:b/>
                <w:sz w:val="22"/>
                <w:szCs w:val="22"/>
              </w:rPr>
              <w:t>Demand)</w:t>
            </w:r>
          </w:p>
        </w:tc>
      </w:tr>
      <w:tr w:rsidR="00660414" w:rsidRPr="00F923DC" w:rsidTr="007613DE">
        <w:trPr>
          <w:trHeight w:val="329"/>
          <w:jc w:val="center"/>
        </w:trPr>
        <w:tc>
          <w:tcPr>
            <w:tcW w:w="2388" w:type="dxa"/>
            <w:tcBorders>
              <w:top w:val="single" w:sz="12" w:space="0" w:color="4F81BD"/>
            </w:tcBorders>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Bucharest</w:t>
            </w:r>
          </w:p>
        </w:tc>
        <w:tc>
          <w:tcPr>
            <w:tcW w:w="1701" w:type="dxa"/>
            <w:tcBorders>
              <w:top w:val="single" w:sz="12" w:space="0" w:color="4F81BD"/>
            </w:tcBorders>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4,500</w:t>
            </w:r>
          </w:p>
        </w:tc>
        <w:tc>
          <w:tcPr>
            <w:tcW w:w="1559" w:type="dxa"/>
            <w:tcBorders>
              <w:top w:val="single" w:sz="12" w:space="0" w:color="4F81BD"/>
            </w:tcBorders>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35,603</w:t>
            </w:r>
          </w:p>
        </w:tc>
        <w:tc>
          <w:tcPr>
            <w:tcW w:w="1843" w:type="dxa"/>
            <w:tcBorders>
              <w:top w:val="single" w:sz="12" w:space="0" w:color="4F81BD"/>
            </w:tcBorders>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15%</w:t>
            </w:r>
          </w:p>
        </w:tc>
        <w:tc>
          <w:tcPr>
            <w:tcW w:w="2026" w:type="dxa"/>
            <w:tcBorders>
              <w:top w:val="single" w:sz="12" w:space="0" w:color="4F81BD"/>
            </w:tcBorders>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5,340</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Craiova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7,562</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2,269</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Timisoara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1,200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6,559</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1,968</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Sibiu</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5,581</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1,674</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Cluj</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4,990</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30%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1,497</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Bacau</w:t>
            </w:r>
          </w:p>
        </w:tc>
        <w:tc>
          <w:tcPr>
            <w:tcW w:w="1701"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200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4,358</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1,307</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Iasi</w:t>
            </w:r>
          </w:p>
        </w:tc>
        <w:tc>
          <w:tcPr>
            <w:tcW w:w="1701"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1,422</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2,654</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8C5B1B">
              <w:rPr>
                <w:rFonts w:ascii="Arial" w:hAnsi="Arial" w:cs="Arial"/>
                <w:bCs/>
                <w:kern w:val="24"/>
                <w:sz w:val="22"/>
                <w:szCs w:val="22"/>
              </w:rPr>
              <w:t>796</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Targu Mures</w:t>
            </w:r>
          </w:p>
        </w:tc>
        <w:tc>
          <w:tcPr>
            <w:tcW w:w="1701" w:type="dxa"/>
            <w:vAlign w:val="bottom"/>
          </w:tcPr>
          <w:p w:rsidR="00660414" w:rsidRPr="00F52DF3" w:rsidRDefault="00660414" w:rsidP="007613DE">
            <w:pPr>
              <w:pStyle w:val="NormalWeb"/>
              <w:jc w:val="center"/>
              <w:textAlignment w:val="bottom"/>
              <w:rPr>
                <w:rFonts w:ascii="Arial" w:hAnsi="Arial" w:cs="Arial"/>
                <w:sz w:val="22"/>
                <w:szCs w:val="22"/>
              </w:rPr>
            </w:pPr>
            <w:r w:rsidRPr="00F52DF3">
              <w:rPr>
                <w:rFonts w:ascii="Arial" w:hAnsi="Arial" w:cs="Arial"/>
                <w:color w:val="000000"/>
                <w:kern w:val="24"/>
                <w:sz w:val="22"/>
                <w:szCs w:val="22"/>
              </w:rPr>
              <w:t>580</w:t>
            </w:r>
          </w:p>
        </w:tc>
        <w:tc>
          <w:tcPr>
            <w:tcW w:w="1559" w:type="dxa"/>
            <w:vAlign w:val="bottom"/>
          </w:tcPr>
          <w:p w:rsidR="00660414"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2,538</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Pr="008C5B1B" w:rsidRDefault="00660414" w:rsidP="007613DE">
            <w:pPr>
              <w:pStyle w:val="NormalWeb"/>
              <w:jc w:val="center"/>
              <w:textAlignment w:val="bottom"/>
              <w:rPr>
                <w:rFonts w:ascii="Arial" w:hAnsi="Arial" w:cs="Arial"/>
                <w:b/>
                <w:color w:val="FF0000"/>
                <w:sz w:val="22"/>
                <w:szCs w:val="22"/>
              </w:rPr>
            </w:pPr>
            <w:r w:rsidRPr="008C5B1B">
              <w:rPr>
                <w:rFonts w:ascii="Arial" w:hAnsi="Arial" w:cs="Arial"/>
                <w:b/>
                <w:color w:val="FF0000"/>
                <w:kern w:val="24"/>
                <w:sz w:val="22"/>
                <w:szCs w:val="22"/>
              </w:rPr>
              <w:t>1,015</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Oradea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883</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353</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Brasov</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n/a</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868</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347</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Constanta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Pr>
                <w:rFonts w:ascii="Arial" w:hAnsi="Arial" w:cs="Arial"/>
                <w:color w:val="000000"/>
                <w:kern w:val="24"/>
                <w:sz w:val="22"/>
                <w:szCs w:val="22"/>
              </w:rPr>
              <w:t>400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864</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40%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346</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Suceava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859</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344</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Tulcea</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150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700</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280</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Baia Mare</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665</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b/>
                <w:bCs/>
                <w:color w:val="FF0000"/>
                <w:kern w:val="24"/>
                <w:sz w:val="22"/>
                <w:szCs w:val="22"/>
              </w:rPr>
              <w:t>266</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Arad</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134</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67</w:t>
            </w:r>
          </w:p>
        </w:tc>
      </w:tr>
      <w:tr w:rsidR="00660414" w:rsidRPr="00F923DC" w:rsidTr="007613DE">
        <w:trPr>
          <w:trHeight w:val="329"/>
          <w:jc w:val="center"/>
        </w:trPr>
        <w:tc>
          <w:tcPr>
            <w:tcW w:w="2388"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Satu Mare</w:t>
            </w:r>
          </w:p>
        </w:tc>
        <w:tc>
          <w:tcPr>
            <w:tcW w:w="1701" w:type="dxa"/>
            <w:vAlign w:val="bottom"/>
          </w:tcPr>
          <w:p w:rsidR="00660414" w:rsidRPr="00F923DC"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200</w:t>
            </w:r>
          </w:p>
        </w:tc>
        <w:tc>
          <w:tcPr>
            <w:tcW w:w="1559"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113</w:t>
            </w:r>
          </w:p>
        </w:tc>
        <w:tc>
          <w:tcPr>
            <w:tcW w:w="1843" w:type="dxa"/>
            <w:vAlign w:val="bottom"/>
          </w:tcPr>
          <w:p w:rsidR="00660414" w:rsidRDefault="00660414" w:rsidP="007613DE">
            <w:pPr>
              <w:pStyle w:val="NormalWeb"/>
              <w:jc w:val="center"/>
              <w:rPr>
                <w:rFonts w:ascii="Arial" w:hAnsi="Arial" w:cs="Arial"/>
                <w:sz w:val="22"/>
                <w:szCs w:val="22"/>
              </w:rPr>
            </w:pPr>
            <w:r w:rsidRPr="00F923DC">
              <w:rPr>
                <w:rFonts w:ascii="Arial" w:hAnsi="Arial" w:cs="Arial"/>
                <w:color w:val="000000"/>
                <w:kern w:val="24"/>
                <w:sz w:val="22"/>
                <w:szCs w:val="22"/>
              </w:rPr>
              <w:t>50%</w:t>
            </w:r>
          </w:p>
        </w:tc>
        <w:tc>
          <w:tcPr>
            <w:tcW w:w="2026" w:type="dxa"/>
            <w:vAlign w:val="bottom"/>
          </w:tcPr>
          <w:p w:rsidR="00660414" w:rsidRDefault="00660414" w:rsidP="007613DE">
            <w:pPr>
              <w:pStyle w:val="NormalWeb"/>
              <w:jc w:val="center"/>
              <w:textAlignment w:val="bottom"/>
              <w:rPr>
                <w:rFonts w:ascii="Arial" w:hAnsi="Arial" w:cs="Arial"/>
                <w:sz w:val="22"/>
                <w:szCs w:val="22"/>
              </w:rPr>
            </w:pPr>
            <w:r w:rsidRPr="00F923DC">
              <w:rPr>
                <w:rFonts w:ascii="Arial" w:hAnsi="Arial" w:cs="Arial"/>
                <w:color w:val="000000"/>
                <w:kern w:val="24"/>
                <w:sz w:val="22"/>
                <w:szCs w:val="22"/>
              </w:rPr>
              <w:t>57</w:t>
            </w:r>
          </w:p>
        </w:tc>
      </w:tr>
    </w:tbl>
    <w:p w:rsidR="00660414" w:rsidRDefault="00660414" w:rsidP="00660414">
      <w:r w:rsidRPr="001806FC">
        <w:t>¹</w:t>
      </w:r>
      <w:r>
        <w:t xml:space="preserve"> Completed Questionnaires</w:t>
      </w:r>
    </w:p>
    <w:p w:rsidR="00660414" w:rsidRDefault="00660414" w:rsidP="00A4081F">
      <w:pPr>
        <w:pStyle w:val="NumberedParas"/>
      </w:pPr>
      <w:r w:rsidRPr="001C6AE7">
        <w:t xml:space="preserve">From Table </w:t>
      </w:r>
      <w:r>
        <w:t>7.15</w:t>
      </w:r>
      <w:r w:rsidRPr="001C6AE7">
        <w:t xml:space="preserve"> it is clear th</w:t>
      </w:r>
      <w:r>
        <w:t>at</w:t>
      </w:r>
      <w:r w:rsidRPr="001C6AE7">
        <w:t xml:space="preserve"> the following airports will run out of or reach the existing passenger terminal capacity by 2025:  Bucharest Henri Coanda, Craiova, Timisoara, Sibiu, Bacau, Iasi, </w:t>
      </w:r>
      <w:r>
        <w:t xml:space="preserve">Targu Mures, </w:t>
      </w:r>
      <w:r w:rsidRPr="001C6AE7">
        <w:t xml:space="preserve">Suceava, Tulcea and Baia Mare. </w:t>
      </w:r>
    </w:p>
    <w:p w:rsidR="00660414" w:rsidRPr="001C6AE7" w:rsidRDefault="00660414" w:rsidP="00A4081F">
      <w:pPr>
        <w:pStyle w:val="NumberedParas"/>
      </w:pPr>
      <w:r>
        <w:t xml:space="preserve">For airports that will run out of passenger terminal capacity and grow from a Regional Airport into an International Hub Airport we propose the development of a new passenger terminal building instead of extending the existing building.  The existing passenger terminals could then be used for domestic passengers while the new passenger terminals could be designated for international passengers.  </w:t>
      </w:r>
    </w:p>
    <w:p w:rsidR="00660414" w:rsidRPr="001C6AE7" w:rsidRDefault="00660414" w:rsidP="00660414">
      <w:pPr>
        <w:pStyle w:val="Hdg3"/>
      </w:pPr>
      <w:r w:rsidRPr="001C6AE7">
        <w:t>Availability of airports during extreme weather conditions.</w:t>
      </w:r>
    </w:p>
    <w:p w:rsidR="00660414" w:rsidRPr="001C6AE7" w:rsidRDefault="00660414" w:rsidP="00A4081F">
      <w:pPr>
        <w:pStyle w:val="NumberedParas"/>
      </w:pPr>
      <w:r w:rsidRPr="001C6AE7">
        <w:t>According to TAROM, flights to Sibiu, Targo Mures and Suceava</w:t>
      </w:r>
      <w:r>
        <w:t xml:space="preserve"> were</w:t>
      </w:r>
      <w:r w:rsidRPr="001C6AE7">
        <w:t xml:space="preserve"> discontinued from November 2013 due to the lack of infrastructure during winter months at these airports.  During the winter of 2012 only 40% of flights scheduled to these airports could land as a result of the combination of the lack of infrastructure and severe weather conditions.</w:t>
      </w:r>
      <w:r>
        <w:t xml:space="preserve"> </w:t>
      </w:r>
    </w:p>
    <w:p w:rsidR="00660414" w:rsidRPr="001C6AE7" w:rsidRDefault="00660414" w:rsidP="00660414">
      <w:pPr>
        <w:pStyle w:val="Hdg3"/>
      </w:pPr>
      <w:r w:rsidRPr="001C6AE7">
        <w:t>Poor integration between local authorities and airport managers regarding the future planning for future expansion plans.</w:t>
      </w:r>
    </w:p>
    <w:p w:rsidR="00660414" w:rsidRPr="001C6AE7" w:rsidRDefault="00660414" w:rsidP="00A4081F">
      <w:pPr>
        <w:pStyle w:val="NumberedParas"/>
      </w:pPr>
      <w:r w:rsidRPr="001C6AE7">
        <w:t>According to the Romanian Civil Aviation Authority, there is poor integration between local authorities and airport managers regarding the planning for future expansion of airports. Future developments around airports could potentially limit airport extensions.  Local plans</w:t>
      </w:r>
      <w:r>
        <w:t xml:space="preserve"> do not always take</w:t>
      </w:r>
      <w:r w:rsidRPr="001C6AE7">
        <w:t xml:space="preserve"> into consideration future expansion plans of airport and hence developments permitted around airports jeopardise the future expansion of airports in terms of infrastructure development, safety zones and flight patterns. Air transport to, from and within Romania creates an economic benefit. By limiting airport expansion economic growth within the wider region will be compromised.</w:t>
      </w:r>
    </w:p>
    <w:p w:rsidR="00660414" w:rsidRPr="001C6AE7" w:rsidRDefault="00660414" w:rsidP="00660414">
      <w:pPr>
        <w:pStyle w:val="Hdg3"/>
      </w:pPr>
      <w:r w:rsidRPr="001C6AE7">
        <w:t>Surface access to and from airports.</w:t>
      </w:r>
    </w:p>
    <w:p w:rsidR="00660414" w:rsidRPr="001C6AE7" w:rsidRDefault="00660414" w:rsidP="00A4081F">
      <w:pPr>
        <w:pStyle w:val="NumberedParas"/>
      </w:pPr>
      <w:r w:rsidRPr="001C6AE7">
        <w:t>There is currently a lack of good public transport links connecting urban areas and Bucharest Henri Coanda Airport with no direct rail, light rail or express bus connections to facilitate ease of movement. This coupled with the relatively long journey times between conurbations and the airport can create a significant access problem and could cause major delays.</w:t>
      </w:r>
    </w:p>
    <w:p w:rsidR="00660414" w:rsidRDefault="00660414" w:rsidP="00A4081F">
      <w:pPr>
        <w:pStyle w:val="NumberedParas"/>
      </w:pPr>
      <w:r>
        <w:t>The Master Plan supports the need for a dedicated fixed link connection between Henri Coanda and Bucharest City Centre, but a</w:t>
      </w:r>
      <w:r w:rsidRPr="001C6AE7">
        <w:t xml:space="preserve"> </w:t>
      </w:r>
      <w:r>
        <w:t xml:space="preserve">more </w:t>
      </w:r>
      <w:r w:rsidRPr="001C6AE7">
        <w:t xml:space="preserve">detailed  study is required as part of Sustainable Urban Mobility Plan to determine the </w:t>
      </w:r>
      <w:r>
        <w:t xml:space="preserve">nature of </w:t>
      </w:r>
      <w:r w:rsidRPr="001C6AE7">
        <w:t xml:space="preserve"> </w:t>
      </w:r>
      <w:r>
        <w:t>this</w:t>
      </w:r>
      <w:r w:rsidRPr="001C6AE7">
        <w:t xml:space="preserve"> link.</w:t>
      </w:r>
    </w:p>
    <w:p w:rsidR="00660414" w:rsidRPr="001C6AE7" w:rsidRDefault="00660414" w:rsidP="00A4081F">
      <w:pPr>
        <w:pStyle w:val="NumberedParas"/>
      </w:pPr>
      <w:r>
        <w:t>More detailed studies are also required for all International Hub Airports to determine the requirement for dedicated fixed links to these airports</w:t>
      </w:r>
      <w:r w:rsidRPr="00296EF4">
        <w:t xml:space="preserve"> </w:t>
      </w:r>
      <w:r>
        <w:t>as part of the Sustainable Urban Mobility Plan. In the case of airports that are located close to a railway line (eg. Timisoara and Cluj), the possibility of linking the airport with the existing rail linkages should be investigated.</w:t>
      </w:r>
    </w:p>
    <w:p w:rsidR="00660414" w:rsidRPr="001C6AE7" w:rsidRDefault="00660414" w:rsidP="00660414">
      <w:pPr>
        <w:pStyle w:val="Hdg3"/>
      </w:pPr>
      <w:r w:rsidRPr="001C6AE7">
        <w:t>Lack of cargo terminal facilities/intermodal freight facilities</w:t>
      </w:r>
    </w:p>
    <w:p w:rsidR="00660414" w:rsidRPr="001C6AE7" w:rsidRDefault="00660414" w:rsidP="00A4081F">
      <w:pPr>
        <w:pStyle w:val="NumberedParas"/>
      </w:pPr>
      <w:r w:rsidRPr="001C6AE7">
        <w:t>Few airports have any recognised cargo handling facility, with the exception of Henri Coanda International Airport, with most cargo hubs based in other European countries. This situation arises despite Romania’s central location between the Middle East, North Africa, Western Europe and Russia. Coupled with the poor transport connections, it means Romania becomes an end destination for air freight, rather than a hub.</w:t>
      </w:r>
    </w:p>
    <w:p w:rsidR="00660414" w:rsidRDefault="00660414" w:rsidP="00A4081F">
      <w:pPr>
        <w:pStyle w:val="NumberedParas"/>
      </w:pPr>
      <w:r w:rsidRPr="001C6AE7">
        <w:t>A lack of cargo facilities could deter investments from companies that specialise in freight and logistics or manufacturing companies requiring complex or rapidly moving supply chains such as electronics or pharmaceuticals. It also limits the ability of airlines to spread their risk through the offer of air freight services both in terms of dedicated freighters and belly hold cargo.</w:t>
      </w:r>
    </w:p>
    <w:p w:rsidR="00660414" w:rsidRDefault="00660414" w:rsidP="00660414">
      <w:pPr>
        <w:pStyle w:val="Hdg3"/>
      </w:pPr>
      <w:r>
        <w:t>Airport security</w:t>
      </w:r>
    </w:p>
    <w:p w:rsidR="00660414" w:rsidRPr="008C5B1B" w:rsidRDefault="00660414" w:rsidP="00A4081F">
      <w:pPr>
        <w:pStyle w:val="NumberedParas"/>
      </w:pPr>
      <w:r>
        <w:t>The European Commission has made the Security Industry one of the essential parts of the EU 2020 flagship intitiative ‘An Integrated Industrial Policy for the Globalisation Era Putting Competitiveness and Sustainability at Centre State’. Therein the Commission announced the launch of a dedicated initiative on a Security Industry Policy which includes the establishment of</w:t>
      </w:r>
      <w:r w:rsidRPr="008C5B1B">
        <w:t xml:space="preserve"> an EU wide harmonised certification system for airport screening (detection) equipment</w:t>
      </w:r>
      <w:r>
        <w:t>.</w:t>
      </w:r>
    </w:p>
    <w:p w:rsidR="00660414" w:rsidRDefault="00660414" w:rsidP="00A4081F">
      <w:pPr>
        <w:pStyle w:val="NumberedParas"/>
        <w:rPr>
          <w:lang w:val="ro-RO"/>
        </w:rPr>
      </w:pPr>
      <w:r>
        <w:rPr>
          <w:lang w:val="ro-RO"/>
        </w:rPr>
        <w:t xml:space="preserve">Interventions on aviation security therefore refer to security screening (detection) equipment for the hold and hand baggage to detecting prohibited items. Current equipment therefore need to be replaced to comply with </w:t>
      </w:r>
      <w:r w:rsidRPr="00F15D63">
        <w:rPr>
          <w:lang w:val="ro-RO"/>
        </w:rPr>
        <w:t>this new European standards in aviation</w:t>
      </w:r>
      <w:r>
        <w:rPr>
          <w:lang w:val="ro-RO"/>
        </w:rPr>
        <w:t xml:space="preserve"> security. </w:t>
      </w:r>
    </w:p>
    <w:p w:rsidR="00660414" w:rsidRDefault="00660414" w:rsidP="00660414">
      <w:pPr>
        <w:pStyle w:val="Hdg3"/>
      </w:pPr>
      <w:r>
        <w:t>Safety improvements for small, private and state aerodromes</w:t>
      </w:r>
    </w:p>
    <w:p w:rsidR="00660414" w:rsidRDefault="00660414" w:rsidP="00A4081F">
      <w:pPr>
        <w:pStyle w:val="NumberedParas"/>
        <w:rPr>
          <w:lang w:val="ro-RO"/>
        </w:rPr>
      </w:pPr>
      <w:r>
        <w:rPr>
          <w:lang w:val="ro-RO"/>
        </w:rPr>
        <w:t>To provide a harmonized territorial coverage that will allow the connection of all the regions for mail activities, business transport, medical emergency services and activities that are time constrained, the following safety improvements need to be implemented based on the criteria established by the Ministry of Transport by a state incentive scheme:</w:t>
      </w:r>
    </w:p>
    <w:p w:rsidR="00660414" w:rsidRDefault="00660414" w:rsidP="0085264B">
      <w:pPr>
        <w:pStyle w:val="NumberedParas"/>
        <w:numPr>
          <w:ilvl w:val="0"/>
          <w:numId w:val="71"/>
        </w:numPr>
        <w:rPr>
          <w:lang w:val="ro-RO"/>
        </w:rPr>
      </w:pPr>
      <w:r>
        <w:rPr>
          <w:lang w:val="ro-RO"/>
        </w:rPr>
        <w:t>Safety improvement on local interest aerodromes, certified, dedicated to small aviation (for MTOW aircraft &lt; 5,700kg, VFR flights)</w:t>
      </w:r>
    </w:p>
    <w:p w:rsidR="00660414" w:rsidRPr="008C5B1B" w:rsidRDefault="00660414" w:rsidP="0085264B">
      <w:pPr>
        <w:pStyle w:val="NumberedParas"/>
        <w:numPr>
          <w:ilvl w:val="0"/>
          <w:numId w:val="71"/>
        </w:numPr>
        <w:rPr>
          <w:lang w:val="ro-RO"/>
        </w:rPr>
      </w:pPr>
      <w:r>
        <w:rPr>
          <w:lang w:val="ro-RO"/>
        </w:rPr>
        <w:t>Development/modernization of the local interest aerodromes certified, dedicated to small aviation (for MTOW planes &lt; 5,700kg, VFR flights, concreate/asphalt runways by 900m placed in an unincorporated area and at a certain distance from any airport)</w:t>
      </w:r>
    </w:p>
    <w:p w:rsidR="00660414" w:rsidRPr="00375ECE" w:rsidRDefault="00660414" w:rsidP="00045287">
      <w:pPr>
        <w:pStyle w:val="Hdg2"/>
      </w:pPr>
      <w:bookmarkStart w:id="8134" w:name="_Toc397065285"/>
      <w:bookmarkStart w:id="8135" w:name="_Toc403555351"/>
      <w:bookmarkStart w:id="8136" w:name="_Toc413056068"/>
      <w:r w:rsidRPr="00375ECE">
        <w:t>Strategic Objectives</w:t>
      </w:r>
      <w:bookmarkEnd w:id="8134"/>
      <w:bookmarkEnd w:id="8135"/>
      <w:bookmarkEnd w:id="8136"/>
    </w:p>
    <w:p w:rsidR="00660414" w:rsidRPr="00ED1F01" w:rsidRDefault="00660414" w:rsidP="00A4081F">
      <w:pPr>
        <w:pStyle w:val="NumberedParas"/>
      </w:pPr>
      <w:r w:rsidRPr="00ED1F01">
        <w:t>The aviation sector in a country is directly link</w:t>
      </w:r>
      <w:r>
        <w:t>ed</w:t>
      </w:r>
      <w:r w:rsidRPr="00ED1F01">
        <w:t xml:space="preserve"> the GDP, and hence an important</w:t>
      </w:r>
      <w:r>
        <w:t xml:space="preserve"> part of a country’</w:t>
      </w:r>
      <w:r w:rsidRPr="00ED1F01">
        <w:t>s economy.  One of the key objecti</w:t>
      </w:r>
      <w:r>
        <w:t>ve</w:t>
      </w:r>
      <w:r w:rsidRPr="00ED1F01">
        <w:t xml:space="preserve">s of the aviation industry is to provide a safe and secure mode of transport for passengers.  </w:t>
      </w:r>
      <w:r>
        <w:t xml:space="preserve">The aviation sector in Romania should provide a network of domestic routes within the country but also provide linkage between other European countries and the rest of the world. </w:t>
      </w:r>
    </w:p>
    <w:p w:rsidR="00660414" w:rsidRDefault="00660414" w:rsidP="00045287">
      <w:pPr>
        <w:pStyle w:val="Hdg2"/>
      </w:pPr>
      <w:bookmarkStart w:id="8137" w:name="_Toc397065286"/>
      <w:bookmarkStart w:id="8138" w:name="_Toc403555352"/>
      <w:bookmarkStart w:id="8139" w:name="_Toc413056069"/>
      <w:r>
        <w:t>Operational Objectives</w:t>
      </w:r>
      <w:bookmarkEnd w:id="8137"/>
      <w:bookmarkEnd w:id="8138"/>
      <w:bookmarkEnd w:id="8139"/>
    </w:p>
    <w:p w:rsidR="00660414" w:rsidRDefault="00660414" w:rsidP="00A4081F">
      <w:pPr>
        <w:pStyle w:val="NumberedParas"/>
      </w:pPr>
      <w:r>
        <w:t>The operational objectives for the aviation sector in Romania are set out below:</w:t>
      </w:r>
    </w:p>
    <w:p w:rsidR="00660414" w:rsidRDefault="00660414" w:rsidP="00273D5E">
      <w:pPr>
        <w:pStyle w:val="BulletLevel1"/>
      </w:pPr>
      <w:r>
        <w:t>Ensuring that Bucharest Henri Coanda Airprot provides the infrastructure capacity and operational facilities required for the 2020 and 2025 demand.</w:t>
      </w:r>
    </w:p>
    <w:p w:rsidR="00660414" w:rsidRDefault="00660414" w:rsidP="00273D5E">
      <w:pPr>
        <w:pStyle w:val="BulletLevel1"/>
      </w:pPr>
      <w:r>
        <w:t>Ensuring that Craiova airport provides the infrastructure capacity and operational facilities required for the 2020 and 2025 demand.</w:t>
      </w:r>
    </w:p>
    <w:p w:rsidR="00660414" w:rsidRDefault="00660414" w:rsidP="00273D5E">
      <w:pPr>
        <w:pStyle w:val="BulletLevel1"/>
      </w:pPr>
      <w:r>
        <w:t>Ensuring that Timisoara Airport provides the infrastructure capacity and operational facilities required for the 2020 and 2025 demand.</w:t>
      </w:r>
    </w:p>
    <w:p w:rsidR="00660414" w:rsidRDefault="00660414" w:rsidP="00273D5E">
      <w:pPr>
        <w:pStyle w:val="BulletLevel1"/>
      </w:pPr>
      <w:r>
        <w:t>Ensuring that Sibiu Airport provides the infrastructure capacity and operational facilities required for the 2020 and 2025 demand.</w:t>
      </w:r>
    </w:p>
    <w:p w:rsidR="00660414" w:rsidRDefault="00660414" w:rsidP="00273D5E">
      <w:pPr>
        <w:pStyle w:val="BulletLevel1"/>
      </w:pPr>
      <w:r>
        <w:t>Ensuring that Cluj-Napoca Airport provides the infrastructure capacity and operational facilities required for the 2020 and 2025 demand.</w:t>
      </w:r>
    </w:p>
    <w:p w:rsidR="00660414" w:rsidRDefault="00660414" w:rsidP="00273D5E">
      <w:pPr>
        <w:pStyle w:val="BulletLevel1"/>
      </w:pPr>
      <w:r>
        <w:t xml:space="preserve">Ensuring that Bacau Airport provides the infrastructure capacity and operational facilities required for the 2020 and 2025 demand. </w:t>
      </w:r>
    </w:p>
    <w:p w:rsidR="00660414" w:rsidRDefault="00660414" w:rsidP="00273D5E">
      <w:pPr>
        <w:pStyle w:val="BulletLevel1"/>
      </w:pPr>
      <w:r>
        <w:t>Ensuring that Iasi Airport provides the infrastructure capacity and operational facilities required for the 2020 and 2025 demand.</w:t>
      </w:r>
    </w:p>
    <w:p w:rsidR="00660414" w:rsidRDefault="00660414" w:rsidP="00273D5E">
      <w:pPr>
        <w:pStyle w:val="BulletLevel1"/>
      </w:pPr>
      <w:r>
        <w:t>Ensuring that Targu Mures Airport provides the infrastructure capacity and operational facilities required for the 2020 and 2015 demand.</w:t>
      </w:r>
    </w:p>
    <w:p w:rsidR="00660414" w:rsidRDefault="00660414" w:rsidP="00273D5E">
      <w:pPr>
        <w:pStyle w:val="BulletLevel1"/>
      </w:pPr>
      <w:r>
        <w:t>Ensuring that Constanta Airport provides the infrastructure capacity and operational facilities required for the 2020 and 2025 demand.</w:t>
      </w:r>
    </w:p>
    <w:p w:rsidR="00660414" w:rsidRDefault="00660414" w:rsidP="00273D5E">
      <w:pPr>
        <w:pStyle w:val="BulletLevel1"/>
      </w:pPr>
      <w:r>
        <w:t>Ensuring that Suceava Airport provides the infrastructure capacity and operational facilities required for the 2020 and 2025 demand.</w:t>
      </w:r>
    </w:p>
    <w:p w:rsidR="00660414" w:rsidRDefault="00660414" w:rsidP="00273D5E">
      <w:pPr>
        <w:pStyle w:val="BulletLevel1"/>
      </w:pPr>
      <w:r>
        <w:t>Ensuring that Tulcea Airport provides the infrastructure capacity and operational facilities required for the 2020 and 2025 demand.</w:t>
      </w:r>
    </w:p>
    <w:p w:rsidR="00660414" w:rsidRDefault="00660414" w:rsidP="00273D5E">
      <w:pPr>
        <w:pStyle w:val="BulletLevel1"/>
      </w:pPr>
      <w:r>
        <w:t xml:space="preserve">Ensuring that Baie Mare Airport provides the infrastructure capacity and operational facilities required for the 2020 and 2025 demand. </w:t>
      </w:r>
    </w:p>
    <w:p w:rsidR="00660414" w:rsidRDefault="00660414" w:rsidP="00A4081F">
      <w:pPr>
        <w:pStyle w:val="NumberedParas"/>
      </w:pPr>
      <w:r>
        <w:t xml:space="preserve">We support in principle the concept of providing modern air cargo facilities at the International Hub Airports based on the catchment area of the airports and the international services that should be attracted to such airports, but we cannot independently verify the economic justification for individual projects. This is because the factors determining the throughput are local in nature, and depend on the type of local industry and services, it’s distribution patterns (the balance of demostic Romanian and International trade), and the type of destinations served by air services in the future. Therefore, we have included air cargo terminals in the overall budget for improvements to these airports, where this need has been identified by the airport authorities (such as Iasi), or supported detailed feasibility studies where these are proposed, such as at Cluj. Details are given in the following sections. </w:t>
      </w:r>
    </w:p>
    <w:p w:rsidR="00660414" w:rsidRPr="001600DF" w:rsidRDefault="00660414" w:rsidP="00A4081F">
      <w:pPr>
        <w:pStyle w:val="NumberedParas"/>
      </w:pPr>
      <w:r w:rsidRPr="00DE221F">
        <w:t>It is important to note that the air sector differs from other modes in that demand is heavily dependent on both landside and airside facilities and services.  An airport without appropriate flights does not generate air traffic, but in turn an airline will not start services unless suitable ancillary facilities are available on the ground.  The relationship is symbiotic, and large numbers of passengers can be “generated” when th</w:t>
      </w:r>
      <w:r>
        <w:t xml:space="preserve">e relationship is successful.  </w:t>
      </w:r>
    </w:p>
    <w:p w:rsidR="00660414" w:rsidRDefault="00660414" w:rsidP="00045287">
      <w:pPr>
        <w:pStyle w:val="Hdg2"/>
      </w:pPr>
      <w:bookmarkStart w:id="8140" w:name="_Toc397065287"/>
      <w:bookmarkStart w:id="8141" w:name="_Toc403555353"/>
      <w:bookmarkStart w:id="8142" w:name="_Toc413056070"/>
      <w:r>
        <w:t>Interventions</w:t>
      </w:r>
      <w:bookmarkEnd w:id="8140"/>
      <w:bookmarkEnd w:id="8141"/>
      <w:bookmarkEnd w:id="8142"/>
    </w:p>
    <w:p w:rsidR="00660414" w:rsidRDefault="00660414" w:rsidP="00A4081F">
      <w:pPr>
        <w:pStyle w:val="NumberedParas"/>
      </w:pPr>
      <w:r>
        <w:t xml:space="preserve">To determine the costs for the passenger terminal extensions the peak hour demand were calculated from the demand forecasts. Various airports with a Level of Service C were reviewed to determine the space requirement of a terminal building per peak hour passenger. The total space requirements for each airport were then multiplied with a building cost of </w:t>
      </w:r>
      <w:r>
        <w:rPr>
          <w:rFonts w:cs="Arial"/>
        </w:rPr>
        <w:t>€</w:t>
      </w:r>
      <w:r>
        <w:t>2,500 per m</w:t>
      </w:r>
      <w:r>
        <w:rPr>
          <w:rFonts w:cs="Arial"/>
        </w:rPr>
        <w:t>²</w:t>
      </w:r>
      <w:r>
        <w:t>.</w:t>
      </w:r>
    </w:p>
    <w:p w:rsidR="00660414" w:rsidRPr="00C6691D" w:rsidRDefault="00660414" w:rsidP="00A4081F">
      <w:pPr>
        <w:pStyle w:val="NumberedParas"/>
      </w:pPr>
      <w:r>
        <w:t>To reach the operational objectives for the various airports, the following interventions are proposed:</w:t>
      </w:r>
    </w:p>
    <w:p w:rsidR="00660414" w:rsidRDefault="00660414" w:rsidP="00660414">
      <w:pPr>
        <w:rPr>
          <w:b/>
          <w:i/>
          <w:color w:val="9E0880"/>
          <w:sz w:val="22"/>
          <w:szCs w:val="22"/>
          <w:lang w:val="ro-RO"/>
        </w:rPr>
      </w:pPr>
      <w:r>
        <w:br w:type="page"/>
      </w:r>
    </w:p>
    <w:p w:rsidR="00660414" w:rsidRPr="00DE221F" w:rsidRDefault="00660414" w:rsidP="00660414">
      <w:pPr>
        <w:pStyle w:val="Hdg3"/>
      </w:pPr>
      <w:r w:rsidRPr="00DE221F">
        <w:t>Upgrade programme for Bucharest Henri Coanda Airport</w:t>
      </w:r>
    </w:p>
    <w:p w:rsidR="00660414" w:rsidRPr="000F6545" w:rsidRDefault="00660414" w:rsidP="00660414">
      <w:pPr>
        <w:pStyle w:val="ListParagraph"/>
        <w:ind w:left="0"/>
        <w:rPr>
          <w:b/>
          <w:sz w:val="22"/>
          <w:szCs w:val="22"/>
        </w:rPr>
      </w:pPr>
      <w:r w:rsidRPr="000F6545">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According to the airport classification set out above, Bucharest is classified as the only International</w:t>
      </w:r>
      <w:r>
        <w:t xml:space="preserve"> Major</w:t>
      </w:r>
      <w:r w:rsidRPr="00DE221F">
        <w:t xml:space="preserve"> </w:t>
      </w:r>
      <w:r>
        <w:t xml:space="preserve">Hub </w:t>
      </w:r>
      <w:r w:rsidRPr="00DE221F">
        <w:t>Airport in Romania.</w:t>
      </w:r>
    </w:p>
    <w:p w:rsidR="00660414" w:rsidRPr="00DE221F" w:rsidRDefault="00660414" w:rsidP="00A4081F">
      <w:pPr>
        <w:pStyle w:val="NumberedParas"/>
      </w:pPr>
      <w:r w:rsidRPr="00DE221F">
        <w:t>The upgrade project for Bucharest Henri Coanda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The development or extension of a new passenger terminal and infrastructure by 2025 in order to maintain a Class C Level of Service.</w:t>
      </w:r>
    </w:p>
    <w:p w:rsidR="00660414" w:rsidRPr="00DE221F" w:rsidRDefault="00660414" w:rsidP="00273D5E">
      <w:pPr>
        <w:pStyle w:val="BulletLevel1"/>
      </w:pPr>
      <w:r w:rsidRPr="00DE221F">
        <w:t>Extension of the taxiway system and development of 56 new apron stands by 2020.</w:t>
      </w:r>
    </w:p>
    <w:p w:rsidR="00660414" w:rsidRPr="00DE221F" w:rsidRDefault="00660414" w:rsidP="00273D5E">
      <w:pPr>
        <w:pStyle w:val="BulletLevel1"/>
      </w:pPr>
      <w:r w:rsidRPr="00DE221F">
        <w:t>Rehabilitation of apron, taxiway and runways.</w:t>
      </w:r>
    </w:p>
    <w:p w:rsidR="00660414" w:rsidRDefault="00660414" w:rsidP="00273D5E">
      <w:pPr>
        <w:pStyle w:val="BulletLevel1"/>
      </w:pPr>
      <w:r w:rsidRPr="00DE221F">
        <w:t xml:space="preserve">New ground transportation connection </w:t>
      </w:r>
    </w:p>
    <w:p w:rsidR="00660414" w:rsidRPr="00DE221F" w:rsidRDefault="00660414" w:rsidP="00273D5E">
      <w:pPr>
        <w:pStyle w:val="BulletLevel1"/>
      </w:pPr>
      <w:r w:rsidRPr="00DE221F">
        <w:t>Analyse the opportunity to develop a cargo terminal.</w:t>
      </w:r>
    </w:p>
    <w:p w:rsidR="00660414" w:rsidRPr="00DE221F" w:rsidRDefault="00660414" w:rsidP="00A4081F">
      <w:pPr>
        <w:pStyle w:val="NumberedParas"/>
      </w:pPr>
      <w:r w:rsidRPr="00DE221F">
        <w:t xml:space="preserve">Figure </w:t>
      </w:r>
      <w:r>
        <w:t>7.6</w:t>
      </w:r>
      <w:r w:rsidRPr="00DE221F">
        <w:t xml:space="preserve"> sets out the location of Bucharest Henri Coanda Airport in relations to the other Romanian airports. </w:t>
      </w:r>
    </w:p>
    <w:p w:rsidR="00660414" w:rsidRDefault="00660414" w:rsidP="00660414">
      <w:pPr>
        <w:rPr>
          <w:b/>
          <w:sz w:val="22"/>
          <w:szCs w:val="22"/>
        </w:rPr>
      </w:pPr>
    </w:p>
    <w:p w:rsidR="00660414" w:rsidRDefault="00660414" w:rsidP="00660414">
      <w:pPr>
        <w:rPr>
          <w:noProof/>
          <w:sz w:val="22"/>
          <w:szCs w:val="22"/>
          <w:lang w:val="en-US"/>
        </w:rPr>
      </w:pPr>
      <w:r w:rsidRPr="008C5B1B">
        <w:rPr>
          <w:noProof/>
          <w:lang w:val="ro-RO" w:eastAsia="ro-RO"/>
        </w:rPr>
        <w:drawing>
          <wp:inline distT="0" distB="0" distL="0" distR="0" wp14:anchorId="75BA9F35" wp14:editId="137AA4F3">
            <wp:extent cx="4857750" cy="341599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cstate="print"/>
                    <a:stretch>
                      <a:fillRect/>
                    </a:stretch>
                  </pic:blipFill>
                  <pic:spPr>
                    <a:xfrm>
                      <a:off x="0" y="0"/>
                      <a:ext cx="4857750" cy="3415995"/>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7.6</w:t>
      </w:r>
      <w:r w:rsidRPr="00DE221F">
        <w:rPr>
          <w:b/>
          <w:sz w:val="22"/>
          <w:szCs w:val="22"/>
        </w:rPr>
        <w:t>: Location of Bucharest Henri Coanda Airport</w:t>
      </w:r>
    </w:p>
    <w:p w:rsidR="00660414" w:rsidRDefault="00660414" w:rsidP="00660414">
      <w:pPr>
        <w:pStyle w:val="Body"/>
        <w:rPr>
          <w:b/>
        </w:rPr>
      </w:pPr>
    </w:p>
    <w:p w:rsidR="00660414" w:rsidRPr="00074766" w:rsidRDefault="00660414" w:rsidP="00660414">
      <w:pPr>
        <w:pStyle w:val="Body"/>
        <w:rPr>
          <w:b/>
        </w:rPr>
      </w:pPr>
      <w:r w:rsidRPr="00074766">
        <w:rPr>
          <w:b/>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 xml:space="preserve">To facilitate growth in passenger numbers in order to maintain a level of service C. </w:t>
      </w:r>
    </w:p>
    <w:p w:rsidR="00660414" w:rsidRPr="00DE221F" w:rsidRDefault="00660414" w:rsidP="00273D5E">
      <w:pPr>
        <w:pStyle w:val="BulletLevel1"/>
      </w:pPr>
      <w:r w:rsidRPr="00DE221F">
        <w:t>The airport will run out of apron capacity by 2020.</w:t>
      </w:r>
    </w:p>
    <w:p w:rsidR="00660414" w:rsidRPr="00DE221F" w:rsidRDefault="00660414" w:rsidP="00273D5E">
      <w:pPr>
        <w:pStyle w:val="BulletLevel1"/>
      </w:pPr>
      <w:r w:rsidRPr="00DE221F">
        <w:t>International connectivity will generate increased freight flows.</w:t>
      </w:r>
    </w:p>
    <w:p w:rsidR="00660414" w:rsidRPr="00DE221F" w:rsidRDefault="00660414" w:rsidP="00273D5E">
      <w:pPr>
        <w:pStyle w:val="BulletLevel1"/>
      </w:pPr>
      <w:r w:rsidRPr="00DE221F">
        <w:t>Inadequate dedicated bus and rail links.</w:t>
      </w:r>
    </w:p>
    <w:p w:rsidR="00660414" w:rsidRPr="002D7EBD" w:rsidRDefault="00660414" w:rsidP="00A4081F">
      <w:pPr>
        <w:pStyle w:val="NumberedParas"/>
      </w:pPr>
      <w:r w:rsidRPr="002D7EBD">
        <w:t>Undiscounted Costs</w:t>
      </w:r>
    </w:p>
    <w:p w:rsidR="00660414" w:rsidRPr="00DE221F" w:rsidRDefault="00660414" w:rsidP="00660414">
      <w:pPr>
        <w:rPr>
          <w:sz w:val="22"/>
          <w:szCs w:val="22"/>
        </w:rPr>
      </w:pPr>
      <w:r w:rsidRPr="00DE221F">
        <w:rPr>
          <w:sz w:val="22"/>
          <w:szCs w:val="22"/>
        </w:rPr>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660414" w:rsidRPr="00DE221F" w:rsidTr="007613DE">
        <w:trPr>
          <w:cantSplit/>
          <w:tblHeader/>
        </w:trPr>
        <w:tc>
          <w:tcPr>
            <w:tcW w:w="1726" w:type="pct"/>
            <w:gridSpan w:val="2"/>
            <w:vAlign w:val="center"/>
          </w:tcPr>
          <w:p w:rsidR="00660414" w:rsidRPr="00DE221F" w:rsidRDefault="00660414" w:rsidP="007613DE">
            <w:pPr>
              <w:jc w:val="center"/>
              <w:rPr>
                <w:b/>
                <w:bCs/>
                <w:sz w:val="22"/>
                <w:szCs w:val="22"/>
              </w:rPr>
            </w:pPr>
            <w:r w:rsidRPr="00DE221F">
              <w:rPr>
                <w:b/>
                <w:bCs/>
                <w:sz w:val="22"/>
                <w:szCs w:val="22"/>
              </w:rPr>
              <w:t xml:space="preserve">Undiscounted costs </w:t>
            </w:r>
          </w:p>
          <w:p w:rsidR="00660414" w:rsidRPr="00DE221F" w:rsidRDefault="00660414" w:rsidP="007613DE">
            <w:pPr>
              <w:jc w:val="cente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978" w:type="pct"/>
            <w:vAlign w:val="bottom"/>
          </w:tcPr>
          <w:p w:rsidR="00660414" w:rsidRPr="00DE221F" w:rsidRDefault="00660414" w:rsidP="007613DE">
            <w:pPr>
              <w:spacing w:before="120"/>
              <w:rPr>
                <w:sz w:val="22"/>
                <w:szCs w:val="22"/>
              </w:rPr>
            </w:pPr>
            <w:r w:rsidRPr="00DE221F">
              <w:rPr>
                <w:sz w:val="22"/>
                <w:szCs w:val="22"/>
              </w:rPr>
              <w:t xml:space="preserve">CAPEX </w:t>
            </w:r>
          </w:p>
        </w:tc>
        <w:tc>
          <w:tcPr>
            <w:tcW w:w="748" w:type="pct"/>
            <w:vAlign w:val="bottom"/>
          </w:tcPr>
          <w:p w:rsidR="00660414" w:rsidRPr="00DE221F" w:rsidRDefault="00660414" w:rsidP="007613DE">
            <w:pPr>
              <w:spacing w:before="120"/>
              <w:jc w:val="center"/>
              <w:rPr>
                <w:sz w:val="22"/>
                <w:szCs w:val="22"/>
              </w:rPr>
            </w:pPr>
            <w:r w:rsidRPr="00DE221F">
              <w:rPr>
                <w:sz w:val="22"/>
                <w:szCs w:val="22"/>
              </w:rPr>
              <w:t>247.3</w:t>
            </w:r>
          </w:p>
        </w:tc>
        <w:tc>
          <w:tcPr>
            <w:tcW w:w="3274" w:type="pct"/>
          </w:tcPr>
          <w:p w:rsidR="00660414" w:rsidRPr="00DE221F" w:rsidRDefault="00660414" w:rsidP="007613DE">
            <w:pPr>
              <w:spacing w:before="120"/>
              <w:rPr>
                <w:sz w:val="22"/>
                <w:szCs w:val="22"/>
              </w:rPr>
            </w:pPr>
            <w:r w:rsidRPr="00DE221F">
              <w:rPr>
                <w:sz w:val="22"/>
                <w:szCs w:val="22"/>
              </w:rPr>
              <w:t>Includes:</w:t>
            </w:r>
          </w:p>
          <w:p w:rsidR="00660414" w:rsidRPr="00DE221F" w:rsidRDefault="00660414" w:rsidP="007613DE">
            <w:pPr>
              <w:pStyle w:val="ListParagraph"/>
              <w:numPr>
                <w:ilvl w:val="0"/>
                <w:numId w:val="35"/>
              </w:numPr>
              <w:spacing w:before="120"/>
              <w:contextualSpacing/>
              <w:jc w:val="left"/>
            </w:pPr>
            <w:r w:rsidRPr="00DE221F">
              <w:t>Development of a new passenger terminal or extension of the current terminal</w:t>
            </w:r>
          </w:p>
          <w:p w:rsidR="00660414" w:rsidRPr="00DE221F" w:rsidRDefault="00660414" w:rsidP="007613DE">
            <w:pPr>
              <w:pStyle w:val="ListParagraph"/>
              <w:numPr>
                <w:ilvl w:val="0"/>
                <w:numId w:val="35"/>
              </w:numPr>
              <w:spacing w:before="120"/>
              <w:contextualSpacing/>
              <w:jc w:val="left"/>
            </w:pPr>
            <w:r w:rsidRPr="00DE221F">
              <w:t>Construction of new apron stands and the rehabilitation and extension of existing apron stands</w:t>
            </w:r>
          </w:p>
          <w:p w:rsidR="00660414" w:rsidRPr="00DE221F" w:rsidRDefault="00660414" w:rsidP="007613DE">
            <w:pPr>
              <w:pStyle w:val="ListParagraph"/>
              <w:numPr>
                <w:ilvl w:val="0"/>
                <w:numId w:val="35"/>
              </w:numPr>
              <w:spacing w:before="120"/>
              <w:contextualSpacing/>
              <w:jc w:val="left"/>
            </w:pPr>
            <w:r w:rsidRPr="00DE221F">
              <w:t>Extension of taxiway</w:t>
            </w:r>
          </w:p>
          <w:p w:rsidR="00660414" w:rsidRPr="00DE221F" w:rsidRDefault="00660414" w:rsidP="007613DE">
            <w:pPr>
              <w:pStyle w:val="ListParagraph"/>
              <w:numPr>
                <w:ilvl w:val="0"/>
                <w:numId w:val="35"/>
              </w:numPr>
              <w:spacing w:before="120"/>
              <w:contextualSpacing/>
              <w:jc w:val="left"/>
            </w:pPr>
            <w:r w:rsidRPr="00DE221F">
              <w:t>New ground transport systems</w:t>
            </w:r>
          </w:p>
          <w:p w:rsidR="00660414" w:rsidRPr="00DE221F" w:rsidRDefault="00660414" w:rsidP="007613DE">
            <w:pPr>
              <w:pStyle w:val="ListParagraph"/>
              <w:numPr>
                <w:ilvl w:val="0"/>
                <w:numId w:val="35"/>
              </w:numPr>
              <w:spacing w:before="120"/>
              <w:contextualSpacing/>
              <w:jc w:val="left"/>
            </w:pPr>
            <w:r w:rsidRPr="00DE221F">
              <w:t>Feasibility of developing a cargo terminal</w:t>
            </w:r>
          </w:p>
        </w:tc>
      </w:tr>
      <w:tr w:rsidR="00660414" w:rsidRPr="00DE221F" w:rsidTr="007613DE">
        <w:trPr>
          <w:cantSplit/>
        </w:trPr>
        <w:tc>
          <w:tcPr>
            <w:tcW w:w="978" w:type="pct"/>
            <w:vAlign w:val="bottom"/>
          </w:tcPr>
          <w:p w:rsidR="00660414" w:rsidRPr="00DE221F" w:rsidRDefault="00660414" w:rsidP="007613DE">
            <w:pPr>
              <w:spacing w:before="120"/>
              <w:rPr>
                <w:sz w:val="22"/>
                <w:szCs w:val="22"/>
              </w:rPr>
            </w:pPr>
            <w:r w:rsidRPr="00DE221F">
              <w:rPr>
                <w:sz w:val="22"/>
                <w:szCs w:val="22"/>
              </w:rPr>
              <w:t xml:space="preserve">OPEX </w:t>
            </w:r>
          </w:p>
        </w:tc>
        <w:tc>
          <w:tcPr>
            <w:tcW w:w="748" w:type="pct"/>
            <w:vAlign w:val="bottom"/>
          </w:tcPr>
          <w:p w:rsidR="00660414" w:rsidRPr="00DE221F" w:rsidRDefault="00660414" w:rsidP="007613DE">
            <w:pPr>
              <w:spacing w:before="120"/>
              <w:jc w:val="center"/>
              <w:rPr>
                <w:sz w:val="22"/>
                <w:szCs w:val="22"/>
              </w:rPr>
            </w:pPr>
            <w:r w:rsidRPr="00DE221F">
              <w:rPr>
                <w:sz w:val="22"/>
                <w:szCs w:val="22"/>
              </w:rPr>
              <w:t>12.4</w:t>
            </w:r>
          </w:p>
        </w:tc>
        <w:tc>
          <w:tcPr>
            <w:tcW w:w="3274" w:type="pct"/>
          </w:tcPr>
          <w:p w:rsidR="00660414" w:rsidRPr="00DE221F" w:rsidRDefault="00660414" w:rsidP="007613DE">
            <w:pPr>
              <w:spacing w:before="120"/>
              <w:rPr>
                <w:sz w:val="22"/>
                <w:szCs w:val="22"/>
              </w:rPr>
            </w:pPr>
            <w:r w:rsidRPr="00DE221F">
              <w:rPr>
                <w:sz w:val="22"/>
                <w:szCs w:val="22"/>
              </w:rPr>
              <w:t xml:space="preserve">Additional operating costs </w:t>
            </w:r>
          </w:p>
        </w:tc>
      </w:tr>
      <w:tr w:rsidR="00660414" w:rsidRPr="00DE221F" w:rsidTr="007613DE">
        <w:trPr>
          <w:cantSplit/>
        </w:trPr>
        <w:tc>
          <w:tcPr>
            <w:tcW w:w="978" w:type="pct"/>
          </w:tcPr>
          <w:p w:rsidR="00660414" w:rsidRPr="00DE221F" w:rsidRDefault="00660414" w:rsidP="007613DE">
            <w:pPr>
              <w:spacing w:before="120"/>
              <w:rPr>
                <w:sz w:val="22"/>
                <w:szCs w:val="22"/>
              </w:rPr>
            </w:pPr>
            <w:r w:rsidRPr="00DE221F">
              <w:rPr>
                <w:sz w:val="22"/>
                <w:szCs w:val="22"/>
              </w:rPr>
              <w:t xml:space="preserve">Total </w:t>
            </w:r>
          </w:p>
        </w:tc>
        <w:tc>
          <w:tcPr>
            <w:tcW w:w="748" w:type="pct"/>
          </w:tcPr>
          <w:p w:rsidR="00660414" w:rsidRPr="00DE221F" w:rsidRDefault="00660414" w:rsidP="007613DE">
            <w:pPr>
              <w:spacing w:before="120"/>
              <w:jc w:val="center"/>
              <w:rPr>
                <w:b/>
                <w:sz w:val="22"/>
                <w:szCs w:val="22"/>
              </w:rPr>
            </w:pPr>
            <w:r w:rsidRPr="00DE221F">
              <w:rPr>
                <w:b/>
                <w:sz w:val="22"/>
                <w:szCs w:val="22"/>
              </w:rPr>
              <w:t>259.6</w:t>
            </w:r>
          </w:p>
        </w:tc>
        <w:tc>
          <w:tcPr>
            <w:tcW w:w="3274" w:type="pct"/>
          </w:tcPr>
          <w:p w:rsidR="00660414" w:rsidRPr="00DE221F" w:rsidRDefault="00660414" w:rsidP="007613DE">
            <w:pPr>
              <w:spacing w:before="120"/>
              <w:rPr>
                <w:sz w:val="22"/>
                <w:szCs w:val="22"/>
              </w:rPr>
            </w:pPr>
            <w:r w:rsidRPr="00DE221F">
              <w:rPr>
                <w:sz w:val="22"/>
                <w:szCs w:val="22"/>
              </w:rPr>
              <w:t>(2020-25 projects combined)</w:t>
            </w:r>
          </w:p>
        </w:tc>
      </w:tr>
    </w:tbl>
    <w:p w:rsidR="00660414" w:rsidRPr="002D7EBD" w:rsidRDefault="00660414" w:rsidP="00660414">
      <w:pPr>
        <w:pStyle w:val="ListParagraph"/>
        <w:spacing w:before="120" w:after="120" w:line="276" w:lineRule="auto"/>
        <w:ind w:left="0"/>
        <w:rPr>
          <w:b/>
        </w:rPr>
      </w:pPr>
      <w:r w:rsidRPr="002D7EBD">
        <w:rPr>
          <w:b/>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vAlign w:val="center"/>
          </w:tcPr>
          <w:p w:rsidR="00660414" w:rsidRPr="00DE221F" w:rsidRDefault="00660414" w:rsidP="007613DE">
            <w:pPr>
              <w:spacing w:before="120"/>
              <w:jc w:val="center"/>
              <w:rPr>
                <w:sz w:val="22"/>
                <w:szCs w:val="22"/>
              </w:rPr>
            </w:pPr>
            <w:r>
              <w:rPr>
                <w:sz w:val="22"/>
                <w:szCs w:val="22"/>
              </w:rPr>
              <w:t>273,472,534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vAlign w:val="center"/>
          </w:tcPr>
          <w:p w:rsidR="00660414" w:rsidRPr="00DE221F" w:rsidRDefault="00660414" w:rsidP="007613DE">
            <w:pPr>
              <w:spacing w:before="120"/>
              <w:jc w:val="center"/>
              <w:rPr>
                <w:sz w:val="22"/>
                <w:szCs w:val="22"/>
              </w:rPr>
            </w:pPr>
            <w:r>
              <w:rPr>
                <w:sz w:val="22"/>
                <w:szCs w:val="22"/>
              </w:rPr>
              <w:t>1,017,104,744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vAlign w:val="center"/>
          </w:tcPr>
          <w:p w:rsidR="00660414" w:rsidRPr="00DE221F" w:rsidRDefault="00660414" w:rsidP="007613DE">
            <w:pPr>
              <w:spacing w:before="120"/>
              <w:jc w:val="center"/>
              <w:rPr>
                <w:sz w:val="22"/>
                <w:szCs w:val="22"/>
              </w:rPr>
            </w:pPr>
            <w:r>
              <w:rPr>
                <w:sz w:val="22"/>
                <w:szCs w:val="22"/>
              </w:rPr>
              <w:t>743,632,210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vAlign w:val="center"/>
          </w:tcPr>
          <w:p w:rsidR="00660414" w:rsidRPr="00DE221F" w:rsidRDefault="00660414" w:rsidP="007613DE">
            <w:pPr>
              <w:spacing w:before="120"/>
              <w:jc w:val="center"/>
              <w:rPr>
                <w:sz w:val="22"/>
                <w:szCs w:val="22"/>
              </w:rPr>
            </w:pPr>
            <w:r>
              <w:rPr>
                <w:sz w:val="22"/>
                <w:szCs w:val="22"/>
              </w:rPr>
              <w:t>3.72</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vAlign w:val="center"/>
          </w:tcPr>
          <w:p w:rsidR="00660414" w:rsidRPr="00DE221F" w:rsidRDefault="00660414" w:rsidP="007613DE">
            <w:pPr>
              <w:spacing w:before="120"/>
              <w:jc w:val="center"/>
              <w:rPr>
                <w:sz w:val="22"/>
                <w:szCs w:val="22"/>
              </w:rPr>
            </w:pPr>
            <w:r w:rsidRPr="00DE221F">
              <w:rPr>
                <w:sz w:val="22"/>
                <w:szCs w:val="22"/>
              </w:rPr>
              <w:t>12%</w:t>
            </w:r>
          </w:p>
        </w:tc>
      </w:tr>
    </w:tbl>
    <w:p w:rsidR="00660414" w:rsidRPr="00DE221F" w:rsidRDefault="00660414" w:rsidP="00660414">
      <w:pPr>
        <w:rPr>
          <w:sz w:val="22"/>
          <w:szCs w:val="22"/>
        </w:rPr>
      </w:pPr>
    </w:p>
    <w:p w:rsidR="00660414" w:rsidRPr="00DE221F" w:rsidRDefault="00660414" w:rsidP="00A4081F">
      <w:pPr>
        <w:pStyle w:val="NumberedParas"/>
      </w:pPr>
      <w:r w:rsidRPr="00DE221F">
        <w:t xml:space="preserve">In 2011 the airport handled 7,320,566 (649,682 domestic and 6,670,884 international) passengers per annum. If the upgrade programme is undertaken fully, passenger numbers could grow to 9,712,332 by 2020 (861,945 domestic and 8,850,387 international) and 12,033,753 by 2025 (1,067,966 domestic and 10,965,787 international). </w:t>
      </w:r>
    </w:p>
    <w:p w:rsidR="00660414" w:rsidRPr="00DE221F" w:rsidRDefault="00660414" w:rsidP="00660414">
      <w:pPr>
        <w:pStyle w:val="Frspaiere1"/>
      </w:pPr>
    </w:p>
    <w:p w:rsidR="00660414" w:rsidRPr="00074766" w:rsidRDefault="00660414" w:rsidP="00660414">
      <w:pPr>
        <w:pStyle w:val="ListParagraph"/>
        <w:spacing w:before="120" w:after="120" w:line="276" w:lineRule="auto"/>
        <w:ind w:left="0"/>
        <w:rPr>
          <w:b/>
          <w:sz w:val="22"/>
          <w:szCs w:val="22"/>
        </w:rPr>
      </w:pPr>
      <w:r w:rsidRPr="00074766">
        <w:rPr>
          <w:b/>
          <w:sz w:val="22"/>
          <w:szCs w:val="22"/>
        </w:rPr>
        <w:t>Implementing Organisation</w:t>
      </w:r>
    </w:p>
    <w:p w:rsidR="00660414" w:rsidRPr="00DE221F" w:rsidRDefault="00660414" w:rsidP="00A4081F">
      <w:pPr>
        <w:pStyle w:val="NumberedParas"/>
      </w:pPr>
      <w:r w:rsidRPr="00DE221F">
        <w:t>This scheme would be implemented by National Company Bucharest Airports.</w:t>
      </w:r>
    </w:p>
    <w:p w:rsidR="00660414" w:rsidRPr="00074766" w:rsidRDefault="00660414" w:rsidP="00660414">
      <w:pPr>
        <w:pStyle w:val="ListParagraph"/>
        <w:spacing w:before="120" w:after="120" w:line="276" w:lineRule="auto"/>
        <w:ind w:left="0"/>
        <w:rPr>
          <w:b/>
          <w:sz w:val="22"/>
          <w:szCs w:val="22"/>
        </w:rPr>
      </w:pPr>
      <w:r w:rsidRPr="00074766">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2608"/>
      </w:tblGrid>
      <w:tr w:rsidR="00660414" w:rsidRPr="00DE221F" w:rsidTr="007613DE">
        <w:tc>
          <w:tcPr>
            <w:tcW w:w="5920" w:type="dxa"/>
          </w:tcPr>
          <w:p w:rsidR="00660414" w:rsidRPr="00DE221F" w:rsidRDefault="00660414" w:rsidP="007613DE">
            <w:pPr>
              <w:rPr>
                <w:b/>
                <w:sz w:val="22"/>
                <w:szCs w:val="22"/>
              </w:rPr>
            </w:pPr>
            <w:r w:rsidRPr="00DE221F">
              <w:rPr>
                <w:b/>
                <w:sz w:val="22"/>
                <w:szCs w:val="22"/>
              </w:rPr>
              <w:t xml:space="preserve">Project </w:t>
            </w:r>
          </w:p>
        </w:tc>
        <w:tc>
          <w:tcPr>
            <w:tcW w:w="2608"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920" w:type="dxa"/>
          </w:tcPr>
          <w:p w:rsidR="00660414" w:rsidRPr="00DE221F" w:rsidRDefault="00660414" w:rsidP="007613DE">
            <w:pPr>
              <w:rPr>
                <w:sz w:val="22"/>
                <w:szCs w:val="22"/>
              </w:rPr>
            </w:pPr>
            <w:r w:rsidRPr="00DE221F">
              <w:rPr>
                <w:sz w:val="22"/>
                <w:szCs w:val="22"/>
              </w:rPr>
              <w:t>Develop passenger terminal</w:t>
            </w:r>
          </w:p>
        </w:tc>
        <w:tc>
          <w:tcPr>
            <w:tcW w:w="2608" w:type="dxa"/>
          </w:tcPr>
          <w:p w:rsidR="00660414" w:rsidRPr="00DE221F" w:rsidRDefault="00660414" w:rsidP="007613DE">
            <w:pPr>
              <w:rPr>
                <w:sz w:val="22"/>
                <w:szCs w:val="22"/>
              </w:rPr>
            </w:pPr>
            <w:r w:rsidRPr="00DE221F">
              <w:rPr>
                <w:sz w:val="22"/>
                <w:szCs w:val="22"/>
              </w:rPr>
              <w:t>2025</w:t>
            </w:r>
          </w:p>
        </w:tc>
      </w:tr>
      <w:tr w:rsidR="00660414" w:rsidRPr="00DE221F" w:rsidTr="007613DE">
        <w:tc>
          <w:tcPr>
            <w:tcW w:w="5920" w:type="dxa"/>
          </w:tcPr>
          <w:p w:rsidR="00660414" w:rsidRPr="00DE221F" w:rsidRDefault="00660414" w:rsidP="007613DE">
            <w:pPr>
              <w:rPr>
                <w:sz w:val="22"/>
                <w:szCs w:val="22"/>
              </w:rPr>
            </w:pPr>
            <w:r w:rsidRPr="00DE221F">
              <w:rPr>
                <w:sz w:val="22"/>
                <w:szCs w:val="22"/>
              </w:rPr>
              <w:t>Extension of apron space</w:t>
            </w:r>
          </w:p>
        </w:tc>
        <w:tc>
          <w:tcPr>
            <w:tcW w:w="2608" w:type="dxa"/>
          </w:tcPr>
          <w:p w:rsidR="00660414" w:rsidRPr="00DE221F" w:rsidRDefault="00660414" w:rsidP="007613DE">
            <w:pPr>
              <w:rPr>
                <w:sz w:val="22"/>
                <w:szCs w:val="22"/>
              </w:rPr>
            </w:pPr>
            <w:r w:rsidRPr="00DE221F">
              <w:rPr>
                <w:sz w:val="22"/>
                <w:szCs w:val="22"/>
              </w:rPr>
              <w:t>2020</w:t>
            </w:r>
          </w:p>
        </w:tc>
      </w:tr>
      <w:tr w:rsidR="00660414" w:rsidRPr="00DE221F" w:rsidTr="007613DE">
        <w:tc>
          <w:tcPr>
            <w:tcW w:w="5920" w:type="dxa"/>
          </w:tcPr>
          <w:p w:rsidR="00660414" w:rsidRPr="00DE221F" w:rsidRDefault="00660414" w:rsidP="007613DE">
            <w:pPr>
              <w:rPr>
                <w:sz w:val="22"/>
                <w:szCs w:val="22"/>
              </w:rPr>
            </w:pPr>
            <w:r w:rsidRPr="00DE221F">
              <w:rPr>
                <w:sz w:val="22"/>
                <w:szCs w:val="22"/>
              </w:rPr>
              <w:t>Extension taxiway and apron space</w:t>
            </w:r>
          </w:p>
        </w:tc>
        <w:tc>
          <w:tcPr>
            <w:tcW w:w="2608" w:type="dxa"/>
          </w:tcPr>
          <w:p w:rsidR="00660414" w:rsidRPr="00DE221F" w:rsidRDefault="00660414" w:rsidP="007613DE">
            <w:pPr>
              <w:rPr>
                <w:sz w:val="22"/>
                <w:szCs w:val="22"/>
              </w:rPr>
            </w:pPr>
            <w:r w:rsidRPr="00DE221F">
              <w:rPr>
                <w:sz w:val="22"/>
                <w:szCs w:val="22"/>
              </w:rPr>
              <w:t>2025</w:t>
            </w:r>
          </w:p>
        </w:tc>
      </w:tr>
      <w:tr w:rsidR="00660414" w:rsidRPr="00DE221F" w:rsidTr="007613DE">
        <w:tc>
          <w:tcPr>
            <w:tcW w:w="5920" w:type="dxa"/>
          </w:tcPr>
          <w:p w:rsidR="00660414" w:rsidRPr="00DE221F" w:rsidRDefault="00660414" w:rsidP="007613DE">
            <w:pPr>
              <w:rPr>
                <w:sz w:val="22"/>
                <w:szCs w:val="22"/>
              </w:rPr>
            </w:pPr>
            <w:r w:rsidRPr="00DE221F">
              <w:rPr>
                <w:sz w:val="22"/>
                <w:szCs w:val="22"/>
              </w:rPr>
              <w:t xml:space="preserve">Rehabilitation of aprons, taxiways and runways </w:t>
            </w:r>
          </w:p>
        </w:tc>
        <w:tc>
          <w:tcPr>
            <w:tcW w:w="2608" w:type="dxa"/>
          </w:tcPr>
          <w:p w:rsidR="00660414" w:rsidRPr="00DE221F" w:rsidRDefault="00660414" w:rsidP="007613DE">
            <w:pPr>
              <w:rPr>
                <w:sz w:val="22"/>
                <w:szCs w:val="22"/>
              </w:rPr>
            </w:pPr>
            <w:r w:rsidRPr="00DE221F">
              <w:rPr>
                <w:sz w:val="22"/>
                <w:szCs w:val="22"/>
              </w:rPr>
              <w:t>2020</w:t>
            </w:r>
          </w:p>
        </w:tc>
      </w:tr>
      <w:tr w:rsidR="00660414" w:rsidRPr="00DE221F" w:rsidTr="007613DE">
        <w:tc>
          <w:tcPr>
            <w:tcW w:w="5920" w:type="dxa"/>
          </w:tcPr>
          <w:p w:rsidR="00660414" w:rsidRPr="00DE221F" w:rsidRDefault="00660414" w:rsidP="007613DE">
            <w:pPr>
              <w:rPr>
                <w:sz w:val="22"/>
                <w:szCs w:val="22"/>
              </w:rPr>
            </w:pPr>
            <w:r w:rsidRPr="00DE221F">
              <w:rPr>
                <w:sz w:val="22"/>
                <w:szCs w:val="22"/>
              </w:rPr>
              <w:t>New ground transport system</w:t>
            </w:r>
          </w:p>
        </w:tc>
        <w:tc>
          <w:tcPr>
            <w:tcW w:w="2608" w:type="dxa"/>
          </w:tcPr>
          <w:p w:rsidR="00660414" w:rsidRPr="00DE221F" w:rsidRDefault="00660414" w:rsidP="007613DE">
            <w:pPr>
              <w:rPr>
                <w:sz w:val="22"/>
                <w:szCs w:val="22"/>
              </w:rPr>
            </w:pPr>
            <w:r w:rsidRPr="00DE221F">
              <w:rPr>
                <w:sz w:val="22"/>
                <w:szCs w:val="22"/>
              </w:rPr>
              <w:t>2020</w:t>
            </w:r>
          </w:p>
        </w:tc>
      </w:tr>
    </w:tbl>
    <w:p w:rsidR="00660414" w:rsidRPr="00DE221F" w:rsidRDefault="00660414" w:rsidP="00660414">
      <w:pPr>
        <w:rPr>
          <w:sz w:val="22"/>
          <w:szCs w:val="22"/>
        </w:rPr>
      </w:pPr>
    </w:p>
    <w:p w:rsidR="00660414" w:rsidRDefault="00660414" w:rsidP="00660414">
      <w:r>
        <w:br w:type="page"/>
      </w:r>
    </w:p>
    <w:p w:rsidR="00660414" w:rsidRPr="00DE221F" w:rsidRDefault="00660414" w:rsidP="00660414">
      <w:pPr>
        <w:pStyle w:val="Hdg3"/>
      </w:pPr>
      <w:r w:rsidRPr="00DE221F">
        <w:t>Upgrade programme for Craiova Airport</w:t>
      </w:r>
    </w:p>
    <w:p w:rsidR="00660414" w:rsidRPr="00074766" w:rsidRDefault="00660414" w:rsidP="00660414">
      <w:pPr>
        <w:tabs>
          <w:tab w:val="left" w:pos="1152"/>
        </w:tabs>
        <w:rPr>
          <w:b/>
          <w:sz w:val="22"/>
          <w:szCs w:val="22"/>
        </w:rPr>
      </w:pPr>
      <w:r w:rsidRPr="00DE221F">
        <w:rPr>
          <w:b/>
          <w:sz w:val="22"/>
          <w:szCs w:val="22"/>
        </w:rPr>
        <w:tab/>
      </w:r>
      <w:r w:rsidRPr="00074766">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According to the current airports classification system, Craiova Airport is classified as a Small Regional Airport but due to its location and catchment area might have the opportunity to grow into and International Hub Airport in future. The upgrade project for Craiova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 by 2020</w:t>
      </w:r>
    </w:p>
    <w:p w:rsidR="00660414" w:rsidRPr="00DE221F" w:rsidRDefault="00660414" w:rsidP="00273D5E">
      <w:pPr>
        <w:pStyle w:val="BulletLevel1"/>
      </w:pPr>
      <w:r w:rsidRPr="00DE221F">
        <w:t>Extension of passenger terminal by 2025</w:t>
      </w:r>
    </w:p>
    <w:p w:rsidR="00660414" w:rsidRPr="00DE221F" w:rsidRDefault="00660414" w:rsidP="00273D5E">
      <w:pPr>
        <w:pStyle w:val="BulletLevel1"/>
      </w:pPr>
      <w:r w:rsidRPr="00DE221F">
        <w:t>The extension of apron stands by 2020</w:t>
      </w:r>
    </w:p>
    <w:p w:rsidR="00660414" w:rsidRPr="00DE221F" w:rsidRDefault="00660414" w:rsidP="00273D5E">
      <w:pPr>
        <w:pStyle w:val="BulletLevel1"/>
      </w:pPr>
      <w:r w:rsidRPr="00DE221F">
        <w:t>The extension of apron stands by 2025</w:t>
      </w:r>
    </w:p>
    <w:p w:rsidR="00660414" w:rsidRPr="00DE221F" w:rsidRDefault="00660414" w:rsidP="00273D5E">
      <w:pPr>
        <w:pStyle w:val="BulletLevel1"/>
      </w:pPr>
      <w:r w:rsidRPr="00DE221F">
        <w:t>Analyse the opportunity to develop a cargo terminal</w:t>
      </w:r>
    </w:p>
    <w:p w:rsidR="00660414" w:rsidRPr="00DE221F" w:rsidRDefault="00660414" w:rsidP="00A4081F">
      <w:pPr>
        <w:pStyle w:val="NumberedParas"/>
      </w:pPr>
      <w:r w:rsidRPr="00DE221F">
        <w:t xml:space="preserve">Figure </w:t>
      </w:r>
      <w:r>
        <w:t>7.7</w:t>
      </w:r>
      <w:r w:rsidRPr="00DE221F">
        <w:t xml:space="preserve"> sets out the location of Craiova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772D96D9" wp14:editId="2B010941">
            <wp:extent cx="5257800" cy="369450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cstate="print"/>
                    <a:stretch>
                      <a:fillRect/>
                    </a:stretch>
                  </pic:blipFill>
                  <pic:spPr>
                    <a:xfrm>
                      <a:off x="0" y="0"/>
                      <a:ext cx="5263402" cy="3698439"/>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7.7</w:t>
      </w:r>
      <w:r w:rsidRPr="00DE221F">
        <w:rPr>
          <w:b/>
          <w:sz w:val="22"/>
          <w:szCs w:val="22"/>
        </w:rPr>
        <w:t>: Location of Craiova Airport</w:t>
      </w:r>
    </w:p>
    <w:p w:rsidR="00660414" w:rsidRDefault="00660414" w:rsidP="00660414">
      <w:pPr>
        <w:pStyle w:val="ListParagraph"/>
        <w:rPr>
          <w:i/>
        </w:rPr>
      </w:pPr>
    </w:p>
    <w:p w:rsidR="00660414" w:rsidRPr="00DE221F" w:rsidRDefault="00660414" w:rsidP="00660414">
      <w:pPr>
        <w:pStyle w:val="ListParagraph"/>
        <w:rPr>
          <w:i/>
        </w:rPr>
      </w:pPr>
    </w:p>
    <w:p w:rsidR="00660414" w:rsidRPr="00346877" w:rsidRDefault="00660414" w:rsidP="00660414">
      <w:pPr>
        <w:pStyle w:val="ListParagraph"/>
        <w:ind w:left="0"/>
        <w:rPr>
          <w:b/>
          <w:sz w:val="22"/>
          <w:szCs w:val="22"/>
        </w:rPr>
      </w:pPr>
      <w:r w:rsidRPr="00346877">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passenger terminal capacity by 2020</w:t>
      </w:r>
    </w:p>
    <w:p w:rsidR="00660414" w:rsidRPr="00DE221F" w:rsidRDefault="00660414" w:rsidP="00273D5E">
      <w:pPr>
        <w:pStyle w:val="BulletLevel1"/>
      </w:pPr>
      <w:r w:rsidRPr="00DE221F">
        <w:t>The airport will run out of apron capacity by 2020</w:t>
      </w:r>
    </w:p>
    <w:p w:rsidR="00660414" w:rsidRPr="00DE221F" w:rsidRDefault="00660414" w:rsidP="00273D5E">
      <w:pPr>
        <w:pStyle w:val="BulletLevel1"/>
      </w:pPr>
      <w:r w:rsidRPr="00DE221F">
        <w:t>International connectivity will generate increased freight flows.</w:t>
      </w:r>
    </w:p>
    <w:p w:rsidR="00660414" w:rsidRPr="00346877" w:rsidRDefault="00660414" w:rsidP="00660414">
      <w:pPr>
        <w:pStyle w:val="ListParagraph"/>
        <w:spacing w:before="120" w:after="120"/>
        <w:ind w:left="0"/>
        <w:rPr>
          <w:b/>
          <w:sz w:val="22"/>
          <w:szCs w:val="22"/>
        </w:rPr>
      </w:pPr>
      <w:r w:rsidRPr="00346877">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5"/>
        <w:gridCol w:w="6812"/>
      </w:tblGrid>
      <w:tr w:rsidR="00660414" w:rsidRPr="00DE221F" w:rsidTr="007613DE">
        <w:trPr>
          <w:cantSplit/>
          <w:tblHeader/>
        </w:trPr>
        <w:tc>
          <w:tcPr>
            <w:tcW w:w="1737" w:type="pct"/>
            <w:gridSpan w:val="2"/>
            <w:vAlign w:val="center"/>
          </w:tcPr>
          <w:p w:rsidR="00660414" w:rsidRPr="00DE221F" w:rsidRDefault="00660414" w:rsidP="007613DE">
            <w:pPr>
              <w:jc w:val="center"/>
              <w:rPr>
                <w:b/>
                <w:bCs/>
                <w:sz w:val="22"/>
                <w:szCs w:val="22"/>
              </w:rPr>
            </w:pPr>
            <w:r w:rsidRPr="00DE221F">
              <w:rPr>
                <w:b/>
                <w:bCs/>
                <w:sz w:val="22"/>
                <w:szCs w:val="22"/>
              </w:rPr>
              <w:t xml:space="preserve">Undiscounted costs </w:t>
            </w:r>
          </w:p>
          <w:p w:rsidR="00660414" w:rsidRPr="00DE221F" w:rsidRDefault="00660414" w:rsidP="007613DE">
            <w:pPr>
              <w:jc w:val="center"/>
              <w:rPr>
                <w:b/>
                <w:bCs/>
                <w:sz w:val="22"/>
                <w:szCs w:val="22"/>
              </w:rPr>
            </w:pPr>
            <w:r w:rsidRPr="00DE221F">
              <w:rPr>
                <w:b/>
                <w:bCs/>
                <w:sz w:val="22"/>
                <w:szCs w:val="22"/>
              </w:rPr>
              <w:t>(Million €, 2014 prices)</w:t>
            </w:r>
          </w:p>
        </w:tc>
        <w:tc>
          <w:tcPr>
            <w:tcW w:w="3263"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901" w:type="pct"/>
            <w:vAlign w:val="bottom"/>
          </w:tcPr>
          <w:p w:rsidR="00660414" w:rsidRPr="00DE221F" w:rsidRDefault="00660414" w:rsidP="007613DE">
            <w:pPr>
              <w:spacing w:before="120"/>
              <w:rPr>
                <w:sz w:val="22"/>
                <w:szCs w:val="22"/>
              </w:rPr>
            </w:pPr>
            <w:r w:rsidRPr="00DE221F">
              <w:rPr>
                <w:sz w:val="22"/>
                <w:szCs w:val="22"/>
              </w:rPr>
              <w:t xml:space="preserve">CAPEX </w:t>
            </w:r>
          </w:p>
        </w:tc>
        <w:tc>
          <w:tcPr>
            <w:tcW w:w="836" w:type="pct"/>
            <w:vAlign w:val="bottom"/>
          </w:tcPr>
          <w:p w:rsidR="00660414" w:rsidRPr="00DE221F" w:rsidRDefault="00660414" w:rsidP="007613DE">
            <w:pPr>
              <w:spacing w:before="120"/>
              <w:jc w:val="center"/>
              <w:rPr>
                <w:sz w:val="22"/>
                <w:szCs w:val="22"/>
              </w:rPr>
            </w:pPr>
            <w:r>
              <w:rPr>
                <w:sz w:val="22"/>
                <w:szCs w:val="22"/>
              </w:rPr>
              <w:t>17.3</w:t>
            </w:r>
          </w:p>
        </w:tc>
        <w:tc>
          <w:tcPr>
            <w:tcW w:w="3263" w:type="pct"/>
          </w:tcPr>
          <w:p w:rsidR="00660414" w:rsidRPr="00DE221F" w:rsidRDefault="00660414" w:rsidP="007613DE">
            <w:pPr>
              <w:spacing w:before="120"/>
              <w:rPr>
                <w:sz w:val="22"/>
                <w:szCs w:val="22"/>
              </w:rPr>
            </w:pPr>
            <w:r w:rsidRPr="00DE221F">
              <w:rPr>
                <w:sz w:val="22"/>
                <w:szCs w:val="22"/>
              </w:rPr>
              <w:t>Includes:</w:t>
            </w:r>
          </w:p>
          <w:p w:rsidR="00660414" w:rsidRPr="00DE221F" w:rsidRDefault="00660414" w:rsidP="007613DE">
            <w:pPr>
              <w:pStyle w:val="ListParagraph"/>
              <w:numPr>
                <w:ilvl w:val="0"/>
                <w:numId w:val="36"/>
              </w:numPr>
              <w:spacing w:before="120"/>
              <w:contextualSpacing/>
              <w:jc w:val="left"/>
            </w:pPr>
            <w:r>
              <w:t>Development of a new</w:t>
            </w:r>
            <w:r w:rsidRPr="00DE221F">
              <w:t xml:space="preserve"> passenger terminal</w:t>
            </w:r>
          </w:p>
          <w:p w:rsidR="00660414" w:rsidRPr="00DE221F" w:rsidRDefault="00660414" w:rsidP="007613DE">
            <w:pPr>
              <w:pStyle w:val="ListParagraph"/>
              <w:numPr>
                <w:ilvl w:val="0"/>
                <w:numId w:val="36"/>
              </w:numPr>
              <w:spacing w:before="120"/>
              <w:contextualSpacing/>
              <w:jc w:val="left"/>
            </w:pPr>
            <w:r w:rsidRPr="00DE221F">
              <w:t>Extension of existing apron stands</w:t>
            </w:r>
          </w:p>
          <w:p w:rsidR="00660414" w:rsidRPr="00DE221F" w:rsidRDefault="00660414" w:rsidP="007613DE">
            <w:pPr>
              <w:pStyle w:val="ListParagraph"/>
              <w:numPr>
                <w:ilvl w:val="0"/>
                <w:numId w:val="36"/>
              </w:numPr>
              <w:spacing w:before="120"/>
              <w:contextualSpacing/>
              <w:jc w:val="left"/>
            </w:pPr>
            <w:r w:rsidRPr="00DE221F">
              <w:t>Feasibility of developing a cargo terminal</w:t>
            </w:r>
          </w:p>
        </w:tc>
      </w:tr>
      <w:tr w:rsidR="00660414" w:rsidRPr="00DE221F" w:rsidTr="007613DE">
        <w:trPr>
          <w:cantSplit/>
        </w:trPr>
        <w:tc>
          <w:tcPr>
            <w:tcW w:w="901" w:type="pct"/>
            <w:vAlign w:val="bottom"/>
          </w:tcPr>
          <w:p w:rsidR="00660414" w:rsidRPr="00DE221F" w:rsidRDefault="00660414" w:rsidP="007613DE">
            <w:pPr>
              <w:spacing w:before="120"/>
              <w:rPr>
                <w:sz w:val="22"/>
                <w:szCs w:val="22"/>
              </w:rPr>
            </w:pPr>
            <w:r w:rsidRPr="00DE221F">
              <w:rPr>
                <w:sz w:val="22"/>
                <w:szCs w:val="22"/>
              </w:rPr>
              <w:t xml:space="preserve">OPEX </w:t>
            </w:r>
          </w:p>
        </w:tc>
        <w:tc>
          <w:tcPr>
            <w:tcW w:w="836" w:type="pct"/>
            <w:vAlign w:val="bottom"/>
          </w:tcPr>
          <w:p w:rsidR="00660414" w:rsidRPr="00DE221F" w:rsidRDefault="00660414" w:rsidP="007613DE">
            <w:pPr>
              <w:spacing w:before="120"/>
              <w:jc w:val="center"/>
              <w:rPr>
                <w:sz w:val="22"/>
                <w:szCs w:val="22"/>
              </w:rPr>
            </w:pPr>
            <w:r>
              <w:rPr>
                <w:sz w:val="22"/>
                <w:szCs w:val="22"/>
              </w:rPr>
              <w:t>0.9</w:t>
            </w:r>
          </w:p>
        </w:tc>
        <w:tc>
          <w:tcPr>
            <w:tcW w:w="3263" w:type="pct"/>
          </w:tcPr>
          <w:p w:rsidR="00660414" w:rsidRPr="00DE221F" w:rsidRDefault="00660414" w:rsidP="007613DE">
            <w:pPr>
              <w:spacing w:before="120"/>
              <w:rPr>
                <w:sz w:val="22"/>
                <w:szCs w:val="22"/>
              </w:rPr>
            </w:pPr>
            <w:r w:rsidRPr="00DE221F">
              <w:rPr>
                <w:sz w:val="22"/>
                <w:szCs w:val="22"/>
              </w:rPr>
              <w:t xml:space="preserve">Additional operating costs </w:t>
            </w:r>
          </w:p>
        </w:tc>
      </w:tr>
      <w:tr w:rsidR="00660414" w:rsidRPr="00DE221F" w:rsidTr="007613DE">
        <w:trPr>
          <w:cantSplit/>
        </w:trPr>
        <w:tc>
          <w:tcPr>
            <w:tcW w:w="901" w:type="pct"/>
          </w:tcPr>
          <w:p w:rsidR="00660414" w:rsidRPr="00DE221F" w:rsidRDefault="00660414" w:rsidP="007613DE">
            <w:pPr>
              <w:spacing w:before="120"/>
              <w:rPr>
                <w:sz w:val="22"/>
                <w:szCs w:val="22"/>
              </w:rPr>
            </w:pPr>
            <w:r w:rsidRPr="00DE221F">
              <w:rPr>
                <w:sz w:val="22"/>
                <w:szCs w:val="22"/>
              </w:rPr>
              <w:t xml:space="preserve">Total </w:t>
            </w:r>
          </w:p>
        </w:tc>
        <w:tc>
          <w:tcPr>
            <w:tcW w:w="836" w:type="pct"/>
          </w:tcPr>
          <w:p w:rsidR="00660414" w:rsidRPr="00DE221F" w:rsidRDefault="00660414" w:rsidP="007613DE">
            <w:pPr>
              <w:spacing w:before="120"/>
              <w:jc w:val="center"/>
              <w:rPr>
                <w:b/>
                <w:sz w:val="22"/>
                <w:szCs w:val="22"/>
              </w:rPr>
            </w:pPr>
            <w:r>
              <w:rPr>
                <w:b/>
                <w:sz w:val="22"/>
                <w:szCs w:val="22"/>
              </w:rPr>
              <w:t>18.2</w:t>
            </w:r>
          </w:p>
        </w:tc>
        <w:tc>
          <w:tcPr>
            <w:tcW w:w="3263" w:type="pct"/>
          </w:tcPr>
          <w:p w:rsidR="00660414" w:rsidRPr="00DE221F" w:rsidRDefault="00660414" w:rsidP="007613DE">
            <w:pPr>
              <w:spacing w:before="120"/>
              <w:rPr>
                <w:sz w:val="22"/>
                <w:szCs w:val="22"/>
              </w:rPr>
            </w:pPr>
            <w:r w:rsidRPr="00DE221F">
              <w:rPr>
                <w:sz w:val="22"/>
                <w:szCs w:val="22"/>
              </w:rPr>
              <w:t>(2020-2025 projects combined)</w:t>
            </w:r>
          </w:p>
        </w:tc>
      </w:tr>
    </w:tbl>
    <w:p w:rsidR="00660414" w:rsidRPr="00DE221F" w:rsidRDefault="00660414" w:rsidP="00660414">
      <w:pPr>
        <w:pStyle w:val="ListParagraph"/>
      </w:pPr>
    </w:p>
    <w:p w:rsidR="00660414" w:rsidRPr="00681D68" w:rsidRDefault="00660414" w:rsidP="00660414">
      <w:pPr>
        <w:pStyle w:val="ListParagraph"/>
        <w:ind w:left="0"/>
        <w:rPr>
          <w:b/>
          <w:sz w:val="22"/>
          <w:szCs w:val="22"/>
        </w:rPr>
      </w:pPr>
      <w:r w:rsidRPr="00681D68">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71729" w:rsidRDefault="00660414" w:rsidP="007613DE">
            <w:pPr>
              <w:jc w:val="right"/>
              <w:rPr>
                <w:color w:val="000000"/>
                <w:sz w:val="22"/>
                <w:szCs w:val="22"/>
              </w:rPr>
            </w:pPr>
            <w:r w:rsidRPr="008C5B1B">
              <w:rPr>
                <w:sz w:val="22"/>
                <w:szCs w:val="22"/>
              </w:rPr>
              <w:t>21,908,810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71729" w:rsidRDefault="00660414" w:rsidP="007613DE">
            <w:pPr>
              <w:jc w:val="right"/>
              <w:rPr>
                <w:color w:val="000000"/>
                <w:sz w:val="22"/>
                <w:szCs w:val="22"/>
              </w:rPr>
            </w:pPr>
            <w:r w:rsidRPr="008C5B1B">
              <w:rPr>
                <w:sz w:val="22"/>
                <w:szCs w:val="22"/>
              </w:rPr>
              <w:t>248,711,856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71729" w:rsidRDefault="00660414" w:rsidP="007613DE">
            <w:pPr>
              <w:jc w:val="right"/>
              <w:rPr>
                <w:color w:val="000000"/>
                <w:sz w:val="22"/>
                <w:szCs w:val="22"/>
              </w:rPr>
            </w:pPr>
            <w:r w:rsidRPr="008C5B1B">
              <w:rPr>
                <w:sz w:val="22"/>
                <w:szCs w:val="22"/>
              </w:rPr>
              <w:t>226,803,046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71729" w:rsidRDefault="00660414" w:rsidP="007613DE">
            <w:pPr>
              <w:jc w:val="right"/>
              <w:rPr>
                <w:bCs/>
                <w:sz w:val="22"/>
                <w:szCs w:val="22"/>
              </w:rPr>
            </w:pPr>
            <w:r w:rsidRPr="008C5B1B">
              <w:rPr>
                <w:sz w:val="22"/>
                <w:szCs w:val="22"/>
              </w:rPr>
              <w:t>11.35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71729" w:rsidRDefault="00660414" w:rsidP="007613DE">
            <w:pPr>
              <w:jc w:val="right"/>
              <w:rPr>
                <w:color w:val="000000"/>
                <w:sz w:val="22"/>
                <w:szCs w:val="22"/>
              </w:rPr>
            </w:pPr>
            <w:r w:rsidRPr="008C5B1B">
              <w:rPr>
                <w:sz w:val="22"/>
                <w:szCs w:val="22"/>
              </w:rPr>
              <w:t>40.3%</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31,269 (19,397 domestic and 11,872 international) passengers per annum. If the upgrade programme is undertaken fully, passenger numbers could grow to 2,012,088 by 2020 (437,186 domestic and 1,574,902 international) and 2,555,876 by 2025 (555,340 domestic and 2,000,536 international). </w:t>
      </w:r>
    </w:p>
    <w:p w:rsidR="00660414" w:rsidRPr="00DE221F" w:rsidRDefault="00660414" w:rsidP="00660414">
      <w:pPr>
        <w:pStyle w:val="Frspaiere1"/>
        <w:rPr>
          <w:color w:val="000000"/>
          <w:lang w:eastAsia="en-GB"/>
        </w:rPr>
      </w:pPr>
      <w:r w:rsidRPr="00DE221F">
        <w:t>Note: When the BCR is set to 3, the total annual passenger demand is 340,624 (74,011 domestic and 266,613 international) by 2020.</w:t>
      </w:r>
    </w:p>
    <w:p w:rsidR="00660414" w:rsidRPr="00681D68" w:rsidRDefault="00660414" w:rsidP="00660414">
      <w:pPr>
        <w:pStyle w:val="ListParagraph"/>
        <w:spacing w:before="120" w:after="120" w:line="276" w:lineRule="auto"/>
        <w:ind w:left="0"/>
        <w:rPr>
          <w:b/>
          <w:sz w:val="22"/>
          <w:szCs w:val="22"/>
        </w:rPr>
      </w:pPr>
      <w:r w:rsidRPr="00681D68">
        <w:rPr>
          <w:b/>
          <w:sz w:val="22"/>
          <w:szCs w:val="22"/>
        </w:rPr>
        <w:t>Implementing Organisations</w:t>
      </w:r>
    </w:p>
    <w:p w:rsidR="00660414" w:rsidRPr="00DE221F" w:rsidRDefault="00660414" w:rsidP="00A4081F">
      <w:pPr>
        <w:pStyle w:val="NumberedParas"/>
      </w:pPr>
      <w:r w:rsidRPr="00DE221F">
        <w:t xml:space="preserve">This project would be implemented by Craiova Airport / Craiova Local Authority. </w:t>
      </w:r>
    </w:p>
    <w:p w:rsidR="00660414" w:rsidRPr="00681D68" w:rsidRDefault="00660414" w:rsidP="00660414">
      <w:pPr>
        <w:pStyle w:val="ListParagraph"/>
        <w:spacing w:before="120" w:after="120" w:line="276" w:lineRule="auto"/>
        <w:ind w:left="0"/>
        <w:rPr>
          <w:b/>
          <w:sz w:val="22"/>
          <w:szCs w:val="22"/>
        </w:rPr>
      </w:pPr>
      <w:r w:rsidRPr="00681D68">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rPr>
          <w:tblHeader/>
        </w:trPr>
        <w:tc>
          <w:tcPr>
            <w:tcW w:w="5778" w:type="dxa"/>
          </w:tcPr>
          <w:p w:rsidR="00660414" w:rsidRPr="00DE221F" w:rsidRDefault="00660414" w:rsidP="007613DE">
            <w:pPr>
              <w:rPr>
                <w:b/>
                <w:sz w:val="22"/>
                <w:szCs w:val="22"/>
                <w:highlight w:val="yellow"/>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highlight w:val="yellow"/>
              </w:rPr>
            </w:pPr>
            <w:r w:rsidRPr="00DE221F">
              <w:rPr>
                <w:sz w:val="22"/>
                <w:szCs w:val="22"/>
              </w:rPr>
              <w:t xml:space="preserve">Extension of passenger terminal </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passenger terminal </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apron </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apron </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opportunity to develop a cargo terminal</w:t>
            </w:r>
          </w:p>
        </w:tc>
        <w:tc>
          <w:tcPr>
            <w:tcW w:w="2750" w:type="dxa"/>
          </w:tcPr>
          <w:p w:rsidR="00660414" w:rsidRPr="00DE221F" w:rsidRDefault="00660414" w:rsidP="007613DE">
            <w:pPr>
              <w:rPr>
                <w:sz w:val="22"/>
                <w:szCs w:val="22"/>
              </w:rPr>
            </w:pPr>
            <w:r w:rsidRPr="00DE221F">
              <w:rPr>
                <w:sz w:val="22"/>
                <w:szCs w:val="22"/>
              </w:rPr>
              <w:t>2020</w:t>
            </w:r>
          </w:p>
        </w:tc>
      </w:tr>
    </w:tbl>
    <w:p w:rsidR="00660414" w:rsidRPr="004C6745" w:rsidRDefault="00660414" w:rsidP="00660414">
      <w:pPr>
        <w:ind w:left="567"/>
      </w:pPr>
    </w:p>
    <w:p w:rsidR="00660414" w:rsidRDefault="00660414" w:rsidP="00660414">
      <w:pPr>
        <w:rPr>
          <w:i/>
          <w:sz w:val="22"/>
          <w:szCs w:val="22"/>
        </w:rPr>
      </w:pPr>
      <w:r>
        <w:br w:type="page"/>
      </w:r>
    </w:p>
    <w:p w:rsidR="00660414" w:rsidRPr="00DE221F" w:rsidRDefault="00660414" w:rsidP="00660414">
      <w:pPr>
        <w:pStyle w:val="Hdg3"/>
      </w:pPr>
      <w:r w:rsidRPr="00DE221F">
        <w:t>Upgrade programme for Timisoara Airport</w:t>
      </w:r>
    </w:p>
    <w:p w:rsidR="00660414" w:rsidRPr="00681D68" w:rsidRDefault="00660414" w:rsidP="00660414">
      <w:pPr>
        <w:rPr>
          <w:b/>
          <w:sz w:val="22"/>
          <w:szCs w:val="22"/>
        </w:rPr>
      </w:pPr>
      <w:r w:rsidRPr="00DE221F">
        <w:rPr>
          <w:b/>
          <w:sz w:val="22"/>
          <w:szCs w:val="22"/>
        </w:rPr>
        <w:tab/>
      </w:r>
      <w:r w:rsidRPr="00681D68">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Timisoara Airport is classified as a International Hub Airport. The upgrade project for Timisoara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 by 2020</w:t>
      </w:r>
    </w:p>
    <w:p w:rsidR="00660414" w:rsidRPr="00DE221F" w:rsidRDefault="00660414" w:rsidP="00273D5E">
      <w:pPr>
        <w:pStyle w:val="BulletLevel1"/>
      </w:pPr>
      <w:r w:rsidRPr="00DE221F">
        <w:t>Extension of passenger terminal by 2025</w:t>
      </w:r>
    </w:p>
    <w:p w:rsidR="00660414" w:rsidRPr="00DE221F" w:rsidRDefault="00660414" w:rsidP="00273D5E">
      <w:pPr>
        <w:pStyle w:val="BulletLevel1"/>
      </w:pPr>
      <w:r w:rsidRPr="00DE221F">
        <w:t>Analyse the opportunity to develop a cargo terminal</w:t>
      </w:r>
    </w:p>
    <w:p w:rsidR="00660414" w:rsidRPr="00DE221F" w:rsidRDefault="00660414" w:rsidP="00A4081F">
      <w:pPr>
        <w:pStyle w:val="NumberedParas"/>
      </w:pPr>
      <w:r w:rsidRPr="00DE221F">
        <w:t xml:space="preserve">Figure </w:t>
      </w:r>
      <w:r>
        <w:t>7.8</w:t>
      </w:r>
      <w:r w:rsidRPr="00DE221F">
        <w:t xml:space="preserve"> sets out the location of Timisoara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29A046F9" wp14:editId="04CF78FB">
            <wp:extent cx="4505325" cy="315950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cstate="print"/>
                    <a:stretch>
                      <a:fillRect/>
                    </a:stretch>
                  </pic:blipFill>
                  <pic:spPr>
                    <a:xfrm>
                      <a:off x="0" y="0"/>
                      <a:ext cx="4505325" cy="3159504"/>
                    </a:xfrm>
                    <a:prstGeom prst="rect">
                      <a:avLst/>
                    </a:prstGeom>
                  </pic:spPr>
                </pic:pic>
              </a:graphicData>
            </a:graphic>
          </wp:inline>
        </w:drawing>
      </w:r>
    </w:p>
    <w:p w:rsidR="00660414" w:rsidRPr="008C5B1B" w:rsidRDefault="00660414" w:rsidP="00660414">
      <w:pPr>
        <w:rPr>
          <w:b/>
          <w:sz w:val="22"/>
          <w:szCs w:val="22"/>
        </w:rPr>
      </w:pPr>
      <w:r w:rsidRPr="00DE221F">
        <w:rPr>
          <w:b/>
          <w:sz w:val="22"/>
          <w:szCs w:val="22"/>
        </w:rPr>
        <w:t xml:space="preserve">Figure </w:t>
      </w:r>
      <w:r>
        <w:rPr>
          <w:b/>
          <w:sz w:val="22"/>
          <w:szCs w:val="22"/>
        </w:rPr>
        <w:t>7.8</w:t>
      </w:r>
      <w:r w:rsidRPr="00DE221F">
        <w:rPr>
          <w:b/>
          <w:sz w:val="22"/>
          <w:szCs w:val="22"/>
        </w:rPr>
        <w:t>: Location of Timisoara Airport</w:t>
      </w:r>
    </w:p>
    <w:p w:rsidR="00660414" w:rsidRDefault="00660414" w:rsidP="00660414">
      <w:pPr>
        <w:rPr>
          <w:b/>
          <w:sz w:val="22"/>
          <w:szCs w:val="22"/>
        </w:rPr>
      </w:pPr>
    </w:p>
    <w:p w:rsidR="00660414" w:rsidRPr="002D7EBD" w:rsidRDefault="00660414" w:rsidP="00660414">
      <w:pPr>
        <w:rPr>
          <w:b/>
          <w:sz w:val="22"/>
          <w:szCs w:val="22"/>
        </w:rPr>
      </w:pPr>
      <w:r w:rsidRPr="002D7EBD">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terminal capacity by 2020</w:t>
      </w:r>
    </w:p>
    <w:p w:rsidR="00660414" w:rsidRPr="00DE221F" w:rsidRDefault="00660414" w:rsidP="00273D5E">
      <w:pPr>
        <w:pStyle w:val="BulletLevel1"/>
      </w:pPr>
      <w:r w:rsidRPr="00DE221F">
        <w:t>International connectivity will generate increased freight flows.</w:t>
      </w:r>
    </w:p>
    <w:p w:rsidR="00660414" w:rsidRPr="00681D68" w:rsidRDefault="00660414" w:rsidP="00660414">
      <w:pPr>
        <w:spacing w:before="120" w:after="120" w:line="276" w:lineRule="auto"/>
        <w:rPr>
          <w:b/>
          <w:sz w:val="22"/>
          <w:szCs w:val="22"/>
        </w:rPr>
      </w:pPr>
      <w:r w:rsidRPr="00681D68">
        <w:rPr>
          <w:b/>
          <w:sz w:val="22"/>
          <w:szCs w:val="22"/>
        </w:rPr>
        <w:t>Undiscounted Costs</w:t>
      </w:r>
    </w:p>
    <w:p w:rsidR="00660414" w:rsidRPr="00DE221F" w:rsidRDefault="00660414" w:rsidP="00A4081F">
      <w:pPr>
        <w:pStyle w:val="NumberedParas"/>
      </w:pPr>
      <w:r w:rsidRPr="00DE221F">
        <w:t>It has been estimated that the project will incur in the following costs</w:t>
      </w:r>
    </w:p>
    <w:p w:rsidR="00660414" w:rsidRPr="00DE221F" w:rsidRDefault="00660414" w:rsidP="00660414">
      <w:pPr>
        <w:rPr>
          <w:i/>
          <w:sz w:val="22"/>
          <w:szCs w:val="22"/>
        </w:rPr>
      </w:pP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574"/>
        <w:gridCol w:w="6983"/>
      </w:tblGrid>
      <w:tr w:rsidR="00660414" w:rsidRPr="00DE221F" w:rsidTr="007613DE">
        <w:trPr>
          <w:cantSplit/>
          <w:tblHeader/>
        </w:trPr>
        <w:tc>
          <w:tcPr>
            <w:tcW w:w="1654" w:type="pct"/>
            <w:gridSpan w:val="2"/>
            <w:vAlign w:val="center"/>
          </w:tcPr>
          <w:p w:rsidR="00660414" w:rsidRPr="00DE221F" w:rsidRDefault="00660414" w:rsidP="007613DE">
            <w:pPr>
              <w:rPr>
                <w:b/>
                <w:bCs/>
                <w:sz w:val="22"/>
                <w:szCs w:val="22"/>
              </w:rPr>
            </w:pPr>
            <w:r w:rsidRPr="00DE221F">
              <w:rPr>
                <w:b/>
                <w:bCs/>
                <w:sz w:val="22"/>
                <w:szCs w:val="22"/>
              </w:rPr>
              <w:t>Undiscounted costs (Million €, 2014 prices)</w:t>
            </w:r>
          </w:p>
        </w:tc>
        <w:tc>
          <w:tcPr>
            <w:tcW w:w="3346"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901" w:type="pct"/>
            <w:vAlign w:val="bottom"/>
          </w:tcPr>
          <w:p w:rsidR="00660414" w:rsidRPr="00DE221F" w:rsidRDefault="00660414" w:rsidP="007613DE">
            <w:pPr>
              <w:rPr>
                <w:sz w:val="22"/>
                <w:szCs w:val="22"/>
              </w:rPr>
            </w:pPr>
            <w:r w:rsidRPr="00DE221F">
              <w:rPr>
                <w:sz w:val="22"/>
                <w:szCs w:val="22"/>
              </w:rPr>
              <w:t xml:space="preserve">CAPEX </w:t>
            </w:r>
          </w:p>
        </w:tc>
        <w:tc>
          <w:tcPr>
            <w:tcW w:w="754" w:type="pct"/>
            <w:vAlign w:val="bottom"/>
          </w:tcPr>
          <w:p w:rsidR="00660414" w:rsidRPr="00DE221F" w:rsidRDefault="00660414" w:rsidP="007613DE">
            <w:pPr>
              <w:rPr>
                <w:sz w:val="22"/>
                <w:szCs w:val="22"/>
              </w:rPr>
            </w:pPr>
            <w:r>
              <w:rPr>
                <w:sz w:val="22"/>
                <w:szCs w:val="22"/>
              </w:rPr>
              <w:t>76.5</w:t>
            </w:r>
          </w:p>
        </w:tc>
        <w:tc>
          <w:tcPr>
            <w:tcW w:w="3346"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37"/>
              </w:numPr>
              <w:contextualSpacing/>
            </w:pPr>
            <w:r>
              <w:t>Development of a new</w:t>
            </w:r>
            <w:r w:rsidRPr="00DE221F">
              <w:t xml:space="preserve"> passenger terminal</w:t>
            </w:r>
          </w:p>
          <w:p w:rsidR="00660414" w:rsidRPr="00DE221F" w:rsidRDefault="00660414" w:rsidP="007613DE">
            <w:pPr>
              <w:pStyle w:val="ListParagraph"/>
              <w:numPr>
                <w:ilvl w:val="0"/>
                <w:numId w:val="37"/>
              </w:numPr>
              <w:contextualSpacing/>
            </w:pPr>
            <w:r w:rsidRPr="00DE221F">
              <w:t>Feasibility of developing a cargo terminal</w:t>
            </w:r>
          </w:p>
        </w:tc>
      </w:tr>
      <w:tr w:rsidR="00660414" w:rsidRPr="00DE221F" w:rsidTr="007613DE">
        <w:trPr>
          <w:cantSplit/>
        </w:trPr>
        <w:tc>
          <w:tcPr>
            <w:tcW w:w="901" w:type="pct"/>
            <w:vAlign w:val="bottom"/>
          </w:tcPr>
          <w:p w:rsidR="00660414" w:rsidRPr="00DE221F" w:rsidRDefault="00660414" w:rsidP="007613DE">
            <w:pPr>
              <w:rPr>
                <w:sz w:val="22"/>
                <w:szCs w:val="22"/>
              </w:rPr>
            </w:pPr>
            <w:r w:rsidRPr="00DE221F">
              <w:rPr>
                <w:sz w:val="22"/>
                <w:szCs w:val="22"/>
              </w:rPr>
              <w:t xml:space="preserve">OPEX </w:t>
            </w:r>
          </w:p>
        </w:tc>
        <w:tc>
          <w:tcPr>
            <w:tcW w:w="754" w:type="pct"/>
            <w:vAlign w:val="bottom"/>
          </w:tcPr>
          <w:p w:rsidR="00660414" w:rsidRPr="00DE221F" w:rsidRDefault="00660414" w:rsidP="007613DE">
            <w:pPr>
              <w:rPr>
                <w:sz w:val="22"/>
                <w:szCs w:val="22"/>
              </w:rPr>
            </w:pPr>
            <w:r w:rsidRPr="00DE221F">
              <w:rPr>
                <w:sz w:val="22"/>
                <w:szCs w:val="22"/>
              </w:rPr>
              <w:t>4</w:t>
            </w:r>
          </w:p>
        </w:tc>
        <w:tc>
          <w:tcPr>
            <w:tcW w:w="3346"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901" w:type="pct"/>
          </w:tcPr>
          <w:p w:rsidR="00660414" w:rsidRPr="00DE221F" w:rsidRDefault="00660414" w:rsidP="007613DE">
            <w:pPr>
              <w:rPr>
                <w:sz w:val="22"/>
                <w:szCs w:val="22"/>
              </w:rPr>
            </w:pPr>
            <w:r w:rsidRPr="00DE221F">
              <w:rPr>
                <w:sz w:val="22"/>
                <w:szCs w:val="22"/>
              </w:rPr>
              <w:t xml:space="preserve">Total </w:t>
            </w:r>
          </w:p>
        </w:tc>
        <w:tc>
          <w:tcPr>
            <w:tcW w:w="754" w:type="pct"/>
          </w:tcPr>
          <w:p w:rsidR="00660414" w:rsidRPr="00DE221F" w:rsidRDefault="00660414" w:rsidP="007613DE">
            <w:pPr>
              <w:rPr>
                <w:b/>
                <w:sz w:val="22"/>
                <w:szCs w:val="22"/>
              </w:rPr>
            </w:pPr>
            <w:r>
              <w:rPr>
                <w:b/>
                <w:sz w:val="22"/>
                <w:szCs w:val="22"/>
              </w:rPr>
              <w:t>80.4</w:t>
            </w:r>
          </w:p>
        </w:tc>
        <w:tc>
          <w:tcPr>
            <w:tcW w:w="3346" w:type="pct"/>
          </w:tcPr>
          <w:p w:rsidR="00660414" w:rsidRPr="00DE221F" w:rsidRDefault="00660414" w:rsidP="007613DE">
            <w:pPr>
              <w:rPr>
                <w:sz w:val="22"/>
                <w:szCs w:val="22"/>
              </w:rPr>
            </w:pPr>
            <w:r w:rsidRPr="00DE221F">
              <w:rPr>
                <w:sz w:val="22"/>
                <w:szCs w:val="22"/>
              </w:rPr>
              <w:t>(2020-2025 projects combined)</w:t>
            </w:r>
          </w:p>
        </w:tc>
      </w:tr>
    </w:tbl>
    <w:p w:rsidR="00660414" w:rsidRPr="00DE221F" w:rsidRDefault="00660414" w:rsidP="00660414">
      <w:pPr>
        <w:rPr>
          <w:sz w:val="22"/>
          <w:szCs w:val="22"/>
        </w:rPr>
      </w:pPr>
    </w:p>
    <w:p w:rsidR="00660414" w:rsidRPr="00681D68" w:rsidRDefault="00660414" w:rsidP="00660414">
      <w:pPr>
        <w:rPr>
          <w:b/>
          <w:sz w:val="22"/>
          <w:szCs w:val="22"/>
        </w:rPr>
      </w:pPr>
      <w:r w:rsidRPr="00681D68">
        <w:rPr>
          <w:b/>
          <w:sz w:val="22"/>
          <w:szCs w:val="22"/>
        </w:rPr>
        <w:t>Outcomes</w:t>
      </w:r>
    </w:p>
    <w:p w:rsidR="00660414" w:rsidRPr="002D7EBD" w:rsidRDefault="00660414" w:rsidP="00660414">
      <w:pPr>
        <w:rPr>
          <w:b/>
          <w:sz w:val="22"/>
          <w:szCs w:val="22"/>
        </w:rPr>
      </w:pP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71729" w:rsidRDefault="00660414" w:rsidP="007613DE">
            <w:pPr>
              <w:jc w:val="right"/>
              <w:rPr>
                <w:color w:val="000000"/>
                <w:sz w:val="22"/>
                <w:szCs w:val="22"/>
              </w:rPr>
            </w:pPr>
            <w:r w:rsidRPr="008C5B1B">
              <w:rPr>
                <w:sz w:val="22"/>
                <w:szCs w:val="22"/>
              </w:rPr>
              <w:t>98,719,402</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71729" w:rsidRDefault="00660414" w:rsidP="007613DE">
            <w:pPr>
              <w:jc w:val="right"/>
              <w:rPr>
                <w:color w:val="000000"/>
                <w:sz w:val="22"/>
                <w:szCs w:val="22"/>
              </w:rPr>
            </w:pPr>
            <w:r w:rsidRPr="008C5B1B">
              <w:rPr>
                <w:sz w:val="22"/>
                <w:szCs w:val="22"/>
              </w:rPr>
              <w:t>165,568,470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71729" w:rsidRDefault="00660414" w:rsidP="007613DE">
            <w:pPr>
              <w:jc w:val="right"/>
              <w:rPr>
                <w:color w:val="000000"/>
                <w:sz w:val="22"/>
                <w:szCs w:val="22"/>
              </w:rPr>
            </w:pPr>
            <w:r w:rsidRPr="008C5B1B">
              <w:rPr>
                <w:sz w:val="22"/>
                <w:szCs w:val="22"/>
              </w:rPr>
              <w:t>66,849,068</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71729" w:rsidRDefault="00660414" w:rsidP="007613DE">
            <w:pPr>
              <w:jc w:val="right"/>
              <w:rPr>
                <w:color w:val="000000"/>
                <w:sz w:val="22"/>
                <w:szCs w:val="22"/>
              </w:rPr>
            </w:pPr>
            <w:r w:rsidRPr="008C5B1B">
              <w:rPr>
                <w:sz w:val="22"/>
                <w:szCs w:val="22"/>
              </w:rPr>
              <w:t>1.68</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71729" w:rsidRDefault="00660414" w:rsidP="007613DE">
            <w:pPr>
              <w:jc w:val="right"/>
              <w:rPr>
                <w:color w:val="000000"/>
                <w:sz w:val="22"/>
                <w:szCs w:val="22"/>
              </w:rPr>
            </w:pPr>
            <w:r w:rsidRPr="008C5B1B">
              <w:rPr>
                <w:sz w:val="22"/>
                <w:szCs w:val="22"/>
              </w:rPr>
              <w:t>5.8%</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1,356,019 (336,152 domestic and 1,019,867 international) passengers per annum. If the upgrade programme is undertaken fully, passenger numbers could grow to 1,793,844 by 2020 (444,687 domestic and 1,349,157 international) and 2,216,900 by 2025 (549,561 domestic and 1,667,339 international). </w:t>
      </w:r>
    </w:p>
    <w:p w:rsidR="00660414" w:rsidRPr="00CC2D1D" w:rsidRDefault="00660414" w:rsidP="00660414">
      <w:pPr>
        <w:spacing w:before="120" w:after="120" w:line="276" w:lineRule="auto"/>
        <w:rPr>
          <w:b/>
          <w:sz w:val="22"/>
          <w:szCs w:val="22"/>
        </w:rPr>
      </w:pPr>
      <w:r w:rsidRPr="00CC2D1D">
        <w:rPr>
          <w:b/>
          <w:sz w:val="22"/>
          <w:szCs w:val="22"/>
        </w:rPr>
        <w:t>Implementing Organisations</w:t>
      </w:r>
    </w:p>
    <w:p w:rsidR="00660414" w:rsidRPr="00DE221F" w:rsidRDefault="00660414" w:rsidP="00660414">
      <w:pPr>
        <w:rPr>
          <w:sz w:val="22"/>
          <w:szCs w:val="22"/>
        </w:rPr>
      </w:pPr>
      <w:r w:rsidRPr="00DE221F">
        <w:rPr>
          <w:sz w:val="22"/>
          <w:szCs w:val="22"/>
        </w:rPr>
        <w:t xml:space="preserve">This project would be implemented by Timisoara Airport / Ministry of Transport. </w:t>
      </w:r>
    </w:p>
    <w:p w:rsidR="00660414" w:rsidRPr="00CC2D1D" w:rsidRDefault="00660414" w:rsidP="00660414">
      <w:pPr>
        <w:pStyle w:val="ListParagraph"/>
        <w:spacing w:before="120" w:after="120" w:line="276" w:lineRule="auto"/>
        <w:ind w:left="0"/>
        <w:rPr>
          <w:b/>
          <w:sz w:val="22"/>
          <w:szCs w:val="22"/>
        </w:rPr>
      </w:pPr>
      <w:r w:rsidRPr="00CC2D1D">
        <w:rPr>
          <w:b/>
          <w:sz w:val="22"/>
          <w:szCs w:val="22"/>
        </w:rPr>
        <w:t>Implementation Years</w:t>
      </w:r>
    </w:p>
    <w:tbl>
      <w:tblPr>
        <w:tblW w:w="8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891"/>
      </w:tblGrid>
      <w:tr w:rsidR="00660414" w:rsidRPr="00DE221F" w:rsidTr="007613DE">
        <w:tc>
          <w:tcPr>
            <w:tcW w:w="5778" w:type="dxa"/>
          </w:tcPr>
          <w:p w:rsidR="00660414" w:rsidRPr="00DE221F" w:rsidRDefault="00660414" w:rsidP="007613DE">
            <w:pPr>
              <w:rPr>
                <w:b/>
                <w:sz w:val="22"/>
                <w:szCs w:val="22"/>
              </w:rPr>
            </w:pPr>
            <w:r w:rsidRPr="00DE221F">
              <w:rPr>
                <w:b/>
                <w:sz w:val="22"/>
                <w:szCs w:val="22"/>
              </w:rPr>
              <w:t xml:space="preserve">Project </w:t>
            </w:r>
          </w:p>
        </w:tc>
        <w:tc>
          <w:tcPr>
            <w:tcW w:w="2891"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the passenger terminal </w:t>
            </w:r>
          </w:p>
        </w:tc>
        <w:tc>
          <w:tcPr>
            <w:tcW w:w="2891"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the passenger terminal</w:t>
            </w:r>
          </w:p>
        </w:tc>
        <w:tc>
          <w:tcPr>
            <w:tcW w:w="2891"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the opportunity of developing a cargo terminal</w:t>
            </w:r>
          </w:p>
        </w:tc>
        <w:tc>
          <w:tcPr>
            <w:tcW w:w="2891" w:type="dxa"/>
          </w:tcPr>
          <w:p w:rsidR="00660414" w:rsidRPr="00DE221F" w:rsidRDefault="00660414" w:rsidP="007613DE">
            <w:pPr>
              <w:rPr>
                <w:sz w:val="22"/>
                <w:szCs w:val="22"/>
              </w:rPr>
            </w:pPr>
            <w:r w:rsidRPr="00DE221F">
              <w:rPr>
                <w:sz w:val="22"/>
                <w:szCs w:val="22"/>
              </w:rPr>
              <w:t>2020</w:t>
            </w:r>
          </w:p>
        </w:tc>
      </w:tr>
    </w:tbl>
    <w:p w:rsidR="00660414" w:rsidRPr="00DE221F" w:rsidRDefault="00660414" w:rsidP="00660414">
      <w:pPr>
        <w:rPr>
          <w:i/>
          <w:sz w:val="22"/>
          <w:szCs w:val="22"/>
        </w:rPr>
      </w:pPr>
    </w:p>
    <w:p w:rsidR="00660414" w:rsidRDefault="00660414" w:rsidP="00660414">
      <w:pPr>
        <w:rPr>
          <w:i/>
          <w:sz w:val="22"/>
          <w:szCs w:val="22"/>
        </w:rPr>
      </w:pPr>
      <w:r>
        <w:br w:type="page"/>
      </w:r>
    </w:p>
    <w:p w:rsidR="00660414" w:rsidRPr="00DE221F" w:rsidRDefault="00660414" w:rsidP="00660414">
      <w:pPr>
        <w:pStyle w:val="Hdg3"/>
      </w:pPr>
      <w:r w:rsidRPr="00DE221F">
        <w:t>Upgrade programme for Sibiu Airport</w:t>
      </w:r>
    </w:p>
    <w:p w:rsidR="00660414" w:rsidRPr="00CC2D1D" w:rsidRDefault="00660414" w:rsidP="00660414">
      <w:pPr>
        <w:pStyle w:val="ListParagraph"/>
        <w:spacing w:before="120" w:after="120" w:line="276" w:lineRule="auto"/>
        <w:ind w:left="0"/>
        <w:rPr>
          <w:b/>
          <w:sz w:val="22"/>
          <w:szCs w:val="22"/>
        </w:rPr>
      </w:pPr>
      <w:r w:rsidRPr="00CC2D1D">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t>I</w:t>
      </w:r>
      <w:r w:rsidRPr="00DE221F">
        <w:t xml:space="preserve">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Sibiu Airport is currently classified as a Regional Airport but is forecasted to develop into an International Hub Airport. The upgrade project for Sibiu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 by 2020</w:t>
      </w:r>
    </w:p>
    <w:p w:rsidR="00660414" w:rsidRPr="00DE221F" w:rsidRDefault="00660414" w:rsidP="00273D5E">
      <w:pPr>
        <w:pStyle w:val="BulletLevel1"/>
      </w:pPr>
      <w:r w:rsidRPr="00DE221F">
        <w:t>Extension of passenger terminal by 2025</w:t>
      </w:r>
    </w:p>
    <w:p w:rsidR="00660414" w:rsidRPr="00DE221F" w:rsidRDefault="00660414" w:rsidP="00273D5E">
      <w:pPr>
        <w:pStyle w:val="BulletLevel1"/>
      </w:pPr>
      <w:r w:rsidRPr="00DE221F">
        <w:t>Extension of taxiways by 2020</w:t>
      </w:r>
    </w:p>
    <w:p w:rsidR="00660414" w:rsidRPr="00DE221F" w:rsidRDefault="00660414" w:rsidP="00273D5E">
      <w:pPr>
        <w:pStyle w:val="BulletLevel1"/>
      </w:pPr>
      <w:r w:rsidRPr="00DE221F">
        <w:t>Analyse the opportunity to develop a cargo terminal by 2020</w:t>
      </w:r>
    </w:p>
    <w:p w:rsidR="00660414" w:rsidRPr="00DE221F" w:rsidRDefault="00660414" w:rsidP="00273D5E">
      <w:pPr>
        <w:pStyle w:val="BulletLevel1"/>
      </w:pPr>
      <w:r w:rsidRPr="00DE221F">
        <w:t>Upgrade lighting system from CAT I to CAT II by 2020</w:t>
      </w:r>
    </w:p>
    <w:p w:rsidR="00660414" w:rsidRPr="00DE221F" w:rsidRDefault="00660414" w:rsidP="00273D5E">
      <w:pPr>
        <w:pStyle w:val="BulletLevel1"/>
      </w:pPr>
      <w:r w:rsidRPr="00DE221F">
        <w:t>Acquire de-icing equipment by 2020</w:t>
      </w:r>
    </w:p>
    <w:p w:rsidR="00660414" w:rsidRPr="00DE221F" w:rsidRDefault="00660414" w:rsidP="00273D5E">
      <w:pPr>
        <w:pStyle w:val="BulletLevel1"/>
      </w:pPr>
      <w:r w:rsidRPr="00DE221F">
        <w:t>Install a beaconing system at the November Taxiway</w:t>
      </w:r>
    </w:p>
    <w:p w:rsidR="00660414" w:rsidRPr="00DE221F" w:rsidRDefault="00660414" w:rsidP="00A4081F">
      <w:pPr>
        <w:pStyle w:val="NumberedParas"/>
      </w:pPr>
      <w:r w:rsidRPr="00DE221F">
        <w:t xml:space="preserve">Figure </w:t>
      </w:r>
      <w:r>
        <w:t>7.9</w:t>
      </w:r>
      <w:r w:rsidRPr="00DE221F">
        <w:t xml:space="preserve"> sets out the location of Sibiu Airport in relations to the other Romanian airports. </w:t>
      </w:r>
    </w:p>
    <w:p w:rsidR="00660414" w:rsidRPr="00DE221F" w:rsidRDefault="00660414" w:rsidP="00660414">
      <w:pPr>
        <w:rPr>
          <w:sz w:val="22"/>
          <w:szCs w:val="22"/>
        </w:rPr>
      </w:pPr>
    </w:p>
    <w:p w:rsidR="00660414" w:rsidRPr="00DE221F" w:rsidRDefault="00660414" w:rsidP="00660414">
      <w:pPr>
        <w:rPr>
          <w:sz w:val="22"/>
          <w:szCs w:val="22"/>
        </w:rPr>
      </w:pPr>
      <w:r w:rsidRPr="008C5B1B">
        <w:rPr>
          <w:noProof/>
          <w:lang w:val="ro-RO" w:eastAsia="ro-RO"/>
        </w:rPr>
        <w:drawing>
          <wp:inline distT="0" distB="0" distL="0" distR="0" wp14:anchorId="1DC21F71" wp14:editId="3B3CEC0C">
            <wp:extent cx="4800600" cy="338503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stretch>
                      <a:fillRect/>
                    </a:stretch>
                  </pic:blipFill>
                  <pic:spPr>
                    <a:xfrm>
                      <a:off x="0" y="0"/>
                      <a:ext cx="4800600" cy="3385038"/>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7.9</w:t>
      </w:r>
      <w:r w:rsidRPr="00DE221F">
        <w:rPr>
          <w:b/>
          <w:sz w:val="22"/>
          <w:szCs w:val="22"/>
        </w:rPr>
        <w:t>: Location of Sibiu Airport</w:t>
      </w:r>
    </w:p>
    <w:p w:rsidR="00660414" w:rsidRPr="00CC2D1D" w:rsidRDefault="00660414" w:rsidP="00660414">
      <w:pPr>
        <w:pStyle w:val="ListParagraph"/>
        <w:spacing w:before="120" w:after="120" w:line="276" w:lineRule="auto"/>
        <w:ind w:left="0"/>
        <w:rPr>
          <w:b/>
          <w:sz w:val="22"/>
          <w:szCs w:val="22"/>
        </w:rPr>
      </w:pPr>
      <w:r w:rsidRPr="00CC2D1D">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terminal capacity by 2020</w:t>
      </w:r>
    </w:p>
    <w:p w:rsidR="00660414" w:rsidRPr="00DE221F" w:rsidRDefault="00660414" w:rsidP="00273D5E">
      <w:pPr>
        <w:pStyle w:val="BulletLevel1"/>
      </w:pPr>
      <w:r w:rsidRPr="00DE221F">
        <w:t>International connectivity will generate increased freight flows</w:t>
      </w:r>
    </w:p>
    <w:p w:rsidR="00660414" w:rsidRPr="00DE221F" w:rsidRDefault="00660414" w:rsidP="00273D5E">
      <w:pPr>
        <w:pStyle w:val="BulletLevel1"/>
      </w:pPr>
      <w:r w:rsidRPr="00DE221F">
        <w:t>In previous winters a significant proportion of flights scheduled to Sibiu have been unable to land due to a lack of infrastructure and severe weather conditions</w:t>
      </w:r>
    </w:p>
    <w:p w:rsidR="00660414" w:rsidRPr="002D7EBD" w:rsidRDefault="00660414" w:rsidP="00660414">
      <w:pPr>
        <w:spacing w:before="120" w:after="120" w:line="276" w:lineRule="auto"/>
        <w:rPr>
          <w:b/>
          <w:sz w:val="22"/>
          <w:szCs w:val="22"/>
        </w:rPr>
      </w:pPr>
      <w:r w:rsidRPr="002D7EBD">
        <w:rPr>
          <w:b/>
          <w:sz w:val="22"/>
          <w:szCs w:val="22"/>
        </w:rPr>
        <w:t>Undiscounted Costs</w:t>
      </w:r>
    </w:p>
    <w:p w:rsidR="00660414" w:rsidRPr="00DE221F" w:rsidRDefault="00660414" w:rsidP="00660414">
      <w:pPr>
        <w:spacing w:before="120" w:after="120" w:line="276" w:lineRule="auto"/>
        <w:rPr>
          <w:sz w:val="22"/>
          <w:szCs w:val="22"/>
        </w:rPr>
      </w:pPr>
      <w:r w:rsidRPr="00DE221F">
        <w:rPr>
          <w:sz w:val="22"/>
          <w:szCs w:val="22"/>
        </w:rPr>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DE221F" w:rsidRDefault="00660414" w:rsidP="007613DE">
            <w:pPr>
              <w:rPr>
                <w:sz w:val="22"/>
                <w:szCs w:val="22"/>
              </w:rPr>
            </w:pPr>
            <w:r>
              <w:rPr>
                <w:sz w:val="22"/>
                <w:szCs w:val="22"/>
              </w:rPr>
              <w:t>49.8</w:t>
            </w:r>
          </w:p>
        </w:tc>
        <w:tc>
          <w:tcPr>
            <w:tcW w:w="3274" w:type="pct"/>
          </w:tcPr>
          <w:p w:rsidR="00660414" w:rsidRPr="00DE221F" w:rsidRDefault="00660414" w:rsidP="007613DE">
            <w:pPr>
              <w:rPr>
                <w:sz w:val="22"/>
                <w:szCs w:val="22"/>
              </w:rPr>
            </w:pPr>
            <w:r w:rsidRPr="00DE221F">
              <w:rPr>
                <w:sz w:val="22"/>
                <w:szCs w:val="22"/>
              </w:rPr>
              <w:t>Includes:</w:t>
            </w:r>
          </w:p>
          <w:p w:rsidR="00660414" w:rsidRPr="00F52DF3" w:rsidRDefault="00660414" w:rsidP="007613DE">
            <w:pPr>
              <w:pStyle w:val="ListParagraph"/>
              <w:numPr>
                <w:ilvl w:val="0"/>
                <w:numId w:val="38"/>
              </w:numPr>
              <w:contextualSpacing/>
            </w:pPr>
            <w:r w:rsidRPr="00F52DF3">
              <w:t>Development of a new passenger terminal</w:t>
            </w:r>
          </w:p>
          <w:p w:rsidR="00660414" w:rsidRPr="00F52DF3" w:rsidRDefault="00660414" w:rsidP="007613DE">
            <w:pPr>
              <w:pStyle w:val="ListParagraph"/>
              <w:numPr>
                <w:ilvl w:val="0"/>
                <w:numId w:val="38"/>
              </w:numPr>
              <w:contextualSpacing/>
            </w:pPr>
            <w:r w:rsidRPr="008C5B1B">
              <w:t>Extension of taxiway</w:t>
            </w:r>
          </w:p>
          <w:p w:rsidR="00660414" w:rsidRPr="00F52DF3" w:rsidRDefault="00660414" w:rsidP="007613DE">
            <w:pPr>
              <w:pStyle w:val="ListParagraph"/>
              <w:numPr>
                <w:ilvl w:val="0"/>
                <w:numId w:val="38"/>
              </w:numPr>
              <w:contextualSpacing/>
            </w:pPr>
            <w:r w:rsidRPr="00F52DF3">
              <w:t>Feasibility of developing a cargo terminal</w:t>
            </w:r>
          </w:p>
          <w:p w:rsidR="00660414" w:rsidRPr="00DE221F" w:rsidRDefault="00660414" w:rsidP="007613DE">
            <w:pPr>
              <w:pStyle w:val="ListParagraph"/>
              <w:numPr>
                <w:ilvl w:val="0"/>
                <w:numId w:val="38"/>
              </w:numPr>
              <w:contextualSpacing/>
            </w:pPr>
            <w:r w:rsidRPr="00F52DF3">
              <w:t>Upgrade lighting system</w:t>
            </w:r>
            <w:r w:rsidRPr="00DE221F">
              <w:t>, install de-icing equipment and install a beaconing system</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DE221F" w:rsidRDefault="00660414" w:rsidP="007613DE">
            <w:pPr>
              <w:rPr>
                <w:sz w:val="22"/>
                <w:szCs w:val="22"/>
              </w:rPr>
            </w:pPr>
            <w:r w:rsidRPr="00DE221F">
              <w:rPr>
                <w:sz w:val="22"/>
                <w:szCs w:val="22"/>
              </w:rPr>
              <w:t>2.5</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tcPr>
          <w:p w:rsidR="00660414" w:rsidRPr="00DE221F" w:rsidRDefault="00660414" w:rsidP="007613DE">
            <w:pPr>
              <w:rPr>
                <w:b/>
                <w:sz w:val="22"/>
                <w:szCs w:val="22"/>
              </w:rPr>
            </w:pPr>
            <w:r>
              <w:rPr>
                <w:b/>
                <w:sz w:val="22"/>
                <w:szCs w:val="22"/>
              </w:rPr>
              <w:t>52.3</w:t>
            </w:r>
          </w:p>
        </w:tc>
        <w:tc>
          <w:tcPr>
            <w:tcW w:w="3274" w:type="pct"/>
          </w:tcPr>
          <w:p w:rsidR="00660414" w:rsidRPr="00DE221F" w:rsidRDefault="00660414" w:rsidP="007613DE">
            <w:pPr>
              <w:rPr>
                <w:sz w:val="22"/>
                <w:szCs w:val="22"/>
              </w:rPr>
            </w:pPr>
            <w:r w:rsidRPr="00DE221F">
              <w:rPr>
                <w:sz w:val="22"/>
                <w:szCs w:val="22"/>
              </w:rPr>
              <w:t>(2020-2025 projects combined)</w:t>
            </w:r>
          </w:p>
        </w:tc>
      </w:tr>
    </w:tbl>
    <w:p w:rsidR="00660414" w:rsidRPr="00DE221F" w:rsidRDefault="00660414" w:rsidP="00660414">
      <w:pPr>
        <w:rPr>
          <w:sz w:val="22"/>
          <w:szCs w:val="22"/>
        </w:rPr>
      </w:pPr>
    </w:p>
    <w:p w:rsidR="00660414" w:rsidRPr="002D7EBD" w:rsidRDefault="00660414" w:rsidP="00660414">
      <w:pPr>
        <w:spacing w:before="120" w:line="276" w:lineRule="auto"/>
        <w:rPr>
          <w:b/>
          <w:sz w:val="22"/>
          <w:szCs w:val="22"/>
        </w:rPr>
      </w:pPr>
      <w:r w:rsidRPr="002D7EBD">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71729" w:rsidRDefault="00660414" w:rsidP="007613DE">
            <w:pPr>
              <w:jc w:val="right"/>
              <w:rPr>
                <w:color w:val="000000"/>
                <w:sz w:val="22"/>
                <w:szCs w:val="22"/>
              </w:rPr>
            </w:pPr>
            <w:r w:rsidRPr="008C5B1B">
              <w:rPr>
                <w:sz w:val="22"/>
                <w:szCs w:val="22"/>
              </w:rPr>
              <w:t>63,803,895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71729" w:rsidRDefault="00660414" w:rsidP="007613DE">
            <w:pPr>
              <w:jc w:val="right"/>
              <w:rPr>
                <w:color w:val="000000"/>
                <w:sz w:val="22"/>
                <w:szCs w:val="22"/>
              </w:rPr>
            </w:pPr>
            <w:r w:rsidRPr="008C5B1B">
              <w:rPr>
                <w:sz w:val="22"/>
                <w:szCs w:val="22"/>
              </w:rPr>
              <w:t>651,827,026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71729" w:rsidRDefault="00660414" w:rsidP="007613DE">
            <w:pPr>
              <w:jc w:val="right"/>
              <w:rPr>
                <w:color w:val="000000"/>
                <w:sz w:val="22"/>
                <w:szCs w:val="22"/>
              </w:rPr>
            </w:pPr>
            <w:r w:rsidRPr="008C5B1B">
              <w:rPr>
                <w:sz w:val="22"/>
                <w:szCs w:val="22"/>
              </w:rPr>
              <w:t>588,023,131</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71729" w:rsidRDefault="00660414" w:rsidP="007613DE">
            <w:pPr>
              <w:jc w:val="right"/>
              <w:rPr>
                <w:color w:val="000000"/>
                <w:sz w:val="22"/>
                <w:szCs w:val="22"/>
              </w:rPr>
            </w:pPr>
            <w:r w:rsidRPr="008C5B1B">
              <w:rPr>
                <w:sz w:val="22"/>
                <w:szCs w:val="22"/>
              </w:rPr>
              <w:t>10.22</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71729" w:rsidRDefault="00660414" w:rsidP="007613DE">
            <w:pPr>
              <w:jc w:val="right"/>
              <w:rPr>
                <w:color w:val="000000"/>
                <w:sz w:val="22"/>
                <w:szCs w:val="22"/>
              </w:rPr>
            </w:pPr>
            <w:r w:rsidRPr="008C5B1B">
              <w:rPr>
                <w:sz w:val="22"/>
                <w:szCs w:val="22"/>
              </w:rPr>
              <w:t>34.9%</w:t>
            </w:r>
          </w:p>
        </w:tc>
      </w:tr>
    </w:tbl>
    <w:p w:rsidR="00660414" w:rsidRPr="00DE221F" w:rsidRDefault="00660414" w:rsidP="00A4081F">
      <w:pPr>
        <w:pStyle w:val="NumberedParas"/>
      </w:pPr>
      <w:r w:rsidRPr="00DE221F">
        <w:t xml:space="preserve">In 2011 the airport handled 176,906 (26,482 domestic and 150,424 international) passengers per annum. If the upgrade programme is undertaken fully, passenger numbers could grow to 1,517,611 by 2020 (329,756 domestic and 1,187,865 international) and 1,886,252 by 2025 (409,844 domestic and 1,476,408 international). </w:t>
      </w:r>
    </w:p>
    <w:p w:rsidR="00660414" w:rsidRPr="00DE221F" w:rsidRDefault="00660414" w:rsidP="00660414">
      <w:pPr>
        <w:pStyle w:val="Frspaiere1"/>
      </w:pPr>
    </w:p>
    <w:p w:rsidR="00660414" w:rsidRPr="002D7EBD" w:rsidRDefault="00660414" w:rsidP="00660414">
      <w:pPr>
        <w:spacing w:before="120" w:after="120"/>
        <w:rPr>
          <w:b/>
          <w:sz w:val="22"/>
          <w:szCs w:val="22"/>
        </w:rPr>
      </w:pPr>
      <w:r w:rsidRPr="002D7EBD">
        <w:rPr>
          <w:b/>
          <w:sz w:val="22"/>
          <w:szCs w:val="22"/>
        </w:rPr>
        <w:t>Implementing Organisations</w:t>
      </w:r>
    </w:p>
    <w:p w:rsidR="00660414" w:rsidRPr="00DE221F" w:rsidRDefault="00660414" w:rsidP="00A4081F">
      <w:pPr>
        <w:pStyle w:val="NumberedParas"/>
      </w:pPr>
      <w:r w:rsidRPr="00DE221F">
        <w:t xml:space="preserve">This project would be implemented by Sibiu Airport. </w:t>
      </w:r>
    </w:p>
    <w:p w:rsidR="00660414" w:rsidRPr="002D7EBD" w:rsidRDefault="00660414" w:rsidP="00660414">
      <w:pPr>
        <w:spacing w:after="120"/>
        <w:rPr>
          <w:b/>
          <w:sz w:val="22"/>
          <w:szCs w:val="22"/>
        </w:rPr>
      </w:pPr>
      <w:r w:rsidRPr="002D7EBD">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rPr>
          <w:tblHeader/>
        </w:trPr>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Passenger Terminal </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the opportunity of developing a cargo terminal</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Upgrade from CAT I to CAT II lighting system</w:t>
            </w:r>
          </w:p>
        </w:tc>
        <w:tc>
          <w:tcPr>
            <w:tcW w:w="2750" w:type="dxa"/>
          </w:tcPr>
          <w:p w:rsidR="00660414" w:rsidRPr="00DE221F" w:rsidRDefault="00660414" w:rsidP="007613DE">
            <w:pPr>
              <w:rPr>
                <w:sz w:val="22"/>
                <w:szCs w:val="22"/>
              </w:rPr>
            </w:pPr>
            <w:r w:rsidRPr="00DE221F">
              <w:rPr>
                <w:sz w:val="22"/>
                <w:szCs w:val="22"/>
              </w:rPr>
              <w:t>By 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Acquire de-icing equipment</w:t>
            </w:r>
          </w:p>
        </w:tc>
        <w:tc>
          <w:tcPr>
            <w:tcW w:w="2750" w:type="dxa"/>
          </w:tcPr>
          <w:p w:rsidR="00660414" w:rsidRPr="00DE221F" w:rsidRDefault="00660414" w:rsidP="007613DE">
            <w:pPr>
              <w:rPr>
                <w:sz w:val="22"/>
                <w:szCs w:val="22"/>
              </w:rPr>
            </w:pPr>
            <w:r w:rsidRPr="00DE221F">
              <w:rPr>
                <w:sz w:val="22"/>
                <w:szCs w:val="22"/>
              </w:rPr>
              <w:t>By 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Installing of beaconing system at the November Taxiway</w:t>
            </w:r>
          </w:p>
        </w:tc>
        <w:tc>
          <w:tcPr>
            <w:tcW w:w="2750" w:type="dxa"/>
          </w:tcPr>
          <w:p w:rsidR="00660414" w:rsidRPr="00DE221F" w:rsidRDefault="00660414" w:rsidP="007613DE">
            <w:pPr>
              <w:rPr>
                <w:sz w:val="22"/>
                <w:szCs w:val="22"/>
              </w:rPr>
            </w:pPr>
            <w:r w:rsidRPr="00DE221F">
              <w:rPr>
                <w:sz w:val="22"/>
                <w:szCs w:val="22"/>
              </w:rPr>
              <w:t>2020</w:t>
            </w:r>
          </w:p>
        </w:tc>
      </w:tr>
    </w:tbl>
    <w:p w:rsidR="00660414" w:rsidRDefault="00660414" w:rsidP="00660414">
      <w:pPr>
        <w:rPr>
          <w:i/>
          <w:sz w:val="22"/>
          <w:szCs w:val="22"/>
        </w:rPr>
      </w:pPr>
      <w:r>
        <w:br w:type="page"/>
      </w:r>
    </w:p>
    <w:p w:rsidR="00660414" w:rsidRPr="00DE221F" w:rsidRDefault="00660414" w:rsidP="00660414">
      <w:pPr>
        <w:pStyle w:val="Hdg3"/>
      </w:pPr>
      <w:r w:rsidRPr="00DE221F">
        <w:t>Upgrade programme for Cluj-Napoca Airport</w:t>
      </w:r>
    </w:p>
    <w:p w:rsidR="00660414" w:rsidRPr="00DE221F" w:rsidRDefault="00660414" w:rsidP="00660414">
      <w:pPr>
        <w:rPr>
          <w:b/>
          <w:sz w:val="22"/>
          <w:szCs w:val="22"/>
        </w:rPr>
      </w:pPr>
    </w:p>
    <w:p w:rsidR="00660414" w:rsidRPr="00BF6671" w:rsidRDefault="00660414" w:rsidP="00660414">
      <w:pPr>
        <w:pStyle w:val="ListParagraph"/>
        <w:ind w:left="0"/>
        <w:rPr>
          <w:b/>
          <w:sz w:val="22"/>
          <w:szCs w:val="22"/>
        </w:rPr>
      </w:pPr>
      <w:r w:rsidRPr="00BF6671">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Cluj-Napoca Airport is classified as a International Hub Airport. The upgrade project for Cluj-Napoca Airport aims to ensure that infrastructure capacity and operational facilities are able to deal with demand increase for 2020 and 2025. The project includes:</w:t>
      </w:r>
    </w:p>
    <w:p w:rsidR="00660414" w:rsidRDefault="00660414" w:rsidP="00273D5E">
      <w:pPr>
        <w:pStyle w:val="BulletLevel1"/>
      </w:pPr>
      <w:r>
        <w:t>Expansion of the runway and two turning bays</w:t>
      </w:r>
    </w:p>
    <w:p w:rsidR="00660414" w:rsidRPr="00DE221F" w:rsidRDefault="00660414" w:rsidP="00273D5E">
      <w:pPr>
        <w:pStyle w:val="BulletLevel1"/>
      </w:pPr>
      <w:r w:rsidRPr="00DE221F">
        <w:t>Expansion/construction of new taxiways and apron space</w:t>
      </w:r>
    </w:p>
    <w:p w:rsidR="00660414" w:rsidRPr="00DE221F" w:rsidRDefault="00660414" w:rsidP="00273D5E">
      <w:pPr>
        <w:pStyle w:val="BulletLevel1"/>
      </w:pPr>
      <w:r w:rsidRPr="00DE221F">
        <w:t>Analyse the opportunity to develop a cargo terminal</w:t>
      </w:r>
    </w:p>
    <w:p w:rsidR="00660414" w:rsidRPr="00DE221F" w:rsidRDefault="00660414" w:rsidP="00A4081F">
      <w:pPr>
        <w:pStyle w:val="NumberedParas"/>
      </w:pPr>
      <w:r w:rsidRPr="00DE221F">
        <w:t xml:space="preserve">Figure </w:t>
      </w:r>
      <w:r>
        <w:t>7.10</w:t>
      </w:r>
      <w:r w:rsidRPr="00DE221F">
        <w:t xml:space="preserve"> sets out the location of Cluj-Napoca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34CB4A54" wp14:editId="75EF4218">
            <wp:extent cx="4968709" cy="35147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stretch>
                      <a:fillRect/>
                    </a:stretch>
                  </pic:blipFill>
                  <pic:spPr>
                    <a:xfrm>
                      <a:off x="0" y="0"/>
                      <a:ext cx="4973937" cy="3518423"/>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7.10</w:t>
      </w:r>
      <w:r w:rsidRPr="00DE221F">
        <w:rPr>
          <w:b/>
          <w:sz w:val="22"/>
          <w:szCs w:val="22"/>
        </w:rPr>
        <w:t>: Location of Cluj-Napoca Airport</w:t>
      </w:r>
    </w:p>
    <w:p w:rsidR="00660414" w:rsidRPr="00DE221F" w:rsidRDefault="00660414" w:rsidP="00660414">
      <w:pPr>
        <w:rPr>
          <w:sz w:val="22"/>
          <w:szCs w:val="22"/>
        </w:rPr>
      </w:pPr>
    </w:p>
    <w:p w:rsidR="00660414" w:rsidRPr="00BF6671" w:rsidRDefault="00660414" w:rsidP="00660414">
      <w:pPr>
        <w:pStyle w:val="ListParagraph"/>
        <w:ind w:left="0"/>
        <w:rPr>
          <w:b/>
          <w:sz w:val="22"/>
          <w:szCs w:val="22"/>
        </w:rPr>
      </w:pPr>
      <w:r w:rsidRPr="00BF6671">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apron capacity by 2020</w:t>
      </w:r>
    </w:p>
    <w:p w:rsidR="00660414" w:rsidRDefault="00660414" w:rsidP="00273D5E">
      <w:pPr>
        <w:pStyle w:val="BulletLevel1"/>
      </w:pPr>
      <w:r w:rsidRPr="00DE221F">
        <w:t>International connectivity will generate increased freight flows</w:t>
      </w:r>
    </w:p>
    <w:p w:rsidR="00660414" w:rsidRPr="002D7EBD" w:rsidRDefault="00660414" w:rsidP="00273D5E">
      <w:pPr>
        <w:pStyle w:val="BulletLevel1"/>
      </w:pPr>
      <w:r>
        <w:t>Although not needed at the moment, direct flights to USA are proposed but the current runway capacity is not sufficient to support this.</w:t>
      </w:r>
    </w:p>
    <w:p w:rsidR="00660414" w:rsidRPr="002D7EBD" w:rsidRDefault="00660414" w:rsidP="00660414">
      <w:pPr>
        <w:spacing w:before="120" w:after="120"/>
        <w:rPr>
          <w:b/>
          <w:sz w:val="22"/>
          <w:szCs w:val="22"/>
        </w:rPr>
      </w:pPr>
      <w:r w:rsidRPr="002D7EBD">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DE221F" w:rsidRDefault="00660414" w:rsidP="007613DE">
            <w:pPr>
              <w:rPr>
                <w:sz w:val="22"/>
                <w:szCs w:val="22"/>
              </w:rPr>
            </w:pPr>
            <w:r>
              <w:rPr>
                <w:sz w:val="22"/>
                <w:szCs w:val="22"/>
              </w:rPr>
              <w:t>82.8</w:t>
            </w:r>
          </w:p>
        </w:tc>
        <w:tc>
          <w:tcPr>
            <w:tcW w:w="3274"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39"/>
              </w:numPr>
              <w:contextualSpacing/>
            </w:pPr>
            <w:r w:rsidRPr="00DE221F">
              <w:t>Construction of new aprons and taxiways</w:t>
            </w:r>
          </w:p>
          <w:p w:rsidR="00660414" w:rsidRDefault="00660414" w:rsidP="007613DE">
            <w:pPr>
              <w:pStyle w:val="ListParagraph"/>
              <w:numPr>
                <w:ilvl w:val="0"/>
                <w:numId w:val="39"/>
              </w:numPr>
              <w:contextualSpacing/>
            </w:pPr>
            <w:r w:rsidRPr="00DE221F">
              <w:t>Analyse opportunity to develop a cargo terminal</w:t>
            </w:r>
          </w:p>
          <w:p w:rsidR="00660414" w:rsidRPr="00DE221F" w:rsidRDefault="00660414" w:rsidP="007613DE">
            <w:pPr>
              <w:pStyle w:val="ListParagraph"/>
              <w:numPr>
                <w:ilvl w:val="0"/>
                <w:numId w:val="39"/>
              </w:numPr>
              <w:contextualSpacing/>
            </w:pPr>
            <w:r>
              <w:t>Extenstion of runway with two turning bays</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DE221F" w:rsidRDefault="00660414" w:rsidP="007613DE">
            <w:pPr>
              <w:rPr>
                <w:sz w:val="22"/>
                <w:szCs w:val="22"/>
              </w:rPr>
            </w:pPr>
            <w:r>
              <w:rPr>
                <w:sz w:val="22"/>
                <w:szCs w:val="22"/>
              </w:rPr>
              <w:t>4.1</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tcPr>
          <w:p w:rsidR="00660414" w:rsidRPr="00DE221F" w:rsidRDefault="00660414" w:rsidP="007613DE">
            <w:pPr>
              <w:rPr>
                <w:b/>
                <w:sz w:val="22"/>
                <w:szCs w:val="22"/>
              </w:rPr>
            </w:pPr>
            <w:r>
              <w:rPr>
                <w:b/>
                <w:sz w:val="22"/>
                <w:szCs w:val="22"/>
              </w:rPr>
              <w:t>87</w:t>
            </w:r>
          </w:p>
        </w:tc>
        <w:tc>
          <w:tcPr>
            <w:tcW w:w="3274" w:type="pct"/>
          </w:tcPr>
          <w:p w:rsidR="00660414" w:rsidRPr="00DE221F" w:rsidRDefault="00660414" w:rsidP="007613DE">
            <w:pPr>
              <w:rPr>
                <w:sz w:val="22"/>
                <w:szCs w:val="22"/>
              </w:rPr>
            </w:pPr>
            <w:r w:rsidRPr="00DE221F">
              <w:rPr>
                <w:sz w:val="22"/>
                <w:szCs w:val="22"/>
              </w:rPr>
              <w:t>(2020-2025 projects combined)</w:t>
            </w:r>
          </w:p>
        </w:tc>
      </w:tr>
    </w:tbl>
    <w:p w:rsidR="00660414" w:rsidRPr="00DE221F" w:rsidRDefault="00660414" w:rsidP="00660414">
      <w:pPr>
        <w:rPr>
          <w:sz w:val="22"/>
          <w:szCs w:val="22"/>
        </w:rPr>
      </w:pPr>
    </w:p>
    <w:p w:rsidR="00660414" w:rsidRPr="000D5F23" w:rsidRDefault="00660414" w:rsidP="00660414">
      <w:pPr>
        <w:spacing w:before="120" w:after="120"/>
        <w:rPr>
          <w:b/>
          <w:sz w:val="22"/>
          <w:szCs w:val="22"/>
        </w:rPr>
      </w:pPr>
      <w:r w:rsidRPr="002D7EBD">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108,418,495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136,137,415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27,718,920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vAlign w:val="bottom"/>
          </w:tcPr>
          <w:p w:rsidR="00660414" w:rsidRPr="00DE221F" w:rsidRDefault="00660414" w:rsidP="007613DE">
            <w:pPr>
              <w:jc w:val="right"/>
              <w:rPr>
                <w:color w:val="000000"/>
                <w:sz w:val="22"/>
                <w:szCs w:val="22"/>
              </w:rPr>
            </w:pPr>
            <w:r>
              <w:rPr>
                <w:color w:val="000000"/>
                <w:sz w:val="22"/>
                <w:szCs w:val="22"/>
              </w:rPr>
              <w:t>1.26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vAlign w:val="bottom"/>
          </w:tcPr>
          <w:p w:rsidR="00660414" w:rsidRPr="00DE221F" w:rsidRDefault="00660414" w:rsidP="007613DE">
            <w:pPr>
              <w:jc w:val="right"/>
              <w:rPr>
                <w:color w:val="000000"/>
                <w:sz w:val="22"/>
                <w:szCs w:val="22"/>
              </w:rPr>
            </w:pPr>
            <w:r>
              <w:rPr>
                <w:color w:val="000000"/>
                <w:sz w:val="22"/>
                <w:szCs w:val="22"/>
              </w:rPr>
              <w:t>4.6%</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1,004,821 (189,139 domestic and 815,682 international) passengers per annum. If the upgrade programme is undertaken fully, passenger numbers could grow to 1,348,564 by 2020 (253,842 domestic and 1,094,722 international) and 1,686,515 by 2025 (317,455 domestic and 1,369,059 international). </w:t>
      </w:r>
    </w:p>
    <w:p w:rsidR="00660414" w:rsidRPr="00DE221F" w:rsidRDefault="00660414" w:rsidP="00660414">
      <w:pPr>
        <w:pStyle w:val="Frspaiere1"/>
      </w:pPr>
    </w:p>
    <w:p w:rsidR="00660414" w:rsidRPr="002D7EBD" w:rsidRDefault="00660414" w:rsidP="00660414">
      <w:pPr>
        <w:spacing w:before="120" w:after="120"/>
        <w:rPr>
          <w:b/>
          <w:sz w:val="22"/>
          <w:szCs w:val="22"/>
        </w:rPr>
      </w:pPr>
      <w:r w:rsidRPr="002D7EBD">
        <w:rPr>
          <w:b/>
          <w:sz w:val="22"/>
          <w:szCs w:val="22"/>
        </w:rPr>
        <w:t>Implementing Organisations</w:t>
      </w:r>
    </w:p>
    <w:p w:rsidR="00660414" w:rsidRPr="00DE221F" w:rsidRDefault="00660414" w:rsidP="00A4081F">
      <w:pPr>
        <w:pStyle w:val="NumberedParas"/>
      </w:pPr>
      <w:r w:rsidRPr="00DE221F">
        <w:t xml:space="preserve">This project would be implemented by Cluj-Napoca Airport. </w:t>
      </w:r>
    </w:p>
    <w:p w:rsidR="00660414" w:rsidRPr="002D7EBD" w:rsidRDefault="00660414" w:rsidP="00660414">
      <w:pPr>
        <w:spacing w:before="120" w:after="120"/>
        <w:rPr>
          <w:b/>
          <w:sz w:val="22"/>
          <w:szCs w:val="22"/>
        </w:rPr>
      </w:pPr>
      <w:r w:rsidRPr="002D7EBD">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New taxiway and expansion of apron space</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Expansion of apron space </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the opportunity of developing a cargo terminal</w:t>
            </w:r>
          </w:p>
        </w:tc>
        <w:tc>
          <w:tcPr>
            <w:tcW w:w="2750" w:type="dxa"/>
          </w:tcPr>
          <w:p w:rsidR="00660414" w:rsidRPr="00DE221F" w:rsidRDefault="00660414" w:rsidP="007613DE">
            <w:pPr>
              <w:rPr>
                <w:sz w:val="22"/>
                <w:szCs w:val="22"/>
              </w:rPr>
            </w:pPr>
            <w:r w:rsidRPr="00DE221F">
              <w:rPr>
                <w:sz w:val="22"/>
                <w:szCs w:val="22"/>
              </w:rPr>
              <w:t>2020</w:t>
            </w:r>
          </w:p>
        </w:tc>
      </w:tr>
    </w:tbl>
    <w:p w:rsidR="00660414" w:rsidRDefault="00660414" w:rsidP="00660414">
      <w:pPr>
        <w:rPr>
          <w:i/>
          <w:sz w:val="22"/>
          <w:szCs w:val="22"/>
        </w:rPr>
      </w:pPr>
      <w:r>
        <w:br w:type="page"/>
      </w:r>
    </w:p>
    <w:p w:rsidR="00660414" w:rsidRPr="00DE221F" w:rsidRDefault="00660414" w:rsidP="00660414">
      <w:pPr>
        <w:pStyle w:val="Hdg3"/>
      </w:pPr>
      <w:r w:rsidRPr="00DE221F">
        <w:t>Upgrade programme for Bacau Airport</w:t>
      </w:r>
    </w:p>
    <w:p w:rsidR="00660414" w:rsidRPr="00DE221F" w:rsidRDefault="00660414" w:rsidP="00660414">
      <w:pPr>
        <w:rPr>
          <w:b/>
          <w:sz w:val="22"/>
          <w:szCs w:val="22"/>
        </w:rPr>
      </w:pPr>
      <w:r w:rsidRPr="00DE221F">
        <w:rPr>
          <w:b/>
          <w:sz w:val="22"/>
          <w:szCs w:val="22"/>
        </w:rPr>
        <w:tab/>
      </w:r>
    </w:p>
    <w:p w:rsidR="00660414" w:rsidRPr="000D5F23" w:rsidRDefault="00660414" w:rsidP="00660414">
      <w:pPr>
        <w:pStyle w:val="ListParagraph"/>
        <w:ind w:left="0"/>
        <w:rPr>
          <w:b/>
          <w:sz w:val="22"/>
          <w:szCs w:val="22"/>
        </w:rPr>
      </w:pPr>
      <w:r w:rsidRPr="000D5F23">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Bacau Airport is currently classified as a Regional Airport but could be developed into an International Hub Airport due to its catchment area. The upgrade project for Bacau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w:t>
      </w:r>
    </w:p>
    <w:p w:rsidR="00660414" w:rsidRPr="00DE221F" w:rsidRDefault="00660414" w:rsidP="00273D5E">
      <w:pPr>
        <w:pStyle w:val="BulletLevel1"/>
      </w:pPr>
      <w:r w:rsidRPr="00DE221F">
        <w:t>Expansion of apron space</w:t>
      </w:r>
    </w:p>
    <w:p w:rsidR="00660414" w:rsidRPr="00DE221F" w:rsidRDefault="00660414" w:rsidP="00273D5E">
      <w:pPr>
        <w:pStyle w:val="BulletLevel1"/>
      </w:pPr>
      <w:r w:rsidRPr="00DE221F">
        <w:t>Increase runway bearing capacity</w:t>
      </w:r>
    </w:p>
    <w:p w:rsidR="00660414" w:rsidRPr="00DE221F" w:rsidRDefault="00660414" w:rsidP="00273D5E">
      <w:pPr>
        <w:pStyle w:val="BulletLevel1"/>
      </w:pPr>
      <w:r w:rsidRPr="00DE221F">
        <w:t>Analyse the opportunity to develop a cargo terminal</w:t>
      </w:r>
    </w:p>
    <w:p w:rsidR="00660414" w:rsidRPr="00DE221F" w:rsidRDefault="00660414" w:rsidP="00660414">
      <w:pPr>
        <w:rPr>
          <w:sz w:val="22"/>
          <w:szCs w:val="22"/>
        </w:rPr>
      </w:pPr>
    </w:p>
    <w:p w:rsidR="00660414" w:rsidRPr="00DE221F" w:rsidRDefault="00660414" w:rsidP="00A4081F">
      <w:pPr>
        <w:pStyle w:val="NumberedParas"/>
      </w:pPr>
      <w:r w:rsidRPr="00DE221F">
        <w:t xml:space="preserve">Figure </w:t>
      </w:r>
      <w:r>
        <w:t>7.11</w:t>
      </w:r>
      <w:r w:rsidRPr="00DE221F">
        <w:t xml:space="preserve"> sets out the location of Bacau Airport in relations to the other Romanian airports. </w:t>
      </w:r>
    </w:p>
    <w:p w:rsidR="00660414" w:rsidRPr="00DE221F" w:rsidRDefault="00660414" w:rsidP="00660414">
      <w:pPr>
        <w:rPr>
          <w:sz w:val="22"/>
          <w:szCs w:val="22"/>
        </w:rPr>
      </w:pPr>
    </w:p>
    <w:p w:rsidR="00660414" w:rsidRPr="00DE221F" w:rsidRDefault="00660414" w:rsidP="00660414">
      <w:pPr>
        <w:rPr>
          <w:sz w:val="22"/>
          <w:szCs w:val="22"/>
        </w:rPr>
      </w:pPr>
      <w:r w:rsidRPr="008C5B1B">
        <w:rPr>
          <w:noProof/>
          <w:lang w:val="ro-RO" w:eastAsia="ro-RO"/>
        </w:rPr>
        <w:drawing>
          <wp:inline distT="0" distB="0" distL="0" distR="0" wp14:anchorId="3AAAE218" wp14:editId="48B07D0C">
            <wp:extent cx="5021802" cy="351472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print"/>
                    <a:stretch>
                      <a:fillRect/>
                    </a:stretch>
                  </pic:blipFill>
                  <pic:spPr>
                    <a:xfrm>
                      <a:off x="0" y="0"/>
                      <a:ext cx="5021802" cy="3514725"/>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7.11</w:t>
      </w:r>
      <w:r w:rsidRPr="00DE221F">
        <w:rPr>
          <w:b/>
          <w:sz w:val="22"/>
          <w:szCs w:val="22"/>
        </w:rPr>
        <w:t>: Location of Bacau Airport</w:t>
      </w:r>
    </w:p>
    <w:p w:rsidR="00660414" w:rsidRDefault="00660414" w:rsidP="00660414">
      <w:pPr>
        <w:rPr>
          <w:sz w:val="22"/>
          <w:szCs w:val="22"/>
        </w:rPr>
      </w:pPr>
    </w:p>
    <w:p w:rsidR="00660414" w:rsidRDefault="00660414" w:rsidP="00660414">
      <w:pPr>
        <w:rPr>
          <w:sz w:val="22"/>
          <w:szCs w:val="22"/>
        </w:rPr>
      </w:pPr>
    </w:p>
    <w:p w:rsidR="00660414" w:rsidRPr="002E1D60" w:rsidRDefault="00660414" w:rsidP="00660414">
      <w:pPr>
        <w:pStyle w:val="ListParagraph"/>
        <w:spacing w:before="120" w:after="120"/>
        <w:ind w:left="0"/>
        <w:rPr>
          <w:b/>
          <w:sz w:val="22"/>
          <w:szCs w:val="22"/>
        </w:rPr>
      </w:pPr>
      <w:r w:rsidRPr="002E1D60">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terminal capacity by 2020</w:t>
      </w:r>
    </w:p>
    <w:p w:rsidR="00660414" w:rsidRPr="00DE221F" w:rsidRDefault="00660414" w:rsidP="00273D5E">
      <w:pPr>
        <w:pStyle w:val="BulletLevel1"/>
      </w:pPr>
      <w:r w:rsidRPr="00DE221F">
        <w:t>The airport will run out of apron space by 2020</w:t>
      </w:r>
    </w:p>
    <w:p w:rsidR="00660414" w:rsidRPr="00DE221F" w:rsidRDefault="00660414" w:rsidP="00273D5E">
      <w:pPr>
        <w:pStyle w:val="BulletLevel1"/>
      </w:pPr>
      <w:r w:rsidRPr="00DE221F">
        <w:t>The runway has a very low PCN value and needs to be upgraded to handle more flights</w:t>
      </w:r>
    </w:p>
    <w:p w:rsidR="00660414" w:rsidRPr="00DE221F" w:rsidRDefault="00660414" w:rsidP="00273D5E">
      <w:pPr>
        <w:pStyle w:val="BulletLevel1"/>
      </w:pPr>
      <w:r w:rsidRPr="00DE221F">
        <w:t>International connectivity will generate increased freight flows</w:t>
      </w:r>
    </w:p>
    <w:p w:rsidR="00660414" w:rsidRDefault="00660414" w:rsidP="00660414">
      <w:pPr>
        <w:ind w:left="720"/>
        <w:rPr>
          <w:i/>
          <w:sz w:val="22"/>
          <w:szCs w:val="22"/>
        </w:rPr>
      </w:pPr>
    </w:p>
    <w:p w:rsidR="00660414" w:rsidRPr="00BD6B2B" w:rsidRDefault="00660414" w:rsidP="00660414">
      <w:pPr>
        <w:spacing w:before="120" w:after="120"/>
        <w:rPr>
          <w:b/>
          <w:sz w:val="22"/>
          <w:szCs w:val="22"/>
        </w:rPr>
      </w:pPr>
      <w:r w:rsidRPr="00BD6B2B">
        <w:rPr>
          <w:b/>
          <w:sz w:val="22"/>
          <w:szCs w:val="22"/>
        </w:rPr>
        <w:t>Undiscounted Costs</w:t>
      </w:r>
    </w:p>
    <w:p w:rsidR="00660414" w:rsidRPr="00DE221F" w:rsidRDefault="00660414" w:rsidP="00660414">
      <w:pPr>
        <w:rPr>
          <w:sz w:val="22"/>
          <w:szCs w:val="22"/>
        </w:rPr>
      </w:pPr>
      <w:r w:rsidRPr="00DE221F">
        <w:rPr>
          <w:sz w:val="22"/>
          <w:szCs w:val="22"/>
        </w:rPr>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0"/>
        <w:gridCol w:w="6882"/>
      </w:tblGrid>
      <w:tr w:rsidR="00660414" w:rsidRPr="00DE221F" w:rsidTr="007613DE">
        <w:trPr>
          <w:cantSplit/>
          <w:tblHeader/>
        </w:trPr>
        <w:tc>
          <w:tcPr>
            <w:tcW w:w="1725"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5"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978" w:type="pct"/>
            <w:vAlign w:val="bottom"/>
          </w:tcPr>
          <w:p w:rsidR="00660414" w:rsidRPr="00DE221F" w:rsidRDefault="00660414" w:rsidP="007613DE">
            <w:pPr>
              <w:rPr>
                <w:sz w:val="22"/>
                <w:szCs w:val="22"/>
              </w:rPr>
            </w:pPr>
            <w:r w:rsidRPr="00DE221F">
              <w:rPr>
                <w:sz w:val="22"/>
                <w:szCs w:val="22"/>
              </w:rPr>
              <w:t xml:space="preserve">CAPEX </w:t>
            </w:r>
          </w:p>
        </w:tc>
        <w:tc>
          <w:tcPr>
            <w:tcW w:w="747" w:type="pct"/>
            <w:vAlign w:val="bottom"/>
          </w:tcPr>
          <w:p w:rsidR="00660414" w:rsidRPr="00DE221F" w:rsidRDefault="00660414" w:rsidP="007613DE">
            <w:pPr>
              <w:jc w:val="right"/>
              <w:rPr>
                <w:color w:val="000000"/>
                <w:sz w:val="22"/>
                <w:szCs w:val="22"/>
              </w:rPr>
            </w:pPr>
            <w:r>
              <w:rPr>
                <w:color w:val="000000"/>
                <w:sz w:val="22"/>
                <w:szCs w:val="22"/>
              </w:rPr>
              <w:t>85</w:t>
            </w:r>
          </w:p>
        </w:tc>
        <w:tc>
          <w:tcPr>
            <w:tcW w:w="3275"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40"/>
              </w:numPr>
              <w:contextualSpacing/>
            </w:pPr>
            <w:r>
              <w:t>Development of a new</w:t>
            </w:r>
            <w:r w:rsidRPr="00DE221F">
              <w:t xml:space="preserve"> passenger terminal</w:t>
            </w:r>
          </w:p>
          <w:p w:rsidR="00660414" w:rsidRPr="00DE221F" w:rsidRDefault="00660414" w:rsidP="007613DE">
            <w:pPr>
              <w:pStyle w:val="ListParagraph"/>
              <w:numPr>
                <w:ilvl w:val="0"/>
                <w:numId w:val="40"/>
              </w:numPr>
              <w:contextualSpacing/>
            </w:pPr>
            <w:r w:rsidRPr="00DE221F">
              <w:t>Expansions of apron space</w:t>
            </w:r>
          </w:p>
          <w:p w:rsidR="00660414" w:rsidRPr="00DE221F" w:rsidRDefault="00660414" w:rsidP="007613DE">
            <w:pPr>
              <w:pStyle w:val="ListParagraph"/>
              <w:numPr>
                <w:ilvl w:val="0"/>
                <w:numId w:val="40"/>
              </w:numPr>
              <w:contextualSpacing/>
            </w:pPr>
            <w:r w:rsidRPr="00DE221F">
              <w:t>Increase runway bearing capacity</w:t>
            </w:r>
          </w:p>
          <w:p w:rsidR="00660414" w:rsidRPr="00DE221F" w:rsidRDefault="00660414" w:rsidP="007613DE">
            <w:pPr>
              <w:pStyle w:val="ListParagraph"/>
              <w:numPr>
                <w:ilvl w:val="0"/>
                <w:numId w:val="40"/>
              </w:numPr>
              <w:contextualSpacing/>
            </w:pPr>
            <w:r w:rsidRPr="00DE221F">
              <w:t>Analyse opportunity to develop a cargo terminal</w:t>
            </w:r>
          </w:p>
        </w:tc>
      </w:tr>
      <w:tr w:rsidR="00660414" w:rsidRPr="00DE221F" w:rsidTr="007613DE">
        <w:trPr>
          <w:cantSplit/>
          <w:trHeight w:val="367"/>
        </w:trPr>
        <w:tc>
          <w:tcPr>
            <w:tcW w:w="978" w:type="pct"/>
            <w:vAlign w:val="bottom"/>
          </w:tcPr>
          <w:p w:rsidR="00660414" w:rsidRPr="00DE221F" w:rsidRDefault="00660414" w:rsidP="007613DE">
            <w:pPr>
              <w:rPr>
                <w:sz w:val="22"/>
                <w:szCs w:val="22"/>
              </w:rPr>
            </w:pPr>
            <w:r w:rsidRPr="00DE221F">
              <w:rPr>
                <w:sz w:val="22"/>
                <w:szCs w:val="22"/>
              </w:rPr>
              <w:t xml:space="preserve">OPEX </w:t>
            </w:r>
          </w:p>
        </w:tc>
        <w:tc>
          <w:tcPr>
            <w:tcW w:w="747" w:type="pct"/>
            <w:vAlign w:val="bottom"/>
          </w:tcPr>
          <w:p w:rsidR="00660414" w:rsidRPr="00DE221F" w:rsidRDefault="00660414" w:rsidP="007613DE">
            <w:pPr>
              <w:jc w:val="right"/>
              <w:rPr>
                <w:color w:val="000000"/>
                <w:sz w:val="22"/>
                <w:szCs w:val="22"/>
              </w:rPr>
            </w:pPr>
            <w:r w:rsidRPr="00DE221F">
              <w:rPr>
                <w:color w:val="000000"/>
                <w:sz w:val="22"/>
                <w:szCs w:val="22"/>
              </w:rPr>
              <w:t>4.3</w:t>
            </w:r>
          </w:p>
        </w:tc>
        <w:tc>
          <w:tcPr>
            <w:tcW w:w="3275"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978" w:type="pct"/>
          </w:tcPr>
          <w:p w:rsidR="00660414" w:rsidRPr="00DE221F" w:rsidRDefault="00660414" w:rsidP="007613DE">
            <w:pPr>
              <w:rPr>
                <w:sz w:val="22"/>
                <w:szCs w:val="22"/>
              </w:rPr>
            </w:pPr>
            <w:r w:rsidRPr="00DE221F">
              <w:rPr>
                <w:sz w:val="22"/>
                <w:szCs w:val="22"/>
              </w:rPr>
              <w:t xml:space="preserve">Total </w:t>
            </w:r>
          </w:p>
        </w:tc>
        <w:tc>
          <w:tcPr>
            <w:tcW w:w="747" w:type="pct"/>
            <w:vAlign w:val="bottom"/>
          </w:tcPr>
          <w:p w:rsidR="00660414" w:rsidRPr="00DE221F" w:rsidRDefault="00660414" w:rsidP="007613DE">
            <w:pPr>
              <w:jc w:val="right"/>
              <w:rPr>
                <w:b/>
                <w:color w:val="000000"/>
                <w:sz w:val="22"/>
                <w:szCs w:val="22"/>
              </w:rPr>
            </w:pPr>
            <w:r>
              <w:rPr>
                <w:b/>
                <w:color w:val="000000"/>
                <w:sz w:val="22"/>
                <w:szCs w:val="22"/>
              </w:rPr>
              <w:t>89.3</w:t>
            </w:r>
          </w:p>
        </w:tc>
        <w:tc>
          <w:tcPr>
            <w:tcW w:w="3275" w:type="pct"/>
          </w:tcPr>
          <w:p w:rsidR="00660414" w:rsidRPr="00DE221F" w:rsidRDefault="00660414" w:rsidP="007613DE">
            <w:pPr>
              <w:rPr>
                <w:sz w:val="22"/>
                <w:szCs w:val="22"/>
              </w:rPr>
            </w:pPr>
            <w:r w:rsidRPr="00DE221F">
              <w:rPr>
                <w:sz w:val="22"/>
                <w:szCs w:val="22"/>
              </w:rPr>
              <w:t>(2020-2025 projects combined)</w:t>
            </w:r>
          </w:p>
        </w:tc>
      </w:tr>
    </w:tbl>
    <w:p w:rsidR="00660414" w:rsidRPr="00DE221F" w:rsidRDefault="00660414" w:rsidP="00660414">
      <w:pPr>
        <w:rPr>
          <w:sz w:val="22"/>
          <w:szCs w:val="22"/>
        </w:rPr>
      </w:pPr>
    </w:p>
    <w:p w:rsidR="00660414" w:rsidRPr="00BD6B2B" w:rsidRDefault="00660414" w:rsidP="00660414">
      <w:pPr>
        <w:rPr>
          <w:b/>
          <w:sz w:val="22"/>
          <w:szCs w:val="22"/>
        </w:rPr>
      </w:pPr>
      <w:r w:rsidRPr="00BD6B2B">
        <w:rPr>
          <w:b/>
          <w:sz w:val="22"/>
          <w:szCs w:val="22"/>
        </w:rPr>
        <w:t>Outcomes</w:t>
      </w:r>
    </w:p>
    <w:p w:rsidR="00660414" w:rsidRPr="00DE221F" w:rsidRDefault="00660414" w:rsidP="00660414">
      <w:pPr>
        <w:rPr>
          <w:i/>
          <w:sz w:val="22"/>
          <w:szCs w:val="22"/>
        </w:rPr>
      </w:pP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71729" w:rsidRDefault="00660414" w:rsidP="007613DE">
            <w:pPr>
              <w:jc w:val="right"/>
              <w:rPr>
                <w:color w:val="000000"/>
                <w:sz w:val="22"/>
                <w:szCs w:val="22"/>
              </w:rPr>
            </w:pPr>
            <w:r w:rsidRPr="008C5B1B">
              <w:rPr>
                <w:sz w:val="22"/>
                <w:szCs w:val="22"/>
              </w:rPr>
              <w:t>110,017,027</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71729" w:rsidRDefault="00660414" w:rsidP="007613DE">
            <w:pPr>
              <w:jc w:val="right"/>
              <w:rPr>
                <w:color w:val="000000"/>
                <w:sz w:val="22"/>
                <w:szCs w:val="22"/>
              </w:rPr>
            </w:pPr>
            <w:r w:rsidRPr="008C5B1B">
              <w:rPr>
                <w:sz w:val="22"/>
                <w:szCs w:val="22"/>
              </w:rPr>
              <w:t>367,635,291</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71729" w:rsidRDefault="00660414" w:rsidP="007613DE">
            <w:pPr>
              <w:jc w:val="right"/>
              <w:rPr>
                <w:color w:val="000000"/>
                <w:sz w:val="22"/>
                <w:szCs w:val="22"/>
              </w:rPr>
            </w:pPr>
            <w:r w:rsidRPr="008C5B1B">
              <w:rPr>
                <w:sz w:val="22"/>
                <w:szCs w:val="22"/>
              </w:rPr>
              <w:t>257,618,264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71729" w:rsidRDefault="00660414" w:rsidP="007613DE">
            <w:pPr>
              <w:jc w:val="right"/>
              <w:rPr>
                <w:color w:val="000000"/>
                <w:sz w:val="22"/>
                <w:szCs w:val="22"/>
              </w:rPr>
            </w:pPr>
            <w:r w:rsidRPr="008C5B1B">
              <w:rPr>
                <w:sz w:val="22"/>
                <w:szCs w:val="22"/>
              </w:rPr>
              <w:t>3.34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71729" w:rsidRDefault="00660414" w:rsidP="007613DE">
            <w:pPr>
              <w:jc w:val="right"/>
              <w:rPr>
                <w:color w:val="000000"/>
                <w:sz w:val="22"/>
                <w:szCs w:val="22"/>
              </w:rPr>
            </w:pPr>
            <w:r w:rsidRPr="008C5B1B">
              <w:rPr>
                <w:sz w:val="22"/>
                <w:szCs w:val="22"/>
              </w:rPr>
              <w:t>11.0%</w:t>
            </w:r>
          </w:p>
        </w:tc>
      </w:tr>
    </w:tbl>
    <w:p w:rsidR="00660414" w:rsidRPr="00DE221F" w:rsidRDefault="00660414" w:rsidP="00660414">
      <w:pPr>
        <w:rPr>
          <w:sz w:val="22"/>
          <w:szCs w:val="22"/>
        </w:rPr>
      </w:pPr>
    </w:p>
    <w:p w:rsidR="00660414" w:rsidRPr="00DE221F" w:rsidRDefault="00660414" w:rsidP="00A4081F">
      <w:pPr>
        <w:pStyle w:val="NumberedParas"/>
      </w:pPr>
      <w:r w:rsidRPr="00DE221F">
        <w:t xml:space="preserve">In 2011 the airport handled 327,414 (21,106 domestic and 306,308 international) passengers per annum. If the upgrade programme is undertaken fully, passenger numbers could grow to 1,190,261 by 2020 (258,620 domestic and 931,641 international) and 1,473,001 by 2025 (320,053 domestic and 1,152,948 international). </w:t>
      </w:r>
    </w:p>
    <w:p w:rsidR="00660414" w:rsidRPr="00BD6B2B" w:rsidRDefault="00660414" w:rsidP="00660414">
      <w:pPr>
        <w:spacing w:before="120" w:after="120"/>
        <w:rPr>
          <w:b/>
          <w:sz w:val="22"/>
          <w:szCs w:val="22"/>
        </w:rPr>
      </w:pPr>
      <w:r w:rsidRPr="00BD6B2B">
        <w:rPr>
          <w:b/>
          <w:sz w:val="22"/>
          <w:szCs w:val="22"/>
        </w:rPr>
        <w:t>Implementing Organisations</w:t>
      </w:r>
    </w:p>
    <w:p w:rsidR="00660414" w:rsidRPr="00DE221F" w:rsidRDefault="00660414" w:rsidP="00A4081F">
      <w:pPr>
        <w:pStyle w:val="NumberedParas"/>
      </w:pPr>
      <w:r w:rsidRPr="00DE221F">
        <w:t xml:space="preserve">This project would be implemented by Bacau Airport. </w:t>
      </w:r>
    </w:p>
    <w:p w:rsidR="00660414" w:rsidRPr="00BD6B2B" w:rsidRDefault="00660414" w:rsidP="00660414">
      <w:pPr>
        <w:spacing w:before="120" w:after="120"/>
        <w:rPr>
          <w:b/>
          <w:sz w:val="22"/>
          <w:szCs w:val="22"/>
        </w:rPr>
      </w:pPr>
      <w:r w:rsidRPr="00BD6B2B">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Expansion of Apron space</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Expansion of Apron space</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Increase the bearing capacity of the runway </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the opportunity of developing a cargo terminal</w:t>
            </w:r>
          </w:p>
        </w:tc>
        <w:tc>
          <w:tcPr>
            <w:tcW w:w="2750" w:type="dxa"/>
          </w:tcPr>
          <w:p w:rsidR="00660414" w:rsidRPr="00DE221F" w:rsidRDefault="00660414" w:rsidP="007613DE">
            <w:pPr>
              <w:rPr>
                <w:sz w:val="22"/>
                <w:szCs w:val="22"/>
              </w:rPr>
            </w:pPr>
            <w:r w:rsidRPr="00DE221F">
              <w:rPr>
                <w:sz w:val="22"/>
                <w:szCs w:val="22"/>
              </w:rPr>
              <w:t>2020</w:t>
            </w:r>
          </w:p>
        </w:tc>
      </w:tr>
    </w:tbl>
    <w:p w:rsidR="00660414" w:rsidRPr="00DE221F" w:rsidRDefault="00660414" w:rsidP="00660414">
      <w:pPr>
        <w:rPr>
          <w:b/>
          <w:sz w:val="22"/>
          <w:szCs w:val="22"/>
        </w:rPr>
      </w:pPr>
    </w:p>
    <w:p w:rsidR="00660414" w:rsidRPr="00DE221F" w:rsidRDefault="00660414" w:rsidP="00660414">
      <w:pPr>
        <w:pStyle w:val="Hdg3"/>
      </w:pPr>
      <w:r w:rsidRPr="00DE221F">
        <w:t>Upgrade programme for Iasi Airport</w:t>
      </w:r>
    </w:p>
    <w:p w:rsidR="00660414" w:rsidRPr="00DE221F" w:rsidRDefault="00660414" w:rsidP="00660414">
      <w:pPr>
        <w:rPr>
          <w:b/>
          <w:sz w:val="22"/>
          <w:szCs w:val="22"/>
        </w:rPr>
      </w:pPr>
      <w:r w:rsidRPr="00DE221F">
        <w:rPr>
          <w:b/>
          <w:sz w:val="22"/>
          <w:szCs w:val="22"/>
        </w:rPr>
        <w:tab/>
      </w:r>
    </w:p>
    <w:p w:rsidR="00660414" w:rsidRPr="002E1D60" w:rsidRDefault="00660414" w:rsidP="00660414">
      <w:pPr>
        <w:pStyle w:val="ListParagraph"/>
        <w:spacing w:before="120" w:after="120"/>
        <w:ind w:left="0"/>
        <w:rPr>
          <w:b/>
          <w:sz w:val="22"/>
          <w:szCs w:val="22"/>
        </w:rPr>
      </w:pPr>
      <w:r w:rsidRPr="002E1D60">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660414">
      <w:pPr>
        <w:rPr>
          <w:sz w:val="22"/>
          <w:szCs w:val="22"/>
        </w:rPr>
      </w:pPr>
    </w:p>
    <w:p w:rsidR="00660414" w:rsidRPr="00F52DF3" w:rsidRDefault="00660414" w:rsidP="00A4081F">
      <w:pPr>
        <w:pStyle w:val="NumberedParas"/>
      </w:pPr>
      <w:r w:rsidRPr="00DE221F">
        <w:t>Iasi Airport is currently classified as a Regional Airport but has the potential to be developed into a</w:t>
      </w:r>
      <w:r>
        <w:t>n</w:t>
      </w:r>
      <w:r w:rsidRPr="00DE221F">
        <w:t xml:space="preserve"> International Hub Airport. TAROM Airlines is already using Iasi Airport as their second hub. The upgrade project for Iasi Airport aims to ensure that infrastructure capacity and operational facilities are able to deal with demand increase for </w:t>
      </w:r>
      <w:r w:rsidRPr="00F52DF3">
        <w:t>2020 and 2025. The project includes:</w:t>
      </w:r>
    </w:p>
    <w:p w:rsidR="00660414" w:rsidRPr="00DE221F" w:rsidRDefault="00660414" w:rsidP="00273D5E">
      <w:pPr>
        <w:pStyle w:val="BulletLevel1"/>
      </w:pPr>
      <w:r w:rsidRPr="00DE221F">
        <w:t>Analyse the opportunity to develop a cargo terminal</w:t>
      </w:r>
    </w:p>
    <w:p w:rsidR="00660414" w:rsidRPr="00DE221F" w:rsidRDefault="00660414" w:rsidP="00A4081F">
      <w:pPr>
        <w:pStyle w:val="NumberedParas"/>
      </w:pPr>
      <w:r w:rsidRPr="00DE221F">
        <w:t xml:space="preserve">Figure </w:t>
      </w:r>
      <w:r>
        <w:t>7.12</w:t>
      </w:r>
      <w:r w:rsidRPr="00DE221F">
        <w:t xml:space="preserve"> sets out the location of Iasi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3D8A19D0" wp14:editId="760D13F4">
            <wp:extent cx="4995230" cy="3505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4995230" cy="3505200"/>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7.12</w:t>
      </w:r>
      <w:r w:rsidRPr="00DE221F">
        <w:rPr>
          <w:b/>
          <w:sz w:val="22"/>
          <w:szCs w:val="22"/>
        </w:rPr>
        <w:t>: Location of Iasi Airport</w:t>
      </w:r>
    </w:p>
    <w:p w:rsidR="00660414" w:rsidRPr="00DE221F" w:rsidRDefault="00660414" w:rsidP="00660414">
      <w:pPr>
        <w:rPr>
          <w:sz w:val="22"/>
          <w:szCs w:val="22"/>
        </w:rPr>
      </w:pPr>
    </w:p>
    <w:p w:rsidR="00660414" w:rsidRDefault="00660414" w:rsidP="00660414">
      <w:pPr>
        <w:pStyle w:val="ListParagraph"/>
        <w:spacing w:before="120" w:after="120"/>
        <w:ind w:left="0"/>
        <w:rPr>
          <w:b/>
          <w:sz w:val="22"/>
          <w:szCs w:val="22"/>
        </w:rPr>
      </w:pPr>
    </w:p>
    <w:p w:rsidR="00660414" w:rsidRPr="002E1D60" w:rsidRDefault="00660414" w:rsidP="00660414">
      <w:pPr>
        <w:pStyle w:val="ListParagraph"/>
        <w:spacing w:before="120" w:after="120"/>
        <w:ind w:left="0"/>
        <w:rPr>
          <w:b/>
          <w:sz w:val="22"/>
          <w:szCs w:val="22"/>
        </w:rPr>
      </w:pPr>
      <w:r w:rsidRPr="002E1D60">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International connectivity will generate increased freight flows</w:t>
      </w:r>
    </w:p>
    <w:p w:rsidR="00660414" w:rsidRPr="00DE221F" w:rsidRDefault="00660414" w:rsidP="00660414">
      <w:pPr>
        <w:rPr>
          <w:sz w:val="22"/>
          <w:szCs w:val="22"/>
        </w:rPr>
      </w:pPr>
    </w:p>
    <w:p w:rsidR="00660414" w:rsidRPr="00BD6B2B" w:rsidRDefault="00660414" w:rsidP="00660414">
      <w:pPr>
        <w:spacing w:before="120" w:after="120"/>
        <w:rPr>
          <w:b/>
          <w:sz w:val="22"/>
          <w:szCs w:val="22"/>
        </w:rPr>
      </w:pPr>
      <w:r w:rsidRPr="00BD6B2B">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F52DF3" w:rsidTr="007613DE">
        <w:trPr>
          <w:cantSplit/>
        </w:trPr>
        <w:tc>
          <w:tcPr>
            <w:tcW w:w="978" w:type="pct"/>
            <w:vAlign w:val="bottom"/>
          </w:tcPr>
          <w:p w:rsidR="00660414" w:rsidRPr="00F52DF3" w:rsidRDefault="00660414" w:rsidP="007613DE">
            <w:pPr>
              <w:rPr>
                <w:sz w:val="22"/>
                <w:szCs w:val="22"/>
              </w:rPr>
            </w:pPr>
            <w:r w:rsidRPr="00F52DF3">
              <w:rPr>
                <w:sz w:val="22"/>
                <w:szCs w:val="22"/>
              </w:rPr>
              <w:t xml:space="preserve">CAPEX </w:t>
            </w:r>
          </w:p>
        </w:tc>
        <w:tc>
          <w:tcPr>
            <w:tcW w:w="748" w:type="pct"/>
            <w:vAlign w:val="bottom"/>
          </w:tcPr>
          <w:p w:rsidR="00660414" w:rsidRPr="008C5B1B" w:rsidRDefault="00660414" w:rsidP="007613DE">
            <w:pPr>
              <w:tabs>
                <w:tab w:val="left" w:pos="2070"/>
              </w:tabs>
              <w:spacing w:after="120" w:line="360" w:lineRule="auto"/>
              <w:ind w:left="4252" w:hanging="3686"/>
              <w:jc w:val="right"/>
              <w:rPr>
                <w:color w:val="000000"/>
                <w:sz w:val="22"/>
                <w:szCs w:val="22"/>
              </w:rPr>
            </w:pPr>
            <w:r w:rsidRPr="008C5B1B">
              <w:rPr>
                <w:color w:val="000000"/>
                <w:sz w:val="22"/>
                <w:szCs w:val="22"/>
              </w:rPr>
              <w:t>5.1</w:t>
            </w:r>
          </w:p>
        </w:tc>
        <w:tc>
          <w:tcPr>
            <w:tcW w:w="3274" w:type="pct"/>
          </w:tcPr>
          <w:p w:rsidR="00660414" w:rsidRPr="00F52DF3" w:rsidRDefault="00660414" w:rsidP="007613DE">
            <w:pPr>
              <w:rPr>
                <w:sz w:val="22"/>
                <w:szCs w:val="22"/>
              </w:rPr>
            </w:pPr>
            <w:r w:rsidRPr="00F52DF3">
              <w:rPr>
                <w:sz w:val="22"/>
                <w:szCs w:val="22"/>
              </w:rPr>
              <w:t>Includes:</w:t>
            </w:r>
          </w:p>
          <w:p w:rsidR="00660414" w:rsidRPr="00F52DF3" w:rsidRDefault="00660414" w:rsidP="007613DE">
            <w:pPr>
              <w:pStyle w:val="ListParagraph"/>
              <w:numPr>
                <w:ilvl w:val="0"/>
                <w:numId w:val="41"/>
              </w:numPr>
              <w:contextualSpacing/>
            </w:pPr>
            <w:r w:rsidRPr="00F52DF3">
              <w:t>Analyse opportunity to develop a cargo terminal</w:t>
            </w:r>
          </w:p>
        </w:tc>
      </w:tr>
      <w:tr w:rsidR="00660414" w:rsidRPr="00F52DF3" w:rsidTr="007613DE">
        <w:trPr>
          <w:cantSplit/>
        </w:trPr>
        <w:tc>
          <w:tcPr>
            <w:tcW w:w="978" w:type="pct"/>
            <w:vAlign w:val="bottom"/>
          </w:tcPr>
          <w:p w:rsidR="00660414" w:rsidRPr="00F52DF3" w:rsidRDefault="00660414" w:rsidP="007613DE">
            <w:pPr>
              <w:rPr>
                <w:sz w:val="22"/>
                <w:szCs w:val="22"/>
              </w:rPr>
            </w:pPr>
            <w:r w:rsidRPr="00F52DF3">
              <w:rPr>
                <w:sz w:val="22"/>
                <w:szCs w:val="22"/>
              </w:rPr>
              <w:t xml:space="preserve">OPEX </w:t>
            </w:r>
          </w:p>
        </w:tc>
        <w:tc>
          <w:tcPr>
            <w:tcW w:w="748" w:type="pct"/>
            <w:vAlign w:val="bottom"/>
          </w:tcPr>
          <w:p w:rsidR="00660414" w:rsidRPr="008C5B1B" w:rsidRDefault="00660414" w:rsidP="007613DE">
            <w:pPr>
              <w:tabs>
                <w:tab w:val="left" w:pos="2070"/>
              </w:tabs>
              <w:spacing w:after="120" w:line="360" w:lineRule="auto"/>
              <w:jc w:val="right"/>
              <w:rPr>
                <w:color w:val="000000"/>
                <w:sz w:val="22"/>
                <w:szCs w:val="22"/>
              </w:rPr>
            </w:pPr>
            <w:r w:rsidRPr="008C5B1B">
              <w:rPr>
                <w:color w:val="000000"/>
                <w:sz w:val="22"/>
                <w:szCs w:val="22"/>
              </w:rPr>
              <w:t>0.3</w:t>
            </w:r>
          </w:p>
        </w:tc>
        <w:tc>
          <w:tcPr>
            <w:tcW w:w="3274" w:type="pct"/>
          </w:tcPr>
          <w:p w:rsidR="00660414" w:rsidRPr="00F52DF3" w:rsidRDefault="00660414" w:rsidP="007613DE">
            <w:pPr>
              <w:rPr>
                <w:sz w:val="22"/>
                <w:szCs w:val="22"/>
              </w:rPr>
            </w:pPr>
            <w:r w:rsidRPr="00F52DF3">
              <w:rPr>
                <w:sz w:val="22"/>
                <w:szCs w:val="22"/>
              </w:rPr>
              <w:t xml:space="preserve">Additional operating costs </w:t>
            </w:r>
          </w:p>
        </w:tc>
      </w:tr>
      <w:tr w:rsidR="00660414" w:rsidRPr="00F52DF3" w:rsidTr="007613DE">
        <w:trPr>
          <w:cantSplit/>
        </w:trPr>
        <w:tc>
          <w:tcPr>
            <w:tcW w:w="978" w:type="pct"/>
          </w:tcPr>
          <w:p w:rsidR="00660414" w:rsidRPr="00F52DF3" w:rsidRDefault="00660414" w:rsidP="007613DE">
            <w:pPr>
              <w:rPr>
                <w:sz w:val="22"/>
                <w:szCs w:val="22"/>
              </w:rPr>
            </w:pPr>
            <w:r w:rsidRPr="00F52DF3">
              <w:rPr>
                <w:sz w:val="22"/>
                <w:szCs w:val="22"/>
              </w:rPr>
              <w:t xml:space="preserve">Total </w:t>
            </w:r>
          </w:p>
        </w:tc>
        <w:tc>
          <w:tcPr>
            <w:tcW w:w="748" w:type="pct"/>
            <w:vAlign w:val="bottom"/>
          </w:tcPr>
          <w:p w:rsidR="00660414" w:rsidRPr="00F52DF3" w:rsidRDefault="00660414" w:rsidP="007613DE">
            <w:pPr>
              <w:tabs>
                <w:tab w:val="left" w:pos="2070"/>
              </w:tabs>
              <w:spacing w:after="120" w:line="360" w:lineRule="auto"/>
              <w:jc w:val="right"/>
              <w:rPr>
                <w:b/>
                <w:color w:val="000000"/>
                <w:sz w:val="22"/>
                <w:szCs w:val="22"/>
              </w:rPr>
            </w:pPr>
            <w:r w:rsidRPr="008C5B1B">
              <w:rPr>
                <w:b/>
                <w:color w:val="000000"/>
                <w:sz w:val="22"/>
                <w:szCs w:val="22"/>
              </w:rPr>
              <w:t>5.4</w:t>
            </w:r>
          </w:p>
        </w:tc>
        <w:tc>
          <w:tcPr>
            <w:tcW w:w="3274" w:type="pct"/>
          </w:tcPr>
          <w:p w:rsidR="00660414" w:rsidRPr="00F52DF3" w:rsidRDefault="00660414" w:rsidP="007613DE">
            <w:pPr>
              <w:rPr>
                <w:sz w:val="22"/>
                <w:szCs w:val="22"/>
              </w:rPr>
            </w:pPr>
          </w:p>
        </w:tc>
      </w:tr>
    </w:tbl>
    <w:p w:rsidR="00660414" w:rsidRPr="00F52DF3" w:rsidRDefault="00660414" w:rsidP="00660414">
      <w:pPr>
        <w:rPr>
          <w:sz w:val="22"/>
          <w:szCs w:val="22"/>
        </w:rPr>
      </w:pPr>
    </w:p>
    <w:p w:rsidR="00660414" w:rsidRPr="00F52DF3" w:rsidRDefault="00660414" w:rsidP="00660414">
      <w:pPr>
        <w:spacing w:before="120" w:after="120"/>
        <w:rPr>
          <w:b/>
          <w:sz w:val="22"/>
          <w:szCs w:val="22"/>
        </w:rPr>
      </w:pPr>
      <w:r w:rsidRPr="00F52DF3">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F52DF3" w:rsidTr="007613DE">
        <w:trPr>
          <w:cantSplit/>
        </w:trPr>
        <w:tc>
          <w:tcPr>
            <w:tcW w:w="2367" w:type="pct"/>
            <w:vAlign w:val="center"/>
          </w:tcPr>
          <w:p w:rsidR="00660414" w:rsidRPr="00F52DF3" w:rsidRDefault="00660414" w:rsidP="007613DE">
            <w:pPr>
              <w:spacing w:before="120"/>
              <w:rPr>
                <w:b/>
                <w:sz w:val="22"/>
                <w:szCs w:val="22"/>
              </w:rPr>
            </w:pPr>
            <w:r w:rsidRPr="00F52DF3">
              <w:rPr>
                <w:b/>
                <w:sz w:val="22"/>
                <w:szCs w:val="22"/>
              </w:rPr>
              <w:t>PVC (€ (2014 Prices))</w:t>
            </w:r>
          </w:p>
        </w:tc>
        <w:tc>
          <w:tcPr>
            <w:tcW w:w="2633" w:type="pct"/>
            <w:vAlign w:val="bottom"/>
          </w:tcPr>
          <w:p w:rsidR="00660414" w:rsidRPr="008C5B1B" w:rsidRDefault="00660414" w:rsidP="007613DE">
            <w:pPr>
              <w:tabs>
                <w:tab w:val="left" w:pos="2070"/>
              </w:tabs>
              <w:spacing w:after="120" w:line="360" w:lineRule="auto"/>
              <w:jc w:val="right"/>
              <w:rPr>
                <w:color w:val="000000"/>
                <w:sz w:val="22"/>
                <w:szCs w:val="22"/>
              </w:rPr>
            </w:pPr>
            <w:r w:rsidRPr="008C5B1B">
              <w:rPr>
                <w:color w:val="000000"/>
                <w:sz w:val="22"/>
                <w:szCs w:val="22"/>
              </w:rPr>
              <w:t>6,674,212</w:t>
            </w:r>
          </w:p>
        </w:tc>
      </w:tr>
      <w:tr w:rsidR="00660414" w:rsidRPr="00F52DF3" w:rsidTr="007613DE">
        <w:trPr>
          <w:cantSplit/>
        </w:trPr>
        <w:tc>
          <w:tcPr>
            <w:tcW w:w="2367" w:type="pct"/>
            <w:vAlign w:val="center"/>
          </w:tcPr>
          <w:p w:rsidR="00660414" w:rsidRPr="00F52DF3" w:rsidRDefault="00660414" w:rsidP="007613DE">
            <w:pPr>
              <w:spacing w:before="120"/>
              <w:rPr>
                <w:b/>
                <w:sz w:val="22"/>
                <w:szCs w:val="22"/>
              </w:rPr>
            </w:pPr>
            <w:r w:rsidRPr="00F52DF3">
              <w:rPr>
                <w:b/>
                <w:sz w:val="22"/>
                <w:szCs w:val="22"/>
              </w:rPr>
              <w:t>PVB (€ (2014 Prices))</w:t>
            </w:r>
          </w:p>
        </w:tc>
        <w:tc>
          <w:tcPr>
            <w:tcW w:w="2633" w:type="pct"/>
            <w:vAlign w:val="bottom"/>
          </w:tcPr>
          <w:p w:rsidR="00660414" w:rsidRPr="008C5B1B" w:rsidRDefault="00660414" w:rsidP="007613DE">
            <w:pPr>
              <w:tabs>
                <w:tab w:val="left" w:pos="2070"/>
              </w:tabs>
              <w:spacing w:after="120" w:line="360" w:lineRule="auto"/>
              <w:jc w:val="right"/>
              <w:rPr>
                <w:color w:val="000000"/>
                <w:sz w:val="22"/>
                <w:szCs w:val="22"/>
              </w:rPr>
            </w:pPr>
            <w:r w:rsidRPr="008C5B1B">
              <w:rPr>
                <w:color w:val="000000"/>
                <w:sz w:val="22"/>
                <w:szCs w:val="22"/>
              </w:rPr>
              <w:t>78,948,864</w:t>
            </w:r>
          </w:p>
        </w:tc>
      </w:tr>
      <w:tr w:rsidR="00660414" w:rsidRPr="00F52DF3" w:rsidTr="007613DE">
        <w:trPr>
          <w:cantSplit/>
        </w:trPr>
        <w:tc>
          <w:tcPr>
            <w:tcW w:w="2367" w:type="pct"/>
            <w:vAlign w:val="center"/>
          </w:tcPr>
          <w:p w:rsidR="00660414" w:rsidRPr="00F52DF3" w:rsidRDefault="00660414" w:rsidP="007613DE">
            <w:pPr>
              <w:spacing w:before="120"/>
              <w:rPr>
                <w:b/>
                <w:sz w:val="22"/>
                <w:szCs w:val="22"/>
              </w:rPr>
            </w:pPr>
            <w:r w:rsidRPr="00F52DF3">
              <w:rPr>
                <w:b/>
                <w:sz w:val="22"/>
                <w:szCs w:val="22"/>
              </w:rPr>
              <w:t>NPV (€ (2014 Prices))</w:t>
            </w:r>
          </w:p>
        </w:tc>
        <w:tc>
          <w:tcPr>
            <w:tcW w:w="2633" w:type="pct"/>
            <w:vAlign w:val="bottom"/>
          </w:tcPr>
          <w:p w:rsidR="00660414" w:rsidRPr="008C5B1B" w:rsidRDefault="00660414" w:rsidP="007613DE">
            <w:pPr>
              <w:tabs>
                <w:tab w:val="left" w:pos="2070"/>
              </w:tabs>
              <w:spacing w:after="120" w:line="360" w:lineRule="auto"/>
              <w:jc w:val="right"/>
              <w:rPr>
                <w:color w:val="000000"/>
                <w:sz w:val="22"/>
                <w:szCs w:val="22"/>
              </w:rPr>
            </w:pPr>
            <w:r w:rsidRPr="008C5B1B">
              <w:rPr>
                <w:color w:val="000000"/>
                <w:sz w:val="22"/>
                <w:szCs w:val="22"/>
              </w:rPr>
              <w:t>64,765,707</w:t>
            </w:r>
          </w:p>
        </w:tc>
      </w:tr>
      <w:tr w:rsidR="00660414" w:rsidRPr="00F52DF3" w:rsidTr="007613DE">
        <w:trPr>
          <w:cantSplit/>
        </w:trPr>
        <w:tc>
          <w:tcPr>
            <w:tcW w:w="2367" w:type="pct"/>
            <w:vAlign w:val="center"/>
          </w:tcPr>
          <w:p w:rsidR="00660414" w:rsidRPr="00F52DF3" w:rsidRDefault="00660414" w:rsidP="007613DE">
            <w:pPr>
              <w:spacing w:before="120"/>
              <w:rPr>
                <w:b/>
                <w:sz w:val="22"/>
                <w:szCs w:val="22"/>
              </w:rPr>
            </w:pPr>
            <w:r w:rsidRPr="00F52DF3">
              <w:rPr>
                <w:b/>
                <w:sz w:val="22"/>
                <w:szCs w:val="22"/>
              </w:rPr>
              <w:t>BCR</w:t>
            </w:r>
          </w:p>
        </w:tc>
        <w:tc>
          <w:tcPr>
            <w:tcW w:w="2633" w:type="pct"/>
            <w:vAlign w:val="bottom"/>
          </w:tcPr>
          <w:p w:rsidR="00660414" w:rsidRPr="008C5B1B" w:rsidRDefault="00660414" w:rsidP="007613DE">
            <w:pPr>
              <w:tabs>
                <w:tab w:val="left" w:pos="2070"/>
              </w:tabs>
              <w:spacing w:after="120" w:line="360" w:lineRule="auto"/>
              <w:jc w:val="right"/>
              <w:rPr>
                <w:bCs/>
                <w:sz w:val="22"/>
                <w:szCs w:val="22"/>
              </w:rPr>
            </w:pPr>
            <w:r w:rsidRPr="008C5B1B">
              <w:rPr>
                <w:bCs/>
                <w:sz w:val="22"/>
                <w:szCs w:val="22"/>
              </w:rPr>
              <w:t>5.57</w:t>
            </w:r>
          </w:p>
        </w:tc>
      </w:tr>
      <w:tr w:rsidR="00660414" w:rsidRPr="00DE221F" w:rsidTr="007613DE">
        <w:trPr>
          <w:cantSplit/>
        </w:trPr>
        <w:tc>
          <w:tcPr>
            <w:tcW w:w="2367" w:type="pct"/>
            <w:vAlign w:val="center"/>
          </w:tcPr>
          <w:p w:rsidR="00660414" w:rsidRPr="00F52DF3" w:rsidRDefault="00660414" w:rsidP="007613DE">
            <w:pPr>
              <w:spacing w:before="120"/>
              <w:rPr>
                <w:b/>
                <w:sz w:val="22"/>
                <w:szCs w:val="22"/>
              </w:rPr>
            </w:pPr>
            <w:r w:rsidRPr="00F52DF3">
              <w:rPr>
                <w:b/>
                <w:sz w:val="22"/>
                <w:szCs w:val="22"/>
              </w:rPr>
              <w:t xml:space="preserve">EIRR </w:t>
            </w:r>
          </w:p>
        </w:tc>
        <w:tc>
          <w:tcPr>
            <w:tcW w:w="2633" w:type="pct"/>
            <w:vAlign w:val="bottom"/>
          </w:tcPr>
          <w:p w:rsidR="00660414" w:rsidRPr="008C5B1B" w:rsidRDefault="00660414" w:rsidP="007613DE">
            <w:pPr>
              <w:tabs>
                <w:tab w:val="left" w:pos="2070"/>
              </w:tabs>
              <w:spacing w:after="120" w:line="360" w:lineRule="auto"/>
              <w:jc w:val="right"/>
              <w:rPr>
                <w:color w:val="000000"/>
                <w:sz w:val="22"/>
                <w:szCs w:val="22"/>
              </w:rPr>
            </w:pPr>
            <w:r w:rsidRPr="008C5B1B">
              <w:rPr>
                <w:color w:val="000000"/>
                <w:sz w:val="22"/>
                <w:szCs w:val="22"/>
              </w:rPr>
              <w:t>17.4%</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184,483 (139,185 domestic and 45,298 international) per annum. If the upgrade programme is undertaken fully, passenger numbers could grow to 713,729 by 2020 (155,122 domestic and 558,807 international) and 896,903 by 2025 (194,879 domestic and 702,024 international). </w:t>
      </w:r>
    </w:p>
    <w:p w:rsidR="00660414" w:rsidRPr="00BD6B2B" w:rsidRDefault="00660414" w:rsidP="00660414">
      <w:pPr>
        <w:spacing w:before="120" w:after="120" w:line="276" w:lineRule="auto"/>
        <w:rPr>
          <w:b/>
          <w:sz w:val="22"/>
          <w:szCs w:val="22"/>
        </w:rPr>
      </w:pPr>
      <w:r w:rsidRPr="00BD6B2B">
        <w:rPr>
          <w:b/>
          <w:sz w:val="22"/>
          <w:szCs w:val="22"/>
        </w:rPr>
        <w:t>Implementing Organisations</w:t>
      </w:r>
    </w:p>
    <w:p w:rsidR="00660414" w:rsidRPr="00DE221F" w:rsidRDefault="00660414" w:rsidP="00A4081F">
      <w:pPr>
        <w:pStyle w:val="NumberedParas"/>
      </w:pPr>
      <w:r w:rsidRPr="00DE221F">
        <w:t xml:space="preserve">This project would be implemented by Iasi Airport. </w:t>
      </w:r>
    </w:p>
    <w:p w:rsidR="00660414" w:rsidRPr="00BD6B2B" w:rsidRDefault="00660414" w:rsidP="00660414">
      <w:pPr>
        <w:spacing w:before="120" w:after="120" w:line="276" w:lineRule="auto"/>
        <w:rPr>
          <w:b/>
          <w:sz w:val="22"/>
          <w:szCs w:val="22"/>
        </w:rPr>
      </w:pPr>
      <w:r w:rsidRPr="00BD6B2B">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BD6B2B" w:rsidRDefault="00660414" w:rsidP="007613DE">
            <w:pPr>
              <w:rPr>
                <w:b/>
                <w:sz w:val="22"/>
                <w:szCs w:val="22"/>
              </w:rPr>
            </w:pPr>
            <w:r w:rsidRPr="00BD6B2B">
              <w:rPr>
                <w:b/>
                <w:sz w:val="22"/>
                <w:szCs w:val="22"/>
              </w:rPr>
              <w:t>Project</w:t>
            </w:r>
          </w:p>
        </w:tc>
        <w:tc>
          <w:tcPr>
            <w:tcW w:w="2750" w:type="dxa"/>
          </w:tcPr>
          <w:p w:rsidR="00660414" w:rsidRPr="00BD6B2B" w:rsidRDefault="00660414" w:rsidP="007613DE">
            <w:pPr>
              <w:rPr>
                <w:b/>
                <w:sz w:val="22"/>
                <w:szCs w:val="22"/>
              </w:rPr>
            </w:pPr>
            <w:r w:rsidRPr="00BD6B2B">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Analyse the opportunity of developing a cargo terminal</w:t>
            </w:r>
          </w:p>
        </w:tc>
        <w:tc>
          <w:tcPr>
            <w:tcW w:w="2750" w:type="dxa"/>
          </w:tcPr>
          <w:p w:rsidR="00660414" w:rsidRPr="00DE221F" w:rsidRDefault="00660414" w:rsidP="007613DE">
            <w:pPr>
              <w:rPr>
                <w:sz w:val="22"/>
                <w:szCs w:val="22"/>
              </w:rPr>
            </w:pPr>
            <w:r w:rsidRPr="00DE221F">
              <w:rPr>
                <w:sz w:val="22"/>
                <w:szCs w:val="22"/>
              </w:rPr>
              <w:t>2020</w:t>
            </w:r>
          </w:p>
        </w:tc>
      </w:tr>
    </w:tbl>
    <w:p w:rsidR="00660414" w:rsidRPr="00DE221F" w:rsidRDefault="00660414" w:rsidP="00660414">
      <w:pPr>
        <w:rPr>
          <w:sz w:val="22"/>
          <w:szCs w:val="22"/>
        </w:rPr>
      </w:pPr>
    </w:p>
    <w:p w:rsidR="00660414" w:rsidRPr="00DE221F" w:rsidRDefault="00660414" w:rsidP="00660414">
      <w:pPr>
        <w:rPr>
          <w:sz w:val="22"/>
          <w:szCs w:val="22"/>
        </w:rPr>
      </w:pPr>
    </w:p>
    <w:p w:rsidR="00660414" w:rsidRDefault="00660414" w:rsidP="00660414">
      <w:pPr>
        <w:rPr>
          <w:i/>
          <w:sz w:val="22"/>
          <w:szCs w:val="22"/>
        </w:rPr>
      </w:pPr>
      <w:r>
        <w:br w:type="page"/>
      </w:r>
    </w:p>
    <w:p w:rsidR="00660414" w:rsidRPr="00DE221F" w:rsidRDefault="00660414" w:rsidP="00660414">
      <w:pPr>
        <w:pStyle w:val="Hdg3"/>
      </w:pPr>
      <w:r w:rsidRPr="00DE221F">
        <w:t>Upgrade programme for Targu Mures Airport</w:t>
      </w:r>
    </w:p>
    <w:p w:rsidR="00660414" w:rsidRPr="00BF3E32" w:rsidRDefault="00660414" w:rsidP="00660414">
      <w:pPr>
        <w:rPr>
          <w:b/>
          <w:sz w:val="22"/>
          <w:szCs w:val="22"/>
        </w:rPr>
      </w:pPr>
      <w:r w:rsidRPr="00DE221F">
        <w:rPr>
          <w:b/>
          <w:sz w:val="22"/>
          <w:szCs w:val="22"/>
        </w:rPr>
        <w:tab/>
      </w:r>
      <w:r w:rsidRPr="00BF3E32">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Targu Mures Airport is classified as a Regional Airport. The upgrade project for Targu Mures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apron</w:t>
      </w:r>
    </w:p>
    <w:p w:rsidR="00660414" w:rsidRPr="00DE221F" w:rsidRDefault="00660414" w:rsidP="00273D5E">
      <w:pPr>
        <w:pStyle w:val="BulletLevel1"/>
      </w:pPr>
      <w:r w:rsidRPr="00DE221F">
        <w:t>Upgrade lighting system</w:t>
      </w:r>
    </w:p>
    <w:p w:rsidR="00660414" w:rsidRPr="00DE221F" w:rsidRDefault="00660414" w:rsidP="00273D5E">
      <w:pPr>
        <w:pStyle w:val="BulletLevel1"/>
      </w:pPr>
      <w:r w:rsidRPr="00DE221F">
        <w:t>Acquire de-icing equipment</w:t>
      </w:r>
    </w:p>
    <w:p w:rsidR="00660414" w:rsidRPr="00DE221F" w:rsidRDefault="00660414" w:rsidP="00A4081F">
      <w:pPr>
        <w:pStyle w:val="NumberedParas"/>
      </w:pPr>
      <w:r w:rsidRPr="00DE221F">
        <w:t xml:space="preserve">Figure </w:t>
      </w:r>
      <w:r>
        <w:t>7.13</w:t>
      </w:r>
      <w:r w:rsidRPr="00DE221F">
        <w:t xml:space="preserve"> sets out the location of Targu Mures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6A73C5C0" wp14:editId="76764A70">
            <wp:extent cx="5184000" cy="36576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cstate="print"/>
                    <a:stretch>
                      <a:fillRect/>
                    </a:stretch>
                  </pic:blipFill>
                  <pic:spPr>
                    <a:xfrm>
                      <a:off x="0" y="0"/>
                      <a:ext cx="5187142" cy="3659817"/>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7.13</w:t>
      </w:r>
      <w:r w:rsidRPr="00DE221F">
        <w:rPr>
          <w:b/>
          <w:sz w:val="22"/>
          <w:szCs w:val="22"/>
        </w:rPr>
        <w:t>: Location of Targu Mures Airport</w:t>
      </w:r>
    </w:p>
    <w:p w:rsidR="00660414" w:rsidRPr="00DE221F" w:rsidRDefault="00660414" w:rsidP="00660414">
      <w:pPr>
        <w:rPr>
          <w:sz w:val="22"/>
          <w:szCs w:val="22"/>
        </w:rPr>
      </w:pPr>
    </w:p>
    <w:p w:rsidR="00660414" w:rsidRPr="00BF3E32" w:rsidRDefault="00660414" w:rsidP="00660414">
      <w:pPr>
        <w:pStyle w:val="ListParagraph"/>
        <w:spacing w:before="120" w:after="120"/>
        <w:ind w:left="0"/>
        <w:rPr>
          <w:b/>
          <w:sz w:val="22"/>
          <w:szCs w:val="22"/>
        </w:rPr>
      </w:pPr>
      <w:r w:rsidRPr="00BF3E32">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apron capacity by 2020</w:t>
      </w:r>
    </w:p>
    <w:p w:rsidR="00660414" w:rsidRPr="00DE221F" w:rsidRDefault="00660414" w:rsidP="00273D5E">
      <w:pPr>
        <w:pStyle w:val="BulletLevel1"/>
      </w:pPr>
      <w:r w:rsidRPr="00DE221F">
        <w:t>In previous winters a significant proportion of scheduled flights have been unable to land due to inadequate infrastructure and severe weather conditions</w:t>
      </w:r>
    </w:p>
    <w:p w:rsidR="00660414" w:rsidRPr="00686E92" w:rsidRDefault="00660414" w:rsidP="00660414">
      <w:pPr>
        <w:spacing w:before="120" w:after="120"/>
        <w:rPr>
          <w:b/>
          <w:sz w:val="22"/>
          <w:szCs w:val="22"/>
        </w:rPr>
      </w:pPr>
      <w:r w:rsidRPr="00686E92">
        <w:rPr>
          <w:b/>
          <w:sz w:val="22"/>
          <w:szCs w:val="22"/>
        </w:rPr>
        <w:t>Undiscounted Costs</w:t>
      </w:r>
    </w:p>
    <w:p w:rsidR="00660414" w:rsidRPr="00DE221F" w:rsidRDefault="00660414" w:rsidP="00660414">
      <w:pPr>
        <w:rPr>
          <w:sz w:val="22"/>
          <w:szCs w:val="22"/>
        </w:rPr>
      </w:pPr>
      <w:r w:rsidRPr="00DE221F">
        <w:rPr>
          <w:sz w:val="22"/>
          <w:szCs w:val="22"/>
        </w:rPr>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DE221F" w:rsidRDefault="00660414" w:rsidP="007613DE">
            <w:pPr>
              <w:jc w:val="right"/>
              <w:rPr>
                <w:color w:val="000000"/>
                <w:sz w:val="22"/>
                <w:szCs w:val="22"/>
              </w:rPr>
            </w:pPr>
            <w:r>
              <w:rPr>
                <w:color w:val="000000"/>
                <w:sz w:val="22"/>
                <w:szCs w:val="22"/>
              </w:rPr>
              <w:t>15.6</w:t>
            </w:r>
          </w:p>
        </w:tc>
        <w:tc>
          <w:tcPr>
            <w:tcW w:w="3274" w:type="pct"/>
          </w:tcPr>
          <w:p w:rsidR="00660414" w:rsidRPr="00DE221F" w:rsidRDefault="00660414" w:rsidP="007613DE">
            <w:pPr>
              <w:rPr>
                <w:sz w:val="22"/>
                <w:szCs w:val="22"/>
              </w:rPr>
            </w:pPr>
            <w:r w:rsidRPr="00DE221F">
              <w:rPr>
                <w:sz w:val="22"/>
                <w:szCs w:val="22"/>
              </w:rPr>
              <w:t>Includes:</w:t>
            </w:r>
          </w:p>
          <w:p w:rsidR="00660414" w:rsidRDefault="00660414" w:rsidP="007613DE">
            <w:pPr>
              <w:pStyle w:val="ListParagraph"/>
              <w:numPr>
                <w:ilvl w:val="0"/>
                <w:numId w:val="41"/>
              </w:numPr>
              <w:contextualSpacing/>
            </w:pPr>
            <w:r w:rsidRPr="00DE221F">
              <w:t xml:space="preserve">Upgrade lighting system and acquire de-icing equipment </w:t>
            </w:r>
          </w:p>
          <w:p w:rsidR="00660414" w:rsidRPr="00DE221F" w:rsidRDefault="00660414" w:rsidP="007613DE">
            <w:pPr>
              <w:pStyle w:val="ListParagraph"/>
              <w:numPr>
                <w:ilvl w:val="0"/>
                <w:numId w:val="41"/>
              </w:numPr>
              <w:contextualSpacing/>
            </w:pPr>
            <w:r>
              <w:t>Development of a new terminal building</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DE221F" w:rsidRDefault="00660414" w:rsidP="007613DE">
            <w:pPr>
              <w:jc w:val="right"/>
              <w:rPr>
                <w:color w:val="000000"/>
                <w:sz w:val="22"/>
                <w:szCs w:val="22"/>
              </w:rPr>
            </w:pPr>
            <w:r>
              <w:rPr>
                <w:color w:val="000000"/>
                <w:sz w:val="22"/>
                <w:szCs w:val="22"/>
              </w:rPr>
              <w:t>0.8</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vAlign w:val="bottom"/>
          </w:tcPr>
          <w:p w:rsidR="00660414" w:rsidRPr="00DE221F" w:rsidRDefault="00660414" w:rsidP="007613DE">
            <w:pPr>
              <w:jc w:val="right"/>
              <w:rPr>
                <w:b/>
                <w:color w:val="000000"/>
                <w:sz w:val="22"/>
                <w:szCs w:val="22"/>
              </w:rPr>
            </w:pPr>
            <w:r>
              <w:rPr>
                <w:b/>
                <w:color w:val="000000"/>
                <w:sz w:val="22"/>
                <w:szCs w:val="22"/>
              </w:rPr>
              <w:t>16.4</w:t>
            </w:r>
          </w:p>
        </w:tc>
        <w:tc>
          <w:tcPr>
            <w:tcW w:w="3274" w:type="pct"/>
          </w:tcPr>
          <w:p w:rsidR="00660414" w:rsidRPr="00DE221F" w:rsidRDefault="00660414" w:rsidP="007613DE">
            <w:pPr>
              <w:rPr>
                <w:sz w:val="22"/>
                <w:szCs w:val="22"/>
              </w:rPr>
            </w:pPr>
            <w:r w:rsidRPr="00DE221F">
              <w:rPr>
                <w:sz w:val="22"/>
                <w:szCs w:val="22"/>
              </w:rPr>
              <w:t>(2020-2025 projects combined)</w:t>
            </w:r>
          </w:p>
        </w:tc>
      </w:tr>
    </w:tbl>
    <w:p w:rsidR="00660414" w:rsidRPr="00686E92" w:rsidRDefault="00660414" w:rsidP="00660414">
      <w:pPr>
        <w:spacing w:before="120" w:after="120"/>
        <w:rPr>
          <w:b/>
          <w:sz w:val="22"/>
          <w:szCs w:val="22"/>
        </w:rPr>
      </w:pPr>
      <w:r w:rsidRPr="00686E92">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A1C6E" w:rsidRDefault="00660414" w:rsidP="007613DE">
            <w:pPr>
              <w:jc w:val="right"/>
              <w:rPr>
                <w:color w:val="000000"/>
                <w:sz w:val="22"/>
                <w:szCs w:val="22"/>
              </w:rPr>
            </w:pPr>
            <w:r w:rsidRPr="008C5B1B">
              <w:rPr>
                <w:sz w:val="22"/>
                <w:szCs w:val="22"/>
              </w:rPr>
              <w:t>21,183,421</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145D24" w:rsidRDefault="00660414" w:rsidP="007613DE">
            <w:pPr>
              <w:jc w:val="right"/>
              <w:rPr>
                <w:color w:val="000000"/>
                <w:sz w:val="22"/>
                <w:szCs w:val="22"/>
              </w:rPr>
            </w:pPr>
            <w:r w:rsidRPr="008C5B1B">
              <w:rPr>
                <w:sz w:val="22"/>
                <w:szCs w:val="22"/>
              </w:rPr>
              <w:t>179,020,630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145D24" w:rsidRDefault="00660414" w:rsidP="007613DE">
            <w:pPr>
              <w:jc w:val="right"/>
              <w:rPr>
                <w:color w:val="000000"/>
                <w:sz w:val="22"/>
                <w:szCs w:val="22"/>
              </w:rPr>
            </w:pPr>
            <w:r w:rsidRPr="008C5B1B">
              <w:rPr>
                <w:sz w:val="22"/>
                <w:szCs w:val="22"/>
              </w:rPr>
              <w:t>157,837,209</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145D24" w:rsidRDefault="00660414" w:rsidP="007613DE">
            <w:pPr>
              <w:jc w:val="right"/>
              <w:rPr>
                <w:color w:val="000000"/>
                <w:sz w:val="22"/>
                <w:szCs w:val="22"/>
              </w:rPr>
            </w:pPr>
            <w:r w:rsidRPr="008C5B1B">
              <w:rPr>
                <w:sz w:val="22"/>
                <w:szCs w:val="22"/>
              </w:rPr>
              <w:t>8.45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145D24" w:rsidRDefault="00660414" w:rsidP="007613DE">
            <w:pPr>
              <w:jc w:val="right"/>
              <w:rPr>
                <w:color w:val="000000"/>
                <w:sz w:val="22"/>
                <w:szCs w:val="22"/>
              </w:rPr>
            </w:pPr>
            <w:r w:rsidRPr="008C5B1B">
              <w:rPr>
                <w:sz w:val="22"/>
                <w:szCs w:val="22"/>
              </w:rPr>
              <w:t>53.5%</w:t>
            </w:r>
          </w:p>
        </w:tc>
      </w:tr>
    </w:tbl>
    <w:p w:rsidR="00660414" w:rsidRDefault="00660414" w:rsidP="00A4081F">
      <w:pPr>
        <w:pStyle w:val="NumberedParas"/>
        <w:numPr>
          <w:ilvl w:val="0"/>
          <w:numId w:val="0"/>
        </w:numPr>
        <w:ind w:left="851"/>
      </w:pPr>
    </w:p>
    <w:p w:rsidR="00660414" w:rsidRPr="00DE221F" w:rsidRDefault="00660414" w:rsidP="00A4081F">
      <w:pPr>
        <w:pStyle w:val="NumberedParas"/>
      </w:pPr>
      <w:r w:rsidRPr="00DE221F">
        <w:t xml:space="preserve">In 2011 the airport handled 226,838 (10,477 domestic and 216,361 international) passengers per annum. If the upgrade programme is undertaken fully, passenger numbers could grow to 302,113 by 2020 (13,954 domestic and 288,159 international) and 375,498 by 2025 (17,343 domestic and 358,155 international). </w:t>
      </w:r>
    </w:p>
    <w:p w:rsidR="00660414" w:rsidRPr="00686E92" w:rsidRDefault="00660414" w:rsidP="00660414">
      <w:pPr>
        <w:spacing w:before="120" w:line="276" w:lineRule="auto"/>
        <w:rPr>
          <w:b/>
          <w:sz w:val="22"/>
          <w:szCs w:val="22"/>
        </w:rPr>
      </w:pPr>
      <w:r w:rsidRPr="00686E92">
        <w:rPr>
          <w:b/>
          <w:sz w:val="22"/>
          <w:szCs w:val="22"/>
        </w:rPr>
        <w:t>Implementing Organisations</w:t>
      </w:r>
    </w:p>
    <w:p w:rsidR="00660414" w:rsidRPr="00DE221F" w:rsidRDefault="00660414" w:rsidP="00A4081F">
      <w:pPr>
        <w:pStyle w:val="NumberedParas"/>
      </w:pPr>
      <w:r w:rsidRPr="00DE221F">
        <w:t xml:space="preserve">This project would be implemented by Bacau Airport. </w:t>
      </w:r>
    </w:p>
    <w:p w:rsidR="00660414" w:rsidRPr="00DE221F" w:rsidRDefault="00660414" w:rsidP="00660414">
      <w:pPr>
        <w:rPr>
          <w:sz w:val="22"/>
          <w:szCs w:val="22"/>
        </w:rPr>
      </w:pPr>
    </w:p>
    <w:p w:rsidR="00660414" w:rsidRPr="00686E92" w:rsidRDefault="00660414" w:rsidP="00660414">
      <w:pPr>
        <w:rPr>
          <w:b/>
          <w:sz w:val="22"/>
          <w:szCs w:val="22"/>
        </w:rPr>
      </w:pPr>
      <w:r w:rsidRPr="00686E92">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 xml:space="preserve">Project </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rPr>
          <w:trHeight w:val="320"/>
        </w:trPr>
        <w:tc>
          <w:tcPr>
            <w:tcW w:w="5778" w:type="dxa"/>
          </w:tcPr>
          <w:p w:rsidR="00660414" w:rsidRPr="00DE221F" w:rsidRDefault="00660414" w:rsidP="007613DE">
            <w:pPr>
              <w:rPr>
                <w:sz w:val="22"/>
                <w:szCs w:val="22"/>
              </w:rPr>
            </w:pPr>
            <w:r w:rsidRPr="00771729">
              <w:rPr>
                <w:sz w:val="22"/>
                <w:szCs w:val="22"/>
              </w:rPr>
              <w:t>Extens</w:t>
            </w:r>
            <w:r>
              <w:rPr>
                <w:sz w:val="22"/>
                <w:szCs w:val="22"/>
              </w:rPr>
              <w:t>ion of apron at Targu Mures</w:t>
            </w:r>
            <w:r>
              <w:rPr>
                <w:sz w:val="22"/>
                <w:szCs w:val="22"/>
              </w:rPr>
              <w:tab/>
            </w:r>
          </w:p>
        </w:tc>
        <w:tc>
          <w:tcPr>
            <w:tcW w:w="2750" w:type="dxa"/>
          </w:tcPr>
          <w:p w:rsidR="00660414" w:rsidRPr="00DE221F" w:rsidRDefault="00660414" w:rsidP="007613DE">
            <w:pPr>
              <w:rPr>
                <w:sz w:val="22"/>
                <w:szCs w:val="22"/>
              </w:rPr>
            </w:pPr>
            <w:r>
              <w:rPr>
                <w:sz w:val="22"/>
                <w:szCs w:val="22"/>
              </w:rPr>
              <w:t>2020</w:t>
            </w:r>
          </w:p>
        </w:tc>
      </w:tr>
      <w:tr w:rsidR="00660414" w:rsidRPr="00DE221F" w:rsidTr="007613DE">
        <w:tc>
          <w:tcPr>
            <w:tcW w:w="5778" w:type="dxa"/>
          </w:tcPr>
          <w:p w:rsidR="00660414" w:rsidRPr="00DE221F" w:rsidRDefault="00660414" w:rsidP="007613DE">
            <w:pPr>
              <w:rPr>
                <w:sz w:val="22"/>
                <w:szCs w:val="22"/>
              </w:rPr>
            </w:pPr>
            <w:r w:rsidRPr="00771729">
              <w:rPr>
                <w:sz w:val="22"/>
                <w:szCs w:val="22"/>
              </w:rPr>
              <w:t>Extension of apron at Targu Mures</w:t>
            </w:r>
            <w:r w:rsidRPr="00771729">
              <w:rPr>
                <w:sz w:val="22"/>
                <w:szCs w:val="22"/>
              </w:rPr>
              <w:tab/>
            </w:r>
          </w:p>
        </w:tc>
        <w:tc>
          <w:tcPr>
            <w:tcW w:w="2750" w:type="dxa"/>
          </w:tcPr>
          <w:p w:rsidR="00660414" w:rsidRPr="00DE221F" w:rsidRDefault="00660414" w:rsidP="007613DE">
            <w:pPr>
              <w:rPr>
                <w:sz w:val="22"/>
                <w:szCs w:val="22"/>
              </w:rPr>
            </w:pPr>
            <w:r>
              <w:rPr>
                <w:sz w:val="22"/>
                <w:szCs w:val="22"/>
              </w:rPr>
              <w:t>2025</w:t>
            </w:r>
          </w:p>
        </w:tc>
      </w:tr>
      <w:tr w:rsidR="00660414" w:rsidRPr="00DE221F" w:rsidTr="007613DE">
        <w:tc>
          <w:tcPr>
            <w:tcW w:w="5778" w:type="dxa"/>
          </w:tcPr>
          <w:p w:rsidR="00660414" w:rsidRPr="00DE221F" w:rsidRDefault="00660414" w:rsidP="007613DE">
            <w:pPr>
              <w:rPr>
                <w:sz w:val="22"/>
                <w:szCs w:val="22"/>
              </w:rPr>
            </w:pPr>
            <w:r w:rsidRPr="00771729">
              <w:rPr>
                <w:sz w:val="22"/>
                <w:szCs w:val="22"/>
              </w:rPr>
              <w:t>Extension of passenger terminal</w:t>
            </w:r>
          </w:p>
        </w:tc>
        <w:tc>
          <w:tcPr>
            <w:tcW w:w="2750" w:type="dxa"/>
          </w:tcPr>
          <w:p w:rsidR="00660414" w:rsidRPr="00DE221F" w:rsidRDefault="00660414" w:rsidP="007613DE">
            <w:pPr>
              <w:rPr>
                <w:sz w:val="22"/>
                <w:szCs w:val="22"/>
              </w:rPr>
            </w:pPr>
            <w:r>
              <w:rPr>
                <w:sz w:val="22"/>
                <w:szCs w:val="22"/>
              </w:rPr>
              <w:t>2020</w:t>
            </w:r>
          </w:p>
        </w:tc>
      </w:tr>
      <w:tr w:rsidR="00660414" w:rsidRPr="00DE221F" w:rsidTr="007613DE">
        <w:tc>
          <w:tcPr>
            <w:tcW w:w="5778" w:type="dxa"/>
          </w:tcPr>
          <w:p w:rsidR="00660414" w:rsidRPr="00DE221F" w:rsidRDefault="00660414" w:rsidP="007613DE">
            <w:pPr>
              <w:rPr>
                <w:sz w:val="22"/>
                <w:szCs w:val="22"/>
              </w:rPr>
            </w:pPr>
            <w:r w:rsidRPr="00771729">
              <w:rPr>
                <w:sz w:val="22"/>
                <w:szCs w:val="22"/>
              </w:rPr>
              <w:t>Extension of passenger terminal</w:t>
            </w:r>
          </w:p>
        </w:tc>
        <w:tc>
          <w:tcPr>
            <w:tcW w:w="2750" w:type="dxa"/>
          </w:tcPr>
          <w:p w:rsidR="00660414" w:rsidRPr="00DE221F" w:rsidRDefault="00660414" w:rsidP="007613DE">
            <w:pPr>
              <w:rPr>
                <w:sz w:val="22"/>
                <w:szCs w:val="22"/>
              </w:rPr>
            </w:pPr>
            <w:r>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Upgrade of lighting system and navigational aids </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Acquire de-icing equipment</w:t>
            </w:r>
          </w:p>
        </w:tc>
        <w:tc>
          <w:tcPr>
            <w:tcW w:w="2750" w:type="dxa"/>
          </w:tcPr>
          <w:p w:rsidR="00660414" w:rsidRPr="00DE221F" w:rsidRDefault="00660414" w:rsidP="007613DE">
            <w:pPr>
              <w:rPr>
                <w:sz w:val="22"/>
                <w:szCs w:val="22"/>
              </w:rPr>
            </w:pPr>
            <w:r w:rsidRPr="00DE221F">
              <w:rPr>
                <w:sz w:val="22"/>
                <w:szCs w:val="22"/>
              </w:rPr>
              <w:t>2020</w:t>
            </w:r>
          </w:p>
        </w:tc>
      </w:tr>
    </w:tbl>
    <w:p w:rsidR="00660414" w:rsidRDefault="00660414" w:rsidP="00660414">
      <w:pPr>
        <w:rPr>
          <w:i/>
          <w:sz w:val="22"/>
          <w:szCs w:val="22"/>
        </w:rPr>
      </w:pPr>
      <w:r>
        <w:br w:type="page"/>
      </w:r>
    </w:p>
    <w:p w:rsidR="00660414" w:rsidRPr="00DE221F" w:rsidRDefault="00660414" w:rsidP="00660414">
      <w:pPr>
        <w:pStyle w:val="Hdg3"/>
      </w:pPr>
      <w:r w:rsidRPr="00DE221F">
        <w:t>Upgrade programme for Constanta Airport</w:t>
      </w:r>
    </w:p>
    <w:p w:rsidR="00660414" w:rsidRPr="00803D5A" w:rsidRDefault="00660414" w:rsidP="00660414">
      <w:pPr>
        <w:pStyle w:val="ListParagraph"/>
        <w:spacing w:before="120" w:after="120" w:line="276" w:lineRule="auto"/>
        <w:ind w:left="0"/>
        <w:rPr>
          <w:b/>
          <w:sz w:val="22"/>
          <w:szCs w:val="22"/>
        </w:rPr>
      </w:pPr>
      <w:r w:rsidRPr="00803D5A">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Constanta Airport is currently classified as a Small Regional Airport but has the potential to be developed into a Regional Airport. The upgrade project for Constanta Airport aims to ensure that infrastructure capacity and operational facilities are able to deal with demand increase for 2020 and 2025. The project includes</w:t>
      </w:r>
      <w:r>
        <w:t xml:space="preserve"> t</w:t>
      </w:r>
      <w:r w:rsidRPr="00DE221F">
        <w:t>urning facilities at Threshold 18</w:t>
      </w:r>
      <w:r>
        <w:t>.</w:t>
      </w:r>
    </w:p>
    <w:p w:rsidR="00660414" w:rsidRPr="00DE221F" w:rsidRDefault="00660414" w:rsidP="00A4081F">
      <w:pPr>
        <w:pStyle w:val="NumberedParas"/>
      </w:pPr>
      <w:r w:rsidRPr="00DE221F">
        <w:t xml:space="preserve">Figure </w:t>
      </w:r>
      <w:r>
        <w:t>7.14</w:t>
      </w:r>
      <w:r w:rsidRPr="00DE221F">
        <w:t xml:space="preserve"> sets out the location of Constanta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021BA5F2" wp14:editId="79B9E756">
            <wp:extent cx="5236373" cy="36766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cstate="print"/>
                    <a:stretch>
                      <a:fillRect/>
                    </a:stretch>
                  </pic:blipFill>
                  <pic:spPr>
                    <a:xfrm>
                      <a:off x="0" y="0"/>
                      <a:ext cx="5237967" cy="3677769"/>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7.14</w:t>
      </w:r>
      <w:r w:rsidRPr="00DE221F">
        <w:rPr>
          <w:b/>
          <w:sz w:val="22"/>
          <w:szCs w:val="22"/>
        </w:rPr>
        <w:t>: Location of Constanta Airport</w:t>
      </w:r>
    </w:p>
    <w:p w:rsidR="00660414" w:rsidRPr="00DE221F" w:rsidRDefault="00660414" w:rsidP="00660414">
      <w:pPr>
        <w:rPr>
          <w:sz w:val="22"/>
          <w:szCs w:val="22"/>
        </w:rPr>
      </w:pPr>
    </w:p>
    <w:p w:rsidR="00660414" w:rsidRPr="0094725A" w:rsidRDefault="00660414" w:rsidP="00660414">
      <w:pPr>
        <w:pStyle w:val="ListParagraph"/>
        <w:spacing w:before="120" w:after="120" w:line="276" w:lineRule="auto"/>
        <w:ind w:left="0"/>
        <w:rPr>
          <w:b/>
          <w:sz w:val="22"/>
          <w:szCs w:val="22"/>
        </w:rPr>
      </w:pPr>
      <w:r w:rsidRPr="0094725A">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Due to the fact that the airport is also use</w:t>
      </w:r>
      <w:r>
        <w:t>d</w:t>
      </w:r>
      <w:r w:rsidRPr="00DE221F">
        <w:t xml:space="preserve"> for military operations the turning facility will increase the number of traffic movements. </w:t>
      </w:r>
    </w:p>
    <w:p w:rsidR="00660414" w:rsidRPr="00DE221F" w:rsidRDefault="00660414" w:rsidP="00660414">
      <w:pPr>
        <w:rPr>
          <w:sz w:val="22"/>
          <w:szCs w:val="22"/>
        </w:rPr>
      </w:pPr>
    </w:p>
    <w:p w:rsidR="00660414" w:rsidRPr="00DE221F" w:rsidRDefault="00660414" w:rsidP="00660414">
      <w:pPr>
        <w:rPr>
          <w:sz w:val="22"/>
          <w:szCs w:val="22"/>
        </w:rPr>
      </w:pPr>
    </w:p>
    <w:p w:rsidR="00660414" w:rsidRPr="00DE221F" w:rsidRDefault="00660414" w:rsidP="00660414">
      <w:pPr>
        <w:rPr>
          <w:sz w:val="22"/>
          <w:szCs w:val="22"/>
        </w:rPr>
      </w:pPr>
    </w:p>
    <w:p w:rsidR="00660414" w:rsidRPr="00DE221F" w:rsidRDefault="00660414" w:rsidP="00660414">
      <w:pPr>
        <w:rPr>
          <w:sz w:val="22"/>
          <w:szCs w:val="22"/>
        </w:rPr>
      </w:pPr>
    </w:p>
    <w:p w:rsidR="00660414" w:rsidRPr="009C017E" w:rsidRDefault="00660414" w:rsidP="00660414">
      <w:pPr>
        <w:spacing w:before="120" w:after="120"/>
        <w:rPr>
          <w:b/>
          <w:sz w:val="22"/>
          <w:szCs w:val="22"/>
        </w:rPr>
      </w:pPr>
      <w:r w:rsidRPr="009C017E">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Undiscounted costs (Million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978" w:type="pct"/>
            <w:vAlign w:val="bottom"/>
          </w:tcPr>
          <w:p w:rsidR="00660414" w:rsidRPr="00DE221F" w:rsidRDefault="00660414" w:rsidP="007613DE">
            <w:pPr>
              <w:rPr>
                <w:sz w:val="22"/>
                <w:szCs w:val="22"/>
              </w:rPr>
            </w:pPr>
            <w:r w:rsidRPr="00DE221F">
              <w:rPr>
                <w:sz w:val="22"/>
                <w:szCs w:val="22"/>
              </w:rPr>
              <w:t xml:space="preserve">CAPEX </w:t>
            </w:r>
          </w:p>
        </w:tc>
        <w:tc>
          <w:tcPr>
            <w:tcW w:w="748" w:type="pct"/>
            <w:vAlign w:val="bottom"/>
          </w:tcPr>
          <w:p w:rsidR="00660414" w:rsidRPr="00DE221F" w:rsidRDefault="00660414" w:rsidP="007613DE">
            <w:pPr>
              <w:jc w:val="right"/>
              <w:rPr>
                <w:color w:val="000000"/>
                <w:sz w:val="22"/>
                <w:szCs w:val="22"/>
              </w:rPr>
            </w:pPr>
            <w:r>
              <w:rPr>
                <w:color w:val="000000"/>
                <w:sz w:val="22"/>
                <w:szCs w:val="22"/>
              </w:rPr>
              <w:t>9.3</w:t>
            </w:r>
          </w:p>
        </w:tc>
        <w:tc>
          <w:tcPr>
            <w:tcW w:w="3274" w:type="pct"/>
          </w:tcPr>
          <w:p w:rsidR="00660414" w:rsidRPr="00DE221F" w:rsidRDefault="00660414" w:rsidP="007613DE">
            <w:pPr>
              <w:rPr>
                <w:sz w:val="22"/>
                <w:szCs w:val="22"/>
              </w:rPr>
            </w:pPr>
            <w:r w:rsidRPr="00DE221F">
              <w:rPr>
                <w:sz w:val="22"/>
                <w:szCs w:val="22"/>
              </w:rPr>
              <w:t>Includes:</w:t>
            </w:r>
          </w:p>
          <w:p w:rsidR="00660414" w:rsidRDefault="00660414" w:rsidP="007613DE">
            <w:pPr>
              <w:pStyle w:val="ListParagraph"/>
              <w:numPr>
                <w:ilvl w:val="0"/>
                <w:numId w:val="42"/>
              </w:numPr>
              <w:contextualSpacing/>
            </w:pPr>
            <w:r w:rsidRPr="00DE221F">
              <w:t>Turning facilities at Threshold 18</w:t>
            </w:r>
          </w:p>
          <w:p w:rsidR="00660414" w:rsidRPr="00DE221F" w:rsidRDefault="00660414" w:rsidP="007613DE">
            <w:pPr>
              <w:pStyle w:val="ListParagraph"/>
              <w:numPr>
                <w:ilvl w:val="0"/>
                <w:numId w:val="42"/>
              </w:numPr>
              <w:contextualSpacing/>
            </w:pPr>
            <w:r>
              <w:t>New Passenger Terminal Building</w:t>
            </w:r>
          </w:p>
        </w:tc>
      </w:tr>
      <w:tr w:rsidR="00660414" w:rsidRPr="00DE221F" w:rsidTr="007613DE">
        <w:trPr>
          <w:cantSplit/>
        </w:trPr>
        <w:tc>
          <w:tcPr>
            <w:tcW w:w="978" w:type="pct"/>
            <w:vAlign w:val="bottom"/>
          </w:tcPr>
          <w:p w:rsidR="00660414" w:rsidRPr="00DE221F" w:rsidRDefault="00660414" w:rsidP="007613DE">
            <w:pPr>
              <w:rPr>
                <w:sz w:val="22"/>
                <w:szCs w:val="22"/>
              </w:rPr>
            </w:pPr>
            <w:r w:rsidRPr="00DE221F">
              <w:rPr>
                <w:sz w:val="22"/>
                <w:szCs w:val="22"/>
              </w:rPr>
              <w:t xml:space="preserve">OPEX </w:t>
            </w:r>
          </w:p>
        </w:tc>
        <w:tc>
          <w:tcPr>
            <w:tcW w:w="748" w:type="pct"/>
            <w:vAlign w:val="bottom"/>
          </w:tcPr>
          <w:p w:rsidR="00660414" w:rsidRPr="00DE221F" w:rsidRDefault="00660414" w:rsidP="007613DE">
            <w:pPr>
              <w:jc w:val="right"/>
              <w:rPr>
                <w:color w:val="000000"/>
                <w:sz w:val="22"/>
                <w:szCs w:val="22"/>
              </w:rPr>
            </w:pPr>
            <w:r w:rsidRPr="00DE221F">
              <w:rPr>
                <w:color w:val="000000"/>
                <w:sz w:val="22"/>
                <w:szCs w:val="22"/>
              </w:rPr>
              <w:t>0.</w:t>
            </w:r>
            <w:r>
              <w:rPr>
                <w:color w:val="000000"/>
                <w:sz w:val="22"/>
                <w:szCs w:val="22"/>
              </w:rPr>
              <w:t>5</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978" w:type="pct"/>
          </w:tcPr>
          <w:p w:rsidR="00660414" w:rsidRPr="00DE221F" w:rsidRDefault="00660414" w:rsidP="007613DE">
            <w:pPr>
              <w:rPr>
                <w:sz w:val="22"/>
                <w:szCs w:val="22"/>
              </w:rPr>
            </w:pPr>
            <w:r w:rsidRPr="00DE221F">
              <w:rPr>
                <w:sz w:val="22"/>
                <w:szCs w:val="22"/>
              </w:rPr>
              <w:t xml:space="preserve">Total </w:t>
            </w:r>
          </w:p>
        </w:tc>
        <w:tc>
          <w:tcPr>
            <w:tcW w:w="748" w:type="pct"/>
            <w:vAlign w:val="bottom"/>
          </w:tcPr>
          <w:p w:rsidR="00660414" w:rsidRPr="00DE221F" w:rsidRDefault="00660414" w:rsidP="007613DE">
            <w:pPr>
              <w:jc w:val="right"/>
              <w:rPr>
                <w:b/>
                <w:color w:val="000000"/>
                <w:sz w:val="22"/>
                <w:szCs w:val="22"/>
              </w:rPr>
            </w:pPr>
            <w:r>
              <w:rPr>
                <w:b/>
                <w:color w:val="000000"/>
                <w:sz w:val="22"/>
                <w:szCs w:val="22"/>
              </w:rPr>
              <w:t>9.8</w:t>
            </w:r>
          </w:p>
        </w:tc>
        <w:tc>
          <w:tcPr>
            <w:tcW w:w="3274" w:type="pct"/>
          </w:tcPr>
          <w:p w:rsidR="00660414" w:rsidRPr="00DE221F" w:rsidRDefault="00660414" w:rsidP="007613DE">
            <w:pPr>
              <w:rPr>
                <w:sz w:val="22"/>
                <w:szCs w:val="22"/>
              </w:rPr>
            </w:pPr>
          </w:p>
        </w:tc>
      </w:tr>
    </w:tbl>
    <w:p w:rsidR="00660414" w:rsidRPr="00DE221F" w:rsidRDefault="00660414" w:rsidP="00660414">
      <w:pPr>
        <w:rPr>
          <w:sz w:val="22"/>
          <w:szCs w:val="22"/>
        </w:rPr>
      </w:pPr>
    </w:p>
    <w:p w:rsidR="00660414" w:rsidRPr="00686E92" w:rsidRDefault="00660414" w:rsidP="00660414">
      <w:pPr>
        <w:spacing w:before="120" w:after="120" w:line="276" w:lineRule="auto"/>
        <w:rPr>
          <w:b/>
          <w:sz w:val="22"/>
          <w:szCs w:val="22"/>
        </w:rPr>
      </w:pPr>
      <w:r w:rsidRPr="00686E92">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A1C6E" w:rsidRDefault="00660414" w:rsidP="007613DE">
            <w:pPr>
              <w:jc w:val="right"/>
              <w:rPr>
                <w:color w:val="000000"/>
                <w:sz w:val="22"/>
                <w:szCs w:val="22"/>
              </w:rPr>
            </w:pPr>
            <w:r w:rsidRPr="008C5B1B">
              <w:rPr>
                <w:sz w:val="22"/>
                <w:szCs w:val="22"/>
              </w:rPr>
              <w:t>12,682,073</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A1C6E" w:rsidRDefault="00660414" w:rsidP="007613DE">
            <w:pPr>
              <w:jc w:val="right"/>
              <w:rPr>
                <w:color w:val="000000"/>
                <w:sz w:val="22"/>
                <w:szCs w:val="22"/>
              </w:rPr>
            </w:pPr>
            <w:r w:rsidRPr="008C5B1B">
              <w:rPr>
                <w:sz w:val="22"/>
                <w:szCs w:val="22"/>
              </w:rPr>
              <w:t>9,635,658</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A1C6E" w:rsidRDefault="00660414" w:rsidP="007613DE">
            <w:pPr>
              <w:jc w:val="right"/>
              <w:rPr>
                <w:color w:val="000000"/>
                <w:sz w:val="22"/>
                <w:szCs w:val="22"/>
              </w:rPr>
            </w:pPr>
            <w:r w:rsidRPr="008C5B1B">
              <w:rPr>
                <w:sz w:val="22"/>
                <w:szCs w:val="22"/>
              </w:rPr>
              <w:t>-3,046,415</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A1C6E" w:rsidRDefault="00660414" w:rsidP="007613DE">
            <w:pPr>
              <w:jc w:val="right"/>
              <w:rPr>
                <w:color w:val="000000"/>
                <w:sz w:val="22"/>
                <w:szCs w:val="22"/>
              </w:rPr>
            </w:pPr>
            <w:r w:rsidRPr="008C5B1B">
              <w:rPr>
                <w:sz w:val="22"/>
                <w:szCs w:val="22"/>
              </w:rPr>
              <w:t>0.76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A1C6E" w:rsidRDefault="00660414" w:rsidP="007613DE">
            <w:pPr>
              <w:jc w:val="right"/>
              <w:rPr>
                <w:color w:val="000000"/>
                <w:sz w:val="22"/>
                <w:szCs w:val="22"/>
              </w:rPr>
            </w:pPr>
            <w:r w:rsidRPr="008C5B1B">
              <w:rPr>
                <w:sz w:val="22"/>
                <w:szCs w:val="22"/>
              </w:rPr>
              <w:t>2.1%</w:t>
            </w:r>
          </w:p>
        </w:tc>
      </w:tr>
    </w:tbl>
    <w:p w:rsidR="00660414" w:rsidRPr="00DE221F" w:rsidRDefault="00660414" w:rsidP="00660414">
      <w:pPr>
        <w:rPr>
          <w:sz w:val="22"/>
          <w:szCs w:val="22"/>
        </w:rPr>
      </w:pPr>
    </w:p>
    <w:p w:rsidR="00660414" w:rsidRPr="00DE221F" w:rsidRDefault="00660414" w:rsidP="00A4081F">
      <w:pPr>
        <w:pStyle w:val="NumberedParas"/>
      </w:pPr>
      <w:r w:rsidRPr="00DE221F">
        <w:t xml:space="preserve">In 2011 the airport handled 76,464 (11,647 domestic and 64,817 international) passengers per annum. If the upgrade programme is undertaken fully, passenger numbers could grow to 234,219 (51,479 domestic and 182,740 international) and 292,187 by 2025 (64,220 domestic and 227,967 international). </w:t>
      </w:r>
    </w:p>
    <w:p w:rsidR="00660414" w:rsidRPr="00686E92" w:rsidRDefault="00660414" w:rsidP="00660414">
      <w:pPr>
        <w:spacing w:before="120" w:after="120"/>
        <w:rPr>
          <w:b/>
          <w:sz w:val="22"/>
          <w:szCs w:val="22"/>
        </w:rPr>
      </w:pPr>
      <w:r w:rsidRPr="00686E92">
        <w:rPr>
          <w:b/>
          <w:sz w:val="22"/>
          <w:szCs w:val="22"/>
        </w:rPr>
        <w:t>Implementing Organisations</w:t>
      </w:r>
    </w:p>
    <w:p w:rsidR="00660414" w:rsidRPr="00DE221F" w:rsidRDefault="00660414" w:rsidP="00A4081F">
      <w:pPr>
        <w:pStyle w:val="NumberedParas"/>
      </w:pPr>
      <w:r w:rsidRPr="00DE221F">
        <w:t xml:space="preserve">This project would be implemented by Constanta Airport. </w:t>
      </w:r>
    </w:p>
    <w:p w:rsidR="00660414" w:rsidRPr="00686E92" w:rsidRDefault="00660414" w:rsidP="00660414">
      <w:pPr>
        <w:spacing w:before="120"/>
        <w:rPr>
          <w:b/>
          <w:sz w:val="22"/>
          <w:szCs w:val="22"/>
        </w:rPr>
      </w:pPr>
      <w:r w:rsidRPr="00686E92">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Construction of a turning facility at Threshold 18</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771729">
              <w:rPr>
                <w:sz w:val="22"/>
                <w:szCs w:val="22"/>
              </w:rPr>
              <w:t>Extension of passenger terminal</w:t>
            </w:r>
          </w:p>
        </w:tc>
        <w:tc>
          <w:tcPr>
            <w:tcW w:w="2750" w:type="dxa"/>
          </w:tcPr>
          <w:p w:rsidR="00660414" w:rsidRPr="00DE221F" w:rsidRDefault="00660414" w:rsidP="007613DE">
            <w:pPr>
              <w:rPr>
                <w:sz w:val="22"/>
                <w:szCs w:val="22"/>
              </w:rPr>
            </w:pPr>
            <w:r>
              <w:rPr>
                <w:sz w:val="22"/>
                <w:szCs w:val="22"/>
              </w:rPr>
              <w:t>2020</w:t>
            </w:r>
          </w:p>
        </w:tc>
      </w:tr>
      <w:tr w:rsidR="00660414" w:rsidRPr="00DE221F" w:rsidTr="007613DE">
        <w:tc>
          <w:tcPr>
            <w:tcW w:w="5778" w:type="dxa"/>
          </w:tcPr>
          <w:p w:rsidR="00660414" w:rsidRPr="00DE221F" w:rsidRDefault="00660414" w:rsidP="007613DE">
            <w:pPr>
              <w:rPr>
                <w:sz w:val="22"/>
                <w:szCs w:val="22"/>
              </w:rPr>
            </w:pPr>
            <w:r w:rsidRPr="00771729">
              <w:rPr>
                <w:sz w:val="22"/>
                <w:szCs w:val="22"/>
              </w:rPr>
              <w:t>Extension of passenger terminal</w:t>
            </w:r>
          </w:p>
        </w:tc>
        <w:tc>
          <w:tcPr>
            <w:tcW w:w="2750" w:type="dxa"/>
          </w:tcPr>
          <w:p w:rsidR="00660414" w:rsidRPr="00DE221F" w:rsidRDefault="00660414" w:rsidP="007613DE">
            <w:pPr>
              <w:rPr>
                <w:sz w:val="22"/>
                <w:szCs w:val="22"/>
              </w:rPr>
            </w:pPr>
            <w:r>
              <w:rPr>
                <w:sz w:val="22"/>
                <w:szCs w:val="22"/>
              </w:rPr>
              <w:t>2025</w:t>
            </w:r>
          </w:p>
        </w:tc>
      </w:tr>
    </w:tbl>
    <w:p w:rsidR="00660414" w:rsidRPr="00DE221F" w:rsidRDefault="00660414" w:rsidP="00660414">
      <w:pPr>
        <w:rPr>
          <w:sz w:val="22"/>
          <w:szCs w:val="22"/>
        </w:rPr>
      </w:pPr>
    </w:p>
    <w:p w:rsidR="00660414" w:rsidRDefault="00660414" w:rsidP="00660414">
      <w:pPr>
        <w:rPr>
          <w:sz w:val="22"/>
          <w:szCs w:val="22"/>
        </w:rPr>
      </w:pPr>
      <w:r>
        <w:rPr>
          <w:sz w:val="22"/>
          <w:szCs w:val="22"/>
        </w:rPr>
        <w:br w:type="page"/>
      </w:r>
    </w:p>
    <w:p w:rsidR="00660414" w:rsidRPr="00DE221F" w:rsidRDefault="00660414" w:rsidP="00660414">
      <w:pPr>
        <w:pStyle w:val="Hdg3"/>
      </w:pPr>
      <w:r w:rsidRPr="00DE221F">
        <w:t>Upgrade programme for Suceava Airport</w:t>
      </w:r>
    </w:p>
    <w:p w:rsidR="00660414" w:rsidRPr="00DE221F" w:rsidRDefault="00660414" w:rsidP="00660414">
      <w:pPr>
        <w:rPr>
          <w:b/>
          <w:sz w:val="22"/>
          <w:szCs w:val="22"/>
        </w:rPr>
      </w:pPr>
    </w:p>
    <w:p w:rsidR="00660414" w:rsidRPr="001C75DD" w:rsidRDefault="00660414" w:rsidP="00660414">
      <w:pPr>
        <w:pStyle w:val="ListParagraph"/>
        <w:spacing w:before="120" w:after="120" w:line="276" w:lineRule="auto"/>
        <w:ind w:left="0"/>
        <w:rPr>
          <w:b/>
          <w:sz w:val="22"/>
          <w:szCs w:val="22"/>
        </w:rPr>
      </w:pPr>
      <w:r w:rsidRPr="001C75DD">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Suceava Airport is currently classified as a Small Regional Airport but has the potential to be developed into a Regional Airport. The upgrade project for Suceava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w:t>
      </w:r>
    </w:p>
    <w:p w:rsidR="00660414" w:rsidRPr="00DE221F" w:rsidRDefault="00660414" w:rsidP="00273D5E">
      <w:pPr>
        <w:pStyle w:val="BulletLevel1"/>
      </w:pPr>
      <w:r w:rsidRPr="00DE221F">
        <w:t>Acquire de-icing equipment</w:t>
      </w:r>
    </w:p>
    <w:p w:rsidR="00660414" w:rsidRPr="00DE221F" w:rsidRDefault="00660414" w:rsidP="00A4081F">
      <w:pPr>
        <w:pStyle w:val="NumberedParas"/>
      </w:pPr>
      <w:r w:rsidRPr="00DE221F">
        <w:t xml:space="preserve">Figure </w:t>
      </w:r>
      <w:r>
        <w:t>7.15</w:t>
      </w:r>
      <w:r w:rsidRPr="00DE221F">
        <w:t xml:space="preserve"> sets out the location of Suceava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2E0EA7AB" wp14:editId="03431F58">
            <wp:extent cx="5085191" cy="35623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cstate="print"/>
                    <a:stretch>
                      <a:fillRect/>
                    </a:stretch>
                  </pic:blipFill>
                  <pic:spPr>
                    <a:xfrm>
                      <a:off x="0" y="0"/>
                      <a:ext cx="5086743" cy="3563437"/>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7.15</w:t>
      </w:r>
      <w:r w:rsidRPr="00DE221F">
        <w:rPr>
          <w:b/>
          <w:sz w:val="22"/>
          <w:szCs w:val="22"/>
        </w:rPr>
        <w:t>: Location of Suceava Airport</w:t>
      </w:r>
    </w:p>
    <w:p w:rsidR="00660414" w:rsidRPr="00DE221F" w:rsidRDefault="00660414" w:rsidP="00660414">
      <w:pPr>
        <w:rPr>
          <w:sz w:val="22"/>
          <w:szCs w:val="22"/>
        </w:rPr>
      </w:pPr>
    </w:p>
    <w:p w:rsidR="00660414" w:rsidRPr="001C75DD" w:rsidRDefault="00660414" w:rsidP="00660414">
      <w:pPr>
        <w:pStyle w:val="ListParagraph"/>
        <w:spacing w:before="120" w:after="120" w:line="276" w:lineRule="auto"/>
        <w:ind w:left="0"/>
        <w:rPr>
          <w:b/>
          <w:sz w:val="22"/>
          <w:szCs w:val="22"/>
        </w:rPr>
      </w:pPr>
      <w:r w:rsidRPr="001C75DD">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terminal capacity by 2020</w:t>
      </w:r>
    </w:p>
    <w:p w:rsidR="00660414" w:rsidRPr="00DE221F" w:rsidRDefault="00660414" w:rsidP="00273D5E">
      <w:pPr>
        <w:pStyle w:val="BulletLevel1"/>
      </w:pPr>
      <w:r w:rsidRPr="00DE221F">
        <w:t>In previous winters a significant proportion of scheduled flights have been unable to land due to inadequate infrastructure and severe weather conditions</w:t>
      </w:r>
    </w:p>
    <w:p w:rsidR="00660414" w:rsidRPr="00686E92" w:rsidRDefault="00660414" w:rsidP="00660414">
      <w:pPr>
        <w:spacing w:before="120" w:after="120" w:line="276" w:lineRule="auto"/>
        <w:rPr>
          <w:b/>
          <w:sz w:val="22"/>
          <w:szCs w:val="22"/>
        </w:rPr>
      </w:pPr>
      <w:r w:rsidRPr="00686E92">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771E4B" w:rsidRDefault="00660414" w:rsidP="007613DE">
            <w:pPr>
              <w:jc w:val="right"/>
              <w:rPr>
                <w:color w:val="000000"/>
                <w:sz w:val="22"/>
                <w:szCs w:val="22"/>
              </w:rPr>
            </w:pPr>
            <w:r w:rsidRPr="003826C4">
              <w:rPr>
                <w:color w:val="000000"/>
                <w:sz w:val="22"/>
                <w:szCs w:val="22"/>
              </w:rPr>
              <w:t>4</w:t>
            </w:r>
          </w:p>
        </w:tc>
        <w:tc>
          <w:tcPr>
            <w:tcW w:w="3274"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42"/>
              </w:numPr>
              <w:contextualSpacing/>
            </w:pPr>
            <w:r w:rsidRPr="00DE221F">
              <w:t>Expansion of terminal</w:t>
            </w:r>
          </w:p>
          <w:p w:rsidR="00660414" w:rsidRDefault="00660414" w:rsidP="007613DE">
            <w:pPr>
              <w:pStyle w:val="ListParagraph"/>
              <w:numPr>
                <w:ilvl w:val="0"/>
                <w:numId w:val="42"/>
              </w:numPr>
              <w:contextualSpacing/>
            </w:pPr>
            <w:r w:rsidRPr="00DE221F">
              <w:t xml:space="preserve">Acquire de-icing equipment </w:t>
            </w:r>
          </w:p>
          <w:p w:rsidR="00660414" w:rsidRPr="00DE221F" w:rsidRDefault="00660414" w:rsidP="007613DE">
            <w:pPr>
              <w:pStyle w:val="ListParagraph"/>
              <w:numPr>
                <w:ilvl w:val="0"/>
                <w:numId w:val="42"/>
              </w:numPr>
              <w:contextualSpacing/>
            </w:pPr>
            <w:r>
              <w:t>Acquire and install safety equipment</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771E4B" w:rsidRDefault="00660414" w:rsidP="007613DE">
            <w:pPr>
              <w:jc w:val="right"/>
              <w:rPr>
                <w:color w:val="000000"/>
                <w:sz w:val="22"/>
                <w:szCs w:val="22"/>
              </w:rPr>
            </w:pPr>
            <w:r w:rsidRPr="00771E4B">
              <w:rPr>
                <w:color w:val="000000"/>
                <w:sz w:val="22"/>
                <w:szCs w:val="22"/>
              </w:rPr>
              <w:t>0.2</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vAlign w:val="bottom"/>
          </w:tcPr>
          <w:p w:rsidR="00660414" w:rsidRPr="00771E4B" w:rsidRDefault="00660414" w:rsidP="007613DE">
            <w:pPr>
              <w:jc w:val="right"/>
              <w:rPr>
                <w:b/>
                <w:color w:val="000000"/>
                <w:sz w:val="22"/>
                <w:szCs w:val="22"/>
              </w:rPr>
            </w:pPr>
            <w:r>
              <w:rPr>
                <w:b/>
                <w:color w:val="000000"/>
                <w:sz w:val="22"/>
                <w:szCs w:val="22"/>
              </w:rPr>
              <w:t>4.2</w:t>
            </w:r>
          </w:p>
        </w:tc>
        <w:tc>
          <w:tcPr>
            <w:tcW w:w="3274" w:type="pct"/>
          </w:tcPr>
          <w:p w:rsidR="00660414" w:rsidRPr="00DE221F" w:rsidRDefault="00660414" w:rsidP="007613DE">
            <w:pPr>
              <w:rPr>
                <w:sz w:val="22"/>
                <w:szCs w:val="22"/>
              </w:rPr>
            </w:pPr>
          </w:p>
        </w:tc>
      </w:tr>
    </w:tbl>
    <w:p w:rsidR="00660414" w:rsidRPr="00686E92" w:rsidRDefault="00660414" w:rsidP="00660414">
      <w:pPr>
        <w:spacing w:before="120" w:after="120" w:line="276" w:lineRule="auto"/>
        <w:rPr>
          <w:b/>
          <w:sz w:val="22"/>
          <w:szCs w:val="22"/>
        </w:rPr>
      </w:pPr>
      <w:r w:rsidRPr="00686E92">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BB07A0" w:rsidRDefault="00660414" w:rsidP="007613DE">
            <w:pPr>
              <w:jc w:val="right"/>
              <w:rPr>
                <w:rFonts w:cs="Arial"/>
                <w:sz w:val="22"/>
                <w:szCs w:val="22"/>
                <w:highlight w:val="yellow"/>
              </w:rPr>
            </w:pPr>
            <w:r w:rsidRPr="008C5B1B">
              <w:rPr>
                <w:sz w:val="22"/>
                <w:szCs w:val="22"/>
              </w:rPr>
              <w:t>4,888,167</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BB07A0" w:rsidRDefault="00660414" w:rsidP="007613DE">
            <w:pPr>
              <w:jc w:val="right"/>
              <w:rPr>
                <w:rFonts w:cs="Arial"/>
                <w:sz w:val="22"/>
                <w:szCs w:val="22"/>
                <w:highlight w:val="yellow"/>
              </w:rPr>
            </w:pPr>
            <w:r w:rsidRPr="008C5B1B">
              <w:rPr>
                <w:sz w:val="22"/>
                <w:szCs w:val="22"/>
              </w:rPr>
              <w:t>38,824,803</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BB07A0" w:rsidRDefault="00660414" w:rsidP="007613DE">
            <w:pPr>
              <w:jc w:val="right"/>
              <w:rPr>
                <w:rFonts w:cs="Arial"/>
                <w:sz w:val="22"/>
                <w:szCs w:val="22"/>
                <w:highlight w:val="yellow"/>
              </w:rPr>
            </w:pPr>
            <w:r w:rsidRPr="008C5B1B">
              <w:rPr>
                <w:sz w:val="22"/>
                <w:szCs w:val="22"/>
              </w:rPr>
              <w:t>33,936,637</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BB07A0" w:rsidRDefault="00660414" w:rsidP="007613DE">
            <w:pPr>
              <w:jc w:val="right"/>
              <w:rPr>
                <w:rFonts w:cs="Arial"/>
                <w:bCs/>
                <w:sz w:val="22"/>
                <w:szCs w:val="22"/>
                <w:highlight w:val="yellow"/>
              </w:rPr>
            </w:pPr>
            <w:r w:rsidRPr="008C5B1B">
              <w:rPr>
                <w:sz w:val="22"/>
                <w:szCs w:val="22"/>
              </w:rPr>
              <w:t>7.94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BB07A0" w:rsidRDefault="00660414" w:rsidP="007613DE">
            <w:pPr>
              <w:jc w:val="right"/>
              <w:rPr>
                <w:rFonts w:cs="Arial"/>
                <w:sz w:val="22"/>
                <w:szCs w:val="22"/>
                <w:highlight w:val="yellow"/>
              </w:rPr>
            </w:pPr>
            <w:r w:rsidRPr="008C5B1B">
              <w:rPr>
                <w:sz w:val="22"/>
                <w:szCs w:val="22"/>
              </w:rPr>
              <w:t>30.6%</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27,228 (26,244 domestic and 984 international) passengers per annum. If the upgrade programme is undertaken fully, passenger numbers could grow to 233,815 by 2020 (51,390 domestic and 182,425 international) and 290,496 by 2025 (63,848 domestic and 226,648 international). </w:t>
      </w:r>
    </w:p>
    <w:p w:rsidR="00660414" w:rsidRPr="00686E92" w:rsidRDefault="00660414" w:rsidP="00660414">
      <w:pPr>
        <w:spacing w:before="120" w:after="120" w:line="276" w:lineRule="auto"/>
        <w:rPr>
          <w:b/>
          <w:sz w:val="22"/>
          <w:szCs w:val="22"/>
        </w:rPr>
      </w:pPr>
      <w:r w:rsidRPr="00686E92">
        <w:rPr>
          <w:b/>
          <w:sz w:val="22"/>
          <w:szCs w:val="22"/>
        </w:rPr>
        <w:t>Implementing Organisations</w:t>
      </w:r>
    </w:p>
    <w:p w:rsidR="00660414" w:rsidRPr="00DE221F" w:rsidRDefault="00660414" w:rsidP="00A4081F">
      <w:pPr>
        <w:pStyle w:val="NumberedParas"/>
      </w:pPr>
      <w:r w:rsidRPr="00DE221F">
        <w:t xml:space="preserve">This project would be implemented by Suceava Airport. </w:t>
      </w:r>
    </w:p>
    <w:p w:rsidR="00660414" w:rsidRPr="00686E92" w:rsidRDefault="00660414" w:rsidP="00660414">
      <w:pPr>
        <w:spacing w:before="120"/>
        <w:rPr>
          <w:b/>
          <w:sz w:val="22"/>
          <w:szCs w:val="22"/>
        </w:rPr>
      </w:pPr>
      <w:r w:rsidRPr="00686E92">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 xml:space="preserve">Extension of Passenger Terminal </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Acquire de-icing equipment</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Pr>
                <w:sz w:val="22"/>
                <w:szCs w:val="22"/>
              </w:rPr>
              <w:t>Acquire and install safety equipment</w:t>
            </w:r>
          </w:p>
        </w:tc>
        <w:tc>
          <w:tcPr>
            <w:tcW w:w="2750" w:type="dxa"/>
          </w:tcPr>
          <w:p w:rsidR="00660414" w:rsidRPr="00DE221F" w:rsidRDefault="00660414" w:rsidP="007613DE">
            <w:pPr>
              <w:rPr>
                <w:sz w:val="22"/>
                <w:szCs w:val="22"/>
              </w:rPr>
            </w:pPr>
            <w:r>
              <w:rPr>
                <w:sz w:val="22"/>
                <w:szCs w:val="22"/>
              </w:rPr>
              <w:t>2020</w:t>
            </w:r>
          </w:p>
        </w:tc>
      </w:tr>
    </w:tbl>
    <w:p w:rsidR="00660414" w:rsidRPr="00DE221F" w:rsidRDefault="00660414" w:rsidP="00660414">
      <w:pPr>
        <w:rPr>
          <w:sz w:val="22"/>
          <w:szCs w:val="22"/>
        </w:rPr>
      </w:pPr>
    </w:p>
    <w:p w:rsidR="00660414" w:rsidRDefault="00660414" w:rsidP="00660414">
      <w:pPr>
        <w:rPr>
          <w:sz w:val="22"/>
          <w:szCs w:val="22"/>
        </w:rPr>
      </w:pPr>
      <w:r>
        <w:rPr>
          <w:sz w:val="22"/>
          <w:szCs w:val="22"/>
        </w:rPr>
        <w:br w:type="page"/>
      </w:r>
    </w:p>
    <w:p w:rsidR="00660414" w:rsidRPr="00DE221F" w:rsidRDefault="00660414" w:rsidP="00660414">
      <w:pPr>
        <w:pStyle w:val="Hdg3"/>
      </w:pPr>
      <w:r w:rsidRPr="00DE221F">
        <w:t>Upgrade programme for Tulcea Airport</w:t>
      </w:r>
    </w:p>
    <w:p w:rsidR="00660414" w:rsidRPr="00847360" w:rsidRDefault="00660414" w:rsidP="00660414">
      <w:pPr>
        <w:pStyle w:val="ListParagraph"/>
        <w:spacing w:before="120" w:after="120" w:line="276" w:lineRule="auto"/>
        <w:ind w:left="0"/>
        <w:rPr>
          <w:b/>
          <w:sz w:val="22"/>
          <w:szCs w:val="22"/>
        </w:rPr>
      </w:pPr>
      <w:r w:rsidRPr="00847360">
        <w:rPr>
          <w:b/>
          <w:sz w:val="22"/>
          <w:szCs w:val="22"/>
        </w:rPr>
        <w:t>Proposal Description</w:t>
      </w:r>
    </w:p>
    <w:p w:rsidR="00660414" w:rsidRPr="00DE221F" w:rsidRDefault="00660414" w:rsidP="00A4081F">
      <w:pPr>
        <w:pStyle w:val="NumberedParas"/>
      </w:pPr>
      <w:r w:rsidRPr="00DE221F">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DE221F" w:rsidRDefault="00660414" w:rsidP="00273D5E">
      <w:pPr>
        <w:pStyle w:val="BulletLevel1"/>
      </w:pPr>
      <w:r w:rsidRPr="00DE221F">
        <w:t xml:space="preserve">International </w:t>
      </w:r>
      <w:r>
        <w:t xml:space="preserve">Major Hub </w:t>
      </w:r>
      <w:r w:rsidRPr="00DE221F">
        <w:t>Airport</w:t>
      </w:r>
    </w:p>
    <w:p w:rsidR="00660414" w:rsidRPr="00DE221F" w:rsidRDefault="00660414" w:rsidP="00273D5E">
      <w:pPr>
        <w:pStyle w:val="BulletLevel1"/>
      </w:pPr>
      <w:r w:rsidRPr="00DE221F">
        <w:t>International Hub Airport</w:t>
      </w:r>
    </w:p>
    <w:p w:rsidR="00660414" w:rsidRPr="00DE221F" w:rsidRDefault="00660414" w:rsidP="00273D5E">
      <w:pPr>
        <w:pStyle w:val="BulletLevel1"/>
      </w:pPr>
      <w:r w:rsidRPr="00DE221F">
        <w:t>Regional Airport</w:t>
      </w:r>
    </w:p>
    <w:p w:rsidR="00660414" w:rsidRPr="00DE221F" w:rsidRDefault="00660414" w:rsidP="00273D5E">
      <w:pPr>
        <w:pStyle w:val="BulletLevel1"/>
      </w:pPr>
      <w:r w:rsidRPr="00DE221F">
        <w:t>Small Regional Airport</w:t>
      </w:r>
    </w:p>
    <w:p w:rsidR="00660414" w:rsidRPr="00DE221F" w:rsidRDefault="00660414" w:rsidP="00A4081F">
      <w:pPr>
        <w:pStyle w:val="NumberedParas"/>
      </w:pPr>
      <w:r w:rsidRPr="00DE221F">
        <w:t>Tulcea Airport is currently classified as a Small Regional Airport but has the potential to be developed into a Regional Airport. The upgrade project for Tulcea Airport aims to ensure that infrastructure capacity and operational facilities are able to deal with demand increase for 2020 and 2025. The project includes:</w:t>
      </w:r>
    </w:p>
    <w:p w:rsidR="00660414" w:rsidRPr="00DE221F" w:rsidRDefault="00660414" w:rsidP="00273D5E">
      <w:pPr>
        <w:pStyle w:val="BulletLevel1"/>
      </w:pPr>
      <w:r w:rsidRPr="00DE221F">
        <w:t>Extension of passenger terminal</w:t>
      </w:r>
    </w:p>
    <w:p w:rsidR="00660414" w:rsidRDefault="00660414" w:rsidP="00273D5E">
      <w:pPr>
        <w:pStyle w:val="BulletLevel1"/>
      </w:pPr>
      <w:r w:rsidRPr="00DE221F">
        <w:t>Extension of apron</w:t>
      </w:r>
    </w:p>
    <w:p w:rsidR="00660414" w:rsidRPr="00DE221F" w:rsidRDefault="00660414" w:rsidP="00273D5E">
      <w:pPr>
        <w:pStyle w:val="BulletLevel1"/>
      </w:pPr>
      <w:r>
        <w:t>Upgrading of the runway and taxiways</w:t>
      </w:r>
    </w:p>
    <w:p w:rsidR="00660414" w:rsidRPr="00DE221F" w:rsidRDefault="00660414" w:rsidP="00A4081F">
      <w:pPr>
        <w:pStyle w:val="NumberedParas"/>
      </w:pPr>
      <w:r w:rsidRPr="00DE221F">
        <w:t xml:space="preserve">Figure </w:t>
      </w:r>
      <w:r>
        <w:t>7.16</w:t>
      </w:r>
      <w:r w:rsidRPr="00DE221F">
        <w:t xml:space="preserve"> sets out the location of Tulcea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79588412" wp14:editId="53CFB068">
            <wp:extent cx="5029200" cy="351775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stretch>
                      <a:fillRect/>
                    </a:stretch>
                  </pic:blipFill>
                  <pic:spPr>
                    <a:xfrm>
                      <a:off x="0" y="0"/>
                      <a:ext cx="5034583" cy="3521519"/>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7.16</w:t>
      </w:r>
      <w:r w:rsidRPr="00DE221F">
        <w:rPr>
          <w:b/>
          <w:sz w:val="22"/>
          <w:szCs w:val="22"/>
        </w:rPr>
        <w:t>: Location of Tulcea Airport</w:t>
      </w:r>
    </w:p>
    <w:p w:rsidR="00660414" w:rsidRPr="00847360" w:rsidRDefault="00660414" w:rsidP="00660414">
      <w:pPr>
        <w:spacing w:before="120" w:after="120" w:line="276" w:lineRule="auto"/>
        <w:rPr>
          <w:sz w:val="22"/>
          <w:szCs w:val="22"/>
        </w:rPr>
      </w:pPr>
    </w:p>
    <w:p w:rsidR="00660414" w:rsidRPr="00847360" w:rsidRDefault="00660414" w:rsidP="00660414">
      <w:pPr>
        <w:pStyle w:val="ListParagraph"/>
        <w:spacing w:before="120" w:after="120" w:line="276" w:lineRule="auto"/>
        <w:ind w:left="0"/>
        <w:rPr>
          <w:b/>
          <w:sz w:val="22"/>
          <w:szCs w:val="22"/>
        </w:rPr>
      </w:pPr>
      <w:r w:rsidRPr="00847360">
        <w:rPr>
          <w:b/>
          <w:sz w:val="22"/>
          <w:szCs w:val="22"/>
        </w:rPr>
        <w:t>Problems Addressed</w:t>
      </w:r>
    </w:p>
    <w:p w:rsidR="00660414" w:rsidRPr="00847360" w:rsidRDefault="00660414" w:rsidP="00A4081F">
      <w:pPr>
        <w:pStyle w:val="NumberedParas"/>
      </w:pPr>
      <w:r w:rsidRPr="00847360">
        <w:t>This intervention addresses the following issues:</w:t>
      </w:r>
    </w:p>
    <w:p w:rsidR="00660414" w:rsidRPr="00847360" w:rsidRDefault="00660414" w:rsidP="00273D5E">
      <w:pPr>
        <w:pStyle w:val="BulletLevel1"/>
      </w:pPr>
      <w:r w:rsidRPr="00847360">
        <w:t>The airport will run out of terminal capacity by 2020</w:t>
      </w:r>
    </w:p>
    <w:p w:rsidR="00660414" w:rsidRPr="00847360" w:rsidRDefault="00660414" w:rsidP="00273D5E">
      <w:pPr>
        <w:pStyle w:val="BulletLevel1"/>
      </w:pPr>
      <w:r w:rsidRPr="00847360">
        <w:t>The airport will run out of apron capacity by 2020</w:t>
      </w:r>
    </w:p>
    <w:p w:rsidR="00660414" w:rsidRPr="00847360" w:rsidRDefault="00660414" w:rsidP="00660414">
      <w:pPr>
        <w:spacing w:before="120" w:after="120" w:line="276" w:lineRule="auto"/>
        <w:rPr>
          <w:b/>
          <w:sz w:val="22"/>
          <w:szCs w:val="22"/>
        </w:rPr>
      </w:pPr>
      <w:r w:rsidRPr="00847360">
        <w:rPr>
          <w:b/>
          <w:sz w:val="22"/>
          <w:szCs w:val="22"/>
        </w:rPr>
        <w:t>Undiscounted Costs</w:t>
      </w:r>
    </w:p>
    <w:p w:rsidR="00660414" w:rsidRPr="00847360" w:rsidRDefault="00660414" w:rsidP="00A4081F">
      <w:pPr>
        <w:pStyle w:val="NumberedParas"/>
      </w:pPr>
      <w:r w:rsidRPr="00847360">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 xml:space="preserve">Undiscounted costs </w:t>
            </w:r>
          </w:p>
          <w:p w:rsidR="00660414" w:rsidRPr="00DE221F" w:rsidRDefault="00660414" w:rsidP="007613DE">
            <w:pPr>
              <w:rPr>
                <w:b/>
                <w:bCs/>
                <w:sz w:val="22"/>
                <w:szCs w:val="22"/>
              </w:rPr>
            </w:pPr>
            <w:r w:rsidRPr="00DE221F">
              <w:rPr>
                <w:b/>
                <w:bCs/>
                <w:sz w:val="22"/>
                <w:szCs w:val="22"/>
              </w:rPr>
              <w:t>(Million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DE221F" w:rsidRDefault="00660414" w:rsidP="007613DE">
            <w:pPr>
              <w:jc w:val="right"/>
              <w:rPr>
                <w:color w:val="000000"/>
                <w:sz w:val="22"/>
                <w:szCs w:val="22"/>
              </w:rPr>
            </w:pPr>
            <w:r>
              <w:rPr>
                <w:color w:val="000000"/>
                <w:sz w:val="22"/>
                <w:szCs w:val="22"/>
              </w:rPr>
              <w:t>15.3</w:t>
            </w:r>
          </w:p>
        </w:tc>
        <w:tc>
          <w:tcPr>
            <w:tcW w:w="3274"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43"/>
              </w:numPr>
              <w:contextualSpacing/>
            </w:pPr>
            <w:r w:rsidRPr="00DE221F">
              <w:t>Extension of passenger terminal</w:t>
            </w:r>
          </w:p>
          <w:p w:rsidR="00660414" w:rsidRDefault="00660414" w:rsidP="007613DE">
            <w:pPr>
              <w:pStyle w:val="ListParagraph"/>
              <w:numPr>
                <w:ilvl w:val="0"/>
                <w:numId w:val="43"/>
              </w:numPr>
              <w:contextualSpacing/>
            </w:pPr>
            <w:r w:rsidRPr="00DE221F">
              <w:t>Extension of apron space</w:t>
            </w:r>
          </w:p>
          <w:p w:rsidR="00660414" w:rsidRPr="00DE221F" w:rsidRDefault="00660414" w:rsidP="007613DE">
            <w:pPr>
              <w:pStyle w:val="ListParagraph"/>
              <w:numPr>
                <w:ilvl w:val="0"/>
                <w:numId w:val="43"/>
              </w:numPr>
              <w:contextualSpacing/>
            </w:pPr>
            <w:r>
              <w:t>Upgrading of runway</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DE221F" w:rsidRDefault="00660414" w:rsidP="007613DE">
            <w:pPr>
              <w:jc w:val="right"/>
              <w:rPr>
                <w:color w:val="000000"/>
                <w:sz w:val="22"/>
                <w:szCs w:val="22"/>
              </w:rPr>
            </w:pPr>
            <w:r>
              <w:rPr>
                <w:color w:val="000000"/>
                <w:sz w:val="22"/>
                <w:szCs w:val="22"/>
              </w:rPr>
              <w:t>0.8</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vAlign w:val="bottom"/>
          </w:tcPr>
          <w:p w:rsidR="00660414" w:rsidRPr="00DE221F" w:rsidRDefault="00660414" w:rsidP="007613DE">
            <w:pPr>
              <w:jc w:val="right"/>
              <w:rPr>
                <w:b/>
                <w:color w:val="000000"/>
                <w:sz w:val="22"/>
                <w:szCs w:val="22"/>
              </w:rPr>
            </w:pPr>
            <w:r>
              <w:rPr>
                <w:b/>
                <w:color w:val="000000"/>
                <w:sz w:val="22"/>
                <w:szCs w:val="22"/>
              </w:rPr>
              <w:t>15.4</w:t>
            </w:r>
          </w:p>
        </w:tc>
        <w:tc>
          <w:tcPr>
            <w:tcW w:w="3274" w:type="pct"/>
          </w:tcPr>
          <w:p w:rsidR="00660414" w:rsidRPr="00DE221F" w:rsidRDefault="00660414" w:rsidP="007613DE">
            <w:pPr>
              <w:rPr>
                <w:sz w:val="22"/>
                <w:szCs w:val="22"/>
              </w:rPr>
            </w:pPr>
          </w:p>
        </w:tc>
      </w:tr>
    </w:tbl>
    <w:p w:rsidR="00660414" w:rsidRPr="00686E92" w:rsidRDefault="00660414" w:rsidP="00660414">
      <w:pPr>
        <w:spacing w:before="120" w:after="120"/>
        <w:rPr>
          <w:b/>
          <w:sz w:val="22"/>
          <w:szCs w:val="22"/>
        </w:rPr>
      </w:pPr>
      <w:r w:rsidRPr="00686E92">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tcPr>
          <w:p w:rsidR="00660414" w:rsidRPr="00771729" w:rsidRDefault="00660414" w:rsidP="007613DE">
            <w:pPr>
              <w:jc w:val="right"/>
              <w:rPr>
                <w:color w:val="000000"/>
                <w:sz w:val="22"/>
                <w:szCs w:val="22"/>
              </w:rPr>
            </w:pPr>
            <w:r>
              <w:rPr>
                <w:sz w:val="22"/>
                <w:szCs w:val="22"/>
              </w:rPr>
              <w:t>20,100,174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tcPr>
          <w:p w:rsidR="00660414" w:rsidRPr="00771729" w:rsidRDefault="00660414" w:rsidP="007613DE">
            <w:pPr>
              <w:jc w:val="right"/>
              <w:rPr>
                <w:color w:val="000000"/>
                <w:sz w:val="22"/>
                <w:szCs w:val="22"/>
              </w:rPr>
            </w:pPr>
            <w:r>
              <w:rPr>
                <w:sz w:val="22"/>
                <w:szCs w:val="22"/>
              </w:rPr>
              <w:t>30,690,216</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tcPr>
          <w:p w:rsidR="00660414" w:rsidRPr="00771729" w:rsidRDefault="00660414" w:rsidP="007613DE">
            <w:pPr>
              <w:jc w:val="right"/>
              <w:rPr>
                <w:color w:val="000000"/>
                <w:sz w:val="22"/>
                <w:szCs w:val="22"/>
              </w:rPr>
            </w:pPr>
            <w:r>
              <w:rPr>
                <w:sz w:val="22"/>
                <w:szCs w:val="22"/>
              </w:rPr>
              <w:t>10,590,042</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tcPr>
          <w:p w:rsidR="00660414" w:rsidRPr="00771729" w:rsidRDefault="00660414" w:rsidP="007613DE">
            <w:pPr>
              <w:jc w:val="right"/>
              <w:rPr>
                <w:bCs/>
                <w:sz w:val="22"/>
                <w:szCs w:val="22"/>
              </w:rPr>
            </w:pPr>
            <w:r>
              <w:rPr>
                <w:sz w:val="22"/>
                <w:szCs w:val="22"/>
              </w:rPr>
              <w:t>1.53</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tcPr>
          <w:p w:rsidR="00660414" w:rsidRPr="00771729" w:rsidRDefault="00660414" w:rsidP="007613DE">
            <w:pPr>
              <w:jc w:val="right"/>
              <w:rPr>
                <w:color w:val="000000"/>
                <w:sz w:val="22"/>
                <w:szCs w:val="22"/>
              </w:rPr>
            </w:pPr>
            <w:r>
              <w:rPr>
                <w:sz w:val="22"/>
                <w:szCs w:val="22"/>
              </w:rPr>
              <w:t>5</w:t>
            </w:r>
            <w:r w:rsidRPr="008C5B1B">
              <w:rPr>
                <w:sz w:val="22"/>
                <w:szCs w:val="22"/>
              </w:rPr>
              <w:t>%</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had no scheduled flight, during recent years airlines have started to fly from Tulcea. If the upgrade programme is undertaken fully, passenger numbers could grow to 191,459 by 2020 (42,081 domestic and 149,378 international) and 236,613 by 2025 (52,005 domestic and 184,608 international). </w:t>
      </w:r>
    </w:p>
    <w:p w:rsidR="00660414" w:rsidRPr="00DE221F" w:rsidRDefault="00660414" w:rsidP="00660414">
      <w:pPr>
        <w:rPr>
          <w:b/>
          <w:sz w:val="22"/>
          <w:szCs w:val="22"/>
        </w:rPr>
      </w:pPr>
    </w:p>
    <w:p w:rsidR="00660414" w:rsidRPr="00686E92" w:rsidRDefault="00660414" w:rsidP="00660414">
      <w:pPr>
        <w:spacing w:before="120" w:after="120" w:line="276" w:lineRule="auto"/>
        <w:rPr>
          <w:b/>
          <w:sz w:val="22"/>
          <w:szCs w:val="22"/>
        </w:rPr>
      </w:pPr>
      <w:r w:rsidRPr="00686E92">
        <w:rPr>
          <w:b/>
          <w:sz w:val="22"/>
          <w:szCs w:val="22"/>
        </w:rPr>
        <w:t>Implementing Organisations</w:t>
      </w:r>
    </w:p>
    <w:p w:rsidR="00660414" w:rsidRPr="00DE221F" w:rsidRDefault="00660414" w:rsidP="00A4081F">
      <w:pPr>
        <w:pStyle w:val="NumberedParas"/>
      </w:pPr>
      <w:r w:rsidRPr="00DE221F">
        <w:t xml:space="preserve">This project would be implemented by Tulcea Airport. </w:t>
      </w:r>
    </w:p>
    <w:p w:rsidR="00660414" w:rsidRPr="00686E92" w:rsidRDefault="00660414" w:rsidP="00660414">
      <w:pPr>
        <w:rPr>
          <w:b/>
          <w:sz w:val="22"/>
          <w:szCs w:val="22"/>
        </w:rPr>
      </w:pPr>
      <w:r w:rsidRPr="00686E92">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2025</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Expansion of apron space</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Pr>
                <w:sz w:val="22"/>
                <w:szCs w:val="22"/>
              </w:rPr>
              <w:t>Upgrading of runway and taxiways</w:t>
            </w:r>
          </w:p>
        </w:tc>
        <w:tc>
          <w:tcPr>
            <w:tcW w:w="2750" w:type="dxa"/>
          </w:tcPr>
          <w:p w:rsidR="00660414" w:rsidRPr="00DE221F" w:rsidRDefault="00660414" w:rsidP="007613DE">
            <w:pPr>
              <w:rPr>
                <w:sz w:val="22"/>
                <w:szCs w:val="22"/>
              </w:rPr>
            </w:pPr>
            <w:r>
              <w:rPr>
                <w:sz w:val="22"/>
                <w:szCs w:val="22"/>
              </w:rPr>
              <w:t>2020</w:t>
            </w:r>
          </w:p>
        </w:tc>
      </w:tr>
    </w:tbl>
    <w:p w:rsidR="00660414" w:rsidRPr="00DE221F" w:rsidRDefault="00660414" w:rsidP="00660414">
      <w:pPr>
        <w:rPr>
          <w:sz w:val="22"/>
          <w:szCs w:val="22"/>
        </w:rPr>
      </w:pPr>
    </w:p>
    <w:p w:rsidR="00660414" w:rsidRPr="00DE221F" w:rsidRDefault="00660414" w:rsidP="00660414">
      <w:pPr>
        <w:rPr>
          <w:sz w:val="22"/>
          <w:szCs w:val="22"/>
        </w:rPr>
      </w:pPr>
    </w:p>
    <w:p w:rsidR="00660414" w:rsidRPr="00DE221F" w:rsidRDefault="00660414" w:rsidP="00660414">
      <w:pPr>
        <w:rPr>
          <w:sz w:val="22"/>
          <w:szCs w:val="22"/>
        </w:rPr>
      </w:pPr>
    </w:p>
    <w:p w:rsidR="00660414" w:rsidRPr="00DE221F" w:rsidRDefault="00660414" w:rsidP="00660414">
      <w:pPr>
        <w:rPr>
          <w:sz w:val="22"/>
          <w:szCs w:val="22"/>
        </w:rPr>
      </w:pPr>
    </w:p>
    <w:p w:rsidR="00660414" w:rsidRPr="00DE221F" w:rsidRDefault="00660414" w:rsidP="00660414">
      <w:pPr>
        <w:rPr>
          <w:sz w:val="22"/>
          <w:szCs w:val="22"/>
        </w:rPr>
      </w:pPr>
    </w:p>
    <w:p w:rsidR="00660414" w:rsidRDefault="00660414" w:rsidP="00660414">
      <w:pPr>
        <w:rPr>
          <w:i/>
          <w:sz w:val="22"/>
          <w:szCs w:val="22"/>
        </w:rPr>
      </w:pPr>
      <w:r>
        <w:br w:type="page"/>
      </w:r>
    </w:p>
    <w:p w:rsidR="00660414" w:rsidRPr="00DE221F" w:rsidRDefault="00660414" w:rsidP="00660414">
      <w:pPr>
        <w:pStyle w:val="Hdg3"/>
      </w:pPr>
      <w:r w:rsidRPr="00DE221F">
        <w:t>Upgrade programme for Baia Mare Airport</w:t>
      </w:r>
    </w:p>
    <w:p w:rsidR="00660414" w:rsidRPr="00DE221F" w:rsidRDefault="00660414" w:rsidP="00660414">
      <w:pPr>
        <w:rPr>
          <w:b/>
          <w:sz w:val="22"/>
          <w:szCs w:val="22"/>
        </w:rPr>
      </w:pPr>
      <w:r w:rsidRPr="00DE221F">
        <w:rPr>
          <w:b/>
          <w:sz w:val="22"/>
          <w:szCs w:val="22"/>
        </w:rPr>
        <w:tab/>
      </w:r>
    </w:p>
    <w:p w:rsidR="00660414" w:rsidRPr="00932EC0" w:rsidRDefault="00660414" w:rsidP="00660414">
      <w:pPr>
        <w:pStyle w:val="ListParagraph"/>
        <w:spacing w:before="120" w:after="120" w:line="360" w:lineRule="auto"/>
        <w:ind w:left="0"/>
        <w:rPr>
          <w:b/>
          <w:sz w:val="22"/>
          <w:szCs w:val="22"/>
        </w:rPr>
      </w:pPr>
      <w:r w:rsidRPr="00932EC0">
        <w:rPr>
          <w:b/>
          <w:sz w:val="22"/>
          <w:szCs w:val="22"/>
        </w:rPr>
        <w:t>Proposal Description</w:t>
      </w:r>
    </w:p>
    <w:p w:rsidR="00660414" w:rsidRPr="00932EC0" w:rsidRDefault="00660414" w:rsidP="00A4081F">
      <w:pPr>
        <w:pStyle w:val="NumberedParas"/>
      </w:pPr>
      <w:r w:rsidRPr="00932EC0">
        <w:t>In line with the Primary Economic Networks defined for road and rail modes, it is important to develop a hierarchy for Romanian airports, based on their role and potential to attract both international and domestic traffic in the future. The airport classifications are:</w:t>
      </w:r>
    </w:p>
    <w:p w:rsidR="00660414" w:rsidRPr="00932EC0" w:rsidRDefault="00660414" w:rsidP="00273D5E">
      <w:pPr>
        <w:pStyle w:val="BulletLevel1"/>
      </w:pPr>
      <w:r w:rsidRPr="00932EC0">
        <w:t xml:space="preserve">International </w:t>
      </w:r>
      <w:r>
        <w:t xml:space="preserve">Major Hub </w:t>
      </w:r>
      <w:r w:rsidRPr="00932EC0">
        <w:t>Airport</w:t>
      </w:r>
    </w:p>
    <w:p w:rsidR="00660414" w:rsidRPr="00932EC0" w:rsidRDefault="00660414" w:rsidP="00273D5E">
      <w:pPr>
        <w:pStyle w:val="BulletLevel1"/>
      </w:pPr>
      <w:r w:rsidRPr="00932EC0">
        <w:t>International Hub Airport</w:t>
      </w:r>
    </w:p>
    <w:p w:rsidR="00660414" w:rsidRPr="00932EC0" w:rsidRDefault="00660414" w:rsidP="00273D5E">
      <w:pPr>
        <w:pStyle w:val="BulletLevel1"/>
      </w:pPr>
      <w:r w:rsidRPr="00932EC0">
        <w:t>Regional Airport</w:t>
      </w:r>
    </w:p>
    <w:p w:rsidR="00660414" w:rsidRPr="00932EC0" w:rsidRDefault="00660414" w:rsidP="00273D5E">
      <w:pPr>
        <w:pStyle w:val="BulletLevel1"/>
      </w:pPr>
      <w:r w:rsidRPr="00932EC0">
        <w:t>Small Regional Airport</w:t>
      </w:r>
    </w:p>
    <w:p w:rsidR="00660414" w:rsidRPr="00932EC0" w:rsidRDefault="00660414" w:rsidP="00A4081F">
      <w:pPr>
        <w:pStyle w:val="NumberedParas"/>
      </w:pPr>
      <w:r w:rsidRPr="00932EC0">
        <w:t>Baia Mare Airport is currently classified as a Small Regional Airport but have the potential to be developed into a Regional Airport. The upgrade project for Baia Mare Airport aims to ensure that infrastructure capacity and operational facilities are able to deal with demand increase for 2020 and 2025. The project includes:</w:t>
      </w:r>
    </w:p>
    <w:p w:rsidR="00660414" w:rsidRPr="00932EC0" w:rsidRDefault="00660414" w:rsidP="00273D5E">
      <w:pPr>
        <w:pStyle w:val="BulletLevel1"/>
      </w:pPr>
      <w:r w:rsidRPr="00932EC0">
        <w:t>Extension of passenger terminal</w:t>
      </w:r>
    </w:p>
    <w:p w:rsidR="00660414" w:rsidRPr="00DE221F" w:rsidRDefault="00660414" w:rsidP="00A4081F">
      <w:pPr>
        <w:pStyle w:val="NumberedParas"/>
      </w:pPr>
      <w:r w:rsidRPr="00932EC0">
        <w:t xml:space="preserve">Figure </w:t>
      </w:r>
      <w:r>
        <w:t>7</w:t>
      </w:r>
      <w:r w:rsidRPr="00932EC0">
        <w:t>.1</w:t>
      </w:r>
      <w:r>
        <w:t>7</w:t>
      </w:r>
      <w:r w:rsidRPr="00932EC0">
        <w:t xml:space="preserve"> sets out the location</w:t>
      </w:r>
      <w:r w:rsidRPr="00DE221F">
        <w:t xml:space="preserve"> of Baia Mare Airport in relations to the other Romanian airports. </w:t>
      </w:r>
    </w:p>
    <w:p w:rsidR="00660414" w:rsidRPr="00DE221F" w:rsidRDefault="00660414" w:rsidP="00660414">
      <w:pPr>
        <w:rPr>
          <w:sz w:val="22"/>
          <w:szCs w:val="22"/>
        </w:rPr>
      </w:pPr>
      <w:r w:rsidRPr="008C5B1B">
        <w:rPr>
          <w:noProof/>
          <w:lang w:val="ro-RO" w:eastAsia="ro-RO"/>
        </w:rPr>
        <w:drawing>
          <wp:inline distT="0" distB="0" distL="0" distR="0" wp14:anchorId="6C2DB005" wp14:editId="2FC69C64">
            <wp:extent cx="5014575" cy="353377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cstate="print"/>
                    <a:stretch>
                      <a:fillRect/>
                    </a:stretch>
                  </pic:blipFill>
                  <pic:spPr>
                    <a:xfrm>
                      <a:off x="0" y="0"/>
                      <a:ext cx="5014575" cy="3533775"/>
                    </a:xfrm>
                    <a:prstGeom prst="rect">
                      <a:avLst/>
                    </a:prstGeom>
                  </pic:spPr>
                </pic:pic>
              </a:graphicData>
            </a:graphic>
          </wp:inline>
        </w:drawing>
      </w:r>
    </w:p>
    <w:p w:rsidR="00660414" w:rsidRPr="00DE221F" w:rsidRDefault="00660414" w:rsidP="00660414">
      <w:pPr>
        <w:rPr>
          <w:b/>
          <w:sz w:val="22"/>
          <w:szCs w:val="22"/>
        </w:rPr>
      </w:pPr>
      <w:r w:rsidRPr="00DE221F">
        <w:rPr>
          <w:b/>
          <w:sz w:val="22"/>
          <w:szCs w:val="22"/>
        </w:rPr>
        <w:t xml:space="preserve">Figure </w:t>
      </w:r>
      <w:r>
        <w:rPr>
          <w:b/>
          <w:sz w:val="22"/>
          <w:szCs w:val="22"/>
        </w:rPr>
        <w:t>7.17</w:t>
      </w:r>
      <w:r w:rsidRPr="00DE221F">
        <w:rPr>
          <w:b/>
          <w:sz w:val="22"/>
          <w:szCs w:val="22"/>
        </w:rPr>
        <w:t>: Location of Baia Mare Airport</w:t>
      </w:r>
    </w:p>
    <w:p w:rsidR="00660414" w:rsidRPr="00DE221F" w:rsidRDefault="00660414" w:rsidP="00660414">
      <w:pPr>
        <w:rPr>
          <w:sz w:val="22"/>
          <w:szCs w:val="22"/>
        </w:rPr>
      </w:pPr>
    </w:p>
    <w:p w:rsidR="00660414" w:rsidRPr="00932EC0" w:rsidRDefault="00660414" w:rsidP="00660414">
      <w:pPr>
        <w:pStyle w:val="ListParagraph"/>
        <w:spacing w:before="120" w:after="120" w:line="276" w:lineRule="auto"/>
        <w:ind w:left="0"/>
        <w:rPr>
          <w:b/>
          <w:sz w:val="22"/>
          <w:szCs w:val="22"/>
        </w:rPr>
      </w:pPr>
      <w:r w:rsidRPr="00932EC0">
        <w:rPr>
          <w:b/>
          <w:sz w:val="22"/>
          <w:szCs w:val="22"/>
        </w:rPr>
        <w:t>Problems Addressed</w:t>
      </w:r>
    </w:p>
    <w:p w:rsidR="00660414" w:rsidRPr="00DE221F" w:rsidRDefault="00660414" w:rsidP="00A4081F">
      <w:pPr>
        <w:pStyle w:val="NumberedParas"/>
      </w:pPr>
      <w:r w:rsidRPr="00DE221F">
        <w:t>This intervention addresses the following issues:</w:t>
      </w:r>
    </w:p>
    <w:p w:rsidR="00660414" w:rsidRPr="00DE221F" w:rsidRDefault="00660414" w:rsidP="00273D5E">
      <w:pPr>
        <w:pStyle w:val="BulletLevel1"/>
      </w:pPr>
      <w:r w:rsidRPr="00DE221F">
        <w:t>The airport will run out of terminal capacity by 2020</w:t>
      </w:r>
    </w:p>
    <w:p w:rsidR="00660414" w:rsidRPr="00DE221F" w:rsidRDefault="00660414" w:rsidP="00660414">
      <w:pPr>
        <w:spacing w:before="120" w:after="120" w:line="276" w:lineRule="auto"/>
        <w:rPr>
          <w:sz w:val="22"/>
          <w:szCs w:val="22"/>
        </w:rPr>
      </w:pPr>
    </w:p>
    <w:p w:rsidR="00660414" w:rsidRPr="00686E92" w:rsidRDefault="00660414" w:rsidP="00660414">
      <w:pPr>
        <w:spacing w:before="120" w:after="120" w:line="276" w:lineRule="auto"/>
        <w:rPr>
          <w:b/>
          <w:sz w:val="22"/>
          <w:szCs w:val="22"/>
        </w:rPr>
      </w:pPr>
      <w:r w:rsidRPr="00686E92">
        <w:rPr>
          <w:b/>
          <w:sz w:val="22"/>
          <w:szCs w:val="22"/>
        </w:rPr>
        <w:t>Undiscounted Costs</w:t>
      </w:r>
    </w:p>
    <w:p w:rsidR="00660414" w:rsidRPr="00DE221F" w:rsidRDefault="00660414" w:rsidP="00A4081F">
      <w:pPr>
        <w:pStyle w:val="NumberedParas"/>
      </w:pPr>
      <w:r w:rsidRPr="00DE221F">
        <w:t>It has been estimated that the project will incur in the following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660414" w:rsidRPr="00DE221F" w:rsidTr="007613DE">
        <w:trPr>
          <w:cantSplit/>
          <w:tblHeader/>
        </w:trPr>
        <w:tc>
          <w:tcPr>
            <w:tcW w:w="1726" w:type="pct"/>
            <w:gridSpan w:val="2"/>
            <w:vAlign w:val="center"/>
          </w:tcPr>
          <w:p w:rsidR="00660414" w:rsidRPr="00DE221F" w:rsidRDefault="00660414" w:rsidP="007613DE">
            <w:pPr>
              <w:rPr>
                <w:b/>
                <w:bCs/>
                <w:sz w:val="22"/>
                <w:szCs w:val="22"/>
              </w:rPr>
            </w:pPr>
            <w:r w:rsidRPr="00DE221F">
              <w:rPr>
                <w:b/>
                <w:bCs/>
                <w:sz w:val="22"/>
                <w:szCs w:val="22"/>
              </w:rPr>
              <w:t>Undiscounted costs (Million €, 2014 prices)</w:t>
            </w:r>
          </w:p>
        </w:tc>
        <w:tc>
          <w:tcPr>
            <w:tcW w:w="3274" w:type="pct"/>
          </w:tcPr>
          <w:p w:rsidR="00660414" w:rsidRPr="00DE221F" w:rsidRDefault="00660414" w:rsidP="007613DE">
            <w:pPr>
              <w:rPr>
                <w:b/>
                <w:bCs/>
                <w:sz w:val="22"/>
                <w:szCs w:val="22"/>
              </w:rPr>
            </w:pPr>
            <w:r w:rsidRPr="00DE221F">
              <w:rPr>
                <w:b/>
                <w:bCs/>
                <w:sz w:val="22"/>
                <w:szCs w:val="22"/>
              </w:rPr>
              <w:t>Description</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CAPEX </w:t>
            </w:r>
          </w:p>
        </w:tc>
        <w:tc>
          <w:tcPr>
            <w:tcW w:w="831" w:type="pct"/>
            <w:vAlign w:val="bottom"/>
          </w:tcPr>
          <w:p w:rsidR="00660414" w:rsidRPr="00DE221F" w:rsidRDefault="00660414" w:rsidP="007613DE">
            <w:pPr>
              <w:jc w:val="right"/>
              <w:rPr>
                <w:color w:val="000000"/>
                <w:sz w:val="22"/>
                <w:szCs w:val="22"/>
              </w:rPr>
            </w:pPr>
            <w:r w:rsidRPr="00DE221F">
              <w:rPr>
                <w:color w:val="000000"/>
                <w:sz w:val="22"/>
                <w:szCs w:val="22"/>
              </w:rPr>
              <w:t>2.3</w:t>
            </w:r>
          </w:p>
        </w:tc>
        <w:tc>
          <w:tcPr>
            <w:tcW w:w="3274" w:type="pct"/>
          </w:tcPr>
          <w:p w:rsidR="00660414" w:rsidRPr="00DE221F" w:rsidRDefault="00660414" w:rsidP="007613DE">
            <w:pPr>
              <w:rPr>
                <w:sz w:val="22"/>
                <w:szCs w:val="22"/>
              </w:rPr>
            </w:pPr>
            <w:r w:rsidRPr="00DE221F">
              <w:rPr>
                <w:sz w:val="22"/>
                <w:szCs w:val="22"/>
              </w:rPr>
              <w:t>Includes:</w:t>
            </w:r>
          </w:p>
          <w:p w:rsidR="00660414" w:rsidRPr="00DE221F" w:rsidRDefault="00660414" w:rsidP="007613DE">
            <w:pPr>
              <w:pStyle w:val="ListParagraph"/>
              <w:numPr>
                <w:ilvl w:val="0"/>
                <w:numId w:val="44"/>
              </w:numPr>
              <w:contextualSpacing/>
            </w:pPr>
            <w:r w:rsidRPr="00DE221F">
              <w:t>Extension of terminal</w:t>
            </w:r>
          </w:p>
        </w:tc>
      </w:tr>
      <w:tr w:rsidR="00660414" w:rsidRPr="00DE221F" w:rsidTr="007613DE">
        <w:trPr>
          <w:cantSplit/>
        </w:trPr>
        <w:tc>
          <w:tcPr>
            <w:tcW w:w="895" w:type="pct"/>
            <w:vAlign w:val="bottom"/>
          </w:tcPr>
          <w:p w:rsidR="00660414" w:rsidRPr="00DE221F" w:rsidRDefault="00660414" w:rsidP="007613DE">
            <w:pPr>
              <w:rPr>
                <w:sz w:val="22"/>
                <w:szCs w:val="22"/>
              </w:rPr>
            </w:pPr>
            <w:r w:rsidRPr="00DE221F">
              <w:rPr>
                <w:sz w:val="22"/>
                <w:szCs w:val="22"/>
              </w:rPr>
              <w:t xml:space="preserve">OPEX </w:t>
            </w:r>
          </w:p>
        </w:tc>
        <w:tc>
          <w:tcPr>
            <w:tcW w:w="831" w:type="pct"/>
            <w:vAlign w:val="bottom"/>
          </w:tcPr>
          <w:p w:rsidR="00660414" w:rsidRPr="00DE221F" w:rsidRDefault="00660414" w:rsidP="007613DE">
            <w:pPr>
              <w:jc w:val="right"/>
              <w:rPr>
                <w:color w:val="000000"/>
                <w:sz w:val="22"/>
                <w:szCs w:val="22"/>
              </w:rPr>
            </w:pPr>
            <w:r w:rsidRPr="00DE221F">
              <w:rPr>
                <w:color w:val="000000"/>
                <w:sz w:val="22"/>
                <w:szCs w:val="22"/>
              </w:rPr>
              <w:t>0.1</w:t>
            </w:r>
          </w:p>
        </w:tc>
        <w:tc>
          <w:tcPr>
            <w:tcW w:w="3274" w:type="pct"/>
          </w:tcPr>
          <w:p w:rsidR="00660414" w:rsidRPr="00DE221F" w:rsidRDefault="00660414" w:rsidP="007613DE">
            <w:pPr>
              <w:rPr>
                <w:sz w:val="22"/>
                <w:szCs w:val="22"/>
              </w:rPr>
            </w:pPr>
            <w:r w:rsidRPr="00DE221F">
              <w:rPr>
                <w:sz w:val="22"/>
                <w:szCs w:val="22"/>
              </w:rPr>
              <w:t xml:space="preserve">Additional operating costs </w:t>
            </w:r>
          </w:p>
        </w:tc>
      </w:tr>
      <w:tr w:rsidR="00660414" w:rsidRPr="00DE221F" w:rsidTr="007613DE">
        <w:trPr>
          <w:cantSplit/>
        </w:trPr>
        <w:tc>
          <w:tcPr>
            <w:tcW w:w="895" w:type="pct"/>
          </w:tcPr>
          <w:p w:rsidR="00660414" w:rsidRPr="00DE221F" w:rsidRDefault="00660414" w:rsidP="007613DE">
            <w:pPr>
              <w:rPr>
                <w:sz w:val="22"/>
                <w:szCs w:val="22"/>
              </w:rPr>
            </w:pPr>
            <w:r w:rsidRPr="00DE221F">
              <w:rPr>
                <w:sz w:val="22"/>
                <w:szCs w:val="22"/>
              </w:rPr>
              <w:t xml:space="preserve">Total </w:t>
            </w:r>
          </w:p>
        </w:tc>
        <w:tc>
          <w:tcPr>
            <w:tcW w:w="831" w:type="pct"/>
            <w:vAlign w:val="bottom"/>
          </w:tcPr>
          <w:p w:rsidR="00660414" w:rsidRPr="00DE221F" w:rsidRDefault="00660414" w:rsidP="007613DE">
            <w:pPr>
              <w:jc w:val="right"/>
              <w:rPr>
                <w:b/>
                <w:color w:val="000000"/>
                <w:sz w:val="22"/>
                <w:szCs w:val="22"/>
              </w:rPr>
            </w:pPr>
            <w:r w:rsidRPr="00DE221F">
              <w:rPr>
                <w:b/>
                <w:color w:val="000000"/>
                <w:sz w:val="22"/>
                <w:szCs w:val="22"/>
              </w:rPr>
              <w:t>2.4</w:t>
            </w:r>
          </w:p>
        </w:tc>
        <w:tc>
          <w:tcPr>
            <w:tcW w:w="3274" w:type="pct"/>
          </w:tcPr>
          <w:p w:rsidR="00660414" w:rsidRPr="00DE221F" w:rsidRDefault="00660414" w:rsidP="007613DE">
            <w:pPr>
              <w:rPr>
                <w:sz w:val="22"/>
                <w:szCs w:val="22"/>
              </w:rPr>
            </w:pPr>
          </w:p>
        </w:tc>
      </w:tr>
    </w:tbl>
    <w:p w:rsidR="00660414" w:rsidRPr="00686E92" w:rsidRDefault="00660414" w:rsidP="00660414">
      <w:pPr>
        <w:spacing w:before="120" w:after="120" w:line="276" w:lineRule="auto"/>
        <w:rPr>
          <w:b/>
          <w:sz w:val="22"/>
          <w:szCs w:val="22"/>
        </w:rPr>
      </w:pPr>
      <w:r w:rsidRPr="00686E92">
        <w:rPr>
          <w:b/>
          <w:sz w:val="22"/>
          <w:szCs w:val="22"/>
        </w:rPr>
        <w:t>Outcomes</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PVC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2,769,760</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PVB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7,698,694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NPV (€ (2014 Prices))</w:t>
            </w:r>
          </w:p>
        </w:tc>
        <w:tc>
          <w:tcPr>
            <w:tcW w:w="2633" w:type="pct"/>
            <w:vAlign w:val="bottom"/>
          </w:tcPr>
          <w:p w:rsidR="00660414" w:rsidRPr="00DE221F" w:rsidRDefault="00660414" w:rsidP="007613DE">
            <w:pPr>
              <w:jc w:val="right"/>
              <w:rPr>
                <w:color w:val="000000"/>
                <w:sz w:val="22"/>
                <w:szCs w:val="22"/>
              </w:rPr>
            </w:pPr>
            <w:r>
              <w:rPr>
                <w:color w:val="000000"/>
                <w:sz w:val="22"/>
                <w:szCs w:val="22"/>
              </w:rPr>
              <w:t>4,928,934</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BCR</w:t>
            </w:r>
          </w:p>
        </w:tc>
        <w:tc>
          <w:tcPr>
            <w:tcW w:w="2633" w:type="pct"/>
            <w:vAlign w:val="bottom"/>
          </w:tcPr>
          <w:p w:rsidR="00660414" w:rsidRPr="00DE221F" w:rsidRDefault="00660414" w:rsidP="007613DE">
            <w:pPr>
              <w:jc w:val="right"/>
              <w:rPr>
                <w:bCs/>
                <w:sz w:val="22"/>
                <w:szCs w:val="22"/>
              </w:rPr>
            </w:pPr>
            <w:r>
              <w:rPr>
                <w:bCs/>
                <w:sz w:val="22"/>
                <w:szCs w:val="22"/>
              </w:rPr>
              <w:t>2.78</w:t>
            </w:r>
          </w:p>
        </w:tc>
      </w:tr>
      <w:tr w:rsidR="00660414" w:rsidRPr="00DE221F" w:rsidTr="007613DE">
        <w:trPr>
          <w:cantSplit/>
        </w:trPr>
        <w:tc>
          <w:tcPr>
            <w:tcW w:w="2367" w:type="pct"/>
            <w:vAlign w:val="center"/>
          </w:tcPr>
          <w:p w:rsidR="00660414" w:rsidRPr="00DE221F" w:rsidRDefault="00660414" w:rsidP="007613DE">
            <w:pPr>
              <w:spacing w:before="120"/>
              <w:rPr>
                <w:b/>
                <w:sz w:val="22"/>
                <w:szCs w:val="22"/>
              </w:rPr>
            </w:pPr>
            <w:r w:rsidRPr="00DE221F">
              <w:rPr>
                <w:b/>
                <w:sz w:val="22"/>
                <w:szCs w:val="22"/>
              </w:rPr>
              <w:t xml:space="preserve">EIRR </w:t>
            </w:r>
          </w:p>
        </w:tc>
        <w:tc>
          <w:tcPr>
            <w:tcW w:w="2633" w:type="pct"/>
            <w:vAlign w:val="bottom"/>
          </w:tcPr>
          <w:p w:rsidR="00660414" w:rsidRPr="00DE221F" w:rsidRDefault="00660414" w:rsidP="007613DE">
            <w:pPr>
              <w:jc w:val="right"/>
              <w:rPr>
                <w:color w:val="000000"/>
                <w:sz w:val="22"/>
                <w:szCs w:val="22"/>
              </w:rPr>
            </w:pPr>
            <w:r>
              <w:rPr>
                <w:color w:val="000000"/>
                <w:sz w:val="22"/>
                <w:szCs w:val="22"/>
              </w:rPr>
              <w:t>10.4%</w:t>
            </w:r>
          </w:p>
        </w:tc>
      </w:tr>
    </w:tbl>
    <w:p w:rsidR="00660414" w:rsidRPr="00DE221F" w:rsidRDefault="00660414" w:rsidP="00660414">
      <w:pPr>
        <w:rPr>
          <w:i/>
          <w:sz w:val="22"/>
          <w:szCs w:val="22"/>
        </w:rPr>
      </w:pPr>
    </w:p>
    <w:p w:rsidR="00660414" w:rsidRPr="00DE221F" w:rsidRDefault="00660414" w:rsidP="00A4081F">
      <w:pPr>
        <w:pStyle w:val="NumberedParas"/>
      </w:pPr>
      <w:r w:rsidRPr="00DE221F">
        <w:t xml:space="preserve">In 2011 the airport handled 18,568 (18,017 domestic and 551 international) passengers per annum. If the upgrade programme is undertaken fully, passenger numbers could grow to 179,287 by 2020 (39,405 domestic and 139,882 international) and 224,770 by 2025 (49,402 domestic and 175,368 international). </w:t>
      </w:r>
    </w:p>
    <w:p w:rsidR="00660414" w:rsidRPr="00686E92" w:rsidRDefault="00660414" w:rsidP="00660414">
      <w:pPr>
        <w:spacing w:before="120" w:after="120" w:line="276" w:lineRule="auto"/>
        <w:rPr>
          <w:b/>
          <w:sz w:val="22"/>
          <w:szCs w:val="22"/>
        </w:rPr>
      </w:pPr>
      <w:r w:rsidRPr="00686E92">
        <w:rPr>
          <w:b/>
          <w:sz w:val="22"/>
          <w:szCs w:val="22"/>
        </w:rPr>
        <w:t>Implementing Organisations</w:t>
      </w:r>
    </w:p>
    <w:p w:rsidR="00660414" w:rsidRPr="00DE221F" w:rsidRDefault="00660414" w:rsidP="00A4081F">
      <w:pPr>
        <w:pStyle w:val="NumberedParas"/>
      </w:pPr>
      <w:r w:rsidRPr="00DE221F">
        <w:t xml:space="preserve">This project would be implemented by Tulcea Airport. </w:t>
      </w:r>
    </w:p>
    <w:p w:rsidR="00660414" w:rsidRPr="00686E92" w:rsidRDefault="00660414" w:rsidP="00660414">
      <w:pPr>
        <w:rPr>
          <w:b/>
          <w:sz w:val="22"/>
          <w:szCs w:val="22"/>
        </w:rPr>
      </w:pPr>
      <w:r w:rsidRPr="00686E92">
        <w:rPr>
          <w:b/>
          <w:sz w:val="22"/>
          <w:szCs w:val="22"/>
        </w:rPr>
        <w:t>Implementation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660414" w:rsidRPr="00DE221F" w:rsidTr="007613DE">
        <w:tc>
          <w:tcPr>
            <w:tcW w:w="5778" w:type="dxa"/>
          </w:tcPr>
          <w:p w:rsidR="00660414" w:rsidRPr="00DE221F" w:rsidRDefault="00660414" w:rsidP="007613DE">
            <w:pPr>
              <w:rPr>
                <w:b/>
                <w:sz w:val="22"/>
                <w:szCs w:val="22"/>
              </w:rPr>
            </w:pPr>
            <w:r w:rsidRPr="00DE221F">
              <w:rPr>
                <w:b/>
                <w:sz w:val="22"/>
                <w:szCs w:val="22"/>
              </w:rPr>
              <w:t>Project</w:t>
            </w:r>
          </w:p>
        </w:tc>
        <w:tc>
          <w:tcPr>
            <w:tcW w:w="2750" w:type="dxa"/>
          </w:tcPr>
          <w:p w:rsidR="00660414" w:rsidRPr="00DE221F" w:rsidRDefault="00660414" w:rsidP="007613DE">
            <w:pPr>
              <w:rPr>
                <w:b/>
                <w:sz w:val="22"/>
                <w:szCs w:val="22"/>
              </w:rPr>
            </w:pPr>
            <w:r w:rsidRPr="00DE221F">
              <w:rPr>
                <w:b/>
                <w:sz w:val="22"/>
                <w:szCs w:val="22"/>
              </w:rPr>
              <w:t>Implementation Year</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2020</w:t>
            </w:r>
          </w:p>
        </w:tc>
      </w:tr>
      <w:tr w:rsidR="00660414" w:rsidRPr="00DE221F" w:rsidTr="007613DE">
        <w:tc>
          <w:tcPr>
            <w:tcW w:w="5778" w:type="dxa"/>
          </w:tcPr>
          <w:p w:rsidR="00660414" w:rsidRPr="00DE221F" w:rsidRDefault="00660414" w:rsidP="007613DE">
            <w:pPr>
              <w:rPr>
                <w:sz w:val="22"/>
                <w:szCs w:val="22"/>
              </w:rPr>
            </w:pPr>
            <w:r w:rsidRPr="00DE221F">
              <w:rPr>
                <w:sz w:val="22"/>
                <w:szCs w:val="22"/>
              </w:rPr>
              <w:t>Extension of Passenger Terminal</w:t>
            </w:r>
          </w:p>
        </w:tc>
        <w:tc>
          <w:tcPr>
            <w:tcW w:w="2750" w:type="dxa"/>
          </w:tcPr>
          <w:p w:rsidR="00660414" w:rsidRPr="00DE221F" w:rsidRDefault="00660414" w:rsidP="007613DE">
            <w:pPr>
              <w:rPr>
                <w:sz w:val="22"/>
                <w:szCs w:val="22"/>
              </w:rPr>
            </w:pPr>
            <w:r w:rsidRPr="00DE221F">
              <w:rPr>
                <w:sz w:val="22"/>
                <w:szCs w:val="22"/>
              </w:rPr>
              <w:t>2025</w:t>
            </w:r>
          </w:p>
        </w:tc>
      </w:tr>
    </w:tbl>
    <w:p w:rsidR="00660414" w:rsidRPr="00DE221F" w:rsidRDefault="00660414" w:rsidP="00660414">
      <w:pPr>
        <w:rPr>
          <w:sz w:val="22"/>
          <w:szCs w:val="22"/>
        </w:rPr>
      </w:pPr>
    </w:p>
    <w:p w:rsidR="00660414" w:rsidRDefault="00660414" w:rsidP="00660414">
      <w:pPr>
        <w:rPr>
          <w:i/>
          <w:sz w:val="22"/>
          <w:szCs w:val="22"/>
        </w:rPr>
      </w:pPr>
      <w:r>
        <w:br w:type="page"/>
      </w:r>
    </w:p>
    <w:p w:rsidR="00660414" w:rsidRPr="00DE221F" w:rsidRDefault="00660414" w:rsidP="00045287">
      <w:pPr>
        <w:pStyle w:val="Hdg2"/>
      </w:pPr>
      <w:bookmarkStart w:id="8143" w:name="_Toc397065288"/>
      <w:bookmarkStart w:id="8144" w:name="_Toc403555354"/>
      <w:bookmarkStart w:id="8145" w:name="_Toc413056071"/>
      <w:r w:rsidRPr="00DE221F">
        <w:t>Results of Testing</w:t>
      </w:r>
      <w:bookmarkEnd w:id="8143"/>
      <w:bookmarkEnd w:id="8144"/>
      <w:bookmarkEnd w:id="8145"/>
    </w:p>
    <w:p w:rsidR="00660414" w:rsidRPr="0031443E" w:rsidRDefault="00660414" w:rsidP="00A4081F">
      <w:pPr>
        <w:pStyle w:val="NumberedParas"/>
      </w:pPr>
      <w:r w:rsidRPr="0031443E">
        <w:t xml:space="preserve">Table </w:t>
      </w:r>
      <w:r>
        <w:t>7.16 and 7.17</w:t>
      </w:r>
      <w:r w:rsidRPr="0031443E">
        <w:t xml:space="preserve"> sets out the project testing results</w:t>
      </w:r>
    </w:p>
    <w:p w:rsidR="00660414" w:rsidRPr="00AB4C57" w:rsidRDefault="00660414" w:rsidP="00660414">
      <w:pPr>
        <w:rPr>
          <w:b/>
          <w:sz w:val="22"/>
          <w:szCs w:val="22"/>
        </w:rPr>
      </w:pPr>
      <w:r w:rsidRPr="00AB4C57">
        <w:rPr>
          <w:b/>
          <w:sz w:val="22"/>
          <w:szCs w:val="22"/>
        </w:rPr>
        <w:t xml:space="preserve">Table </w:t>
      </w:r>
      <w:r>
        <w:rPr>
          <w:b/>
          <w:sz w:val="22"/>
          <w:szCs w:val="22"/>
        </w:rPr>
        <w:t>7</w:t>
      </w:r>
      <w:r w:rsidRPr="00AB4C57">
        <w:rPr>
          <w:b/>
          <w:sz w:val="22"/>
          <w:szCs w:val="22"/>
        </w:rPr>
        <w:t xml:space="preserve">.16: </w:t>
      </w:r>
      <w:r>
        <w:rPr>
          <w:b/>
          <w:sz w:val="22"/>
          <w:szCs w:val="22"/>
        </w:rPr>
        <w:t xml:space="preserve">2020 </w:t>
      </w:r>
      <w:r w:rsidRPr="00AB4C57">
        <w:rPr>
          <w:b/>
          <w:sz w:val="22"/>
          <w:szCs w:val="22"/>
        </w:rPr>
        <w:t>Project Testing Results</w:t>
      </w:r>
    </w:p>
    <w:tbl>
      <w:tblPr>
        <w:tblW w:w="10853"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1805"/>
        <w:gridCol w:w="3183"/>
        <w:gridCol w:w="1471"/>
        <w:gridCol w:w="1559"/>
        <w:gridCol w:w="1843"/>
        <w:gridCol w:w="992"/>
      </w:tblGrid>
      <w:tr w:rsidR="00660414" w:rsidRPr="00581D4E" w:rsidTr="007613DE">
        <w:trPr>
          <w:trHeight w:val="975"/>
          <w:tblHeader/>
          <w:jc w:val="center"/>
        </w:trPr>
        <w:tc>
          <w:tcPr>
            <w:tcW w:w="1805" w:type="dxa"/>
            <w:tcBorders>
              <w:top w:val="single" w:sz="12" w:space="0" w:color="4F81BD"/>
              <w:left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Airport</w:t>
            </w:r>
          </w:p>
        </w:tc>
        <w:tc>
          <w:tcPr>
            <w:tcW w:w="3183"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Type of Projects</w:t>
            </w:r>
          </w:p>
        </w:tc>
        <w:tc>
          <w:tcPr>
            <w:tcW w:w="1471"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Year to be Implemented</w:t>
            </w:r>
          </w:p>
        </w:tc>
        <w:tc>
          <w:tcPr>
            <w:tcW w:w="1559"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Cost</w:t>
            </w:r>
            <w:r w:rsidRPr="00581D4E">
              <w:rPr>
                <w:rFonts w:cs="Arial"/>
                <w:b/>
                <w:bCs/>
                <w:color w:val="000000"/>
                <w:sz w:val="22"/>
                <w:szCs w:val="22"/>
              </w:rPr>
              <w:br/>
              <w:t>2014 prices (Euros)</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(CAPEX)</w:t>
            </w:r>
          </w:p>
        </w:tc>
        <w:tc>
          <w:tcPr>
            <w:tcW w:w="1843" w:type="dxa"/>
            <w:tcBorders>
              <w:top w:val="single" w:sz="12" w:space="0" w:color="4F81BD"/>
              <w:bottom w:val="single" w:sz="12" w:space="0" w:color="4F81BD"/>
            </w:tcBorders>
            <w:shd w:val="clear" w:color="auto" w:fill="DBE5F1"/>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OPEX</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2014 prices</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(Euros)</w:t>
            </w:r>
          </w:p>
        </w:tc>
        <w:tc>
          <w:tcPr>
            <w:tcW w:w="992"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BCR</w:t>
            </w:r>
          </w:p>
        </w:tc>
      </w:tr>
      <w:tr w:rsidR="00660414" w:rsidRPr="00581D4E" w:rsidTr="007613DE">
        <w:trPr>
          <w:trHeight w:val="329"/>
          <w:jc w:val="center"/>
        </w:trPr>
        <w:tc>
          <w:tcPr>
            <w:tcW w:w="1805" w:type="dxa"/>
            <w:tcBorders>
              <w:top w:val="single" w:sz="12" w:space="0" w:color="4F81BD"/>
            </w:tcBorders>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Bucharest Henri Coanda </w:t>
            </w:r>
          </w:p>
        </w:tc>
        <w:tc>
          <w:tcPr>
            <w:tcW w:w="3183" w:type="dxa"/>
            <w:tcBorders>
              <w:top w:val="single" w:sz="12" w:space="0" w:color="4F81BD"/>
            </w:tcBorders>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Rehabilitation of aprons, taxiways, runway</w:t>
            </w:r>
            <w:r>
              <w:rPr>
                <w:rFonts w:ascii="Arial" w:hAnsi="Arial" w:cs="Arial"/>
                <w:color w:val="000000"/>
                <w:kern w:val="24"/>
                <w:sz w:val="22"/>
                <w:szCs w:val="22"/>
              </w:rPr>
              <w:t xml:space="preserve"> ande</w:t>
            </w:r>
            <w:r w:rsidRPr="00581D4E">
              <w:rPr>
                <w:rFonts w:ascii="Arial" w:hAnsi="Arial" w:cs="Arial"/>
                <w:color w:val="000000"/>
                <w:kern w:val="24"/>
                <w:sz w:val="22"/>
                <w:szCs w:val="22"/>
              </w:rPr>
              <w:t xml:space="preserve">xtension of apron </w:t>
            </w:r>
          </w:p>
        </w:tc>
        <w:tc>
          <w:tcPr>
            <w:tcW w:w="1471" w:type="dxa"/>
            <w:tcBorders>
              <w:top w:val="single" w:sz="12" w:space="0" w:color="4F81BD"/>
            </w:tcBorders>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tcBorders>
              <w:top w:val="single" w:sz="12" w:space="0" w:color="4F81BD"/>
            </w:tcBorders>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93,804,760</w:t>
            </w:r>
            <w:r>
              <w:rPr>
                <w:rFonts w:ascii="Arial" w:hAnsi="Arial" w:cs="Arial"/>
                <w:color w:val="000000"/>
                <w:kern w:val="24"/>
                <w:sz w:val="22"/>
                <w:szCs w:val="22"/>
              </w:rPr>
              <w:t xml:space="preserve"> </w:t>
            </w:r>
          </w:p>
        </w:tc>
        <w:tc>
          <w:tcPr>
            <w:tcW w:w="1843" w:type="dxa"/>
            <w:tcBorders>
              <w:top w:val="single" w:sz="12" w:space="0" w:color="4F81BD"/>
            </w:tcBorders>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4,690,238</w:t>
            </w:r>
            <w:r>
              <w:rPr>
                <w:rFonts w:ascii="Arial" w:hAnsi="Arial" w:cs="Arial"/>
                <w:color w:val="000000"/>
                <w:kern w:val="24"/>
                <w:sz w:val="22"/>
                <w:szCs w:val="22"/>
              </w:rPr>
              <w:t xml:space="preserve"> </w:t>
            </w:r>
          </w:p>
        </w:tc>
        <w:tc>
          <w:tcPr>
            <w:tcW w:w="992" w:type="dxa"/>
            <w:tcBorders>
              <w:top w:val="single" w:sz="12" w:space="0" w:color="4F81BD"/>
            </w:tcBorders>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3.72</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Craiova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Extension of apron and </w:t>
            </w:r>
            <w:r>
              <w:rPr>
                <w:rFonts w:ascii="Arial" w:hAnsi="Arial" w:cs="Arial"/>
                <w:color w:val="000000"/>
                <w:kern w:val="24"/>
                <w:sz w:val="22"/>
                <w:szCs w:val="22"/>
              </w:rPr>
              <w:t>passenger terminal, intermodal cargo terminal</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14,771,881</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738,594</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11.35</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Timisoara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Passenger Terminal, Intermodal Cargo Terminal </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71,326,200</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3,566,310</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1.68</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Sibiu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Passenger Terminal, Lighting, De-Icing Equipment and Taxiway extensions </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45,084,727</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2,254,236</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 xml:space="preserve">10.22 </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Cluj-Napoca </w:t>
            </w:r>
          </w:p>
        </w:tc>
        <w:tc>
          <w:tcPr>
            <w:tcW w:w="3183" w:type="dxa"/>
            <w:vAlign w:val="center"/>
          </w:tcPr>
          <w:p w:rsidR="00660414" w:rsidRPr="00581D4E" w:rsidRDefault="00660414" w:rsidP="007613DE">
            <w:pPr>
              <w:pStyle w:val="NormalWeb"/>
              <w:rPr>
                <w:rFonts w:ascii="Arial" w:hAnsi="Arial" w:cs="Arial"/>
                <w:sz w:val="22"/>
                <w:szCs w:val="22"/>
              </w:rPr>
            </w:pPr>
            <w:r>
              <w:rPr>
                <w:rFonts w:ascii="Arial" w:hAnsi="Arial" w:cs="Arial"/>
                <w:color w:val="000000"/>
                <w:kern w:val="24"/>
                <w:sz w:val="22"/>
                <w:szCs w:val="22"/>
              </w:rPr>
              <w:t xml:space="preserve">Runway extension, </w:t>
            </w:r>
            <w:r w:rsidRPr="00581D4E">
              <w:rPr>
                <w:rFonts w:ascii="Arial" w:hAnsi="Arial" w:cs="Arial"/>
                <w:color w:val="000000"/>
                <w:kern w:val="24"/>
                <w:sz w:val="22"/>
                <w:szCs w:val="22"/>
              </w:rPr>
              <w:t xml:space="preserve">Apron and Taxiway extensions; Movement Surfaces , cargo terminal </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F72B31" w:rsidRDefault="00660414" w:rsidP="007613DE">
            <w:pPr>
              <w:pStyle w:val="NormalWeb"/>
              <w:keepNext/>
              <w:spacing w:line="230" w:lineRule="exact"/>
              <w:jc w:val="center"/>
              <w:outlineLvl w:val="3"/>
              <w:rPr>
                <w:rFonts w:ascii="Arial" w:hAnsi="Arial" w:cs="Arial"/>
                <w:color w:val="000000"/>
                <w:kern w:val="24"/>
                <w:sz w:val="22"/>
                <w:szCs w:val="22"/>
              </w:rPr>
            </w:pPr>
            <w:r w:rsidRPr="008C5B1B">
              <w:rPr>
                <w:rFonts w:ascii="Arial" w:hAnsi="Arial" w:cs="Arial"/>
                <w:color w:val="000000"/>
                <w:kern w:val="24"/>
                <w:sz w:val="22"/>
                <w:szCs w:val="22"/>
              </w:rPr>
              <w:t>81,000,000</w:t>
            </w:r>
            <w:r w:rsidRPr="00F72B31">
              <w:rPr>
                <w:rFonts w:ascii="Arial" w:hAnsi="Arial" w:cs="Arial"/>
                <w:color w:val="000000"/>
                <w:kern w:val="24"/>
                <w:sz w:val="22"/>
                <w:szCs w:val="22"/>
              </w:rPr>
              <w:t xml:space="preserve"> </w:t>
            </w:r>
          </w:p>
        </w:tc>
        <w:tc>
          <w:tcPr>
            <w:tcW w:w="1843" w:type="dxa"/>
            <w:vAlign w:val="center"/>
          </w:tcPr>
          <w:p w:rsidR="00660414" w:rsidRPr="00F72B31" w:rsidRDefault="00660414" w:rsidP="007613DE">
            <w:pPr>
              <w:pStyle w:val="NormalWeb"/>
              <w:keepNext/>
              <w:spacing w:line="230" w:lineRule="exact"/>
              <w:jc w:val="center"/>
              <w:outlineLvl w:val="3"/>
              <w:rPr>
                <w:rFonts w:ascii="Arial" w:hAnsi="Arial" w:cs="Arial"/>
                <w:color w:val="000000"/>
                <w:kern w:val="24"/>
                <w:sz w:val="22"/>
                <w:szCs w:val="22"/>
              </w:rPr>
            </w:pPr>
            <w:r w:rsidRPr="008C5B1B">
              <w:rPr>
                <w:rFonts w:ascii="Arial" w:hAnsi="Arial" w:cs="Arial"/>
                <w:color w:val="000000"/>
                <w:kern w:val="24"/>
                <w:sz w:val="22"/>
                <w:szCs w:val="22"/>
              </w:rPr>
              <w:t>4,099,000</w:t>
            </w:r>
            <w:r w:rsidRPr="00F72B31">
              <w:rPr>
                <w:rFonts w:ascii="Arial" w:hAnsi="Arial" w:cs="Arial"/>
                <w:color w:val="000000"/>
                <w:kern w:val="24"/>
                <w:sz w:val="22"/>
                <w:szCs w:val="22"/>
              </w:rPr>
              <w:t xml:space="preserve"> </w:t>
            </w:r>
          </w:p>
        </w:tc>
        <w:tc>
          <w:tcPr>
            <w:tcW w:w="992" w:type="dxa"/>
            <w:vAlign w:val="center"/>
          </w:tcPr>
          <w:p w:rsidR="00660414" w:rsidRPr="00F72B31" w:rsidRDefault="00660414" w:rsidP="007613DE">
            <w:pPr>
              <w:pStyle w:val="NormalWeb"/>
              <w:jc w:val="center"/>
              <w:rPr>
                <w:rFonts w:ascii="Arial" w:hAnsi="Arial" w:cs="Arial"/>
                <w:color w:val="000000"/>
                <w:kern w:val="24"/>
                <w:sz w:val="22"/>
                <w:szCs w:val="22"/>
              </w:rPr>
            </w:pPr>
            <w:r w:rsidRPr="008C5B1B">
              <w:rPr>
                <w:rFonts w:ascii="Arial" w:hAnsi="Arial" w:cs="Arial"/>
                <w:color w:val="000000"/>
                <w:kern w:val="24"/>
                <w:sz w:val="22"/>
                <w:szCs w:val="22"/>
              </w:rPr>
              <w:t>1.26</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Bacau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Passenger terminal, runway bearing capacity,</w:t>
            </w:r>
            <w:r>
              <w:rPr>
                <w:rFonts w:ascii="Arial" w:hAnsi="Arial" w:cs="Arial"/>
                <w:color w:val="000000"/>
                <w:kern w:val="24"/>
                <w:sz w:val="22"/>
                <w:szCs w:val="22"/>
              </w:rPr>
              <w:t xml:space="preserve"> apron,</w:t>
            </w:r>
            <w:r w:rsidRPr="00581D4E">
              <w:rPr>
                <w:rFonts w:ascii="Arial" w:hAnsi="Arial" w:cs="Arial"/>
                <w:color w:val="000000"/>
                <w:kern w:val="24"/>
                <w:sz w:val="22"/>
                <w:szCs w:val="22"/>
              </w:rPr>
              <w:t xml:space="preserve"> cargo terminal </w:t>
            </w:r>
          </w:p>
        </w:tc>
        <w:tc>
          <w:tcPr>
            <w:tcW w:w="1471"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80,190,916</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4,009,546</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 xml:space="preserve">3.34  </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Iasi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Intermodal cargo terminal </w:t>
            </w:r>
          </w:p>
        </w:tc>
        <w:tc>
          <w:tcPr>
            <w:tcW w:w="1471"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581D4E">
              <w:rPr>
                <w:rFonts w:ascii="Arial" w:hAnsi="Arial" w:cs="Arial"/>
                <w:color w:val="000000"/>
                <w:kern w:val="24"/>
                <w:sz w:val="22"/>
                <w:szCs w:val="22"/>
              </w:rPr>
              <w:t>10,800,000</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581D4E">
              <w:rPr>
                <w:rFonts w:ascii="Arial" w:hAnsi="Arial" w:cs="Arial"/>
                <w:color w:val="000000"/>
                <w:kern w:val="24"/>
                <w:sz w:val="22"/>
                <w:szCs w:val="22"/>
              </w:rPr>
              <w:t>540,000</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5.57</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Targu Mures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Apron extensions,</w:t>
            </w:r>
            <w:r>
              <w:rPr>
                <w:rFonts w:ascii="Arial" w:hAnsi="Arial" w:cs="Arial"/>
                <w:color w:val="000000"/>
                <w:kern w:val="24"/>
                <w:sz w:val="22"/>
                <w:szCs w:val="22"/>
              </w:rPr>
              <w:t xml:space="preserve"> passenger terminal,</w:t>
            </w:r>
            <w:r w:rsidRPr="00581D4E">
              <w:rPr>
                <w:rFonts w:ascii="Arial" w:hAnsi="Arial" w:cs="Arial"/>
                <w:color w:val="000000"/>
                <w:kern w:val="24"/>
                <w:sz w:val="22"/>
                <w:szCs w:val="22"/>
              </w:rPr>
              <w:t xml:space="preserve"> Lighting and De-icing Equipment </w:t>
            </w:r>
          </w:p>
        </w:tc>
        <w:tc>
          <w:tcPr>
            <w:tcW w:w="1471"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2020</w:t>
            </w:r>
            <w:r>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8,323,221</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416,161</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 xml:space="preserve">8.45  </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Constanta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Runway turning facilities</w:t>
            </w:r>
            <w:r>
              <w:rPr>
                <w:rFonts w:ascii="Arial" w:hAnsi="Arial" w:cs="Arial"/>
                <w:color w:val="000000"/>
                <w:kern w:val="24"/>
                <w:sz w:val="22"/>
                <w:szCs w:val="22"/>
              </w:rPr>
              <w:t>, passenger terminal</w:t>
            </w:r>
            <w:r w:rsidRPr="00581D4E">
              <w:rPr>
                <w:rFonts w:ascii="Arial" w:hAnsi="Arial" w:cs="Arial"/>
                <w:color w:val="000000"/>
                <w:kern w:val="24"/>
                <w:sz w:val="22"/>
                <w:szCs w:val="22"/>
              </w:rPr>
              <w:t xml:space="preserve"> </w:t>
            </w:r>
          </w:p>
        </w:tc>
        <w:tc>
          <w:tcPr>
            <w:tcW w:w="1471"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sz w:val="22"/>
                <w:szCs w:val="22"/>
              </w:rPr>
            </w:pPr>
            <w:r w:rsidRPr="007A1C6E">
              <w:rPr>
                <w:rFonts w:ascii="Arial" w:hAnsi="Arial" w:cs="Arial"/>
                <w:color w:val="000000"/>
                <w:kern w:val="24"/>
                <w:sz w:val="22"/>
                <w:szCs w:val="22"/>
              </w:rPr>
              <w:t>5,086,484</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A1C6E">
              <w:rPr>
                <w:rFonts w:ascii="Arial" w:hAnsi="Arial" w:cs="Arial"/>
                <w:color w:val="000000"/>
                <w:kern w:val="24"/>
                <w:sz w:val="22"/>
                <w:szCs w:val="22"/>
              </w:rPr>
              <w:t>254,324</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 xml:space="preserve">0.76 </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Suceava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De-icing </w:t>
            </w:r>
            <w:r>
              <w:rPr>
                <w:rFonts w:ascii="Arial" w:hAnsi="Arial" w:cs="Arial"/>
                <w:color w:val="000000"/>
                <w:kern w:val="24"/>
                <w:sz w:val="22"/>
                <w:szCs w:val="22"/>
              </w:rPr>
              <w:t>and safety e</w:t>
            </w:r>
            <w:r w:rsidRPr="00581D4E">
              <w:rPr>
                <w:rFonts w:ascii="Arial" w:hAnsi="Arial" w:cs="Arial"/>
                <w:color w:val="000000"/>
                <w:kern w:val="24"/>
                <w:sz w:val="22"/>
                <w:szCs w:val="22"/>
              </w:rPr>
              <w:t xml:space="preserve">quipment </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2,990,985</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149,549</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7.94</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Tulcea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Extension of Passenger Terminal and Apron </w:t>
            </w:r>
          </w:p>
        </w:tc>
        <w:tc>
          <w:tcPr>
            <w:tcW w:w="1471"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15,177,064</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768,000</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1.53</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Baia Mare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Extension of Passenger Terminal </w:t>
            </w:r>
          </w:p>
        </w:tc>
        <w:tc>
          <w:tcPr>
            <w:tcW w:w="1471"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2020</w:t>
            </w:r>
          </w:p>
        </w:tc>
        <w:tc>
          <w:tcPr>
            <w:tcW w:w="1559" w:type="dxa"/>
            <w:vAlign w:val="center"/>
          </w:tcPr>
          <w:p w:rsidR="00660414" w:rsidRPr="00581D4E" w:rsidRDefault="00660414" w:rsidP="007613DE">
            <w:pPr>
              <w:pStyle w:val="NormalWeb"/>
              <w:spacing w:line="317" w:lineRule="atLeast"/>
              <w:jc w:val="center"/>
              <w:rPr>
                <w:rFonts w:ascii="Arial" w:hAnsi="Arial" w:cs="Arial"/>
                <w:color w:val="000000"/>
                <w:kern w:val="24"/>
                <w:sz w:val="22"/>
                <w:szCs w:val="22"/>
              </w:rPr>
            </w:pPr>
            <w:r w:rsidRPr="00736509">
              <w:rPr>
                <w:rFonts w:ascii="Arial" w:hAnsi="Arial" w:cs="Arial"/>
                <w:color w:val="000000"/>
                <w:kern w:val="24"/>
                <w:sz w:val="22"/>
                <w:szCs w:val="22"/>
              </w:rPr>
              <w:t>1,553,800</w:t>
            </w:r>
            <w:r>
              <w:rPr>
                <w:rFonts w:ascii="Arial" w:hAnsi="Arial" w:cs="Arial"/>
                <w:color w:val="000000"/>
                <w:kern w:val="24"/>
                <w:sz w:val="22"/>
                <w:szCs w:val="22"/>
              </w:rPr>
              <w:t xml:space="preserve"> </w:t>
            </w:r>
          </w:p>
        </w:tc>
        <w:tc>
          <w:tcPr>
            <w:tcW w:w="1843" w:type="dxa"/>
            <w:vAlign w:val="center"/>
          </w:tcPr>
          <w:p w:rsidR="00660414" w:rsidRPr="00581D4E" w:rsidRDefault="00660414" w:rsidP="007613DE">
            <w:pPr>
              <w:pStyle w:val="NormalWeb"/>
              <w:jc w:val="center"/>
              <w:rPr>
                <w:rFonts w:ascii="Arial" w:hAnsi="Arial" w:cs="Arial"/>
                <w:color w:val="000000"/>
                <w:kern w:val="24"/>
                <w:sz w:val="22"/>
                <w:szCs w:val="22"/>
              </w:rPr>
            </w:pPr>
            <w:r w:rsidRPr="00736509">
              <w:rPr>
                <w:rFonts w:ascii="Arial" w:hAnsi="Arial" w:cs="Arial"/>
                <w:color w:val="000000"/>
                <w:kern w:val="24"/>
                <w:sz w:val="22"/>
                <w:szCs w:val="22"/>
              </w:rPr>
              <w:t>77,690</w:t>
            </w:r>
            <w:r>
              <w:rPr>
                <w:rFonts w:ascii="Arial" w:hAnsi="Arial" w:cs="Arial"/>
                <w:color w:val="000000"/>
                <w:kern w:val="24"/>
                <w:sz w:val="22"/>
                <w:szCs w:val="22"/>
              </w:rPr>
              <w:t xml:space="preserve">   </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 xml:space="preserve">3.13 </w:t>
            </w:r>
          </w:p>
        </w:tc>
      </w:tr>
    </w:tbl>
    <w:p w:rsidR="00660414" w:rsidRDefault="00660414" w:rsidP="00A4081F">
      <w:pPr>
        <w:pStyle w:val="NumberedParas"/>
        <w:numPr>
          <w:ilvl w:val="0"/>
          <w:numId w:val="0"/>
        </w:numPr>
        <w:ind w:left="851"/>
      </w:pPr>
    </w:p>
    <w:p w:rsidR="00660414" w:rsidRPr="00C8675F"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 w:rsidR="00660414" w:rsidRDefault="00660414" w:rsidP="00660414">
      <w:pPr>
        <w:rPr>
          <w:b/>
          <w:sz w:val="22"/>
          <w:szCs w:val="22"/>
        </w:rPr>
      </w:pPr>
      <w:r>
        <w:rPr>
          <w:b/>
          <w:sz w:val="22"/>
          <w:szCs w:val="22"/>
        </w:rPr>
        <w:br w:type="page"/>
      </w:r>
    </w:p>
    <w:p w:rsidR="00660414" w:rsidRPr="00AB4C57" w:rsidRDefault="00660414" w:rsidP="00660414">
      <w:pPr>
        <w:rPr>
          <w:b/>
          <w:sz w:val="22"/>
          <w:szCs w:val="22"/>
        </w:rPr>
      </w:pPr>
      <w:r w:rsidRPr="00AB4C57">
        <w:rPr>
          <w:b/>
          <w:sz w:val="22"/>
          <w:szCs w:val="22"/>
        </w:rPr>
        <w:t xml:space="preserve">Table </w:t>
      </w:r>
      <w:r>
        <w:rPr>
          <w:b/>
          <w:sz w:val="22"/>
          <w:szCs w:val="22"/>
        </w:rPr>
        <w:t>7.17</w:t>
      </w:r>
      <w:r w:rsidRPr="00AB4C57">
        <w:rPr>
          <w:b/>
          <w:sz w:val="22"/>
          <w:szCs w:val="22"/>
        </w:rPr>
        <w:t xml:space="preserve">: </w:t>
      </w:r>
      <w:r>
        <w:rPr>
          <w:b/>
          <w:sz w:val="22"/>
          <w:szCs w:val="22"/>
        </w:rPr>
        <w:t xml:space="preserve">2025 </w:t>
      </w:r>
      <w:r w:rsidRPr="00AB4C57">
        <w:rPr>
          <w:b/>
          <w:sz w:val="22"/>
          <w:szCs w:val="22"/>
        </w:rPr>
        <w:t>Project Testing Results</w:t>
      </w:r>
    </w:p>
    <w:tbl>
      <w:tblPr>
        <w:tblW w:w="10853"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1805"/>
        <w:gridCol w:w="3183"/>
        <w:gridCol w:w="1672"/>
        <w:gridCol w:w="1559"/>
        <w:gridCol w:w="1642"/>
        <w:gridCol w:w="992"/>
      </w:tblGrid>
      <w:tr w:rsidR="00660414" w:rsidRPr="00581D4E" w:rsidTr="007613DE">
        <w:trPr>
          <w:trHeight w:val="975"/>
          <w:tblHeader/>
          <w:jc w:val="center"/>
        </w:trPr>
        <w:tc>
          <w:tcPr>
            <w:tcW w:w="1805" w:type="dxa"/>
            <w:tcBorders>
              <w:top w:val="single" w:sz="12" w:space="0" w:color="4F81BD"/>
              <w:left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Airport</w:t>
            </w:r>
          </w:p>
        </w:tc>
        <w:tc>
          <w:tcPr>
            <w:tcW w:w="3183"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Type of Projects</w:t>
            </w:r>
          </w:p>
        </w:tc>
        <w:tc>
          <w:tcPr>
            <w:tcW w:w="1672"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Year to be Implemented</w:t>
            </w:r>
          </w:p>
        </w:tc>
        <w:tc>
          <w:tcPr>
            <w:tcW w:w="1559"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Cost</w:t>
            </w:r>
            <w:r w:rsidRPr="00581D4E">
              <w:rPr>
                <w:rFonts w:cs="Arial"/>
                <w:b/>
                <w:bCs/>
                <w:color w:val="000000"/>
                <w:sz w:val="22"/>
                <w:szCs w:val="22"/>
              </w:rPr>
              <w:br/>
              <w:t>2014 prices (Euros)</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(CAPEX)</w:t>
            </w:r>
          </w:p>
        </w:tc>
        <w:tc>
          <w:tcPr>
            <w:tcW w:w="1642" w:type="dxa"/>
            <w:tcBorders>
              <w:top w:val="single" w:sz="12" w:space="0" w:color="4F81BD"/>
              <w:bottom w:val="single" w:sz="12" w:space="0" w:color="4F81BD"/>
            </w:tcBorders>
            <w:shd w:val="clear" w:color="auto" w:fill="DBE5F1"/>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OPEX</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2014 prices</w:t>
            </w:r>
          </w:p>
          <w:p w:rsidR="00660414" w:rsidRPr="00581D4E" w:rsidRDefault="00660414" w:rsidP="007613DE">
            <w:pPr>
              <w:jc w:val="center"/>
              <w:rPr>
                <w:rFonts w:cs="Arial"/>
                <w:b/>
                <w:bCs/>
                <w:color w:val="000000"/>
                <w:sz w:val="22"/>
                <w:szCs w:val="22"/>
              </w:rPr>
            </w:pPr>
            <w:r w:rsidRPr="00581D4E">
              <w:rPr>
                <w:rFonts w:cs="Arial"/>
                <w:b/>
                <w:bCs/>
                <w:color w:val="000000"/>
                <w:sz w:val="22"/>
                <w:szCs w:val="22"/>
              </w:rPr>
              <w:t>(Euros)</w:t>
            </w:r>
          </w:p>
        </w:tc>
        <w:tc>
          <w:tcPr>
            <w:tcW w:w="992" w:type="dxa"/>
            <w:tcBorders>
              <w:top w:val="single" w:sz="12" w:space="0" w:color="4F81BD"/>
              <w:bottom w:val="single" w:sz="12" w:space="0" w:color="4F81BD"/>
            </w:tcBorders>
            <w:shd w:val="clear" w:color="auto" w:fill="DBE5F1"/>
            <w:vAlign w:val="center"/>
          </w:tcPr>
          <w:p w:rsidR="00660414" w:rsidRPr="00581D4E" w:rsidRDefault="00660414" w:rsidP="007613DE">
            <w:pPr>
              <w:jc w:val="center"/>
              <w:rPr>
                <w:rFonts w:cs="Arial"/>
                <w:b/>
                <w:bCs/>
                <w:color w:val="000000"/>
                <w:sz w:val="22"/>
                <w:szCs w:val="22"/>
              </w:rPr>
            </w:pPr>
            <w:r w:rsidRPr="00581D4E">
              <w:rPr>
                <w:rFonts w:cs="Arial"/>
                <w:b/>
                <w:bCs/>
                <w:color w:val="000000"/>
                <w:sz w:val="22"/>
                <w:szCs w:val="22"/>
              </w:rPr>
              <w:t>BCR</w:t>
            </w:r>
          </w:p>
        </w:tc>
      </w:tr>
      <w:tr w:rsidR="00660414" w:rsidRPr="00581D4E" w:rsidTr="007613DE">
        <w:trPr>
          <w:trHeight w:val="329"/>
          <w:jc w:val="center"/>
        </w:trPr>
        <w:tc>
          <w:tcPr>
            <w:tcW w:w="1805" w:type="dxa"/>
            <w:tcBorders>
              <w:top w:val="single" w:sz="12" w:space="0" w:color="4F81BD"/>
            </w:tcBorders>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Bucharest Henri Coanda </w:t>
            </w:r>
          </w:p>
        </w:tc>
        <w:tc>
          <w:tcPr>
            <w:tcW w:w="3183" w:type="dxa"/>
            <w:tcBorders>
              <w:top w:val="single" w:sz="12" w:space="0" w:color="4F81BD"/>
            </w:tcBorders>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Rehabilitation of aprons, taxiways, runway; New Passenger Terminal, </w:t>
            </w:r>
            <w:r>
              <w:rPr>
                <w:rFonts w:ascii="Arial" w:hAnsi="Arial" w:cs="Arial"/>
                <w:color w:val="000000"/>
                <w:kern w:val="24"/>
                <w:sz w:val="22"/>
                <w:szCs w:val="22"/>
              </w:rPr>
              <w:t>Intermodal cargo platform</w:t>
            </w:r>
          </w:p>
        </w:tc>
        <w:tc>
          <w:tcPr>
            <w:tcW w:w="1672" w:type="dxa"/>
            <w:tcBorders>
              <w:top w:val="single" w:sz="12" w:space="0" w:color="4F81BD"/>
            </w:tcBorders>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tcBorders>
              <w:top w:val="single" w:sz="12" w:space="0" w:color="4F81BD"/>
            </w:tcBorders>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153,459,400</w:t>
            </w:r>
          </w:p>
        </w:tc>
        <w:tc>
          <w:tcPr>
            <w:tcW w:w="1642" w:type="dxa"/>
            <w:tcBorders>
              <w:top w:val="single" w:sz="12" w:space="0" w:color="4F81BD"/>
            </w:tcBorders>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7,672,970</w:t>
            </w:r>
          </w:p>
        </w:tc>
        <w:tc>
          <w:tcPr>
            <w:tcW w:w="992" w:type="dxa"/>
            <w:tcBorders>
              <w:top w:val="single" w:sz="12" w:space="0" w:color="4F81BD"/>
            </w:tcBorders>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3.72</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Craiova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Passenger Terminal, Extension of apron </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2,574,068</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128,703</w:t>
            </w:r>
          </w:p>
        </w:tc>
        <w:tc>
          <w:tcPr>
            <w:tcW w:w="992" w:type="dxa"/>
            <w:vAlign w:val="center"/>
          </w:tcPr>
          <w:p w:rsidR="00660414" w:rsidRPr="00581D4E" w:rsidRDefault="00660414" w:rsidP="007613DE">
            <w:pPr>
              <w:pStyle w:val="NormalWeb"/>
              <w:jc w:val="center"/>
              <w:rPr>
                <w:rFonts w:ascii="Arial" w:hAnsi="Arial" w:cs="Arial"/>
                <w:sz w:val="22"/>
                <w:szCs w:val="22"/>
              </w:rPr>
            </w:pPr>
            <w:r w:rsidRPr="005C16D5">
              <w:rPr>
                <w:rFonts w:ascii="Arial" w:hAnsi="Arial" w:cs="Arial"/>
                <w:sz w:val="22"/>
                <w:szCs w:val="22"/>
              </w:rPr>
              <w:t>11.35</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Timisoara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Passenger Terminal</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5,215,822</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260,791</w:t>
            </w:r>
          </w:p>
        </w:tc>
        <w:tc>
          <w:tcPr>
            <w:tcW w:w="992" w:type="dxa"/>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1.68</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Sibiu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Passenger Terminal </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4,729,940</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236,497</w:t>
            </w:r>
          </w:p>
        </w:tc>
        <w:tc>
          <w:tcPr>
            <w:tcW w:w="992" w:type="dxa"/>
            <w:vAlign w:val="center"/>
          </w:tcPr>
          <w:p w:rsidR="00660414" w:rsidRPr="00581D4E" w:rsidRDefault="00660414" w:rsidP="007613DE">
            <w:pPr>
              <w:pStyle w:val="NormalWeb"/>
              <w:jc w:val="center"/>
              <w:rPr>
                <w:rFonts w:ascii="Arial" w:hAnsi="Arial" w:cs="Arial"/>
                <w:sz w:val="22"/>
                <w:szCs w:val="22"/>
              </w:rPr>
            </w:pPr>
            <w:r>
              <w:rPr>
                <w:rFonts w:ascii="Arial" w:hAnsi="Arial" w:cs="Arial"/>
                <w:sz w:val="22"/>
                <w:szCs w:val="22"/>
              </w:rPr>
              <w:t>10.22</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Cluj-Napoca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Apron </w:t>
            </w:r>
            <w:r>
              <w:rPr>
                <w:rFonts w:ascii="Arial" w:hAnsi="Arial" w:cs="Arial"/>
                <w:color w:val="000000"/>
                <w:kern w:val="24"/>
                <w:sz w:val="22"/>
                <w:szCs w:val="22"/>
              </w:rPr>
              <w:t>extensions</w:t>
            </w:r>
            <w:r w:rsidRPr="00581D4E">
              <w:rPr>
                <w:rFonts w:ascii="Arial" w:hAnsi="Arial" w:cs="Arial"/>
                <w:color w:val="000000"/>
                <w:kern w:val="24"/>
                <w:sz w:val="22"/>
                <w:szCs w:val="22"/>
              </w:rPr>
              <w:t xml:space="preserve"> </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829,761</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41,488</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2.74</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Bacau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Passenger terminal, </w:t>
            </w:r>
            <w:r>
              <w:rPr>
                <w:rFonts w:ascii="Arial" w:hAnsi="Arial" w:cs="Arial"/>
                <w:color w:val="000000"/>
                <w:kern w:val="24"/>
                <w:sz w:val="22"/>
                <w:szCs w:val="22"/>
              </w:rPr>
              <w:t>apron extension</w:t>
            </w:r>
            <w:r w:rsidRPr="00581D4E">
              <w:rPr>
                <w:rFonts w:ascii="Arial" w:hAnsi="Arial" w:cs="Arial"/>
                <w:color w:val="000000"/>
                <w:kern w:val="24"/>
                <w:sz w:val="22"/>
                <w:szCs w:val="22"/>
              </w:rPr>
              <w:t xml:space="preserve"> </w:t>
            </w:r>
          </w:p>
        </w:tc>
        <w:tc>
          <w:tcPr>
            <w:tcW w:w="1672"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4,872,424</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243,621</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3.34</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Targu Mures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Apron extensions, </w:t>
            </w:r>
            <w:r>
              <w:rPr>
                <w:rFonts w:ascii="Arial" w:hAnsi="Arial" w:cs="Arial"/>
                <w:color w:val="000000"/>
                <w:kern w:val="24"/>
                <w:sz w:val="22"/>
                <w:szCs w:val="22"/>
              </w:rPr>
              <w:t>passenger terminal</w:t>
            </w:r>
            <w:r w:rsidRPr="00581D4E">
              <w:rPr>
                <w:rFonts w:ascii="Arial" w:hAnsi="Arial" w:cs="Arial"/>
                <w:color w:val="000000"/>
                <w:kern w:val="24"/>
                <w:sz w:val="22"/>
                <w:szCs w:val="22"/>
              </w:rPr>
              <w:t xml:space="preserve"> </w:t>
            </w:r>
          </w:p>
        </w:tc>
        <w:tc>
          <w:tcPr>
            <w:tcW w:w="1672" w:type="dxa"/>
            <w:vAlign w:val="center"/>
          </w:tcPr>
          <w:p w:rsidR="00660414" w:rsidRPr="00581D4E" w:rsidRDefault="00660414" w:rsidP="007613DE">
            <w:pPr>
              <w:pStyle w:val="NormalWeb"/>
              <w:spacing w:line="317" w:lineRule="atLeast"/>
              <w:jc w:val="center"/>
              <w:rPr>
                <w:rFonts w:ascii="Arial" w:hAnsi="Arial" w:cs="Arial"/>
                <w:sz w:val="22"/>
                <w:szCs w:val="22"/>
              </w:rPr>
            </w:pPr>
            <w:r>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7,271,322</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363,566</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8.45</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Constanta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Pr>
                <w:rFonts w:ascii="Arial" w:hAnsi="Arial" w:cs="Arial"/>
                <w:color w:val="000000"/>
                <w:kern w:val="24"/>
                <w:sz w:val="22"/>
                <w:szCs w:val="22"/>
              </w:rPr>
              <w:t>Passenger terminal</w:t>
            </w:r>
            <w:r w:rsidRPr="00581D4E">
              <w:rPr>
                <w:rFonts w:ascii="Arial" w:hAnsi="Arial" w:cs="Arial"/>
                <w:color w:val="000000"/>
                <w:kern w:val="24"/>
                <w:sz w:val="22"/>
                <w:szCs w:val="22"/>
              </w:rPr>
              <w:t xml:space="preserve"> </w:t>
            </w:r>
          </w:p>
        </w:tc>
        <w:tc>
          <w:tcPr>
            <w:tcW w:w="1672" w:type="dxa"/>
            <w:vAlign w:val="center"/>
          </w:tcPr>
          <w:p w:rsidR="00660414" w:rsidRPr="00581D4E" w:rsidRDefault="00660414" w:rsidP="007613DE">
            <w:pPr>
              <w:pStyle w:val="NormalWeb"/>
              <w:spacing w:line="317" w:lineRule="atLeast"/>
              <w:jc w:val="center"/>
              <w:rPr>
                <w:rFonts w:ascii="Arial" w:hAnsi="Arial" w:cs="Arial"/>
                <w:sz w:val="22"/>
                <w:szCs w:val="22"/>
              </w:rPr>
            </w:pPr>
            <w:r>
              <w:rPr>
                <w:rFonts w:ascii="Arial" w:hAnsi="Arial" w:cs="Arial"/>
                <w:sz w:val="22"/>
                <w:szCs w:val="22"/>
              </w:rPr>
              <w:t>2025</w:t>
            </w:r>
          </w:p>
        </w:tc>
        <w:tc>
          <w:tcPr>
            <w:tcW w:w="1559" w:type="dxa"/>
            <w:vAlign w:val="center"/>
          </w:tcPr>
          <w:p w:rsidR="00660414" w:rsidRPr="00581D4E" w:rsidRDefault="00660414" w:rsidP="007613DE">
            <w:pPr>
              <w:pStyle w:val="NormalWeb"/>
              <w:jc w:val="center"/>
              <w:rPr>
                <w:rFonts w:ascii="Arial" w:hAnsi="Arial" w:cs="Arial"/>
                <w:sz w:val="22"/>
                <w:szCs w:val="22"/>
              </w:rPr>
            </w:pPr>
            <w:r w:rsidRPr="007A1C6E">
              <w:rPr>
                <w:rFonts w:ascii="Arial" w:hAnsi="Arial" w:cs="Arial"/>
                <w:color w:val="000000"/>
                <w:kern w:val="24"/>
                <w:sz w:val="22"/>
                <w:szCs w:val="22"/>
              </w:rPr>
              <w:t>4,256,882</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145D24">
              <w:rPr>
                <w:rFonts w:ascii="Arial" w:hAnsi="Arial" w:cs="Arial"/>
                <w:color w:val="000000"/>
                <w:kern w:val="24"/>
                <w:sz w:val="22"/>
                <w:szCs w:val="22"/>
              </w:rPr>
              <w:t>212,844</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0.76</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Suceava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Expansion of Passenger Terminal</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982,613</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49,131</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7.94</w:t>
            </w:r>
          </w:p>
        </w:tc>
      </w:tr>
      <w:tr w:rsidR="00660414" w:rsidRPr="00581D4E" w:rsidTr="007613DE">
        <w:trPr>
          <w:trHeight w:val="329"/>
          <w:jc w:val="center"/>
        </w:trPr>
        <w:tc>
          <w:tcPr>
            <w:tcW w:w="1805"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Tulcea </w:t>
            </w:r>
          </w:p>
        </w:tc>
        <w:tc>
          <w:tcPr>
            <w:tcW w:w="3183" w:type="dxa"/>
            <w:vAlign w:val="center"/>
          </w:tcPr>
          <w:p w:rsidR="00660414" w:rsidRPr="00581D4E" w:rsidRDefault="00660414" w:rsidP="007613DE">
            <w:pPr>
              <w:pStyle w:val="NormalWeb"/>
              <w:rPr>
                <w:rFonts w:ascii="Arial" w:hAnsi="Arial" w:cs="Arial"/>
                <w:sz w:val="22"/>
                <w:szCs w:val="22"/>
              </w:rPr>
            </w:pPr>
            <w:r w:rsidRPr="00581D4E">
              <w:rPr>
                <w:rFonts w:ascii="Arial" w:hAnsi="Arial" w:cs="Arial"/>
                <w:color w:val="000000"/>
                <w:kern w:val="24"/>
                <w:sz w:val="22"/>
                <w:szCs w:val="22"/>
              </w:rPr>
              <w:t xml:space="preserve">Extension of Passenger Terminal and Apron </w:t>
            </w:r>
          </w:p>
        </w:tc>
        <w:tc>
          <w:tcPr>
            <w:tcW w:w="1672" w:type="dxa"/>
            <w:vAlign w:val="center"/>
          </w:tcPr>
          <w:p w:rsidR="00660414" w:rsidRPr="00581D4E" w:rsidRDefault="00660414" w:rsidP="007613DE">
            <w:pPr>
              <w:pStyle w:val="NormalWeb"/>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185,468</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9,273</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10.78</w:t>
            </w:r>
          </w:p>
        </w:tc>
      </w:tr>
      <w:tr w:rsidR="00660414" w:rsidRPr="00581D4E" w:rsidTr="007613DE">
        <w:trPr>
          <w:trHeight w:val="329"/>
          <w:jc w:val="center"/>
        </w:trPr>
        <w:tc>
          <w:tcPr>
            <w:tcW w:w="1805"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Baia Mare </w:t>
            </w:r>
          </w:p>
        </w:tc>
        <w:tc>
          <w:tcPr>
            <w:tcW w:w="3183" w:type="dxa"/>
            <w:vAlign w:val="center"/>
          </w:tcPr>
          <w:p w:rsidR="00660414" w:rsidRPr="00581D4E" w:rsidRDefault="00660414" w:rsidP="007613DE">
            <w:pPr>
              <w:pStyle w:val="NormalWeb"/>
              <w:spacing w:line="317" w:lineRule="atLeast"/>
              <w:rPr>
                <w:rFonts w:ascii="Arial" w:hAnsi="Arial" w:cs="Arial"/>
                <w:sz w:val="22"/>
                <w:szCs w:val="22"/>
              </w:rPr>
            </w:pPr>
            <w:r w:rsidRPr="00581D4E">
              <w:rPr>
                <w:rFonts w:ascii="Arial" w:hAnsi="Arial" w:cs="Arial"/>
                <w:color w:val="000000"/>
                <w:kern w:val="24"/>
                <w:sz w:val="22"/>
                <w:szCs w:val="22"/>
              </w:rPr>
              <w:t xml:space="preserve">Extension of Passenger Terminal </w:t>
            </w:r>
          </w:p>
        </w:tc>
        <w:tc>
          <w:tcPr>
            <w:tcW w:w="1672" w:type="dxa"/>
            <w:vAlign w:val="center"/>
          </w:tcPr>
          <w:p w:rsidR="00660414" w:rsidRPr="00581D4E" w:rsidRDefault="00660414" w:rsidP="007613DE">
            <w:pPr>
              <w:pStyle w:val="NormalWeb"/>
              <w:spacing w:line="317" w:lineRule="atLeast"/>
              <w:jc w:val="center"/>
              <w:rPr>
                <w:rFonts w:ascii="Arial" w:hAnsi="Arial" w:cs="Arial"/>
                <w:sz w:val="22"/>
                <w:szCs w:val="22"/>
              </w:rPr>
            </w:pPr>
            <w:r w:rsidRPr="00581D4E">
              <w:rPr>
                <w:rFonts w:ascii="Arial" w:hAnsi="Arial" w:cs="Arial"/>
                <w:color w:val="000000"/>
                <w:kern w:val="24"/>
                <w:sz w:val="22"/>
                <w:szCs w:val="22"/>
              </w:rPr>
              <w:t>2025</w:t>
            </w:r>
          </w:p>
        </w:tc>
        <w:tc>
          <w:tcPr>
            <w:tcW w:w="1559" w:type="dxa"/>
            <w:vAlign w:val="center"/>
          </w:tcPr>
          <w:p w:rsidR="00660414" w:rsidRPr="00581D4E" w:rsidRDefault="00660414" w:rsidP="007613DE">
            <w:pPr>
              <w:pStyle w:val="NormalWeb"/>
              <w:spacing w:line="317" w:lineRule="atLeast"/>
              <w:jc w:val="center"/>
              <w:rPr>
                <w:rFonts w:ascii="Arial" w:hAnsi="Arial" w:cs="Arial"/>
                <w:color w:val="000000"/>
                <w:kern w:val="24"/>
                <w:sz w:val="22"/>
                <w:szCs w:val="22"/>
              </w:rPr>
            </w:pPr>
            <w:r w:rsidRPr="00EF2CCA">
              <w:rPr>
                <w:rFonts w:ascii="Arial" w:hAnsi="Arial" w:cs="Arial"/>
                <w:color w:val="000000"/>
                <w:kern w:val="24"/>
                <w:sz w:val="22"/>
                <w:szCs w:val="22"/>
              </w:rPr>
              <w:t>745,592</w:t>
            </w:r>
          </w:p>
        </w:tc>
        <w:tc>
          <w:tcPr>
            <w:tcW w:w="1642" w:type="dxa"/>
            <w:vAlign w:val="center"/>
          </w:tcPr>
          <w:p w:rsidR="00660414" w:rsidRPr="00581D4E" w:rsidRDefault="00660414" w:rsidP="007613DE">
            <w:pPr>
              <w:pStyle w:val="NormalWeb"/>
              <w:jc w:val="center"/>
              <w:rPr>
                <w:rFonts w:ascii="Arial" w:hAnsi="Arial" w:cs="Arial"/>
                <w:color w:val="000000"/>
                <w:kern w:val="24"/>
                <w:sz w:val="22"/>
                <w:szCs w:val="22"/>
              </w:rPr>
            </w:pPr>
            <w:r w:rsidRPr="00EF2CCA">
              <w:rPr>
                <w:rFonts w:ascii="Arial" w:hAnsi="Arial" w:cs="Arial"/>
                <w:color w:val="000000"/>
                <w:kern w:val="24"/>
                <w:sz w:val="22"/>
                <w:szCs w:val="22"/>
              </w:rPr>
              <w:t>37,280</w:t>
            </w:r>
          </w:p>
        </w:tc>
        <w:tc>
          <w:tcPr>
            <w:tcW w:w="992" w:type="dxa"/>
            <w:vAlign w:val="center"/>
          </w:tcPr>
          <w:p w:rsidR="00660414" w:rsidRPr="00581D4E" w:rsidRDefault="00660414" w:rsidP="007613DE">
            <w:pPr>
              <w:pStyle w:val="NormalWeb"/>
              <w:jc w:val="center"/>
              <w:rPr>
                <w:rFonts w:ascii="Arial" w:hAnsi="Arial" w:cs="Arial"/>
                <w:color w:val="000000"/>
                <w:kern w:val="24"/>
                <w:sz w:val="22"/>
                <w:szCs w:val="22"/>
              </w:rPr>
            </w:pPr>
            <w:r>
              <w:rPr>
                <w:rFonts w:ascii="Arial" w:hAnsi="Arial" w:cs="Arial"/>
                <w:color w:val="000000"/>
                <w:kern w:val="24"/>
                <w:sz w:val="22"/>
                <w:szCs w:val="22"/>
              </w:rPr>
              <w:t>3.13</w:t>
            </w:r>
          </w:p>
        </w:tc>
      </w:tr>
    </w:tbl>
    <w:p w:rsidR="00660414" w:rsidRDefault="00660414" w:rsidP="00660414"/>
    <w:p w:rsidR="00660414" w:rsidRDefault="00660414" w:rsidP="00660414"/>
    <w:p w:rsidR="00660414" w:rsidRDefault="00660414" w:rsidP="00A4081F">
      <w:pPr>
        <w:pStyle w:val="NumberedParas"/>
      </w:pPr>
      <w:r>
        <w:t>Due to the high volatility in strong dependence of the operating decisions of the airlines, a cautious approach would be to limit the time horizon of the master plan interventions to be taken up for preparation/implementation to the year 2020, and that any further interventions beyond 2020 be confirmed on the basis of the actual market developments.</w:t>
      </w:r>
    </w:p>
    <w:p w:rsidR="003D7939" w:rsidRPr="00C8675F" w:rsidRDefault="003D7939" w:rsidP="003D7939"/>
    <w:p w:rsidR="003D7939" w:rsidRPr="00C8675F" w:rsidRDefault="003D7939" w:rsidP="003D7939">
      <w:pPr>
        <w:sectPr w:rsidR="003D7939" w:rsidRPr="00C8675F" w:rsidSect="00933C17">
          <w:headerReference w:type="default" r:id="rId303"/>
          <w:pgSz w:w="11907" w:h="16840" w:code="9"/>
          <w:pgMar w:top="1418" w:right="709" w:bottom="1418" w:left="907" w:header="357" w:footer="567" w:gutter="0"/>
          <w:cols w:space="187"/>
          <w:docGrid w:linePitch="360"/>
        </w:sectPr>
      </w:pPr>
    </w:p>
    <w:p w:rsidR="003D7939" w:rsidRPr="00C8675F" w:rsidRDefault="003D7939" w:rsidP="003D7939">
      <w:pPr>
        <w:rPr>
          <w:b/>
        </w:rPr>
        <w:sectPr w:rsidR="003D7939" w:rsidRPr="00C8675F">
          <w:headerReference w:type="default" r:id="rId304"/>
          <w:footerReference w:type="default" r:id="rId305"/>
          <w:pgSz w:w="11907" w:h="16840" w:code="9"/>
          <w:pgMar w:top="-3640" w:right="709" w:bottom="1729" w:left="6146" w:header="357" w:footer="567" w:gutter="0"/>
          <w:cols w:space="720"/>
          <w:docGrid w:linePitch="360"/>
        </w:sectPr>
      </w:pPr>
    </w:p>
    <w:p w:rsidR="003D7939" w:rsidRPr="00C8675F" w:rsidRDefault="003D7939" w:rsidP="003D7939">
      <w:pPr>
        <w:pStyle w:val="SecDivider0"/>
        <w:rPr>
          <w:lang w:val="en-GB"/>
        </w:rPr>
      </w:pPr>
      <w:r>
        <w:rPr>
          <w:lang w:val="en-GB"/>
        </w:rPr>
        <w:t>Intermodal Transport</w:t>
      </w:r>
    </w:p>
    <w:p w:rsidR="003D7939" w:rsidRPr="00C8675F" w:rsidRDefault="003D7939" w:rsidP="003D7939"/>
    <w:p w:rsidR="003D7939" w:rsidRPr="00C8675F" w:rsidRDefault="003D7939" w:rsidP="003D7939">
      <w:pPr>
        <w:sectPr w:rsidR="003D7939" w:rsidRPr="00C8675F" w:rsidSect="00E37C9E">
          <w:type w:val="continuous"/>
          <w:pgSz w:w="11907" w:h="16840" w:code="9"/>
          <w:pgMar w:top="-3640" w:right="709" w:bottom="1729" w:left="6146" w:header="357" w:footer="567" w:gutter="0"/>
          <w:cols w:space="720"/>
          <w:docGrid w:linePitch="360"/>
        </w:sectPr>
      </w:pPr>
    </w:p>
    <w:p w:rsidR="003D7939" w:rsidRPr="006F17A0" w:rsidRDefault="003D7939" w:rsidP="001C6C79">
      <w:pPr>
        <w:pStyle w:val="Hdg1"/>
        <w:framePr w:wrap="notBeside"/>
      </w:pPr>
      <w:bookmarkStart w:id="8146" w:name="_Toc413056072"/>
      <w:r>
        <w:t>Intermodal Transport</w:t>
      </w:r>
      <w:bookmarkEnd w:id="8146"/>
    </w:p>
    <w:p w:rsidR="007C5361" w:rsidRDefault="007C5361" w:rsidP="00045287">
      <w:pPr>
        <w:pStyle w:val="Hdg2"/>
      </w:pPr>
      <w:bookmarkStart w:id="8147" w:name="_Toc397049523"/>
      <w:bookmarkStart w:id="8148" w:name="_Toc413056073"/>
      <w:r w:rsidRPr="00016C1F">
        <w:t>Existing</w:t>
      </w:r>
      <w:r>
        <w:t xml:space="preserve"> Conditions</w:t>
      </w:r>
      <w:bookmarkEnd w:id="8147"/>
      <w:bookmarkEnd w:id="8148"/>
    </w:p>
    <w:p w:rsidR="00660414" w:rsidRPr="000A76BD" w:rsidRDefault="00660414" w:rsidP="00A4081F">
      <w:pPr>
        <w:pStyle w:val="NumberedParas"/>
        <w:rPr>
          <w:lang w:eastAsia="en-GB"/>
        </w:rPr>
      </w:pPr>
      <w:r w:rsidRPr="002E1E5F">
        <w:rPr>
          <w:lang w:eastAsia="en-GB"/>
        </w:rPr>
        <w:t>Before the recession the global logistics industry was estimated at roughly EUR 5.4 trillion, or 13.8% of the global Gross Domestic Product (GDP).</w:t>
      </w:r>
    </w:p>
    <w:p w:rsidR="00660414" w:rsidRPr="000A76BD" w:rsidRDefault="00660414" w:rsidP="00A4081F">
      <w:pPr>
        <w:pStyle w:val="NumberedParas"/>
        <w:rPr>
          <w:lang w:eastAsia="en-GB"/>
        </w:rPr>
      </w:pPr>
      <w:r w:rsidRPr="002E1E5F">
        <w:rPr>
          <w:lang w:eastAsia="en-GB"/>
        </w:rPr>
        <w:t xml:space="preserve">On average, logistics costs account for 10-15% of the final cost of the finished product. Estimates made in 2007 put the share of the logistics industry in Romania at 9.7% of GDP, which is around 50% lower than the average in Europe (close to 14% of GDP). (Source: “Freight Transport Logistics Action Plan”, COM (2007) final, Commission of the European Communities.) </w:t>
      </w:r>
    </w:p>
    <w:p w:rsidR="00660414" w:rsidRPr="000A76BD" w:rsidRDefault="00660414" w:rsidP="00A4081F">
      <w:pPr>
        <w:pStyle w:val="NumberedParas"/>
        <w:rPr>
          <w:lang w:eastAsia="en-GB"/>
        </w:rPr>
      </w:pPr>
      <w:r w:rsidRPr="002E1E5F">
        <w:rPr>
          <w:lang w:eastAsia="en-GB"/>
        </w:rPr>
        <w:t>The conclusion is that either the cost base in Romania is much lower than in other EU countries or the logistics industry is not well developed and hence is not serving the economy as well as it could. Our understanding is that both factors are true. Based on the same principles of cost, time and risk reduction, logistics supply chains seek to route goods along “the path of the least resistance”. The countries that minimise the barriers to trade adopt simple and efficient customs procedures and have good transport infrastructure and efficient terminals that attract freight movements.</w:t>
      </w:r>
    </w:p>
    <w:p w:rsidR="00660414" w:rsidRPr="000A76BD" w:rsidRDefault="00660414" w:rsidP="00A4081F">
      <w:pPr>
        <w:pStyle w:val="NumberedParas"/>
        <w:rPr>
          <w:lang w:eastAsia="en-GB"/>
        </w:rPr>
      </w:pPr>
      <w:r w:rsidRPr="002E1E5F">
        <w:rPr>
          <w:lang w:eastAsia="en-GB"/>
        </w:rPr>
        <w:t>Containerisation has grown rapidly over the last fifty years and has replaced traditional forms of shipping for many types of commodity but especially manufactured and consumer goods. Trade patterns have also changed during this period and now 70% of all containerised cargo coming to Europe originates mainly from Asia. Romania is in strong competition with many countries in South and Eastern Europe to become a preferred location for feeding goods into the European hinterland, due to its proximity to the Suez Canal in sailing time. Romania is also well placed to attract inward investment especially for the manufacturing assembly and related logistics activities due to relatively low labour rates and being located on the east-west trade route.</w:t>
      </w:r>
    </w:p>
    <w:p w:rsidR="00660414" w:rsidRPr="000A76BD" w:rsidRDefault="00660414" w:rsidP="00A4081F">
      <w:pPr>
        <w:pStyle w:val="NumberedParas"/>
        <w:rPr>
          <w:lang w:eastAsia="en-GB"/>
        </w:rPr>
      </w:pPr>
      <w:r w:rsidRPr="002E1E5F">
        <w:rPr>
          <w:lang w:eastAsia="en-GB"/>
        </w:rPr>
        <w:t>Aside from containerised traffic the position of Romania, and the Port of Constanta, on the TRACECA corridor (“Silk route”) puts the country and the port in a good position to operate Ro-Ro services across the Black Sea (e.g. Turkey and Georgia), especially given the time and environmental savings that can be made by these connections. This development could strengthen the competitive position of the Port of Constanţa as a hub serving the Black Sea region. The increasing economic relationships between Europe and the Caucasus region, means that Romania could have an increasingly key role to play as a transport hub on this important trade route. The important point is whether Romania is seen by shippers and freight forwarders as being on a path of least resistance or in other words a cost effective and time sensitive international transport corridor.</w:t>
      </w:r>
    </w:p>
    <w:p w:rsidR="00660414" w:rsidRPr="000A76BD" w:rsidRDefault="00660414" w:rsidP="00A4081F">
      <w:pPr>
        <w:pStyle w:val="NumberedParas"/>
        <w:rPr>
          <w:lang w:eastAsia="en-GB"/>
        </w:rPr>
      </w:pPr>
      <w:r w:rsidRPr="002E1E5F">
        <w:rPr>
          <w:lang w:eastAsia="en-GB"/>
        </w:rPr>
        <w:t xml:space="preserve">From an overall logistics assessment, the Port of Constanţa’s hinterland includes Bulgaria, Serbia, Croatia, Hungary, Austria, Slovak Republic, South Poland, Republic of Moldova, and the Black Sea bordering countries (mainly Ukraine and parts of Russia). </w:t>
      </w:r>
    </w:p>
    <w:p w:rsidR="00660414" w:rsidRDefault="00660414" w:rsidP="00A4081F">
      <w:pPr>
        <w:pStyle w:val="NumberedParas"/>
        <w:rPr>
          <w:lang w:eastAsia="en-GB"/>
        </w:rPr>
      </w:pPr>
      <w:r w:rsidRPr="002E1E5F">
        <w:rPr>
          <w:lang w:eastAsia="en-GB"/>
        </w:rPr>
        <w:t>The total market for the Central &amp; Eastern Europe “CEE package” is estimated at over 18 million TEU (Twenty Foot Equivalent Units) in 2020. Expert reports estimate that the Port of Constanţa could attract over 4 million TEU out of this total, on the condition that a “path of least resistance” in and through Romania exists. The business case worked out in the “European Gateway Project” forecasts the volume of transport associated to the new assembly activities to be performed inside Romania at 2.4 million TEU in 2020 (referred to as “New Assembly package”)</w:t>
      </w:r>
      <w:r>
        <w:rPr>
          <w:rStyle w:val="FootnoteReference"/>
          <w:rFonts w:cs="Arial"/>
          <w:lang w:eastAsia="en-GB"/>
        </w:rPr>
        <w:footnoteReference w:id="34"/>
      </w:r>
      <w:r w:rsidRPr="002E1E5F">
        <w:rPr>
          <w:lang w:eastAsia="en-GB"/>
        </w:rPr>
        <w:t>.</w:t>
      </w:r>
    </w:p>
    <w:p w:rsidR="00660414" w:rsidRDefault="00660414" w:rsidP="00A4081F">
      <w:pPr>
        <w:pStyle w:val="NumberedParas"/>
      </w:pPr>
      <w:r>
        <w:t xml:space="preserve">Currently, </w:t>
      </w:r>
      <w:r w:rsidRPr="002E1E5F">
        <w:t xml:space="preserve">Romania has significantly low levels of freight in containers which is transported by rail </w:t>
      </w:r>
      <w:r>
        <w:t xml:space="preserve">(less than 5%) </w:t>
      </w:r>
      <w:r w:rsidRPr="002E1E5F">
        <w:t>compared to other European countries</w:t>
      </w:r>
      <w:r>
        <w:t xml:space="preserve"> (see Table 8.1)</w:t>
      </w:r>
      <w:r w:rsidRPr="002E1E5F">
        <w:t xml:space="preserve">, including lower levels than Bulgaria. If Romania is to meet European recommendations for moving freight to sustainable modes by 2030 then improvements need to be made to encourage this method of transport. Currently, future growth, unless accompanied by interventions on the rail network, will come mainly through road-based transport, particularly given planned improvements to the road network, coupled with the issues affecting the rail network such as speed restrictions. </w:t>
      </w:r>
    </w:p>
    <w:p w:rsidR="00660414" w:rsidRDefault="00660414" w:rsidP="00660414">
      <w:pPr>
        <w:pStyle w:val="Body"/>
        <w:keepNext/>
        <w:ind w:left="680"/>
        <w:rPr>
          <w:rFonts w:cs="Arial"/>
          <w:i w:val="0"/>
        </w:rPr>
      </w:pPr>
      <w:r w:rsidRPr="002E1E5F">
        <w:rPr>
          <w:rFonts w:cs="Arial"/>
          <w:b/>
          <w:i w:val="0"/>
        </w:rPr>
        <w:t>Table 8.</w:t>
      </w:r>
      <w:r>
        <w:rPr>
          <w:rFonts w:cs="Arial"/>
          <w:b/>
          <w:i w:val="0"/>
        </w:rPr>
        <w:t>1</w:t>
      </w:r>
      <w:r w:rsidRPr="002E1E5F">
        <w:rPr>
          <w:rFonts w:cs="Arial"/>
          <w:b/>
          <w:i w:val="0"/>
        </w:rPr>
        <w:t xml:space="preserve">: Annual railway transport of goods (containers and swap bodies) in intermodal transport units and the % of total rail freight containers represent </w:t>
      </w:r>
    </w:p>
    <w:tbl>
      <w:tblPr>
        <w:tblW w:w="0" w:type="auto"/>
        <w:tblInd w:w="964" w:type="dxa"/>
        <w:tblLook w:val="04A0" w:firstRow="1" w:lastRow="0" w:firstColumn="1" w:lastColumn="0" w:noHBand="0" w:noVBand="1"/>
      </w:tblPr>
      <w:tblGrid>
        <w:gridCol w:w="1782"/>
        <w:gridCol w:w="2071"/>
        <w:gridCol w:w="2072"/>
        <w:gridCol w:w="1809"/>
        <w:gridCol w:w="1809"/>
      </w:tblGrid>
      <w:tr w:rsidR="00660414" w:rsidRPr="000A76BD" w:rsidTr="00D41B57">
        <w:trPr>
          <w:trHeight w:val="885"/>
        </w:trPr>
        <w:tc>
          <w:tcPr>
            <w:tcW w:w="0" w:type="auto"/>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660414" w:rsidRPr="00D41B57" w:rsidRDefault="00660414" w:rsidP="007613DE">
            <w:pPr>
              <w:keepNext/>
              <w:jc w:val="center"/>
              <w:rPr>
                <w:b/>
                <w:sz w:val="22"/>
                <w:szCs w:val="22"/>
              </w:rPr>
            </w:pPr>
            <w:r w:rsidRPr="00D41B57">
              <w:rPr>
                <w:b/>
                <w:sz w:val="22"/>
                <w:szCs w:val="22"/>
              </w:rPr>
              <w:t>Country</w:t>
            </w:r>
          </w:p>
        </w:tc>
        <w:tc>
          <w:tcPr>
            <w:tcW w:w="0" w:type="auto"/>
            <w:gridSpan w:val="2"/>
            <w:tcBorders>
              <w:top w:val="single" w:sz="4" w:space="0" w:color="auto"/>
              <w:left w:val="nil"/>
              <w:bottom w:val="single" w:sz="4" w:space="0" w:color="auto"/>
              <w:right w:val="single" w:sz="4" w:space="0" w:color="000000"/>
            </w:tcBorders>
            <w:shd w:val="clear" w:color="auto" w:fill="B8CCE4" w:themeFill="accent1" w:themeFillTint="66"/>
            <w:vAlign w:val="center"/>
            <w:hideMark/>
          </w:tcPr>
          <w:p w:rsidR="00660414" w:rsidRPr="00D41B57" w:rsidRDefault="00660414" w:rsidP="007613DE">
            <w:pPr>
              <w:keepNext/>
              <w:jc w:val="center"/>
              <w:rPr>
                <w:b/>
                <w:sz w:val="22"/>
                <w:szCs w:val="22"/>
              </w:rPr>
            </w:pPr>
            <w:r w:rsidRPr="00D41B57">
              <w:rPr>
                <w:b/>
                <w:sz w:val="22"/>
                <w:szCs w:val="22"/>
              </w:rPr>
              <w:t>Total volume of containers and swap bodies ('000 tonnes)</w:t>
            </w:r>
          </w:p>
        </w:tc>
        <w:tc>
          <w:tcPr>
            <w:tcW w:w="0" w:type="auto"/>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60414" w:rsidRPr="00D41B57" w:rsidRDefault="00660414" w:rsidP="007613DE">
            <w:pPr>
              <w:keepNext/>
              <w:jc w:val="center"/>
              <w:rPr>
                <w:b/>
                <w:sz w:val="22"/>
                <w:szCs w:val="22"/>
              </w:rPr>
            </w:pPr>
            <w:r w:rsidRPr="00D41B57">
              <w:rPr>
                <w:b/>
                <w:sz w:val="22"/>
                <w:szCs w:val="22"/>
              </w:rPr>
              <w:t>% in containers of total goods transported by rail</w:t>
            </w:r>
          </w:p>
        </w:tc>
      </w:tr>
      <w:tr w:rsidR="00660414" w:rsidRPr="000A76BD" w:rsidTr="00D41B57">
        <w:trPr>
          <w:trHeight w:val="285"/>
        </w:trPr>
        <w:tc>
          <w:tcPr>
            <w:tcW w:w="0" w:type="auto"/>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60414" w:rsidRPr="00D41B57" w:rsidRDefault="00660414" w:rsidP="007613DE">
            <w:pPr>
              <w:keepNext/>
              <w:jc w:val="center"/>
              <w:rPr>
                <w:b/>
                <w:sz w:val="22"/>
                <w:szCs w:val="22"/>
                <w:lang w:eastAsia="en-GB"/>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660414" w:rsidRPr="00D41B57" w:rsidRDefault="00660414" w:rsidP="007613DE">
            <w:pPr>
              <w:keepNext/>
              <w:jc w:val="center"/>
              <w:rPr>
                <w:b/>
                <w:sz w:val="22"/>
                <w:szCs w:val="22"/>
              </w:rPr>
            </w:pPr>
            <w:r w:rsidRPr="00D41B57">
              <w:rPr>
                <w:b/>
                <w:sz w:val="22"/>
                <w:szCs w:val="22"/>
              </w:rPr>
              <w:t>2011</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660414" w:rsidRPr="00D41B57" w:rsidRDefault="00660414" w:rsidP="007613DE">
            <w:pPr>
              <w:keepNext/>
              <w:jc w:val="center"/>
              <w:rPr>
                <w:b/>
                <w:sz w:val="22"/>
                <w:szCs w:val="22"/>
              </w:rPr>
            </w:pPr>
            <w:r w:rsidRPr="00D41B57">
              <w:rPr>
                <w:b/>
                <w:sz w:val="22"/>
                <w:szCs w:val="22"/>
              </w:rPr>
              <w:t>2012</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660414" w:rsidRPr="00D41B57" w:rsidRDefault="00660414" w:rsidP="007613DE">
            <w:pPr>
              <w:keepNext/>
              <w:jc w:val="center"/>
              <w:rPr>
                <w:b/>
                <w:sz w:val="22"/>
                <w:szCs w:val="22"/>
              </w:rPr>
            </w:pPr>
            <w:r w:rsidRPr="00D41B57">
              <w:rPr>
                <w:b/>
                <w:sz w:val="22"/>
                <w:szCs w:val="22"/>
              </w:rPr>
              <w:t>2011</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660414" w:rsidRPr="00D41B57" w:rsidRDefault="00660414" w:rsidP="007613DE">
            <w:pPr>
              <w:keepNext/>
              <w:jc w:val="center"/>
              <w:rPr>
                <w:b/>
                <w:sz w:val="22"/>
                <w:szCs w:val="22"/>
              </w:rPr>
            </w:pPr>
            <w:r w:rsidRPr="00D41B57">
              <w:rPr>
                <w:b/>
                <w:sz w:val="22"/>
                <w:szCs w:val="22"/>
              </w:rPr>
              <w:t>2012</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Austria</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16,312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15,806</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18.2%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19.0%</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Bulgaria</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789</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664</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5.8%</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5.6%</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Czech Republic</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7,321</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7,852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8.4%</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9.5%</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Germany</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64,301</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66,230</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17.2%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18.1%</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Italy</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34,275</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33,985</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43.4%</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45.1%</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Romania</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2,611</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2,372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4.6%</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4.7%</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Turkey</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7,601</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8,264</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30.7%</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33.2%</w:t>
            </w:r>
          </w:p>
        </w:tc>
      </w:tr>
      <w:tr w:rsidR="00660414" w:rsidRPr="000A76BD" w:rsidTr="00D41B57">
        <w:trPr>
          <w:trHeight w:val="285"/>
        </w:trPr>
        <w:tc>
          <w:tcPr>
            <w:tcW w:w="0" w:type="auto"/>
            <w:tcBorders>
              <w:top w:val="nil"/>
              <w:left w:val="single" w:sz="4" w:space="0" w:color="auto"/>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United Kingdom</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11,098</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11,742</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11.1%</w:t>
            </w:r>
          </w:p>
        </w:tc>
        <w:tc>
          <w:tcPr>
            <w:tcW w:w="0" w:type="auto"/>
            <w:tcBorders>
              <w:top w:val="nil"/>
              <w:left w:val="nil"/>
              <w:bottom w:val="single" w:sz="4" w:space="0" w:color="auto"/>
              <w:right w:val="single" w:sz="4" w:space="0" w:color="auto"/>
            </w:tcBorders>
            <w:noWrap/>
            <w:vAlign w:val="center"/>
            <w:hideMark/>
          </w:tcPr>
          <w:p w:rsidR="00660414" w:rsidRPr="000A76BD" w:rsidRDefault="00660414" w:rsidP="007613DE">
            <w:pPr>
              <w:keepNext/>
              <w:jc w:val="center"/>
              <w:rPr>
                <w:sz w:val="22"/>
                <w:szCs w:val="22"/>
              </w:rPr>
            </w:pPr>
            <w:r w:rsidRPr="002E1E5F">
              <w:rPr>
                <w:sz w:val="22"/>
                <w:szCs w:val="22"/>
              </w:rPr>
              <w:t>10.2%</w:t>
            </w:r>
          </w:p>
        </w:tc>
      </w:tr>
    </w:tbl>
    <w:p w:rsidR="00660414" w:rsidRPr="00D41B57" w:rsidRDefault="00660414" w:rsidP="00A4081F">
      <w:pPr>
        <w:pStyle w:val="NumberedParas"/>
        <w:numPr>
          <w:ilvl w:val="0"/>
          <w:numId w:val="0"/>
        </w:numPr>
        <w:ind w:left="680"/>
        <w:rPr>
          <w:i/>
          <w:sz w:val="18"/>
          <w:szCs w:val="18"/>
        </w:rPr>
      </w:pPr>
      <w:r w:rsidRPr="00D41B57">
        <w:rPr>
          <w:i/>
          <w:sz w:val="18"/>
          <w:szCs w:val="18"/>
        </w:rPr>
        <w:t>Source: Eurostat</w:t>
      </w:r>
    </w:p>
    <w:p w:rsidR="00660414" w:rsidRPr="000A76BD" w:rsidRDefault="00660414" w:rsidP="00A4081F">
      <w:pPr>
        <w:pStyle w:val="NumberedParas"/>
        <w:rPr>
          <w:lang w:eastAsia="en-GB"/>
        </w:rPr>
      </w:pPr>
      <w:r w:rsidRPr="002E1E5F">
        <w:rPr>
          <w:lang w:eastAsia="en-GB"/>
        </w:rPr>
        <w:t>Intermodal forecasts for Romania indicate a volume in and through Romania of 1.2 million TEU. In the DIOMIS forecast it is expected that the Port of Constanţa will not have a significant competitive position and thus will not attract the traffic destined to the other CEE countries in significant volumes</w:t>
      </w:r>
      <w:r>
        <w:rPr>
          <w:rStyle w:val="FootnoteReference"/>
          <w:rFonts w:cs="Arial"/>
          <w:lang w:eastAsia="en-GB"/>
        </w:rPr>
        <w:footnoteReference w:id="35"/>
      </w:r>
      <w:r w:rsidRPr="002E1E5F">
        <w:rPr>
          <w:lang w:eastAsia="en-GB"/>
        </w:rPr>
        <w:t xml:space="preserve">. </w:t>
      </w:r>
    </w:p>
    <w:p w:rsidR="00660414" w:rsidRPr="000A76BD" w:rsidRDefault="00660414" w:rsidP="00A4081F">
      <w:pPr>
        <w:pStyle w:val="NumberedParas"/>
      </w:pPr>
      <w:r w:rsidRPr="002E1E5F">
        <w:rPr>
          <w:lang w:eastAsia="en-GB"/>
        </w:rPr>
        <w:t>The estimates in the paragraphs above are other consultants’ forecasts, and depend on variables such as economic forecasts, the competitive position of Constanta Port vis-a-vis other Black Sea, Mediterranean, and Northern European ports, investment in Constanta Port, pricing, level of service offered by rail and road operators inside Romania, and the commercial agreements between shippers and final customers.  Whether such volumes can be realised given the current situation (in 2011 Constanta Port handled 662,000 TEU), is open to debate: nevertheless it seems clear that there is at least potential for greater container throughput at Constanta, and for intermodal transport within, and through, Romania.</w:t>
      </w:r>
    </w:p>
    <w:p w:rsidR="00660414" w:rsidRPr="000A76BD" w:rsidRDefault="00660414" w:rsidP="00660414">
      <w:pPr>
        <w:pStyle w:val="Hdg3"/>
        <w:spacing w:after="120"/>
      </w:pPr>
      <w:r w:rsidRPr="002E1E5F">
        <w:t xml:space="preserve"> Existing Intermodal Operations</w:t>
      </w:r>
    </w:p>
    <w:p w:rsidR="00660414" w:rsidRPr="000A76BD" w:rsidRDefault="00660414" w:rsidP="00A4081F">
      <w:pPr>
        <w:pStyle w:val="NumberedParas"/>
      </w:pPr>
      <w:r w:rsidRPr="002E1E5F">
        <w:t xml:space="preserve">The Black Sea Port of Constanta is home to the largest container port in the Black Sea and is strategically situated at the mouth of the Danube Black Sea Canal which feeds freight into the heartland of Central and Eastern Europe. Constanta port handled 1.41 million TEU in 2007 before the economic crisis, </w:t>
      </w:r>
      <w:r>
        <w:t>but</w:t>
      </w:r>
      <w:r w:rsidRPr="002E1E5F">
        <w:t xml:space="preserve"> volumes more than halv</w:t>
      </w:r>
      <w:r>
        <w:t>ed</w:t>
      </w:r>
      <w:r w:rsidRPr="002E1E5F">
        <w:t xml:space="preserve"> to just 557,000 TEU in 2010. This downward trend has reversed slightly with volumes growing to 663,000 in 2011, which is still only 47% of the 2007 volumes.</w:t>
      </w:r>
    </w:p>
    <w:p w:rsidR="00660414" w:rsidRPr="000A76BD" w:rsidRDefault="00660414" w:rsidP="00A4081F">
      <w:pPr>
        <w:pStyle w:val="NumberedParas"/>
        <w:rPr>
          <w:lang w:eastAsia="en-GB"/>
        </w:rPr>
      </w:pPr>
      <w:r w:rsidRPr="002E1E5F">
        <w:t>Constanta is also experiencing competition from the port of Illichivsk in Ukraine. Illichivsk’s</w:t>
      </w:r>
      <w:r w:rsidRPr="002E1E5F">
        <w:rPr>
          <w:lang w:eastAsia="en-GB"/>
        </w:rPr>
        <w:t xml:space="preserve"> inland routes to Russia, the Baltic States and Northern Europe are potentially shorter and quicker than through Romania that has a poorer infrastructure. In 2008, the Port of </w:t>
      </w:r>
      <w:r w:rsidRPr="002E1E5F">
        <w:t>Illichivsk</w:t>
      </w:r>
      <w:r w:rsidRPr="002E1E5F">
        <w:rPr>
          <w:lang w:eastAsia="en-GB"/>
        </w:rPr>
        <w:t xml:space="preserve"> reached the half-million mark in transhipments of containers, thereby becoming Ukraine's main container port. </w:t>
      </w:r>
    </w:p>
    <w:p w:rsidR="00660414" w:rsidRPr="000A76BD" w:rsidRDefault="00660414" w:rsidP="00A4081F">
      <w:pPr>
        <w:pStyle w:val="NumberedParas"/>
      </w:pPr>
      <w:r w:rsidRPr="002E1E5F">
        <w:rPr>
          <w:lang w:eastAsia="en-GB"/>
        </w:rPr>
        <w:t xml:space="preserve">The Port of Constanta is reacting to competition and is </w:t>
      </w:r>
      <w:r w:rsidRPr="002E1E5F">
        <w:t>seeking more partnerships. In the last two years the port has signed a protocol of cooperation in the field of maritime transport and port infrastructure for example with the port of Jebel Ali in Dubai. The cooperation agreement was initiated by DP World, which operates at both ports. It is hoped that the deal will lead to an increase in cargo flows between the two ports, with the facilities agreeing to support initiatives of any operator to establish lines between the two.</w:t>
      </w:r>
    </w:p>
    <w:p w:rsidR="00660414" w:rsidRPr="000A76BD" w:rsidRDefault="00660414" w:rsidP="00660414">
      <w:pPr>
        <w:pStyle w:val="Hdg3"/>
        <w:spacing w:after="120"/>
        <w:rPr>
          <w:i w:val="0"/>
          <w:color w:val="auto"/>
        </w:rPr>
      </w:pPr>
      <w:r w:rsidRPr="002E1E5F">
        <w:rPr>
          <w:i w:val="0"/>
          <w:color w:val="auto"/>
        </w:rPr>
        <w:t>Constanta South Container Terminal (CSCT)</w:t>
      </w:r>
    </w:p>
    <w:p w:rsidR="00660414" w:rsidRPr="000A76BD" w:rsidRDefault="00660414" w:rsidP="00A4081F">
      <w:pPr>
        <w:pStyle w:val="NumberedParas"/>
      </w:pPr>
      <w:r w:rsidRPr="002E1E5F">
        <w:t xml:space="preserve">DP World is operating around 50 terminals across 30 countries. It decided to invest in Romania as a gateway to Eastern Europe. Since beginning operations in 2004, CSCT has established itself as the principal container hub for the Black Sea. This terminal is by far the biggest container terminal at Constanta but not the only one. The terminal grew to </w:t>
      </w:r>
      <w:r>
        <w:t xml:space="preserve">handle the vast majority of the </w:t>
      </w:r>
      <w:r w:rsidRPr="002E1E5F">
        <w:t>1,</w:t>
      </w:r>
      <w:r>
        <w:t>4million</w:t>
      </w:r>
      <w:r w:rsidRPr="002E1E5F">
        <w:t xml:space="preserve"> TEU </w:t>
      </w:r>
      <w:r>
        <w:t xml:space="preserve">handled at Constanta </w:t>
      </w:r>
      <w:r w:rsidRPr="002E1E5F">
        <w:t>in 2007 and 2008. Its current terminal capacity is 1.5 million TEU with sufficient land to expand to 4.5 million TEU.</w:t>
      </w:r>
    </w:p>
    <w:p w:rsidR="00660414" w:rsidRPr="000A76BD" w:rsidRDefault="00660414" w:rsidP="00660414">
      <w:pPr>
        <w:spacing w:line="276" w:lineRule="auto"/>
        <w:rPr>
          <w:sz w:val="22"/>
          <w:szCs w:val="22"/>
        </w:rPr>
      </w:pPr>
    </w:p>
    <w:p w:rsidR="00660414" w:rsidRPr="000A76BD" w:rsidRDefault="00660414" w:rsidP="00660414">
      <w:pPr>
        <w:spacing w:line="276" w:lineRule="auto"/>
        <w:ind w:left="851"/>
        <w:rPr>
          <w:sz w:val="22"/>
          <w:szCs w:val="22"/>
        </w:rPr>
      </w:pPr>
      <w:r w:rsidRPr="008C5B1B">
        <w:rPr>
          <w:noProof/>
          <w:sz w:val="22"/>
          <w:szCs w:val="22"/>
          <w:lang w:val="ro-RO" w:eastAsia="ro-RO"/>
        </w:rPr>
        <w:drawing>
          <wp:inline distT="0" distB="0" distL="0" distR="0" wp14:anchorId="13E5AC08" wp14:editId="6D056860">
            <wp:extent cx="3467100" cy="2609850"/>
            <wp:effectExtent l="19050" t="0" r="0" b="0"/>
            <wp:docPr id="102" name="Picture 1" descr="C:\Users\clarkegj\Pictures\2012-05-24 romania may 2012\romania may 2012 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kegj\Pictures\2012-05-24 romania may 2012\romania may 2012 079.JPG"/>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3467100" cy="2609850"/>
                    </a:xfrm>
                    <a:prstGeom prst="rect">
                      <a:avLst/>
                    </a:prstGeom>
                    <a:noFill/>
                    <a:ln w="9525">
                      <a:noFill/>
                      <a:miter lim="800000"/>
                      <a:headEnd/>
                      <a:tailEnd/>
                    </a:ln>
                  </pic:spPr>
                </pic:pic>
              </a:graphicData>
            </a:graphic>
          </wp:inline>
        </w:drawing>
      </w:r>
    </w:p>
    <w:p w:rsidR="00660414" w:rsidRPr="000A76BD" w:rsidRDefault="00660414" w:rsidP="00660414">
      <w:pPr>
        <w:pStyle w:val="Body"/>
        <w:ind w:left="851"/>
        <w:rPr>
          <w:rFonts w:cs="Arial"/>
          <w:b/>
          <w:i w:val="0"/>
        </w:rPr>
      </w:pPr>
      <w:r w:rsidRPr="002E1E5F">
        <w:rPr>
          <w:rFonts w:cs="Arial"/>
          <w:b/>
          <w:i w:val="0"/>
        </w:rPr>
        <w:t>Figure 8.1 DP World’s Offices at Constanta South Container Terminal (CSCT)</w:t>
      </w:r>
    </w:p>
    <w:p w:rsidR="00660414" w:rsidRPr="000A76BD" w:rsidRDefault="00660414" w:rsidP="00A4081F">
      <w:pPr>
        <w:pStyle w:val="NumberedParas"/>
      </w:pPr>
      <w:r w:rsidRPr="002E1E5F">
        <w:t>The terminal handles a range of container ships from deep sea vessels to coastal feeders and barges destined to river ports on the Danube. It is understood the biggest vessel that can currently be handled is an 8,000 TEU deep-sea container ship. There are feeder services to all Black Sea container ports. Several regular barge services operate including domestic transit boxes handled at Giurgiu Free Zone and this vessel also serves Svistou (Bulgaria) as required. There are international transit services from Constanta to Belgrade with options for Hungary, Slovakia and Austria.</w:t>
      </w:r>
    </w:p>
    <w:p w:rsidR="00660414" w:rsidRPr="000A76BD" w:rsidRDefault="00660414" w:rsidP="00A4081F">
      <w:pPr>
        <w:pStyle w:val="NumberedParas"/>
      </w:pPr>
      <w:r w:rsidRPr="002E1E5F">
        <w:t>The main berth is 634 metres long with a feeder berth of 411 metres. The water draught is a minimum of 14.5m allowing large capacity vessels to operate. There are plans for two additional berths (129, 130) giving an extra 510m of mooring.</w:t>
      </w:r>
    </w:p>
    <w:p w:rsidR="00660414" w:rsidRPr="000A76BD" w:rsidRDefault="00660414" w:rsidP="00A4081F">
      <w:pPr>
        <w:pStyle w:val="NumberedParas"/>
      </w:pPr>
      <w:r w:rsidRPr="002E1E5F">
        <w:t xml:space="preserve">The container terminal has 8 ship-to-shore cranes, 13 rubber tyred and two rail mounted gantry cranes and these are supplemented by 4 reach stackers and 4 empty handlers. The port also has 55 ITVs (Internal transfer vehicles) for moving boxes within the terminal. The port operated 364 days per year, 24 hours per day in two 12 hour shifts but like most ports does have busier times of the day/week. </w:t>
      </w:r>
    </w:p>
    <w:p w:rsidR="00660414" w:rsidRPr="000A76BD" w:rsidRDefault="00660414" w:rsidP="00A4081F">
      <w:pPr>
        <w:pStyle w:val="NumberedParas"/>
      </w:pPr>
      <w:r w:rsidRPr="002E1E5F">
        <w:t xml:space="preserve">DP World has its own rail terminal with 3 rail lines, each 600m long capable of handling 3 complete 30 wagon trains at once. There are several holding sidings with container trains waiting to be handled. There are about 6 to 7 container trains a day according to DP World. From a visit by the project team an observation was that the rail wagons looked old and there were large lengths of wasted space on the trains that could have better productivity. Two rail mounted gantry cranes service their tracks. It was noted in the DP World Handbook that parts of the mainline track network are being upgraded over the next 3 years to accommodate higher speed freight trains. Improvements to the port rail network will have a significant effect on rail transit times. Additional tracks will link the north to the south port. </w:t>
      </w:r>
    </w:p>
    <w:p w:rsidR="00660414" w:rsidRPr="000A76BD" w:rsidRDefault="00660414" w:rsidP="00A4081F">
      <w:pPr>
        <w:pStyle w:val="NumberedParas"/>
      </w:pPr>
      <w:r w:rsidRPr="002E1E5F">
        <w:t>Road freight is the dominant mode and there are 3 goods inwards bays and 1 goods outwards in regular use but they have extra gates that could be brought into use if additional capacity is needed. They try to turn a truck round in 15 minutes but it can take an hour. The terminal handles about 850 container trucks over a typical day</w:t>
      </w:r>
      <w:r>
        <w:rPr>
          <w:rStyle w:val="FootnoteReference"/>
          <w:rFonts w:cs="Arial"/>
        </w:rPr>
        <w:footnoteReference w:id="36"/>
      </w:r>
      <w:r w:rsidRPr="002E1E5F">
        <w:t xml:space="preserve">. The period of busy activity is from 2pm until 10pm with the peak hour being 5-6pm which saw 54 container movements. Note that this is based on an observation made over a 24 hour period. They are considering introducing a Vehicle Booking system like that used at Southampton in the UK. </w:t>
      </w:r>
    </w:p>
    <w:p w:rsidR="00660414" w:rsidRPr="000A76BD" w:rsidRDefault="00660414" w:rsidP="00A4081F">
      <w:pPr>
        <w:pStyle w:val="NumberedParas"/>
        <w:numPr>
          <w:ilvl w:val="0"/>
          <w:numId w:val="0"/>
        </w:numPr>
      </w:pPr>
    </w:p>
    <w:p w:rsidR="00660414" w:rsidRPr="000A76BD" w:rsidRDefault="00660414" w:rsidP="00660414">
      <w:pPr>
        <w:spacing w:line="276" w:lineRule="auto"/>
        <w:ind w:left="851"/>
        <w:rPr>
          <w:sz w:val="22"/>
          <w:szCs w:val="22"/>
        </w:rPr>
      </w:pPr>
      <w:r w:rsidRPr="008C5B1B">
        <w:rPr>
          <w:noProof/>
          <w:sz w:val="22"/>
          <w:szCs w:val="22"/>
          <w:lang w:val="ro-RO" w:eastAsia="ro-RO"/>
        </w:rPr>
        <w:drawing>
          <wp:inline distT="0" distB="0" distL="0" distR="0" wp14:anchorId="038210EE" wp14:editId="2FD03D13">
            <wp:extent cx="3486150" cy="2609850"/>
            <wp:effectExtent l="19050" t="0" r="0" b="0"/>
            <wp:docPr id="103" name="Picture 2" descr="C:\Users\clarkegj\Pictures\2012-05-24 romania may 2012\romania may 2012 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rkegj\Pictures\2012-05-24 romania may 2012\romania may 2012 078.JPG"/>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3486150" cy="2609850"/>
                    </a:xfrm>
                    <a:prstGeom prst="rect">
                      <a:avLst/>
                    </a:prstGeom>
                    <a:noFill/>
                    <a:ln w="9525">
                      <a:noFill/>
                      <a:miter lim="800000"/>
                      <a:headEnd/>
                      <a:tailEnd/>
                    </a:ln>
                  </pic:spPr>
                </pic:pic>
              </a:graphicData>
            </a:graphic>
          </wp:inline>
        </w:drawing>
      </w:r>
    </w:p>
    <w:p w:rsidR="00660414" w:rsidRPr="000A76BD" w:rsidRDefault="00660414" w:rsidP="00A4081F">
      <w:pPr>
        <w:pStyle w:val="NumberedParas"/>
        <w:numPr>
          <w:ilvl w:val="0"/>
          <w:numId w:val="0"/>
        </w:numPr>
        <w:ind w:left="851"/>
      </w:pPr>
      <w:r w:rsidRPr="002E1E5F">
        <w:t xml:space="preserve">Figure 8.2 Draw-bar container truck in DP World’s terminal moving two 20’ containers for Mediterranean Shipping Company </w:t>
      </w:r>
    </w:p>
    <w:p w:rsidR="00660414" w:rsidRPr="000A76BD" w:rsidRDefault="00660414" w:rsidP="00A4081F">
      <w:pPr>
        <w:pStyle w:val="NumberedParas"/>
      </w:pPr>
      <w:r w:rsidRPr="002E1E5F">
        <w:t>According to the terminal operator it handles a mixture of box sizes with about 55% being 20’, with the balance being mostly 40’ but there are some 30’ and 45’. The terminal services include 624 reefer plugs and monitoring for temperature controlled containers, container stuffing and unloading, EDI messaging and office facilities. DP World has a sophisticated IT system to EDIFACT standard and the terminal operating system is provided by Navis.</w:t>
      </w:r>
    </w:p>
    <w:p w:rsidR="00660414" w:rsidRPr="000A76BD" w:rsidRDefault="00660414" w:rsidP="00660414">
      <w:pPr>
        <w:pStyle w:val="Hdg3"/>
      </w:pPr>
      <w:r w:rsidRPr="002E1E5F">
        <w:t>Maritime</w:t>
      </w:r>
    </w:p>
    <w:p w:rsidR="00660414" w:rsidRPr="000A76BD" w:rsidRDefault="00660414" w:rsidP="00A4081F">
      <w:pPr>
        <w:pStyle w:val="NumberedParas"/>
        <w:numPr>
          <w:ilvl w:val="0"/>
          <w:numId w:val="0"/>
        </w:numPr>
        <w:ind w:left="851"/>
      </w:pPr>
      <w:r w:rsidRPr="002E1E5F">
        <w:t>Table 8.</w:t>
      </w:r>
      <w:r>
        <w:t>2</w:t>
      </w:r>
      <w:r w:rsidRPr="002E1E5F">
        <w:t xml:space="preserve"> Constanta port has handled the following tonnages since 2005</w:t>
      </w:r>
    </w:p>
    <w:tbl>
      <w:tblPr>
        <w:tblW w:w="9611" w:type="dxa"/>
        <w:tblInd w:w="851" w:type="dxa"/>
        <w:tblLook w:val="04A0" w:firstRow="1" w:lastRow="0" w:firstColumn="1" w:lastColumn="0" w:noHBand="0" w:noVBand="1"/>
      </w:tblPr>
      <w:tblGrid>
        <w:gridCol w:w="1394"/>
        <w:gridCol w:w="1115"/>
        <w:gridCol w:w="1253"/>
        <w:gridCol w:w="1253"/>
        <w:gridCol w:w="1253"/>
        <w:gridCol w:w="1115"/>
        <w:gridCol w:w="1115"/>
        <w:gridCol w:w="1113"/>
      </w:tblGrid>
      <w:tr w:rsidR="00660414" w:rsidRPr="000A76BD" w:rsidTr="007613DE">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Years</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2005</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2006</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2007</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2008</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2009</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2010</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660414" w:rsidRPr="000A76BD" w:rsidRDefault="00660414" w:rsidP="007613DE">
            <w:pPr>
              <w:rPr>
                <w:sz w:val="22"/>
                <w:szCs w:val="22"/>
                <w:lang w:eastAsia="en-GB"/>
              </w:rPr>
            </w:pPr>
            <w:r w:rsidRPr="002E1E5F">
              <w:rPr>
                <w:sz w:val="22"/>
                <w:szCs w:val="22"/>
                <w:lang w:eastAsia="en-GB"/>
              </w:rPr>
              <w:t>2011</w:t>
            </w:r>
          </w:p>
        </w:tc>
      </w:tr>
      <w:tr w:rsidR="00660414" w:rsidRPr="000A76BD" w:rsidTr="007613DE">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Containers (number)</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493,214</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672,443</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912,509</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894,876</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375,293</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353,711</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414,096</w:t>
            </w:r>
          </w:p>
        </w:tc>
      </w:tr>
      <w:tr w:rsidR="00660414" w:rsidRPr="000A76BD" w:rsidTr="007613DE">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Containers (TEUs)</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768,099</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1,037,077</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1,411,414</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1,380,935</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594,299</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556,694</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660414" w:rsidRPr="000A76BD" w:rsidRDefault="00660414" w:rsidP="007613DE">
            <w:pPr>
              <w:rPr>
                <w:sz w:val="22"/>
                <w:szCs w:val="22"/>
                <w:lang w:eastAsia="en-GB"/>
              </w:rPr>
            </w:pPr>
            <w:r w:rsidRPr="002E1E5F">
              <w:rPr>
                <w:sz w:val="22"/>
                <w:szCs w:val="22"/>
                <w:lang w:eastAsia="en-GB"/>
              </w:rPr>
              <w:t>662,796</w:t>
            </w:r>
          </w:p>
        </w:tc>
      </w:tr>
    </w:tbl>
    <w:p w:rsidR="00660414" w:rsidRPr="000A76BD" w:rsidRDefault="00660414" w:rsidP="00660414">
      <w:pPr>
        <w:pStyle w:val="Frspaiere1"/>
        <w:ind w:left="851"/>
        <w:rPr>
          <w:i/>
        </w:rPr>
      </w:pPr>
      <w:r w:rsidRPr="002E1E5F">
        <w:rPr>
          <w:i/>
        </w:rPr>
        <w:t>Source: Constanta Handbook</w:t>
      </w:r>
    </w:p>
    <w:p w:rsidR="00660414" w:rsidRPr="000A76BD" w:rsidRDefault="00660414" w:rsidP="00660414">
      <w:pPr>
        <w:pStyle w:val="Hdg3"/>
      </w:pPr>
      <w:r w:rsidRPr="002E1E5F">
        <w:t>Road</w:t>
      </w:r>
    </w:p>
    <w:p w:rsidR="00660414" w:rsidRPr="000A76BD" w:rsidRDefault="00660414" w:rsidP="00A4081F">
      <w:pPr>
        <w:pStyle w:val="NumberedParas"/>
      </w:pPr>
      <w:r w:rsidRPr="002E1E5F">
        <w:t xml:space="preserve">AECOM undertook a traffic count at Constanta’s Gates 10 and 14 whereby every HGV entering and leaving the port was </w:t>
      </w:r>
      <w:r w:rsidRPr="002E1E5F">
        <w:rPr>
          <w:lang w:val="ro-RO"/>
        </w:rPr>
        <w:t>classified,</w:t>
      </w:r>
      <w:r w:rsidRPr="002E1E5F">
        <w:t xml:space="preserve"> to understand what it was carrying. The traffic count took place over 24 hours. 57% of freight vehicles are involved in carrying containers. It is currently possible to drive to Bucharest from Constanta and return in a single day. It is thought that many of the containers that are being transported by road will end up at Bucharest as it is a major population centre.</w:t>
      </w:r>
    </w:p>
    <w:p w:rsidR="00660414" w:rsidRPr="000A76BD" w:rsidRDefault="00660414" w:rsidP="00A4081F">
      <w:pPr>
        <w:pStyle w:val="NumberedParas"/>
      </w:pPr>
      <w:r w:rsidRPr="002E1E5F">
        <w:t xml:space="preserve">The A2 </w:t>
      </w:r>
      <w:r>
        <w:t>ha</w:t>
      </w:r>
      <w:r w:rsidRPr="002E1E5F">
        <w:t>s be</w:t>
      </w:r>
      <w:r>
        <w:t>e</w:t>
      </w:r>
      <w:r w:rsidRPr="002E1E5F">
        <w:t>n extended with a new junction for the port. It is estimated that this will save 30 minutes from a journey time and potentially make road even more attractive as a mode. This could enable road to gain a larger market share.</w:t>
      </w:r>
    </w:p>
    <w:p w:rsidR="00660414" w:rsidRPr="000A76BD" w:rsidRDefault="00660414" w:rsidP="00660414">
      <w:pPr>
        <w:pStyle w:val="Hdg3"/>
      </w:pPr>
      <w:r w:rsidRPr="002E1E5F">
        <w:t>River</w:t>
      </w:r>
    </w:p>
    <w:p w:rsidR="00660414" w:rsidRPr="000A76BD" w:rsidRDefault="00660414" w:rsidP="00A4081F">
      <w:pPr>
        <w:pStyle w:val="NumberedParas"/>
      </w:pPr>
      <w:r w:rsidRPr="002E1E5F">
        <w:t>The Danube and other manmade navigations are an important part of Romania’s and Europe’s infrastructure. Currently there are also long distance domestic flows, as an example there is an established significant iron ore flow by barge from south west Romania to Galati which is a distance of 800kms. There could be potential for increasing domestic intermodal flows providing the terminal infrastructure is built and services are reliable and cost efficient. At the moment the number of containers moving on the Danube is relatively small at around 2% of the number of containers handled at Constanta, but there is potential for growth. Containers can be handled at most river ports using a traditional crane but this is not very fast or efficient. The port of Giurgiu handles some containers that then can go north by road or rail.</w:t>
      </w:r>
    </w:p>
    <w:p w:rsidR="00660414" w:rsidRPr="000A76BD" w:rsidRDefault="00660414" w:rsidP="00A4081F">
      <w:pPr>
        <w:pStyle w:val="NumberedParas"/>
      </w:pPr>
      <w:r w:rsidRPr="002E1E5F">
        <w:t>The flow of TEUs on the Romanian section of the Danube that start or end at Constanta is listed below. The average tonnage per TEU in 2010 was 10.8 tonnes. These are handled by Romanian carriers.</w:t>
      </w:r>
    </w:p>
    <w:p w:rsidR="00660414" w:rsidRPr="000A76BD" w:rsidRDefault="00660414" w:rsidP="00660414">
      <w:pPr>
        <w:pStyle w:val="Body"/>
        <w:spacing w:before="120" w:after="120"/>
        <w:ind w:left="851"/>
        <w:rPr>
          <w:rFonts w:cs="Arial"/>
          <w:b/>
          <w:i w:val="0"/>
        </w:rPr>
      </w:pPr>
      <w:r w:rsidRPr="002E1E5F">
        <w:rPr>
          <w:rFonts w:cs="Arial"/>
          <w:b/>
          <w:i w:val="0"/>
        </w:rPr>
        <w:t>Table 8.</w:t>
      </w:r>
      <w:r>
        <w:rPr>
          <w:rFonts w:cs="Arial"/>
          <w:b/>
          <w:i w:val="0"/>
        </w:rPr>
        <w:t>3</w:t>
      </w:r>
      <w:r w:rsidRPr="002E1E5F">
        <w:rPr>
          <w:rFonts w:cs="Arial"/>
          <w:b/>
          <w:i w:val="0"/>
        </w:rPr>
        <w:t xml:space="preserve"> – TEUs on Danube River</w:t>
      </w:r>
      <w:r>
        <w:rPr>
          <w:rStyle w:val="FootnoteReference"/>
          <w:rFonts w:cs="Arial"/>
          <w:b/>
          <w:i w:val="0"/>
        </w:rPr>
        <w:footnoteReference w:id="37"/>
      </w:r>
    </w:p>
    <w:tbl>
      <w:tblPr>
        <w:tblW w:w="0" w:type="auto"/>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75"/>
        <w:gridCol w:w="1134"/>
        <w:gridCol w:w="1276"/>
      </w:tblGrid>
      <w:tr w:rsidR="00660414" w:rsidRPr="00D41B57" w:rsidTr="007613DE">
        <w:tc>
          <w:tcPr>
            <w:tcW w:w="2694" w:type="dxa"/>
            <w:shd w:val="clear" w:color="auto" w:fill="C6D9F1"/>
            <w:vAlign w:val="center"/>
          </w:tcPr>
          <w:p w:rsidR="00660414" w:rsidRPr="00D41B57" w:rsidRDefault="00660414" w:rsidP="007613DE">
            <w:pPr>
              <w:spacing w:line="276" w:lineRule="auto"/>
              <w:jc w:val="center"/>
              <w:rPr>
                <w:b/>
                <w:sz w:val="22"/>
                <w:szCs w:val="22"/>
              </w:rPr>
            </w:pPr>
          </w:p>
        </w:tc>
        <w:tc>
          <w:tcPr>
            <w:tcW w:w="1275" w:type="dxa"/>
            <w:shd w:val="clear" w:color="auto" w:fill="C6D9F1"/>
            <w:vAlign w:val="center"/>
          </w:tcPr>
          <w:p w:rsidR="00660414" w:rsidRPr="00D41B57" w:rsidRDefault="00660414" w:rsidP="007613DE">
            <w:pPr>
              <w:spacing w:line="276" w:lineRule="auto"/>
              <w:jc w:val="center"/>
              <w:rPr>
                <w:b/>
                <w:sz w:val="22"/>
                <w:szCs w:val="22"/>
              </w:rPr>
            </w:pPr>
            <w:r w:rsidRPr="00D41B57">
              <w:rPr>
                <w:b/>
                <w:sz w:val="22"/>
                <w:szCs w:val="22"/>
              </w:rPr>
              <w:t>2008</w:t>
            </w:r>
          </w:p>
        </w:tc>
        <w:tc>
          <w:tcPr>
            <w:tcW w:w="1134" w:type="dxa"/>
            <w:shd w:val="clear" w:color="auto" w:fill="C6D9F1"/>
            <w:vAlign w:val="center"/>
          </w:tcPr>
          <w:p w:rsidR="00660414" w:rsidRPr="00D41B57" w:rsidRDefault="00660414" w:rsidP="007613DE">
            <w:pPr>
              <w:spacing w:line="276" w:lineRule="auto"/>
              <w:jc w:val="center"/>
              <w:rPr>
                <w:b/>
                <w:sz w:val="22"/>
                <w:szCs w:val="22"/>
              </w:rPr>
            </w:pPr>
            <w:r w:rsidRPr="00D41B57">
              <w:rPr>
                <w:b/>
                <w:sz w:val="22"/>
                <w:szCs w:val="22"/>
              </w:rPr>
              <w:t>2009</w:t>
            </w:r>
          </w:p>
        </w:tc>
        <w:tc>
          <w:tcPr>
            <w:tcW w:w="1276" w:type="dxa"/>
            <w:shd w:val="clear" w:color="auto" w:fill="C6D9F1"/>
            <w:vAlign w:val="center"/>
          </w:tcPr>
          <w:p w:rsidR="00660414" w:rsidRPr="00D41B57" w:rsidRDefault="00660414" w:rsidP="007613DE">
            <w:pPr>
              <w:spacing w:line="276" w:lineRule="auto"/>
              <w:jc w:val="center"/>
              <w:rPr>
                <w:b/>
                <w:sz w:val="22"/>
                <w:szCs w:val="22"/>
              </w:rPr>
            </w:pPr>
            <w:r w:rsidRPr="00D41B57">
              <w:rPr>
                <w:b/>
                <w:sz w:val="22"/>
                <w:szCs w:val="22"/>
              </w:rPr>
              <w:t>2010</w:t>
            </w:r>
          </w:p>
        </w:tc>
      </w:tr>
      <w:tr w:rsidR="00660414" w:rsidRPr="000A76BD" w:rsidTr="007613DE">
        <w:tc>
          <w:tcPr>
            <w:tcW w:w="2694" w:type="dxa"/>
            <w:vAlign w:val="center"/>
          </w:tcPr>
          <w:p w:rsidR="00660414" w:rsidRPr="000A76BD" w:rsidRDefault="00660414" w:rsidP="007613DE">
            <w:pPr>
              <w:spacing w:line="276" w:lineRule="auto"/>
              <w:jc w:val="center"/>
              <w:rPr>
                <w:sz w:val="22"/>
                <w:szCs w:val="22"/>
              </w:rPr>
            </w:pPr>
            <w:r w:rsidRPr="002E1E5F">
              <w:rPr>
                <w:sz w:val="22"/>
                <w:szCs w:val="22"/>
              </w:rPr>
              <w:t>TEUs</w:t>
            </w:r>
          </w:p>
        </w:tc>
        <w:tc>
          <w:tcPr>
            <w:tcW w:w="1275" w:type="dxa"/>
            <w:vAlign w:val="center"/>
          </w:tcPr>
          <w:p w:rsidR="00660414" w:rsidRPr="000A76BD" w:rsidRDefault="00660414" w:rsidP="007613DE">
            <w:pPr>
              <w:spacing w:line="276" w:lineRule="auto"/>
              <w:jc w:val="center"/>
              <w:rPr>
                <w:sz w:val="22"/>
                <w:szCs w:val="22"/>
              </w:rPr>
            </w:pPr>
            <w:r w:rsidRPr="002E1E5F">
              <w:rPr>
                <w:sz w:val="22"/>
                <w:szCs w:val="22"/>
              </w:rPr>
              <w:t>10,753</w:t>
            </w:r>
          </w:p>
        </w:tc>
        <w:tc>
          <w:tcPr>
            <w:tcW w:w="1134" w:type="dxa"/>
            <w:vAlign w:val="center"/>
          </w:tcPr>
          <w:p w:rsidR="00660414" w:rsidRPr="000A76BD" w:rsidRDefault="00660414" w:rsidP="007613DE">
            <w:pPr>
              <w:spacing w:line="276" w:lineRule="auto"/>
              <w:jc w:val="center"/>
              <w:rPr>
                <w:sz w:val="22"/>
                <w:szCs w:val="22"/>
              </w:rPr>
            </w:pPr>
            <w:r w:rsidRPr="002E1E5F">
              <w:rPr>
                <w:sz w:val="22"/>
                <w:szCs w:val="22"/>
              </w:rPr>
              <w:t>8,550</w:t>
            </w:r>
          </w:p>
        </w:tc>
        <w:tc>
          <w:tcPr>
            <w:tcW w:w="1276" w:type="dxa"/>
            <w:vAlign w:val="center"/>
          </w:tcPr>
          <w:p w:rsidR="00660414" w:rsidRPr="000A76BD" w:rsidRDefault="00660414" w:rsidP="007613DE">
            <w:pPr>
              <w:spacing w:line="276" w:lineRule="auto"/>
              <w:jc w:val="center"/>
              <w:rPr>
                <w:sz w:val="22"/>
                <w:szCs w:val="22"/>
              </w:rPr>
            </w:pPr>
            <w:r w:rsidRPr="002E1E5F">
              <w:rPr>
                <w:sz w:val="22"/>
                <w:szCs w:val="22"/>
              </w:rPr>
              <w:t>10,057</w:t>
            </w:r>
          </w:p>
        </w:tc>
      </w:tr>
      <w:tr w:rsidR="00660414" w:rsidRPr="000A76BD" w:rsidTr="007613DE">
        <w:tc>
          <w:tcPr>
            <w:tcW w:w="2694" w:type="dxa"/>
            <w:vAlign w:val="center"/>
          </w:tcPr>
          <w:p w:rsidR="00660414" w:rsidRPr="000A76BD" w:rsidRDefault="00660414" w:rsidP="007613DE">
            <w:pPr>
              <w:spacing w:line="276" w:lineRule="auto"/>
              <w:jc w:val="center"/>
              <w:rPr>
                <w:sz w:val="22"/>
                <w:szCs w:val="22"/>
              </w:rPr>
            </w:pPr>
            <w:r w:rsidRPr="002E1E5F">
              <w:rPr>
                <w:sz w:val="22"/>
                <w:szCs w:val="22"/>
              </w:rPr>
              <w:t>Tonnes</w:t>
            </w:r>
          </w:p>
        </w:tc>
        <w:tc>
          <w:tcPr>
            <w:tcW w:w="1275" w:type="dxa"/>
            <w:vAlign w:val="center"/>
          </w:tcPr>
          <w:p w:rsidR="00660414" w:rsidRPr="000A76BD" w:rsidRDefault="00660414" w:rsidP="007613DE">
            <w:pPr>
              <w:spacing w:line="276" w:lineRule="auto"/>
              <w:jc w:val="center"/>
              <w:rPr>
                <w:sz w:val="22"/>
                <w:szCs w:val="22"/>
              </w:rPr>
            </w:pPr>
            <w:r w:rsidRPr="002E1E5F">
              <w:rPr>
                <w:sz w:val="22"/>
                <w:szCs w:val="22"/>
              </w:rPr>
              <w:t>106,919</w:t>
            </w:r>
          </w:p>
        </w:tc>
        <w:tc>
          <w:tcPr>
            <w:tcW w:w="1134" w:type="dxa"/>
            <w:vAlign w:val="center"/>
          </w:tcPr>
          <w:p w:rsidR="00660414" w:rsidRPr="000A76BD" w:rsidRDefault="00660414" w:rsidP="007613DE">
            <w:pPr>
              <w:spacing w:line="276" w:lineRule="auto"/>
              <w:jc w:val="center"/>
              <w:rPr>
                <w:sz w:val="22"/>
                <w:szCs w:val="22"/>
              </w:rPr>
            </w:pPr>
            <w:r w:rsidRPr="002E1E5F">
              <w:rPr>
                <w:sz w:val="22"/>
                <w:szCs w:val="22"/>
              </w:rPr>
              <w:t>80,344</w:t>
            </w:r>
          </w:p>
        </w:tc>
        <w:tc>
          <w:tcPr>
            <w:tcW w:w="1276" w:type="dxa"/>
            <w:vAlign w:val="center"/>
          </w:tcPr>
          <w:p w:rsidR="00660414" w:rsidRPr="000A76BD" w:rsidRDefault="00660414" w:rsidP="007613DE">
            <w:pPr>
              <w:spacing w:line="276" w:lineRule="auto"/>
              <w:jc w:val="center"/>
              <w:rPr>
                <w:sz w:val="22"/>
                <w:szCs w:val="22"/>
              </w:rPr>
            </w:pPr>
            <w:r w:rsidRPr="002E1E5F">
              <w:rPr>
                <w:sz w:val="22"/>
                <w:szCs w:val="22"/>
              </w:rPr>
              <w:t>108,783</w:t>
            </w:r>
          </w:p>
        </w:tc>
      </w:tr>
      <w:tr w:rsidR="00660414" w:rsidRPr="000A76BD" w:rsidTr="007613DE">
        <w:tc>
          <w:tcPr>
            <w:tcW w:w="2694" w:type="dxa"/>
            <w:vAlign w:val="center"/>
          </w:tcPr>
          <w:p w:rsidR="00660414" w:rsidRPr="000A76BD" w:rsidRDefault="00660414" w:rsidP="007613DE">
            <w:pPr>
              <w:spacing w:line="276" w:lineRule="auto"/>
              <w:jc w:val="center"/>
              <w:rPr>
                <w:sz w:val="22"/>
                <w:szCs w:val="22"/>
              </w:rPr>
            </w:pPr>
            <w:r w:rsidRPr="002E1E5F">
              <w:rPr>
                <w:sz w:val="22"/>
                <w:szCs w:val="22"/>
              </w:rPr>
              <w:t>Ave. Tonnes per TEU</w:t>
            </w:r>
          </w:p>
        </w:tc>
        <w:tc>
          <w:tcPr>
            <w:tcW w:w="1275" w:type="dxa"/>
            <w:vAlign w:val="center"/>
          </w:tcPr>
          <w:p w:rsidR="00660414" w:rsidRPr="000A76BD" w:rsidRDefault="00660414" w:rsidP="007613DE">
            <w:pPr>
              <w:spacing w:line="276" w:lineRule="auto"/>
              <w:jc w:val="center"/>
              <w:rPr>
                <w:sz w:val="22"/>
                <w:szCs w:val="22"/>
              </w:rPr>
            </w:pPr>
            <w:r w:rsidRPr="002E1E5F">
              <w:rPr>
                <w:sz w:val="22"/>
                <w:szCs w:val="22"/>
              </w:rPr>
              <w:t>9.9</w:t>
            </w:r>
          </w:p>
        </w:tc>
        <w:tc>
          <w:tcPr>
            <w:tcW w:w="1134" w:type="dxa"/>
            <w:vAlign w:val="center"/>
          </w:tcPr>
          <w:p w:rsidR="00660414" w:rsidRPr="000A76BD" w:rsidRDefault="00660414" w:rsidP="007613DE">
            <w:pPr>
              <w:spacing w:line="276" w:lineRule="auto"/>
              <w:jc w:val="center"/>
              <w:rPr>
                <w:sz w:val="22"/>
                <w:szCs w:val="22"/>
              </w:rPr>
            </w:pPr>
            <w:r w:rsidRPr="002E1E5F">
              <w:rPr>
                <w:sz w:val="22"/>
                <w:szCs w:val="22"/>
              </w:rPr>
              <w:t>9.4</w:t>
            </w:r>
          </w:p>
        </w:tc>
        <w:tc>
          <w:tcPr>
            <w:tcW w:w="1276" w:type="dxa"/>
            <w:vAlign w:val="center"/>
          </w:tcPr>
          <w:p w:rsidR="00660414" w:rsidRPr="000A76BD" w:rsidRDefault="00660414" w:rsidP="007613DE">
            <w:pPr>
              <w:spacing w:line="276" w:lineRule="auto"/>
              <w:jc w:val="center"/>
              <w:rPr>
                <w:sz w:val="22"/>
                <w:szCs w:val="22"/>
              </w:rPr>
            </w:pPr>
            <w:r w:rsidRPr="002E1E5F">
              <w:rPr>
                <w:sz w:val="22"/>
                <w:szCs w:val="22"/>
              </w:rPr>
              <w:t>10.8</w:t>
            </w:r>
          </w:p>
        </w:tc>
      </w:tr>
    </w:tbl>
    <w:p w:rsidR="00660414" w:rsidRPr="000A76BD" w:rsidRDefault="00660414" w:rsidP="00660414">
      <w:pPr>
        <w:pStyle w:val="Frspaiere1"/>
        <w:ind w:left="851"/>
        <w:rPr>
          <w:rFonts w:ascii="Arial" w:hAnsi="Arial" w:cs="Arial"/>
          <w:i/>
        </w:rPr>
      </w:pPr>
      <w:r w:rsidRPr="002E1E5F">
        <w:rPr>
          <w:rFonts w:ascii="Arial" w:hAnsi="Arial" w:cs="Arial"/>
          <w:i/>
        </w:rPr>
        <w:t>Source: Constanta Handbook</w:t>
      </w:r>
    </w:p>
    <w:p w:rsidR="00660414" w:rsidRPr="000A76BD" w:rsidRDefault="00660414" w:rsidP="00A4081F">
      <w:pPr>
        <w:pStyle w:val="NumberedParas"/>
      </w:pPr>
      <w:r w:rsidRPr="002E1E5F">
        <w:t>It can be seen that the number of TEUs and the number of tonnes transported dropped in 2009 coincident with the economic crisis in Europe. The 2010 tonnage recovered to a similar level observed in 2008. The largest carrier of TEUs on the Danube in Romania is Transcanal and in 2010 it handled 77% of TEUs and 75% of the associated tonnes.</w:t>
      </w:r>
    </w:p>
    <w:p w:rsidR="00660414" w:rsidRPr="000A76BD" w:rsidRDefault="00660414" w:rsidP="00A4081F">
      <w:pPr>
        <w:pStyle w:val="NumberedParas"/>
      </w:pPr>
      <w:r w:rsidRPr="002E1E5F">
        <w:t>Although the Port of Constanta is b</w:t>
      </w:r>
      <w:r>
        <w:t>y</w:t>
      </w:r>
      <w:r w:rsidRPr="002E1E5F">
        <w:t xml:space="preserve"> far the biggest generator of intermodal freight in Romania the Port of Galati is trying to attract Black Sea trade in preference to Constanta and is offering cheaper prices. Their aim is to set up bulk and container trains to international destinations, for example Duisberg in Germany. Galati also acts as a transhipment port from barge to coastal ship for onward delivery to Black Sea ports serving Ukraine and Russia. It offers a direct freight train service to Kazakhstan as it is the only Romanian port offering both 1435 (European gauge) and 1520mm (Russian gauge) capability. </w:t>
      </w:r>
    </w:p>
    <w:p w:rsidR="00660414" w:rsidRPr="000A76BD" w:rsidRDefault="00660414" w:rsidP="00660414">
      <w:pPr>
        <w:pStyle w:val="Hdg3"/>
      </w:pPr>
      <w:r w:rsidRPr="002E1E5F">
        <w:t>Rail</w:t>
      </w:r>
    </w:p>
    <w:p w:rsidR="00660414" w:rsidRPr="000A76BD" w:rsidRDefault="00660414" w:rsidP="00A4081F">
      <w:pPr>
        <w:pStyle w:val="NumberedParas"/>
      </w:pPr>
      <w:r w:rsidRPr="002E1E5F">
        <w:t xml:space="preserve">CFR Marfă has provided information for their 14 active intermodal terminals. (12 are inactive). Tables </w:t>
      </w:r>
      <w:r>
        <w:t>8.4</w:t>
      </w:r>
      <w:r w:rsidRPr="002E1E5F">
        <w:t xml:space="preserve"> and </w:t>
      </w:r>
      <w:r>
        <w:t>8.5</w:t>
      </w:r>
      <w:r w:rsidRPr="002E1E5F">
        <w:t xml:space="preserve"> give details of these terminals.</w:t>
      </w:r>
    </w:p>
    <w:p w:rsidR="00660414" w:rsidRPr="000A76BD" w:rsidRDefault="00660414" w:rsidP="00660414">
      <w:pPr>
        <w:pStyle w:val="Body"/>
        <w:spacing w:before="120" w:after="120"/>
        <w:ind w:left="851"/>
        <w:rPr>
          <w:rFonts w:cs="Arial"/>
          <w:b/>
          <w:i w:val="0"/>
        </w:rPr>
      </w:pPr>
      <w:r w:rsidRPr="002E1E5F">
        <w:rPr>
          <w:rFonts w:cs="Arial"/>
          <w:b/>
          <w:i w:val="0"/>
        </w:rPr>
        <w:t>Table 8.</w:t>
      </w:r>
      <w:r>
        <w:rPr>
          <w:rFonts w:cs="Arial"/>
          <w:b/>
          <w:i w:val="0"/>
        </w:rPr>
        <w:t>4</w:t>
      </w:r>
      <w:r w:rsidRPr="002E1E5F">
        <w:rPr>
          <w:rFonts w:cs="Arial"/>
          <w:b/>
          <w:i w:val="0"/>
        </w:rPr>
        <w:t xml:space="preserve"> Location of CFR Marfă Intermodal Freight Terminals</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9"/>
        <w:gridCol w:w="2968"/>
        <w:gridCol w:w="2828"/>
        <w:gridCol w:w="2826"/>
      </w:tblGrid>
      <w:tr w:rsidR="00660414" w:rsidRPr="000A76BD" w:rsidTr="007613DE">
        <w:trPr>
          <w:trHeight w:val="568"/>
          <w:tblHeader/>
        </w:trPr>
        <w:tc>
          <w:tcPr>
            <w:tcW w:w="515" w:type="pct"/>
            <w:shd w:val="clear" w:color="auto" w:fill="C6D9F1"/>
            <w:vAlign w:val="center"/>
          </w:tcPr>
          <w:p w:rsidR="00660414" w:rsidRPr="000A76BD" w:rsidRDefault="00660414" w:rsidP="007613DE">
            <w:pPr>
              <w:jc w:val="center"/>
              <w:rPr>
                <w:sz w:val="22"/>
                <w:szCs w:val="22"/>
              </w:rPr>
            </w:pPr>
            <w:r w:rsidRPr="002E1E5F">
              <w:rPr>
                <w:sz w:val="22"/>
                <w:szCs w:val="22"/>
              </w:rPr>
              <w:t>No.</w:t>
            </w:r>
          </w:p>
        </w:tc>
        <w:tc>
          <w:tcPr>
            <w:tcW w:w="1544" w:type="pct"/>
            <w:shd w:val="clear" w:color="auto" w:fill="C6D9F1"/>
            <w:vAlign w:val="center"/>
          </w:tcPr>
          <w:p w:rsidR="00660414" w:rsidRPr="000A76BD" w:rsidRDefault="00660414" w:rsidP="007613DE">
            <w:pPr>
              <w:jc w:val="center"/>
              <w:rPr>
                <w:sz w:val="22"/>
                <w:szCs w:val="22"/>
              </w:rPr>
            </w:pPr>
            <w:r w:rsidRPr="002E1E5F">
              <w:rPr>
                <w:sz w:val="22"/>
                <w:szCs w:val="22"/>
              </w:rPr>
              <w:t>Terminal</w:t>
            </w:r>
          </w:p>
        </w:tc>
        <w:tc>
          <w:tcPr>
            <w:tcW w:w="1471" w:type="pct"/>
            <w:shd w:val="clear" w:color="auto" w:fill="C6D9F1"/>
            <w:vAlign w:val="center"/>
          </w:tcPr>
          <w:p w:rsidR="00660414" w:rsidRPr="000A76BD" w:rsidRDefault="00660414" w:rsidP="007613DE">
            <w:pPr>
              <w:jc w:val="center"/>
              <w:rPr>
                <w:sz w:val="22"/>
                <w:szCs w:val="22"/>
              </w:rPr>
            </w:pPr>
            <w:r w:rsidRPr="002E1E5F">
              <w:rPr>
                <w:sz w:val="22"/>
                <w:szCs w:val="22"/>
              </w:rPr>
              <w:t>Crane Equipment</w:t>
            </w:r>
          </w:p>
        </w:tc>
        <w:tc>
          <w:tcPr>
            <w:tcW w:w="1471" w:type="pct"/>
            <w:shd w:val="clear" w:color="auto" w:fill="C6D9F1"/>
            <w:vAlign w:val="center"/>
          </w:tcPr>
          <w:p w:rsidR="00660414" w:rsidRPr="000A76BD" w:rsidRDefault="00660414" w:rsidP="007613DE">
            <w:pPr>
              <w:jc w:val="center"/>
              <w:rPr>
                <w:sz w:val="22"/>
                <w:szCs w:val="22"/>
              </w:rPr>
            </w:pPr>
            <w:r w:rsidRPr="002E1E5F">
              <w:rPr>
                <w:sz w:val="22"/>
                <w:szCs w:val="22"/>
              </w:rPr>
              <w:t>Current Status</w:t>
            </w:r>
          </w:p>
        </w:tc>
      </w:tr>
      <w:tr w:rsidR="00660414" w:rsidRPr="000A76BD" w:rsidTr="007613DE">
        <w:trPr>
          <w:trHeight w:val="420"/>
        </w:trPr>
        <w:tc>
          <w:tcPr>
            <w:tcW w:w="515" w:type="pct"/>
            <w:vAlign w:val="center"/>
          </w:tcPr>
          <w:p w:rsidR="00660414" w:rsidRPr="000A76BD" w:rsidRDefault="00660414" w:rsidP="007613DE">
            <w:pPr>
              <w:jc w:val="center"/>
              <w:rPr>
                <w:sz w:val="22"/>
                <w:szCs w:val="22"/>
              </w:rPr>
            </w:pPr>
            <w:r w:rsidRPr="002E1E5F">
              <w:rPr>
                <w:sz w:val="22"/>
                <w:szCs w:val="22"/>
              </w:rPr>
              <w:t>1</w:t>
            </w:r>
          </w:p>
        </w:tc>
        <w:tc>
          <w:tcPr>
            <w:tcW w:w="1544" w:type="pct"/>
            <w:vAlign w:val="center"/>
          </w:tcPr>
          <w:p w:rsidR="00660414" w:rsidRPr="000A76BD" w:rsidRDefault="00660414" w:rsidP="007613DE">
            <w:pPr>
              <w:jc w:val="center"/>
              <w:rPr>
                <w:sz w:val="22"/>
                <w:szCs w:val="22"/>
              </w:rPr>
            </w:pPr>
            <w:r w:rsidRPr="002E1E5F">
              <w:rPr>
                <w:sz w:val="22"/>
                <w:szCs w:val="22"/>
              </w:rPr>
              <w:t>Bucurestii Noi</w:t>
            </w:r>
          </w:p>
        </w:tc>
        <w:tc>
          <w:tcPr>
            <w:tcW w:w="1471" w:type="pct"/>
            <w:vAlign w:val="center"/>
          </w:tcPr>
          <w:p w:rsidR="00660414" w:rsidRPr="000A76BD" w:rsidRDefault="00660414" w:rsidP="007613DE">
            <w:pPr>
              <w:jc w:val="center"/>
              <w:rPr>
                <w:sz w:val="22"/>
                <w:szCs w:val="22"/>
              </w:rPr>
            </w:pPr>
            <w:r w:rsidRPr="002E1E5F">
              <w:rPr>
                <w:sz w:val="22"/>
                <w:szCs w:val="22"/>
              </w:rPr>
              <w:t>4 cranes (1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w:t>
            </w:r>
          </w:p>
        </w:tc>
        <w:tc>
          <w:tcPr>
            <w:tcW w:w="1544" w:type="pct"/>
            <w:vAlign w:val="center"/>
          </w:tcPr>
          <w:p w:rsidR="00660414" w:rsidRPr="000A76BD" w:rsidRDefault="00660414" w:rsidP="007613DE">
            <w:pPr>
              <w:jc w:val="center"/>
              <w:rPr>
                <w:sz w:val="22"/>
                <w:szCs w:val="22"/>
              </w:rPr>
            </w:pPr>
            <w:r w:rsidRPr="002E1E5F">
              <w:rPr>
                <w:sz w:val="22"/>
                <w:szCs w:val="22"/>
              </w:rPr>
              <w:t>Bucuresti Sud ( Titan )</w:t>
            </w:r>
          </w:p>
        </w:tc>
        <w:tc>
          <w:tcPr>
            <w:tcW w:w="1471" w:type="pct"/>
            <w:vAlign w:val="center"/>
          </w:tcPr>
          <w:p w:rsidR="00660414" w:rsidRPr="000A76BD" w:rsidRDefault="00660414" w:rsidP="007613DE">
            <w:pPr>
              <w:jc w:val="center"/>
              <w:rPr>
                <w:sz w:val="22"/>
                <w:szCs w:val="22"/>
              </w:rPr>
            </w:pPr>
            <w:r w:rsidRPr="002E1E5F">
              <w:rPr>
                <w:sz w:val="22"/>
                <w:szCs w:val="22"/>
              </w:rPr>
              <w:t>3 cranes (1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3</w:t>
            </w:r>
          </w:p>
        </w:tc>
        <w:tc>
          <w:tcPr>
            <w:tcW w:w="1544" w:type="pct"/>
            <w:vAlign w:val="center"/>
          </w:tcPr>
          <w:p w:rsidR="00660414" w:rsidRPr="000A76BD" w:rsidRDefault="00660414" w:rsidP="007613DE">
            <w:pPr>
              <w:jc w:val="center"/>
              <w:rPr>
                <w:sz w:val="22"/>
                <w:szCs w:val="22"/>
              </w:rPr>
            </w:pPr>
            <w:r w:rsidRPr="002E1E5F">
              <w:rPr>
                <w:sz w:val="22"/>
                <w:szCs w:val="22"/>
              </w:rPr>
              <w:t>Bucuresti Progresu</w:t>
            </w:r>
          </w:p>
        </w:tc>
        <w:tc>
          <w:tcPr>
            <w:tcW w:w="1471" w:type="pct"/>
            <w:vAlign w:val="center"/>
          </w:tcPr>
          <w:p w:rsidR="00660414" w:rsidRPr="000A76BD" w:rsidRDefault="00660414" w:rsidP="007613DE">
            <w:pPr>
              <w:jc w:val="center"/>
              <w:rPr>
                <w:sz w:val="22"/>
                <w:szCs w:val="22"/>
              </w:rPr>
            </w:pPr>
            <w:r w:rsidRPr="002E1E5F">
              <w:rPr>
                <w:sz w:val="22"/>
                <w:szCs w:val="22"/>
              </w:rPr>
              <w:t>1 crane in conservation</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4</w:t>
            </w:r>
          </w:p>
        </w:tc>
        <w:tc>
          <w:tcPr>
            <w:tcW w:w="1544" w:type="pct"/>
            <w:vAlign w:val="center"/>
          </w:tcPr>
          <w:p w:rsidR="00660414" w:rsidRPr="000A76BD" w:rsidRDefault="00660414" w:rsidP="007613DE">
            <w:pPr>
              <w:jc w:val="center"/>
              <w:rPr>
                <w:sz w:val="22"/>
                <w:szCs w:val="22"/>
              </w:rPr>
            </w:pPr>
            <w:r w:rsidRPr="002E1E5F">
              <w:rPr>
                <w:sz w:val="22"/>
                <w:szCs w:val="22"/>
              </w:rPr>
              <w:t>Ploiesti Crang</w:t>
            </w:r>
          </w:p>
        </w:tc>
        <w:tc>
          <w:tcPr>
            <w:tcW w:w="1471" w:type="pct"/>
            <w:vAlign w:val="center"/>
          </w:tcPr>
          <w:p w:rsidR="00660414" w:rsidRPr="000A76BD" w:rsidRDefault="00660414" w:rsidP="007613DE">
            <w:pPr>
              <w:jc w:val="center"/>
              <w:rPr>
                <w:sz w:val="22"/>
                <w:szCs w:val="22"/>
              </w:rPr>
            </w:pPr>
            <w:r w:rsidRPr="002E1E5F">
              <w:rPr>
                <w:sz w:val="22"/>
                <w:szCs w:val="22"/>
              </w:rPr>
              <w:t>3 cranes (1 active)</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5</w:t>
            </w:r>
          </w:p>
        </w:tc>
        <w:tc>
          <w:tcPr>
            <w:tcW w:w="1544" w:type="pct"/>
            <w:vAlign w:val="center"/>
          </w:tcPr>
          <w:p w:rsidR="00660414" w:rsidRPr="000A76BD" w:rsidRDefault="00660414" w:rsidP="007613DE">
            <w:pPr>
              <w:jc w:val="center"/>
              <w:rPr>
                <w:sz w:val="22"/>
                <w:szCs w:val="22"/>
              </w:rPr>
            </w:pPr>
            <w:r w:rsidRPr="002E1E5F">
              <w:rPr>
                <w:sz w:val="22"/>
                <w:szCs w:val="22"/>
              </w:rPr>
              <w:t>Bradu de Sus</w:t>
            </w:r>
          </w:p>
        </w:tc>
        <w:tc>
          <w:tcPr>
            <w:tcW w:w="1471" w:type="pct"/>
            <w:vAlign w:val="center"/>
          </w:tcPr>
          <w:p w:rsidR="00660414" w:rsidRPr="000A76BD" w:rsidRDefault="00660414" w:rsidP="007613DE">
            <w:pPr>
              <w:jc w:val="center"/>
              <w:rPr>
                <w:sz w:val="22"/>
                <w:szCs w:val="22"/>
              </w:rPr>
            </w:pPr>
            <w:r w:rsidRPr="002E1E5F">
              <w:rPr>
                <w:sz w:val="22"/>
                <w:szCs w:val="22"/>
              </w:rPr>
              <w:t>2 cranes functioning</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6</w:t>
            </w:r>
          </w:p>
        </w:tc>
        <w:tc>
          <w:tcPr>
            <w:tcW w:w="1544" w:type="pct"/>
            <w:vAlign w:val="center"/>
          </w:tcPr>
          <w:p w:rsidR="00660414" w:rsidRPr="000A76BD" w:rsidRDefault="00660414" w:rsidP="007613DE">
            <w:pPr>
              <w:jc w:val="center"/>
              <w:rPr>
                <w:sz w:val="22"/>
                <w:szCs w:val="22"/>
              </w:rPr>
            </w:pPr>
            <w:r w:rsidRPr="002E1E5F">
              <w:rPr>
                <w:sz w:val="22"/>
                <w:szCs w:val="22"/>
              </w:rPr>
              <w:t>Bujoreni Valcea</w:t>
            </w:r>
          </w:p>
        </w:tc>
        <w:tc>
          <w:tcPr>
            <w:tcW w:w="1471" w:type="pct"/>
            <w:vAlign w:val="center"/>
          </w:tcPr>
          <w:p w:rsidR="00660414" w:rsidRPr="000A76BD" w:rsidRDefault="00660414" w:rsidP="007613DE">
            <w:pPr>
              <w:jc w:val="center"/>
              <w:rPr>
                <w:sz w:val="22"/>
                <w:szCs w:val="22"/>
              </w:rPr>
            </w:pPr>
            <w:r w:rsidRPr="002E1E5F">
              <w:rPr>
                <w:sz w:val="22"/>
                <w:szCs w:val="22"/>
              </w:rPr>
              <w:t>2 cranes (1 functioning and 1 not functioning)</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7</w:t>
            </w:r>
          </w:p>
        </w:tc>
        <w:tc>
          <w:tcPr>
            <w:tcW w:w="1544" w:type="pct"/>
            <w:vAlign w:val="center"/>
          </w:tcPr>
          <w:p w:rsidR="00660414" w:rsidRPr="000A76BD" w:rsidRDefault="00660414" w:rsidP="007613DE">
            <w:pPr>
              <w:jc w:val="center"/>
              <w:rPr>
                <w:sz w:val="22"/>
                <w:szCs w:val="22"/>
              </w:rPr>
            </w:pPr>
            <w:r w:rsidRPr="002E1E5F">
              <w:rPr>
                <w:sz w:val="22"/>
                <w:szCs w:val="22"/>
              </w:rPr>
              <w:t>Craiova</w:t>
            </w:r>
          </w:p>
        </w:tc>
        <w:tc>
          <w:tcPr>
            <w:tcW w:w="1471" w:type="pct"/>
            <w:vAlign w:val="center"/>
          </w:tcPr>
          <w:p w:rsidR="00660414" w:rsidRPr="000A76BD" w:rsidRDefault="00660414" w:rsidP="007613DE">
            <w:pPr>
              <w:jc w:val="center"/>
              <w:rPr>
                <w:sz w:val="22"/>
                <w:szCs w:val="22"/>
              </w:rPr>
            </w:pPr>
            <w:r w:rsidRPr="002E1E5F">
              <w:rPr>
                <w:sz w:val="22"/>
                <w:szCs w:val="22"/>
              </w:rPr>
              <w:t>3 cranes not functioning (1 in conservation)</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8</w:t>
            </w:r>
          </w:p>
        </w:tc>
        <w:tc>
          <w:tcPr>
            <w:tcW w:w="1544" w:type="pct"/>
            <w:vAlign w:val="center"/>
          </w:tcPr>
          <w:p w:rsidR="00660414" w:rsidRPr="000A76BD" w:rsidRDefault="00660414" w:rsidP="007613DE">
            <w:pPr>
              <w:jc w:val="center"/>
              <w:rPr>
                <w:sz w:val="22"/>
                <w:szCs w:val="22"/>
              </w:rPr>
            </w:pPr>
            <w:r w:rsidRPr="002E1E5F">
              <w:rPr>
                <w:sz w:val="22"/>
                <w:szCs w:val="22"/>
              </w:rPr>
              <w:t>Semenic</w:t>
            </w:r>
          </w:p>
        </w:tc>
        <w:tc>
          <w:tcPr>
            <w:tcW w:w="1471" w:type="pct"/>
            <w:vAlign w:val="center"/>
          </w:tcPr>
          <w:p w:rsidR="00660414" w:rsidRPr="000A76BD" w:rsidRDefault="00660414" w:rsidP="007613DE">
            <w:pPr>
              <w:jc w:val="center"/>
              <w:rPr>
                <w:sz w:val="22"/>
                <w:szCs w:val="22"/>
              </w:rPr>
            </w:pPr>
            <w:r w:rsidRPr="002E1E5F">
              <w:rPr>
                <w:sz w:val="22"/>
                <w:szCs w:val="22"/>
              </w:rPr>
              <w:t>3 cranes (2 functioning)</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9</w:t>
            </w:r>
          </w:p>
        </w:tc>
        <w:tc>
          <w:tcPr>
            <w:tcW w:w="1544" w:type="pct"/>
            <w:vAlign w:val="center"/>
          </w:tcPr>
          <w:p w:rsidR="00660414" w:rsidRPr="000A76BD" w:rsidRDefault="00660414" w:rsidP="007613DE">
            <w:pPr>
              <w:jc w:val="center"/>
              <w:rPr>
                <w:sz w:val="22"/>
                <w:szCs w:val="22"/>
              </w:rPr>
            </w:pPr>
            <w:r w:rsidRPr="002E1E5F">
              <w:rPr>
                <w:sz w:val="22"/>
                <w:szCs w:val="22"/>
              </w:rPr>
              <w:t>Glogovat</w:t>
            </w:r>
          </w:p>
        </w:tc>
        <w:tc>
          <w:tcPr>
            <w:tcW w:w="1471" w:type="pct"/>
            <w:vAlign w:val="center"/>
          </w:tcPr>
          <w:p w:rsidR="00660414" w:rsidRPr="000A76BD" w:rsidRDefault="00660414" w:rsidP="007613DE">
            <w:pPr>
              <w:jc w:val="center"/>
              <w:rPr>
                <w:sz w:val="22"/>
                <w:szCs w:val="22"/>
              </w:rPr>
            </w:pPr>
            <w:r w:rsidRPr="002E1E5F">
              <w:rPr>
                <w:sz w:val="22"/>
                <w:szCs w:val="22"/>
              </w:rPr>
              <w:t>2 cranes not functioning</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10</w:t>
            </w:r>
          </w:p>
        </w:tc>
        <w:tc>
          <w:tcPr>
            <w:tcW w:w="1544" w:type="pct"/>
            <w:vAlign w:val="center"/>
          </w:tcPr>
          <w:p w:rsidR="00660414" w:rsidRPr="000A76BD" w:rsidRDefault="00660414" w:rsidP="007613DE">
            <w:pPr>
              <w:jc w:val="center"/>
              <w:rPr>
                <w:sz w:val="22"/>
                <w:szCs w:val="22"/>
              </w:rPr>
            </w:pPr>
            <w:r w:rsidRPr="002E1E5F">
              <w:rPr>
                <w:sz w:val="22"/>
                <w:szCs w:val="22"/>
              </w:rPr>
              <w:t>Cluj Napoca Est</w:t>
            </w:r>
          </w:p>
        </w:tc>
        <w:tc>
          <w:tcPr>
            <w:tcW w:w="1471" w:type="pct"/>
            <w:vAlign w:val="center"/>
          </w:tcPr>
          <w:p w:rsidR="00660414" w:rsidRPr="000A76BD" w:rsidRDefault="00660414" w:rsidP="007613DE">
            <w:pPr>
              <w:jc w:val="center"/>
              <w:rPr>
                <w:sz w:val="22"/>
                <w:szCs w:val="22"/>
              </w:rPr>
            </w:pPr>
            <w:r w:rsidRPr="002E1E5F">
              <w:rPr>
                <w:sz w:val="22"/>
                <w:szCs w:val="22"/>
              </w:rPr>
              <w:t>1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rPr>
          <w:trHeight w:val="278"/>
        </w:trPr>
        <w:tc>
          <w:tcPr>
            <w:tcW w:w="515" w:type="pct"/>
            <w:vAlign w:val="center"/>
          </w:tcPr>
          <w:p w:rsidR="00660414" w:rsidRPr="000A76BD" w:rsidRDefault="00660414" w:rsidP="007613DE">
            <w:pPr>
              <w:jc w:val="center"/>
              <w:rPr>
                <w:sz w:val="22"/>
                <w:szCs w:val="22"/>
              </w:rPr>
            </w:pPr>
            <w:r w:rsidRPr="002E1E5F">
              <w:rPr>
                <w:sz w:val="22"/>
                <w:szCs w:val="22"/>
              </w:rPr>
              <w:t>11</w:t>
            </w:r>
          </w:p>
        </w:tc>
        <w:tc>
          <w:tcPr>
            <w:tcW w:w="1544" w:type="pct"/>
            <w:vAlign w:val="center"/>
          </w:tcPr>
          <w:p w:rsidR="00660414" w:rsidRPr="000A76BD" w:rsidRDefault="00660414" w:rsidP="007613DE">
            <w:pPr>
              <w:jc w:val="center"/>
              <w:rPr>
                <w:sz w:val="22"/>
                <w:szCs w:val="22"/>
              </w:rPr>
            </w:pPr>
            <w:r w:rsidRPr="002E1E5F">
              <w:rPr>
                <w:sz w:val="22"/>
                <w:szCs w:val="22"/>
              </w:rPr>
              <w:t>Oradea Est</w:t>
            </w:r>
          </w:p>
        </w:tc>
        <w:tc>
          <w:tcPr>
            <w:tcW w:w="1471" w:type="pct"/>
            <w:vAlign w:val="center"/>
          </w:tcPr>
          <w:p w:rsidR="00660414" w:rsidRPr="000A76BD" w:rsidRDefault="00660414" w:rsidP="007613DE">
            <w:pPr>
              <w:jc w:val="center"/>
              <w:rPr>
                <w:sz w:val="22"/>
                <w:szCs w:val="22"/>
              </w:rPr>
            </w:pPr>
            <w:r w:rsidRPr="002E1E5F">
              <w:rPr>
                <w:sz w:val="22"/>
                <w:szCs w:val="22"/>
              </w:rPr>
              <w:t>2 cranes (1 in conservation and 1 approved for disposal)</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12</w:t>
            </w:r>
          </w:p>
        </w:tc>
        <w:tc>
          <w:tcPr>
            <w:tcW w:w="1544" w:type="pct"/>
            <w:vAlign w:val="center"/>
          </w:tcPr>
          <w:p w:rsidR="00660414" w:rsidRPr="000A76BD" w:rsidRDefault="00660414" w:rsidP="007613DE">
            <w:pPr>
              <w:jc w:val="center"/>
              <w:rPr>
                <w:sz w:val="22"/>
                <w:szCs w:val="22"/>
              </w:rPr>
            </w:pPr>
            <w:r w:rsidRPr="002E1E5F">
              <w:rPr>
                <w:sz w:val="22"/>
                <w:szCs w:val="22"/>
              </w:rPr>
              <w:t>Bistrita Nord</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13</w:t>
            </w:r>
          </w:p>
        </w:tc>
        <w:tc>
          <w:tcPr>
            <w:tcW w:w="1544" w:type="pct"/>
            <w:vAlign w:val="center"/>
          </w:tcPr>
          <w:p w:rsidR="00660414" w:rsidRPr="000A76BD" w:rsidRDefault="00660414" w:rsidP="007613DE">
            <w:pPr>
              <w:jc w:val="center"/>
              <w:rPr>
                <w:sz w:val="22"/>
                <w:szCs w:val="22"/>
              </w:rPr>
            </w:pPr>
            <w:r w:rsidRPr="002E1E5F">
              <w:rPr>
                <w:sz w:val="22"/>
                <w:szCs w:val="22"/>
              </w:rPr>
              <w:t>Baia Mare</w:t>
            </w:r>
          </w:p>
        </w:tc>
        <w:tc>
          <w:tcPr>
            <w:tcW w:w="1471" w:type="pct"/>
            <w:vAlign w:val="center"/>
          </w:tcPr>
          <w:p w:rsidR="00660414" w:rsidRPr="000A76BD" w:rsidRDefault="00660414" w:rsidP="007613DE">
            <w:pPr>
              <w:jc w:val="center"/>
              <w:rPr>
                <w:sz w:val="22"/>
                <w:szCs w:val="22"/>
              </w:rPr>
            </w:pPr>
            <w:r w:rsidRPr="002E1E5F">
              <w:rPr>
                <w:sz w:val="22"/>
                <w:szCs w:val="22"/>
              </w:rPr>
              <w:t>2 cranes (1 in conservation and 1 approved for disposal)</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14</w:t>
            </w:r>
          </w:p>
        </w:tc>
        <w:tc>
          <w:tcPr>
            <w:tcW w:w="1544" w:type="pct"/>
            <w:vAlign w:val="center"/>
          </w:tcPr>
          <w:p w:rsidR="00660414" w:rsidRPr="000A76BD" w:rsidRDefault="00660414" w:rsidP="007613DE">
            <w:pPr>
              <w:jc w:val="center"/>
              <w:rPr>
                <w:sz w:val="22"/>
                <w:szCs w:val="22"/>
              </w:rPr>
            </w:pPr>
            <w:r w:rsidRPr="002E1E5F">
              <w:rPr>
                <w:sz w:val="22"/>
                <w:szCs w:val="22"/>
              </w:rPr>
              <w:t>Turda</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15</w:t>
            </w:r>
          </w:p>
        </w:tc>
        <w:tc>
          <w:tcPr>
            <w:tcW w:w="1544" w:type="pct"/>
            <w:vAlign w:val="center"/>
          </w:tcPr>
          <w:p w:rsidR="00660414" w:rsidRPr="000A76BD" w:rsidRDefault="00660414" w:rsidP="007613DE">
            <w:pPr>
              <w:jc w:val="center"/>
              <w:rPr>
                <w:sz w:val="22"/>
                <w:szCs w:val="22"/>
              </w:rPr>
            </w:pPr>
            <w:r w:rsidRPr="002E1E5F">
              <w:rPr>
                <w:sz w:val="22"/>
                <w:szCs w:val="22"/>
              </w:rPr>
              <w:t>Zalau Nord</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16</w:t>
            </w:r>
          </w:p>
        </w:tc>
        <w:tc>
          <w:tcPr>
            <w:tcW w:w="1544" w:type="pct"/>
            <w:vAlign w:val="center"/>
          </w:tcPr>
          <w:p w:rsidR="00660414" w:rsidRPr="000A76BD" w:rsidRDefault="00660414" w:rsidP="007613DE">
            <w:pPr>
              <w:jc w:val="center"/>
              <w:rPr>
                <w:sz w:val="22"/>
                <w:szCs w:val="22"/>
              </w:rPr>
            </w:pPr>
            <w:r w:rsidRPr="002E1E5F">
              <w:rPr>
                <w:sz w:val="22"/>
                <w:szCs w:val="22"/>
              </w:rPr>
              <w:t>Brasov Triaj</w:t>
            </w:r>
          </w:p>
        </w:tc>
        <w:tc>
          <w:tcPr>
            <w:tcW w:w="1471" w:type="pct"/>
            <w:vAlign w:val="center"/>
          </w:tcPr>
          <w:p w:rsidR="00660414" w:rsidRPr="000A76BD" w:rsidRDefault="00660414" w:rsidP="007613DE">
            <w:pPr>
              <w:jc w:val="center"/>
              <w:rPr>
                <w:sz w:val="22"/>
                <w:szCs w:val="22"/>
              </w:rPr>
            </w:pPr>
            <w:r w:rsidRPr="002E1E5F">
              <w:rPr>
                <w:sz w:val="22"/>
                <w:szCs w:val="22"/>
              </w:rPr>
              <w:t>2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17</w:t>
            </w:r>
          </w:p>
        </w:tc>
        <w:tc>
          <w:tcPr>
            <w:tcW w:w="1544" w:type="pct"/>
            <w:vAlign w:val="center"/>
          </w:tcPr>
          <w:p w:rsidR="00660414" w:rsidRPr="000A76BD" w:rsidRDefault="00660414" w:rsidP="007613DE">
            <w:pPr>
              <w:jc w:val="center"/>
              <w:rPr>
                <w:sz w:val="22"/>
                <w:szCs w:val="22"/>
              </w:rPr>
            </w:pPr>
            <w:r w:rsidRPr="002E1E5F">
              <w:rPr>
                <w:sz w:val="22"/>
                <w:szCs w:val="22"/>
              </w:rPr>
              <w:t>Medias</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18</w:t>
            </w:r>
          </w:p>
        </w:tc>
        <w:tc>
          <w:tcPr>
            <w:tcW w:w="1544" w:type="pct"/>
            <w:vAlign w:val="center"/>
          </w:tcPr>
          <w:p w:rsidR="00660414" w:rsidRPr="000A76BD" w:rsidRDefault="00660414" w:rsidP="007613DE">
            <w:pPr>
              <w:jc w:val="center"/>
              <w:rPr>
                <w:sz w:val="22"/>
                <w:szCs w:val="22"/>
              </w:rPr>
            </w:pPr>
            <w:r w:rsidRPr="002E1E5F">
              <w:rPr>
                <w:sz w:val="22"/>
                <w:szCs w:val="22"/>
              </w:rPr>
              <w:t>Sibiu</w:t>
            </w:r>
          </w:p>
        </w:tc>
        <w:tc>
          <w:tcPr>
            <w:tcW w:w="1471" w:type="pct"/>
            <w:vAlign w:val="center"/>
          </w:tcPr>
          <w:p w:rsidR="00660414" w:rsidRPr="000A76BD" w:rsidRDefault="00660414" w:rsidP="007613DE">
            <w:pPr>
              <w:jc w:val="center"/>
              <w:rPr>
                <w:sz w:val="22"/>
                <w:szCs w:val="22"/>
              </w:rPr>
            </w:pPr>
            <w:r w:rsidRPr="002E1E5F">
              <w:rPr>
                <w:sz w:val="22"/>
                <w:szCs w:val="22"/>
              </w:rPr>
              <w:t>1 crane in conservation</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19</w:t>
            </w:r>
          </w:p>
        </w:tc>
        <w:tc>
          <w:tcPr>
            <w:tcW w:w="1544" w:type="pct"/>
            <w:vAlign w:val="center"/>
          </w:tcPr>
          <w:p w:rsidR="00660414" w:rsidRPr="000A76BD" w:rsidRDefault="00660414" w:rsidP="007613DE">
            <w:pPr>
              <w:jc w:val="center"/>
              <w:rPr>
                <w:sz w:val="22"/>
                <w:szCs w:val="22"/>
              </w:rPr>
            </w:pPr>
            <w:r w:rsidRPr="002E1E5F">
              <w:rPr>
                <w:sz w:val="22"/>
                <w:szCs w:val="22"/>
              </w:rPr>
              <w:t>Targu Mures Sud</w:t>
            </w:r>
          </w:p>
        </w:tc>
        <w:tc>
          <w:tcPr>
            <w:tcW w:w="1471" w:type="pct"/>
            <w:vAlign w:val="center"/>
          </w:tcPr>
          <w:p w:rsidR="00660414" w:rsidRPr="000A76BD" w:rsidRDefault="00660414" w:rsidP="007613DE">
            <w:pPr>
              <w:jc w:val="center"/>
              <w:rPr>
                <w:sz w:val="22"/>
                <w:szCs w:val="22"/>
              </w:rPr>
            </w:pPr>
            <w:r w:rsidRPr="002E1E5F">
              <w:rPr>
                <w:sz w:val="22"/>
                <w:szCs w:val="22"/>
              </w:rPr>
              <w:t>1 crane in conservation</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20</w:t>
            </w:r>
          </w:p>
        </w:tc>
        <w:tc>
          <w:tcPr>
            <w:tcW w:w="1544" w:type="pct"/>
            <w:vAlign w:val="center"/>
          </w:tcPr>
          <w:p w:rsidR="00660414" w:rsidRPr="000A76BD" w:rsidRDefault="00660414" w:rsidP="007613DE">
            <w:pPr>
              <w:jc w:val="center"/>
              <w:rPr>
                <w:sz w:val="22"/>
                <w:szCs w:val="22"/>
              </w:rPr>
            </w:pPr>
            <w:r w:rsidRPr="002E1E5F">
              <w:rPr>
                <w:sz w:val="22"/>
                <w:szCs w:val="22"/>
              </w:rPr>
              <w:t>Socola Marfuri (Iasi)</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21</w:t>
            </w:r>
          </w:p>
        </w:tc>
        <w:tc>
          <w:tcPr>
            <w:tcW w:w="1544" w:type="pct"/>
            <w:vAlign w:val="center"/>
          </w:tcPr>
          <w:p w:rsidR="00660414" w:rsidRPr="000A76BD" w:rsidRDefault="00660414" w:rsidP="007613DE">
            <w:pPr>
              <w:jc w:val="center"/>
              <w:rPr>
                <w:sz w:val="22"/>
                <w:szCs w:val="22"/>
              </w:rPr>
            </w:pPr>
            <w:r w:rsidRPr="002E1E5F">
              <w:rPr>
                <w:sz w:val="22"/>
                <w:szCs w:val="22"/>
              </w:rPr>
              <w:t>Suceava</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22</w:t>
            </w:r>
          </w:p>
        </w:tc>
        <w:tc>
          <w:tcPr>
            <w:tcW w:w="1544" w:type="pct"/>
            <w:vAlign w:val="center"/>
          </w:tcPr>
          <w:p w:rsidR="00660414" w:rsidRPr="000A76BD" w:rsidRDefault="00660414" w:rsidP="007613DE">
            <w:pPr>
              <w:jc w:val="center"/>
              <w:rPr>
                <w:sz w:val="22"/>
                <w:szCs w:val="22"/>
              </w:rPr>
            </w:pPr>
            <w:r w:rsidRPr="002E1E5F">
              <w:rPr>
                <w:sz w:val="22"/>
                <w:szCs w:val="22"/>
              </w:rPr>
              <w:t>Bacau</w:t>
            </w:r>
          </w:p>
        </w:tc>
        <w:tc>
          <w:tcPr>
            <w:tcW w:w="1471" w:type="pct"/>
            <w:vAlign w:val="center"/>
          </w:tcPr>
          <w:p w:rsidR="00660414" w:rsidRPr="000A76BD" w:rsidRDefault="00660414" w:rsidP="007613DE">
            <w:pPr>
              <w:jc w:val="center"/>
              <w:rPr>
                <w:sz w:val="22"/>
                <w:szCs w:val="22"/>
              </w:rPr>
            </w:pPr>
            <w:r w:rsidRPr="002E1E5F">
              <w:rPr>
                <w:sz w:val="22"/>
                <w:szCs w:val="22"/>
              </w:rPr>
              <w:t>1 crane functioning</w:t>
            </w:r>
          </w:p>
        </w:tc>
        <w:tc>
          <w:tcPr>
            <w:tcW w:w="1471" w:type="pct"/>
            <w:vAlign w:val="center"/>
          </w:tcPr>
          <w:p w:rsidR="00660414" w:rsidRPr="000A76BD" w:rsidRDefault="00660414" w:rsidP="007613DE">
            <w:pPr>
              <w:jc w:val="center"/>
              <w:rPr>
                <w:sz w:val="22"/>
                <w:szCs w:val="22"/>
              </w:rPr>
            </w:pPr>
            <w:r w:rsidRPr="002E1E5F">
              <w:rPr>
                <w:sz w:val="22"/>
                <w:szCs w:val="22"/>
              </w:rPr>
              <w:t>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23</w:t>
            </w:r>
          </w:p>
        </w:tc>
        <w:tc>
          <w:tcPr>
            <w:tcW w:w="1544" w:type="pct"/>
            <w:vAlign w:val="center"/>
          </w:tcPr>
          <w:p w:rsidR="00660414" w:rsidRPr="000A76BD" w:rsidRDefault="00660414" w:rsidP="007613DE">
            <w:pPr>
              <w:jc w:val="center"/>
              <w:rPr>
                <w:sz w:val="22"/>
                <w:szCs w:val="22"/>
              </w:rPr>
            </w:pPr>
            <w:r w:rsidRPr="002E1E5F">
              <w:rPr>
                <w:sz w:val="22"/>
                <w:szCs w:val="22"/>
              </w:rPr>
              <w:t>Botosani</w:t>
            </w:r>
          </w:p>
        </w:tc>
        <w:tc>
          <w:tcPr>
            <w:tcW w:w="1471" w:type="pct"/>
            <w:vAlign w:val="center"/>
          </w:tcPr>
          <w:p w:rsidR="00660414" w:rsidRPr="000A76BD" w:rsidRDefault="00660414" w:rsidP="007613DE">
            <w:pPr>
              <w:jc w:val="center"/>
              <w:rPr>
                <w:sz w:val="22"/>
                <w:szCs w:val="22"/>
              </w:rPr>
            </w:pPr>
            <w:r w:rsidRPr="002E1E5F">
              <w:rPr>
                <w:sz w:val="22"/>
                <w:szCs w:val="22"/>
              </w:rPr>
              <w:t>No crane</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24</w:t>
            </w:r>
          </w:p>
        </w:tc>
        <w:tc>
          <w:tcPr>
            <w:tcW w:w="1544" w:type="pct"/>
            <w:vAlign w:val="center"/>
          </w:tcPr>
          <w:p w:rsidR="00660414" w:rsidRPr="000A76BD" w:rsidRDefault="00660414" w:rsidP="007613DE">
            <w:pPr>
              <w:jc w:val="center"/>
              <w:rPr>
                <w:sz w:val="22"/>
                <w:szCs w:val="22"/>
              </w:rPr>
            </w:pPr>
            <w:r w:rsidRPr="002E1E5F">
              <w:rPr>
                <w:sz w:val="22"/>
                <w:szCs w:val="22"/>
              </w:rPr>
              <w:t>Galati Marfuri</w:t>
            </w:r>
          </w:p>
        </w:tc>
        <w:tc>
          <w:tcPr>
            <w:tcW w:w="1471" w:type="pct"/>
            <w:vAlign w:val="center"/>
          </w:tcPr>
          <w:p w:rsidR="00660414" w:rsidRPr="000A76BD" w:rsidRDefault="00660414" w:rsidP="007613DE">
            <w:pPr>
              <w:jc w:val="center"/>
              <w:rPr>
                <w:sz w:val="22"/>
                <w:szCs w:val="22"/>
              </w:rPr>
            </w:pPr>
            <w:r w:rsidRPr="002E1E5F">
              <w:rPr>
                <w:sz w:val="22"/>
                <w:szCs w:val="22"/>
              </w:rPr>
              <w:t>3 cranes in conservation</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rPr>
          <w:trHeight w:val="79"/>
        </w:trPr>
        <w:tc>
          <w:tcPr>
            <w:tcW w:w="515" w:type="pct"/>
            <w:vAlign w:val="center"/>
          </w:tcPr>
          <w:p w:rsidR="00660414" w:rsidRPr="000A76BD" w:rsidRDefault="00660414" w:rsidP="007613DE">
            <w:pPr>
              <w:jc w:val="center"/>
              <w:rPr>
                <w:sz w:val="22"/>
                <w:szCs w:val="22"/>
              </w:rPr>
            </w:pPr>
            <w:r w:rsidRPr="002E1E5F">
              <w:rPr>
                <w:sz w:val="22"/>
                <w:szCs w:val="22"/>
              </w:rPr>
              <w:t>25</w:t>
            </w:r>
          </w:p>
        </w:tc>
        <w:tc>
          <w:tcPr>
            <w:tcW w:w="1544" w:type="pct"/>
            <w:vAlign w:val="center"/>
          </w:tcPr>
          <w:p w:rsidR="00660414" w:rsidRPr="000A76BD" w:rsidRDefault="00660414" w:rsidP="007613DE">
            <w:pPr>
              <w:jc w:val="center"/>
              <w:rPr>
                <w:sz w:val="22"/>
                <w:szCs w:val="22"/>
              </w:rPr>
            </w:pPr>
            <w:r w:rsidRPr="002E1E5F">
              <w:rPr>
                <w:sz w:val="22"/>
                <w:szCs w:val="22"/>
              </w:rPr>
              <w:t>Buzau Sud</w:t>
            </w:r>
          </w:p>
        </w:tc>
        <w:tc>
          <w:tcPr>
            <w:tcW w:w="1471" w:type="pct"/>
            <w:vAlign w:val="center"/>
          </w:tcPr>
          <w:p w:rsidR="00660414" w:rsidRPr="000A76BD" w:rsidRDefault="00660414" w:rsidP="007613DE">
            <w:pPr>
              <w:jc w:val="center"/>
              <w:rPr>
                <w:sz w:val="22"/>
                <w:szCs w:val="22"/>
              </w:rPr>
            </w:pPr>
            <w:r w:rsidRPr="002E1E5F">
              <w:rPr>
                <w:sz w:val="22"/>
                <w:szCs w:val="22"/>
              </w:rPr>
              <w:t>2 cranes (one functioning and one in conservation</w:t>
            </w:r>
          </w:p>
        </w:tc>
        <w:tc>
          <w:tcPr>
            <w:tcW w:w="1471" w:type="pct"/>
            <w:vAlign w:val="center"/>
          </w:tcPr>
          <w:p w:rsidR="00660414" w:rsidRPr="000A76BD" w:rsidRDefault="00660414" w:rsidP="007613DE">
            <w:pPr>
              <w:jc w:val="center"/>
              <w:rPr>
                <w:sz w:val="22"/>
                <w:szCs w:val="22"/>
              </w:rPr>
            </w:pPr>
            <w:r w:rsidRPr="002E1E5F">
              <w:rPr>
                <w:sz w:val="22"/>
                <w:szCs w:val="22"/>
              </w:rPr>
              <w:t>Not currently active</w:t>
            </w:r>
          </w:p>
        </w:tc>
      </w:tr>
      <w:tr w:rsidR="00660414" w:rsidRPr="000A76BD" w:rsidTr="007613DE">
        <w:tc>
          <w:tcPr>
            <w:tcW w:w="515" w:type="pct"/>
            <w:vAlign w:val="center"/>
          </w:tcPr>
          <w:p w:rsidR="00660414" w:rsidRPr="000A76BD" w:rsidRDefault="00660414" w:rsidP="007613DE">
            <w:pPr>
              <w:jc w:val="center"/>
              <w:rPr>
                <w:sz w:val="22"/>
                <w:szCs w:val="22"/>
              </w:rPr>
            </w:pPr>
            <w:r w:rsidRPr="002E1E5F">
              <w:rPr>
                <w:sz w:val="22"/>
                <w:szCs w:val="22"/>
              </w:rPr>
              <w:t>26</w:t>
            </w:r>
          </w:p>
        </w:tc>
        <w:tc>
          <w:tcPr>
            <w:tcW w:w="1544" w:type="pct"/>
            <w:vAlign w:val="center"/>
          </w:tcPr>
          <w:p w:rsidR="00660414" w:rsidRPr="000A76BD" w:rsidRDefault="00660414" w:rsidP="007613DE">
            <w:pPr>
              <w:jc w:val="center"/>
              <w:rPr>
                <w:sz w:val="22"/>
                <w:szCs w:val="22"/>
              </w:rPr>
            </w:pPr>
            <w:r w:rsidRPr="002E1E5F">
              <w:rPr>
                <w:sz w:val="22"/>
                <w:szCs w:val="22"/>
              </w:rPr>
              <w:t>Constanta Marfuri</w:t>
            </w:r>
          </w:p>
        </w:tc>
        <w:tc>
          <w:tcPr>
            <w:tcW w:w="1471" w:type="pct"/>
            <w:vAlign w:val="center"/>
          </w:tcPr>
          <w:p w:rsidR="00660414" w:rsidRPr="000A76BD" w:rsidRDefault="00660414" w:rsidP="007613DE">
            <w:pPr>
              <w:jc w:val="center"/>
              <w:rPr>
                <w:sz w:val="22"/>
                <w:szCs w:val="22"/>
              </w:rPr>
            </w:pPr>
            <w:r w:rsidRPr="002E1E5F">
              <w:rPr>
                <w:sz w:val="22"/>
                <w:szCs w:val="22"/>
              </w:rPr>
              <w:t>No crane, 3 cranes were moved</w:t>
            </w:r>
          </w:p>
        </w:tc>
        <w:tc>
          <w:tcPr>
            <w:tcW w:w="1471" w:type="pct"/>
            <w:vAlign w:val="center"/>
          </w:tcPr>
          <w:p w:rsidR="00660414" w:rsidRPr="000A76BD" w:rsidRDefault="00660414" w:rsidP="007613DE">
            <w:pPr>
              <w:jc w:val="center"/>
              <w:rPr>
                <w:sz w:val="22"/>
                <w:szCs w:val="22"/>
              </w:rPr>
            </w:pPr>
            <w:r w:rsidRPr="002E1E5F">
              <w:rPr>
                <w:sz w:val="22"/>
                <w:szCs w:val="22"/>
              </w:rPr>
              <w:t>Closed</w:t>
            </w:r>
          </w:p>
        </w:tc>
      </w:tr>
    </w:tbl>
    <w:p w:rsidR="00660414" w:rsidRPr="000A76BD" w:rsidRDefault="00660414" w:rsidP="00660414">
      <w:pPr>
        <w:pStyle w:val="Body"/>
        <w:ind w:left="851"/>
        <w:rPr>
          <w:rFonts w:cs="Arial"/>
          <w:i w:val="0"/>
        </w:rPr>
      </w:pPr>
      <w:r w:rsidRPr="002E1E5F">
        <w:rPr>
          <w:rFonts w:cs="Arial"/>
        </w:rPr>
        <w:t>Source: CFR Marfă, March 2013</w:t>
      </w:r>
    </w:p>
    <w:p w:rsidR="00660414" w:rsidRDefault="00660414" w:rsidP="00A4081F">
      <w:pPr>
        <w:pStyle w:val="NumberedParas"/>
      </w:pPr>
      <w:r>
        <w:t xml:space="preserve">The only existing dedicated intermodal port terminals are located at the publicly owned Port of Constanta where </w:t>
      </w:r>
      <w:r w:rsidRPr="00927241">
        <w:t>DP World, SOCEP and UMEX are</w:t>
      </w:r>
      <w:r>
        <w:t xml:space="preserve"> the</w:t>
      </w:r>
      <w:r w:rsidRPr="00927241">
        <w:t xml:space="preserve"> private operators </w:t>
      </w:r>
      <w:r>
        <w:t>of these terminals. The DP World Constanta South Container Terminal currently handles 97% of the current intermodal volume at the port.</w:t>
      </w:r>
      <w:r w:rsidRPr="002E1E5F">
        <w:t xml:space="preserve"> </w:t>
      </w:r>
    </w:p>
    <w:p w:rsidR="00660414" w:rsidRDefault="00660414" w:rsidP="00A4081F">
      <w:pPr>
        <w:pStyle w:val="NumberedParas"/>
        <w:rPr>
          <w:rFonts w:cs="Arial"/>
          <w:b/>
        </w:rPr>
      </w:pPr>
      <w:r>
        <w:t xml:space="preserve">However some other ports on the Danube can currently handle containers, albeit not with dedicated intermodal facilities. These are located at Galati, Tulcea, Braila, Giurgiu, Calarasi, Oltenita, Corabia, Drobeta Turnu Sevrin, Calafat and Orsova. These are shown in Figure 8.5 </w:t>
      </w:r>
      <w:r w:rsidRPr="002E1E5F">
        <w:rPr>
          <w:rFonts w:cs="Arial"/>
          <w:b/>
          <w:i/>
        </w:rPr>
        <w:br w:type="page"/>
      </w:r>
    </w:p>
    <w:p w:rsidR="00660414" w:rsidRPr="000A76BD" w:rsidRDefault="00660414" w:rsidP="00A4081F">
      <w:pPr>
        <w:pStyle w:val="NumberedParas"/>
      </w:pPr>
      <w:r w:rsidRPr="002E1E5F">
        <w:t>There are some privately operated rail</w:t>
      </w:r>
      <w:r>
        <w:t xml:space="preserve">-enabled </w:t>
      </w:r>
      <w:r w:rsidRPr="002E1E5F">
        <w:t>intermodal terminals</w:t>
      </w:r>
      <w:r>
        <w:t>, these are shown in Table 8.5.</w:t>
      </w:r>
    </w:p>
    <w:p w:rsidR="00660414" w:rsidRPr="00216958" w:rsidRDefault="00660414" w:rsidP="00660414">
      <w:pPr>
        <w:pStyle w:val="Body"/>
        <w:ind w:left="851"/>
        <w:rPr>
          <w:rFonts w:cs="Arial"/>
          <w:b/>
          <w:i w:val="0"/>
        </w:rPr>
      </w:pPr>
      <w:r w:rsidRPr="00216958">
        <w:rPr>
          <w:rFonts w:cs="Arial"/>
          <w:b/>
          <w:i w:val="0"/>
        </w:rPr>
        <w:t xml:space="preserve">Table </w:t>
      </w:r>
      <w:r>
        <w:rPr>
          <w:rFonts w:cs="Arial"/>
          <w:b/>
          <w:i w:val="0"/>
        </w:rPr>
        <w:t>8</w:t>
      </w:r>
      <w:r w:rsidRPr="00216958">
        <w:rPr>
          <w:rFonts w:cs="Arial"/>
          <w:b/>
          <w:i w:val="0"/>
        </w:rPr>
        <w:t>.</w:t>
      </w:r>
      <w:r>
        <w:rPr>
          <w:rFonts w:cs="Arial"/>
          <w:b/>
          <w:i w:val="0"/>
        </w:rPr>
        <w:t xml:space="preserve">5 </w:t>
      </w:r>
      <w:r w:rsidRPr="00216958">
        <w:rPr>
          <w:rFonts w:cs="Arial"/>
          <w:b/>
          <w:i w:val="0"/>
        </w:rPr>
        <w:t xml:space="preserve">Location of Private </w:t>
      </w:r>
      <w:r>
        <w:rPr>
          <w:rFonts w:cs="Arial"/>
          <w:b/>
          <w:i w:val="0"/>
        </w:rPr>
        <w:t xml:space="preserve">Intermodal </w:t>
      </w:r>
      <w:r w:rsidRPr="00216958">
        <w:rPr>
          <w:rFonts w:cs="Arial"/>
          <w:b/>
          <w:i w:val="0"/>
        </w:rPr>
        <w:t>Freight Terminals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4153"/>
        <w:gridCol w:w="1843"/>
      </w:tblGrid>
      <w:tr w:rsidR="00660414" w:rsidRPr="002B1857" w:rsidTr="007613DE">
        <w:tc>
          <w:tcPr>
            <w:tcW w:w="936" w:type="dxa"/>
            <w:shd w:val="clear" w:color="auto" w:fill="C6D9F1"/>
            <w:vAlign w:val="center"/>
          </w:tcPr>
          <w:p w:rsidR="00660414" w:rsidRPr="002B1857" w:rsidRDefault="00660414" w:rsidP="007613DE">
            <w:pPr>
              <w:jc w:val="center"/>
              <w:rPr>
                <w:sz w:val="22"/>
                <w:szCs w:val="22"/>
              </w:rPr>
            </w:pPr>
            <w:r w:rsidRPr="002B1857">
              <w:rPr>
                <w:sz w:val="22"/>
                <w:szCs w:val="22"/>
              </w:rPr>
              <w:t>No.</w:t>
            </w:r>
          </w:p>
        </w:tc>
        <w:tc>
          <w:tcPr>
            <w:tcW w:w="4153" w:type="dxa"/>
            <w:shd w:val="clear" w:color="auto" w:fill="C6D9F1"/>
            <w:vAlign w:val="center"/>
          </w:tcPr>
          <w:p w:rsidR="00660414" w:rsidRPr="002B1857" w:rsidRDefault="00660414" w:rsidP="007613DE">
            <w:pPr>
              <w:jc w:val="center"/>
              <w:rPr>
                <w:sz w:val="22"/>
                <w:szCs w:val="22"/>
              </w:rPr>
            </w:pPr>
            <w:r w:rsidRPr="002B1857">
              <w:rPr>
                <w:sz w:val="22"/>
                <w:szCs w:val="22"/>
              </w:rPr>
              <w:t>Terminal</w:t>
            </w:r>
          </w:p>
        </w:tc>
        <w:tc>
          <w:tcPr>
            <w:tcW w:w="1843" w:type="dxa"/>
            <w:shd w:val="clear" w:color="auto" w:fill="C6D9F1"/>
            <w:vAlign w:val="center"/>
          </w:tcPr>
          <w:p w:rsidR="00660414" w:rsidRPr="002B1857" w:rsidRDefault="00660414" w:rsidP="007613DE">
            <w:pPr>
              <w:jc w:val="center"/>
              <w:rPr>
                <w:sz w:val="22"/>
                <w:szCs w:val="22"/>
              </w:rPr>
            </w:pPr>
            <w:r w:rsidRPr="002B1857">
              <w:rPr>
                <w:sz w:val="22"/>
                <w:szCs w:val="22"/>
              </w:rPr>
              <w:t>Location</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1</w:t>
            </w:r>
          </w:p>
        </w:tc>
        <w:tc>
          <w:tcPr>
            <w:tcW w:w="4153" w:type="dxa"/>
            <w:vAlign w:val="center"/>
          </w:tcPr>
          <w:p w:rsidR="00660414" w:rsidRPr="002B1857" w:rsidRDefault="00660414" w:rsidP="007613DE">
            <w:pPr>
              <w:jc w:val="center"/>
              <w:rPr>
                <w:sz w:val="22"/>
                <w:szCs w:val="22"/>
              </w:rPr>
            </w:pPr>
            <w:r w:rsidRPr="002B1857">
              <w:rPr>
                <w:sz w:val="22"/>
                <w:szCs w:val="22"/>
              </w:rPr>
              <w:t>Europolis Park/Tibbett Logistics</w:t>
            </w:r>
          </w:p>
        </w:tc>
        <w:tc>
          <w:tcPr>
            <w:tcW w:w="1843" w:type="dxa"/>
            <w:vAlign w:val="center"/>
          </w:tcPr>
          <w:p w:rsidR="00660414" w:rsidRPr="002B1857" w:rsidRDefault="00660414" w:rsidP="007613DE">
            <w:pPr>
              <w:jc w:val="center"/>
              <w:rPr>
                <w:sz w:val="22"/>
                <w:szCs w:val="22"/>
              </w:rPr>
            </w:pPr>
            <w:r w:rsidRPr="002B1857">
              <w:rPr>
                <w:sz w:val="22"/>
                <w:szCs w:val="22"/>
              </w:rPr>
              <w:t>Bucharest</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2</w:t>
            </w:r>
          </w:p>
        </w:tc>
        <w:tc>
          <w:tcPr>
            <w:tcW w:w="4153" w:type="dxa"/>
            <w:vAlign w:val="center"/>
          </w:tcPr>
          <w:p w:rsidR="00660414" w:rsidRPr="002B1857" w:rsidRDefault="00660414" w:rsidP="007613DE">
            <w:pPr>
              <w:jc w:val="center"/>
              <w:rPr>
                <w:sz w:val="22"/>
                <w:szCs w:val="22"/>
              </w:rPr>
            </w:pPr>
            <w:r w:rsidRPr="002B1857">
              <w:rPr>
                <w:sz w:val="22"/>
                <w:szCs w:val="22"/>
              </w:rPr>
              <w:t>Comat Electro</w:t>
            </w:r>
          </w:p>
        </w:tc>
        <w:tc>
          <w:tcPr>
            <w:tcW w:w="1843" w:type="dxa"/>
            <w:vAlign w:val="center"/>
          </w:tcPr>
          <w:p w:rsidR="00660414" w:rsidRPr="002B1857" w:rsidRDefault="00660414" w:rsidP="007613DE">
            <w:pPr>
              <w:jc w:val="center"/>
              <w:rPr>
                <w:sz w:val="22"/>
                <w:szCs w:val="22"/>
              </w:rPr>
            </w:pPr>
            <w:r w:rsidRPr="002B1857">
              <w:rPr>
                <w:sz w:val="22"/>
                <w:szCs w:val="22"/>
              </w:rPr>
              <w:t>Bucharest</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3</w:t>
            </w:r>
          </w:p>
        </w:tc>
        <w:tc>
          <w:tcPr>
            <w:tcW w:w="4153" w:type="dxa"/>
            <w:vAlign w:val="center"/>
          </w:tcPr>
          <w:p w:rsidR="00660414" w:rsidRPr="002B1857" w:rsidRDefault="00660414" w:rsidP="007613DE">
            <w:pPr>
              <w:jc w:val="center"/>
              <w:rPr>
                <w:sz w:val="22"/>
                <w:szCs w:val="22"/>
              </w:rPr>
            </w:pPr>
            <w:r w:rsidRPr="002B1857">
              <w:rPr>
                <w:sz w:val="22"/>
                <w:szCs w:val="22"/>
              </w:rPr>
              <w:t>Parcul Industrial Faur</w:t>
            </w:r>
          </w:p>
        </w:tc>
        <w:tc>
          <w:tcPr>
            <w:tcW w:w="1843" w:type="dxa"/>
            <w:vAlign w:val="center"/>
          </w:tcPr>
          <w:p w:rsidR="00660414" w:rsidRPr="002B1857" w:rsidRDefault="00660414" w:rsidP="007613DE">
            <w:pPr>
              <w:jc w:val="center"/>
              <w:rPr>
                <w:sz w:val="22"/>
                <w:szCs w:val="22"/>
              </w:rPr>
            </w:pPr>
            <w:r w:rsidRPr="002B1857">
              <w:rPr>
                <w:sz w:val="22"/>
                <w:szCs w:val="22"/>
              </w:rPr>
              <w:t>Bucharest</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4</w:t>
            </w:r>
          </w:p>
        </w:tc>
        <w:tc>
          <w:tcPr>
            <w:tcW w:w="4153" w:type="dxa"/>
            <w:vAlign w:val="center"/>
          </w:tcPr>
          <w:p w:rsidR="00660414" w:rsidRPr="002B1857" w:rsidRDefault="00660414" w:rsidP="007613DE">
            <w:pPr>
              <w:jc w:val="center"/>
              <w:rPr>
                <w:sz w:val="22"/>
                <w:szCs w:val="22"/>
              </w:rPr>
            </w:pPr>
            <w:r w:rsidRPr="002B1857">
              <w:rPr>
                <w:sz w:val="22"/>
                <w:szCs w:val="22"/>
              </w:rPr>
              <w:t>Railport Arad</w:t>
            </w:r>
          </w:p>
        </w:tc>
        <w:tc>
          <w:tcPr>
            <w:tcW w:w="1843" w:type="dxa"/>
            <w:vAlign w:val="center"/>
          </w:tcPr>
          <w:p w:rsidR="00660414" w:rsidRPr="002B1857" w:rsidRDefault="00660414" w:rsidP="007613DE">
            <w:pPr>
              <w:jc w:val="center"/>
              <w:rPr>
                <w:sz w:val="22"/>
                <w:szCs w:val="22"/>
              </w:rPr>
            </w:pPr>
            <w:r w:rsidRPr="002B1857">
              <w:rPr>
                <w:sz w:val="22"/>
                <w:szCs w:val="22"/>
              </w:rPr>
              <w:t>Arad</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5</w:t>
            </w:r>
          </w:p>
        </w:tc>
        <w:tc>
          <w:tcPr>
            <w:tcW w:w="4153" w:type="dxa"/>
            <w:vAlign w:val="center"/>
          </w:tcPr>
          <w:p w:rsidR="00660414" w:rsidRPr="002B1857" w:rsidRDefault="00660414" w:rsidP="007613DE">
            <w:pPr>
              <w:jc w:val="center"/>
              <w:rPr>
                <w:sz w:val="22"/>
                <w:szCs w:val="22"/>
              </w:rPr>
            </w:pPr>
            <w:r w:rsidRPr="002B1857">
              <w:rPr>
                <w:sz w:val="22"/>
                <w:szCs w:val="22"/>
              </w:rPr>
              <w:t>Trade Trans Terminal</w:t>
            </w:r>
          </w:p>
        </w:tc>
        <w:tc>
          <w:tcPr>
            <w:tcW w:w="1843" w:type="dxa"/>
            <w:vAlign w:val="center"/>
          </w:tcPr>
          <w:p w:rsidR="00660414" w:rsidRPr="002B1857" w:rsidRDefault="00660414" w:rsidP="007613DE">
            <w:pPr>
              <w:jc w:val="center"/>
              <w:rPr>
                <w:sz w:val="22"/>
                <w:szCs w:val="22"/>
              </w:rPr>
            </w:pPr>
            <w:r w:rsidRPr="002B1857">
              <w:rPr>
                <w:sz w:val="22"/>
                <w:szCs w:val="22"/>
              </w:rPr>
              <w:t>Arad</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6</w:t>
            </w:r>
          </w:p>
        </w:tc>
        <w:tc>
          <w:tcPr>
            <w:tcW w:w="4153" w:type="dxa"/>
            <w:vAlign w:val="center"/>
          </w:tcPr>
          <w:p w:rsidR="00660414" w:rsidRPr="002B1857" w:rsidRDefault="00660414" w:rsidP="007613DE">
            <w:pPr>
              <w:jc w:val="center"/>
              <w:rPr>
                <w:sz w:val="22"/>
                <w:szCs w:val="22"/>
              </w:rPr>
            </w:pPr>
            <w:r w:rsidRPr="002B1857">
              <w:rPr>
                <w:sz w:val="22"/>
                <w:szCs w:val="22"/>
              </w:rPr>
              <w:t>DB Schenker Romtrans SA</w:t>
            </w:r>
          </w:p>
        </w:tc>
        <w:tc>
          <w:tcPr>
            <w:tcW w:w="1843" w:type="dxa"/>
            <w:vAlign w:val="center"/>
          </w:tcPr>
          <w:p w:rsidR="00660414" w:rsidRPr="002B1857" w:rsidRDefault="00660414" w:rsidP="007613DE">
            <w:pPr>
              <w:jc w:val="center"/>
              <w:rPr>
                <w:sz w:val="22"/>
                <w:szCs w:val="22"/>
              </w:rPr>
            </w:pPr>
            <w:r w:rsidRPr="002B1857">
              <w:rPr>
                <w:sz w:val="22"/>
                <w:szCs w:val="22"/>
              </w:rPr>
              <w:t>Arad</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sidRPr="002B1857">
              <w:rPr>
                <w:sz w:val="22"/>
                <w:szCs w:val="22"/>
              </w:rPr>
              <w:t>7</w:t>
            </w:r>
          </w:p>
        </w:tc>
        <w:tc>
          <w:tcPr>
            <w:tcW w:w="4153" w:type="dxa"/>
            <w:vAlign w:val="center"/>
          </w:tcPr>
          <w:p w:rsidR="00660414" w:rsidRPr="002B1857" w:rsidRDefault="00660414" w:rsidP="007613DE">
            <w:pPr>
              <w:jc w:val="center"/>
              <w:rPr>
                <w:sz w:val="22"/>
                <w:szCs w:val="22"/>
              </w:rPr>
            </w:pPr>
            <w:r w:rsidRPr="002B1857">
              <w:rPr>
                <w:sz w:val="22"/>
                <w:szCs w:val="22"/>
              </w:rPr>
              <w:t>DB Schenker Romtrans SA</w:t>
            </w:r>
          </w:p>
        </w:tc>
        <w:tc>
          <w:tcPr>
            <w:tcW w:w="1843" w:type="dxa"/>
            <w:vAlign w:val="center"/>
          </w:tcPr>
          <w:p w:rsidR="00660414" w:rsidRPr="002B1857" w:rsidRDefault="00660414" w:rsidP="007613DE">
            <w:pPr>
              <w:jc w:val="center"/>
              <w:rPr>
                <w:sz w:val="22"/>
                <w:szCs w:val="22"/>
              </w:rPr>
            </w:pPr>
            <w:r w:rsidRPr="002B1857">
              <w:rPr>
                <w:sz w:val="22"/>
                <w:szCs w:val="22"/>
              </w:rPr>
              <w:t>Iasi</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Pr>
                <w:sz w:val="22"/>
                <w:szCs w:val="22"/>
              </w:rPr>
              <w:t>8</w:t>
            </w:r>
          </w:p>
        </w:tc>
        <w:tc>
          <w:tcPr>
            <w:tcW w:w="4153" w:type="dxa"/>
            <w:vAlign w:val="center"/>
          </w:tcPr>
          <w:p w:rsidR="00660414" w:rsidRPr="002B1857" w:rsidRDefault="00660414" w:rsidP="007613DE">
            <w:pPr>
              <w:jc w:val="center"/>
              <w:rPr>
                <w:sz w:val="22"/>
                <w:szCs w:val="22"/>
              </w:rPr>
            </w:pPr>
            <w:r w:rsidRPr="002B1857">
              <w:rPr>
                <w:sz w:val="22"/>
                <w:szCs w:val="22"/>
              </w:rPr>
              <w:t>DB Schenker Romtrans SA</w:t>
            </w:r>
          </w:p>
        </w:tc>
        <w:tc>
          <w:tcPr>
            <w:tcW w:w="1843" w:type="dxa"/>
            <w:vAlign w:val="center"/>
          </w:tcPr>
          <w:p w:rsidR="00660414" w:rsidRPr="002B1857" w:rsidRDefault="00660414" w:rsidP="007613DE">
            <w:pPr>
              <w:jc w:val="center"/>
              <w:rPr>
                <w:sz w:val="22"/>
                <w:szCs w:val="22"/>
              </w:rPr>
            </w:pPr>
            <w:r w:rsidRPr="002B1857">
              <w:rPr>
                <w:sz w:val="22"/>
                <w:szCs w:val="22"/>
              </w:rPr>
              <w:t>Oradea</w:t>
            </w:r>
          </w:p>
        </w:tc>
      </w:tr>
      <w:tr w:rsidR="00660414" w:rsidRPr="002B1857" w:rsidTr="007613DE">
        <w:trPr>
          <w:trHeight w:hRule="exact" w:val="454"/>
        </w:trPr>
        <w:tc>
          <w:tcPr>
            <w:tcW w:w="936" w:type="dxa"/>
            <w:vAlign w:val="center"/>
          </w:tcPr>
          <w:p w:rsidR="00660414" w:rsidRPr="002B1857" w:rsidRDefault="00660414" w:rsidP="007613DE">
            <w:pPr>
              <w:jc w:val="center"/>
              <w:rPr>
                <w:sz w:val="22"/>
                <w:szCs w:val="22"/>
              </w:rPr>
            </w:pPr>
            <w:r>
              <w:rPr>
                <w:sz w:val="22"/>
                <w:szCs w:val="22"/>
              </w:rPr>
              <w:t>9</w:t>
            </w:r>
          </w:p>
        </w:tc>
        <w:tc>
          <w:tcPr>
            <w:tcW w:w="4153" w:type="dxa"/>
            <w:vAlign w:val="center"/>
          </w:tcPr>
          <w:p w:rsidR="00660414" w:rsidRPr="002B1857" w:rsidRDefault="00660414" w:rsidP="007613DE">
            <w:pPr>
              <w:jc w:val="center"/>
              <w:rPr>
                <w:sz w:val="22"/>
                <w:szCs w:val="22"/>
              </w:rPr>
            </w:pPr>
            <w:r w:rsidRPr="002B1857">
              <w:rPr>
                <w:sz w:val="22"/>
                <w:szCs w:val="22"/>
              </w:rPr>
              <w:t>Allianso Group</w:t>
            </w:r>
          </w:p>
        </w:tc>
        <w:tc>
          <w:tcPr>
            <w:tcW w:w="1843" w:type="dxa"/>
            <w:vAlign w:val="center"/>
          </w:tcPr>
          <w:p w:rsidR="00660414" w:rsidRPr="002B1857" w:rsidRDefault="00660414" w:rsidP="007613DE">
            <w:pPr>
              <w:jc w:val="center"/>
              <w:rPr>
                <w:sz w:val="22"/>
                <w:szCs w:val="22"/>
              </w:rPr>
            </w:pPr>
            <w:r w:rsidRPr="002B1857">
              <w:rPr>
                <w:sz w:val="22"/>
                <w:szCs w:val="22"/>
              </w:rPr>
              <w:t>Ploiesti</w:t>
            </w:r>
          </w:p>
        </w:tc>
      </w:tr>
    </w:tbl>
    <w:p w:rsidR="00660414" w:rsidRPr="00B774D9" w:rsidRDefault="00660414" w:rsidP="00660414">
      <w:pPr>
        <w:pStyle w:val="Frspaiere1"/>
        <w:ind w:left="851"/>
        <w:rPr>
          <w:rFonts w:ascii="Arial" w:hAnsi="Arial" w:cs="Arial"/>
          <w:i/>
          <w:sz w:val="20"/>
          <w:szCs w:val="18"/>
        </w:rPr>
      </w:pPr>
      <w:r w:rsidRPr="002E1E5F">
        <w:rPr>
          <w:rFonts w:ascii="Arial" w:hAnsi="Arial" w:cs="Arial"/>
          <w:i/>
          <w:sz w:val="20"/>
          <w:szCs w:val="18"/>
        </w:rPr>
        <w:t>Source: AECOM Analysis</w:t>
      </w:r>
    </w:p>
    <w:p w:rsidR="00660414" w:rsidRDefault="00660414" w:rsidP="00660414">
      <w:pPr>
        <w:spacing w:line="276" w:lineRule="auto"/>
        <w:rPr>
          <w:sz w:val="22"/>
          <w:szCs w:val="22"/>
        </w:rPr>
      </w:pPr>
    </w:p>
    <w:p w:rsidR="00660414" w:rsidRPr="00927241" w:rsidRDefault="00660414" w:rsidP="00A4081F">
      <w:pPr>
        <w:pStyle w:val="NumberedParas"/>
      </w:pPr>
      <w:r>
        <w:t>Some of these terminals</w:t>
      </w:r>
      <w:r w:rsidRPr="00011E58">
        <w:t xml:space="preserve"> </w:t>
      </w:r>
      <w:r>
        <w:t xml:space="preserve">are linked to specific industrial sites or production chains and so are not suitable for further consideration in this report. Others offer the opportunity for open access intermodal use, and where this is he case (such as at Arad, Bucharest and Ploiesti) we have factored the capacity of these terminals into the development of the masterplan. </w:t>
      </w:r>
    </w:p>
    <w:p w:rsidR="00660414" w:rsidRPr="000A76BD" w:rsidRDefault="00660414" w:rsidP="00660414">
      <w:pPr>
        <w:spacing w:line="276" w:lineRule="auto"/>
        <w:rPr>
          <w:sz w:val="22"/>
          <w:szCs w:val="22"/>
        </w:rPr>
      </w:pPr>
    </w:p>
    <w:p w:rsidR="00660414" w:rsidRPr="000A76BD" w:rsidRDefault="00660414" w:rsidP="00660414">
      <w:pPr>
        <w:spacing w:line="276" w:lineRule="auto"/>
        <w:rPr>
          <w:sz w:val="22"/>
          <w:szCs w:val="22"/>
        </w:rPr>
        <w:sectPr w:rsidR="00660414" w:rsidRPr="000A76BD" w:rsidSect="00933C17">
          <w:headerReference w:type="default" r:id="rId308"/>
          <w:pgSz w:w="11907" w:h="16840" w:code="9"/>
          <w:pgMar w:top="1418" w:right="709" w:bottom="1418" w:left="907" w:header="357" w:footer="567" w:gutter="0"/>
          <w:cols w:space="187"/>
          <w:docGrid w:linePitch="360"/>
        </w:sectPr>
      </w:pPr>
    </w:p>
    <w:p w:rsidR="00660414" w:rsidRPr="000A76BD" w:rsidRDefault="00660414" w:rsidP="00660414">
      <w:pPr>
        <w:spacing w:line="276" w:lineRule="auto"/>
        <w:rPr>
          <w:sz w:val="22"/>
          <w:szCs w:val="22"/>
        </w:rPr>
      </w:pPr>
      <w:r w:rsidRPr="002E1E5F">
        <w:rPr>
          <w:sz w:val="22"/>
          <w:szCs w:val="22"/>
        </w:rPr>
        <w:t>\</w:t>
      </w:r>
    </w:p>
    <w:p w:rsidR="00660414" w:rsidRPr="000A76BD" w:rsidRDefault="00660414" w:rsidP="00660414">
      <w:pPr>
        <w:spacing w:line="276" w:lineRule="auto"/>
        <w:rPr>
          <w:sz w:val="22"/>
          <w:szCs w:val="22"/>
        </w:rPr>
      </w:pPr>
      <w:r w:rsidRPr="008C5B1B">
        <w:rPr>
          <w:noProof/>
          <w:sz w:val="22"/>
          <w:szCs w:val="22"/>
          <w:lang w:val="ro-RO" w:eastAsia="ro-RO"/>
        </w:rPr>
        <w:drawing>
          <wp:inline distT="0" distB="0" distL="0" distR="0" wp14:anchorId="62C3C7BC" wp14:editId="0BD25C3B">
            <wp:extent cx="8890370" cy="5486400"/>
            <wp:effectExtent l="19050" t="0" r="5980" b="0"/>
            <wp:docPr id="219" name="Picture 1" descr="C:\Documents and Settings\stroumtsasi\Desktop\Ports and Termi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roumtsasi\Desktop\Ports and Terminals.JPG"/>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8892540" cy="5487739"/>
                    </a:xfrm>
                    <a:prstGeom prst="rect">
                      <a:avLst/>
                    </a:prstGeom>
                    <a:noFill/>
                    <a:ln w="9525">
                      <a:noFill/>
                      <a:miter lim="800000"/>
                      <a:headEnd/>
                      <a:tailEnd/>
                    </a:ln>
                  </pic:spPr>
                </pic:pic>
              </a:graphicData>
            </a:graphic>
          </wp:inline>
        </w:drawing>
      </w:r>
    </w:p>
    <w:p w:rsidR="00660414" w:rsidRPr="000A76BD" w:rsidRDefault="00660414" w:rsidP="00660414">
      <w:pPr>
        <w:spacing w:line="276" w:lineRule="auto"/>
        <w:rPr>
          <w:b/>
          <w:sz w:val="22"/>
          <w:szCs w:val="22"/>
        </w:rPr>
      </w:pPr>
      <w:r w:rsidRPr="002E1E5F">
        <w:rPr>
          <w:b/>
          <w:sz w:val="22"/>
          <w:szCs w:val="22"/>
        </w:rPr>
        <w:t>Figure 8.5 – Location of Publicly and Privately Operated Ports and Terminals in Romania</w:t>
      </w:r>
    </w:p>
    <w:p w:rsidR="00660414" w:rsidRPr="000A76BD" w:rsidRDefault="00660414" w:rsidP="00660414">
      <w:pPr>
        <w:spacing w:line="276" w:lineRule="auto"/>
        <w:rPr>
          <w:sz w:val="22"/>
          <w:szCs w:val="22"/>
        </w:rPr>
      </w:pPr>
      <w:r w:rsidRPr="002E1E5F">
        <w:rPr>
          <w:i/>
          <w:sz w:val="22"/>
          <w:szCs w:val="22"/>
        </w:rPr>
        <w:t>Source: AECOM Analysis</w:t>
      </w:r>
    </w:p>
    <w:p w:rsidR="00660414" w:rsidRPr="000A76BD" w:rsidRDefault="00660414" w:rsidP="00660414">
      <w:pPr>
        <w:spacing w:line="276" w:lineRule="auto"/>
        <w:rPr>
          <w:sz w:val="22"/>
          <w:szCs w:val="22"/>
        </w:rPr>
      </w:pPr>
    </w:p>
    <w:p w:rsidR="00660414" w:rsidRPr="000A76BD" w:rsidRDefault="00660414" w:rsidP="00660414">
      <w:pPr>
        <w:spacing w:line="276" w:lineRule="auto"/>
        <w:rPr>
          <w:sz w:val="22"/>
          <w:szCs w:val="22"/>
        </w:rPr>
        <w:sectPr w:rsidR="00660414" w:rsidRPr="000A76BD" w:rsidSect="00271B61">
          <w:pgSz w:w="16840" w:h="11907" w:orient="landscape" w:code="9"/>
          <w:pgMar w:top="907" w:right="1418" w:bottom="709" w:left="1418" w:header="357" w:footer="567" w:gutter="0"/>
          <w:cols w:space="187"/>
          <w:docGrid w:linePitch="360"/>
        </w:sectPr>
      </w:pPr>
    </w:p>
    <w:p w:rsidR="00660414" w:rsidRPr="000A76BD" w:rsidRDefault="00660414" w:rsidP="00660414">
      <w:pPr>
        <w:spacing w:line="276" w:lineRule="auto"/>
        <w:ind w:firstLine="851"/>
        <w:rPr>
          <w:sz w:val="22"/>
          <w:szCs w:val="22"/>
        </w:rPr>
      </w:pPr>
      <w:r w:rsidRPr="008C5B1B">
        <w:rPr>
          <w:noProof/>
          <w:sz w:val="22"/>
          <w:szCs w:val="22"/>
          <w:lang w:val="ro-RO" w:eastAsia="ro-RO"/>
        </w:rPr>
        <w:drawing>
          <wp:inline distT="0" distB="0" distL="0" distR="0" wp14:anchorId="2028EA40" wp14:editId="5CAF502C">
            <wp:extent cx="3619500" cy="2705100"/>
            <wp:effectExtent l="19050" t="0" r="0" b="0"/>
            <wp:docPr id="220" name="Picture 6" descr="C:\Users\clarkegj\Pictures\2012-05-24 romania may 2012\romania may 2012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rkegj\Pictures\2012-05-24 romania may 2012\romania may 2012 081.JPG"/>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3619500" cy="2705100"/>
                    </a:xfrm>
                    <a:prstGeom prst="rect">
                      <a:avLst/>
                    </a:prstGeom>
                    <a:noFill/>
                    <a:ln w="9525">
                      <a:noFill/>
                      <a:miter lim="800000"/>
                      <a:headEnd/>
                      <a:tailEnd/>
                    </a:ln>
                  </pic:spPr>
                </pic:pic>
              </a:graphicData>
            </a:graphic>
          </wp:inline>
        </w:drawing>
      </w:r>
    </w:p>
    <w:p w:rsidR="00660414" w:rsidRPr="000A76BD" w:rsidRDefault="00660414" w:rsidP="00660414">
      <w:pPr>
        <w:pStyle w:val="Body"/>
        <w:ind w:left="851"/>
        <w:rPr>
          <w:rFonts w:cs="Arial"/>
          <w:b/>
          <w:i w:val="0"/>
        </w:rPr>
      </w:pPr>
      <w:r w:rsidRPr="002E1E5F">
        <w:rPr>
          <w:rFonts w:cs="Arial"/>
          <w:b/>
          <w:i w:val="0"/>
        </w:rPr>
        <w:t>Figure 8.6 A view of many rail sidings at the Port of Constanta</w:t>
      </w:r>
    </w:p>
    <w:p w:rsidR="00660414" w:rsidRPr="000A76BD" w:rsidRDefault="00660414" w:rsidP="00A4081F">
      <w:pPr>
        <w:pStyle w:val="NumberedParas"/>
      </w:pPr>
      <w:r w:rsidRPr="002E1E5F">
        <w:t>The table below shows the number of containers handled by CFR Marfă in terms of Unitati de Transport Intermodal (UTI) at its terminals in 2011.</w:t>
      </w:r>
    </w:p>
    <w:p w:rsidR="00660414" w:rsidRPr="000A76BD" w:rsidRDefault="00660414" w:rsidP="00660414">
      <w:pPr>
        <w:pStyle w:val="Body"/>
        <w:spacing w:before="120" w:after="120"/>
        <w:ind w:left="851"/>
        <w:rPr>
          <w:rFonts w:cs="Arial"/>
          <w:b/>
          <w:i w:val="0"/>
        </w:rPr>
      </w:pPr>
      <w:r w:rsidRPr="002E1E5F">
        <w:rPr>
          <w:rFonts w:cs="Arial"/>
          <w:b/>
          <w:i w:val="0"/>
        </w:rPr>
        <w:t>Table 8.</w:t>
      </w:r>
      <w:r>
        <w:rPr>
          <w:rFonts w:cs="Arial"/>
          <w:b/>
          <w:i w:val="0"/>
        </w:rPr>
        <w:t>6</w:t>
      </w:r>
      <w:r w:rsidRPr="002E1E5F">
        <w:rPr>
          <w:rFonts w:cs="Arial"/>
          <w:b/>
          <w:i w:val="0"/>
        </w:rPr>
        <w:t xml:space="preserve"> Containers handled (UTI) in terminals owned by CFR Marfă, 2011</w:t>
      </w:r>
    </w:p>
    <w:tbl>
      <w:tblPr>
        <w:tblW w:w="0" w:type="auto"/>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2906"/>
        <w:gridCol w:w="3090"/>
      </w:tblGrid>
      <w:tr w:rsidR="00660414" w:rsidRPr="000A76BD" w:rsidTr="007613DE">
        <w:tc>
          <w:tcPr>
            <w:tcW w:w="916" w:type="dxa"/>
            <w:shd w:val="clear" w:color="auto" w:fill="C6D9F1"/>
            <w:vAlign w:val="center"/>
          </w:tcPr>
          <w:p w:rsidR="00660414" w:rsidRPr="000A76BD" w:rsidRDefault="00660414" w:rsidP="007613DE">
            <w:pPr>
              <w:spacing w:line="276" w:lineRule="auto"/>
              <w:jc w:val="center"/>
              <w:rPr>
                <w:sz w:val="22"/>
                <w:szCs w:val="22"/>
              </w:rPr>
            </w:pPr>
            <w:r w:rsidRPr="002E1E5F">
              <w:rPr>
                <w:sz w:val="22"/>
                <w:szCs w:val="22"/>
              </w:rPr>
              <w:t>No</w:t>
            </w:r>
          </w:p>
        </w:tc>
        <w:tc>
          <w:tcPr>
            <w:tcW w:w="2906" w:type="dxa"/>
            <w:shd w:val="clear" w:color="auto" w:fill="C6D9F1"/>
            <w:vAlign w:val="center"/>
          </w:tcPr>
          <w:p w:rsidR="00660414" w:rsidRPr="000A76BD" w:rsidRDefault="00660414" w:rsidP="007613DE">
            <w:pPr>
              <w:spacing w:line="276" w:lineRule="auto"/>
              <w:jc w:val="center"/>
              <w:rPr>
                <w:sz w:val="22"/>
                <w:szCs w:val="22"/>
              </w:rPr>
            </w:pPr>
            <w:r w:rsidRPr="002E1E5F">
              <w:rPr>
                <w:sz w:val="22"/>
                <w:szCs w:val="22"/>
              </w:rPr>
              <w:t>Name of container terminal</w:t>
            </w:r>
          </w:p>
        </w:tc>
        <w:tc>
          <w:tcPr>
            <w:tcW w:w="3090" w:type="dxa"/>
            <w:shd w:val="clear" w:color="auto" w:fill="C6D9F1"/>
            <w:vAlign w:val="center"/>
          </w:tcPr>
          <w:p w:rsidR="00660414" w:rsidRPr="000A76BD" w:rsidRDefault="00660414" w:rsidP="007613DE">
            <w:pPr>
              <w:spacing w:line="276" w:lineRule="auto"/>
              <w:jc w:val="center"/>
              <w:rPr>
                <w:sz w:val="22"/>
                <w:szCs w:val="22"/>
              </w:rPr>
            </w:pPr>
            <w:r w:rsidRPr="002E1E5F">
              <w:rPr>
                <w:sz w:val="22"/>
                <w:szCs w:val="22"/>
              </w:rPr>
              <w:t>containers handled(UTI)</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Bucurestii Noi</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1,804</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2</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Bucurestii Titan</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360</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3</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Ploiesti Crang</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4,192</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4</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Bradu de Sus</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1,308</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5</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Bujoreni Valcea</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564</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6</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Semenic</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324</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7</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Cluj Napoca Est</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1,412</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8</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Oradea Est</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72</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9</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Turda</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1,780</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10</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Zalau</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1,720</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11</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Brasov Triaj</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3,900</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12</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Medias</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72</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13</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Socola Marfuri</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60</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14</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Suceava</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2,732</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15</w:t>
            </w:r>
          </w:p>
        </w:tc>
        <w:tc>
          <w:tcPr>
            <w:tcW w:w="2906" w:type="dxa"/>
            <w:vAlign w:val="center"/>
          </w:tcPr>
          <w:p w:rsidR="00660414" w:rsidRPr="000A76BD" w:rsidRDefault="00660414" w:rsidP="007613DE">
            <w:pPr>
              <w:spacing w:line="276" w:lineRule="auto"/>
              <w:jc w:val="center"/>
              <w:rPr>
                <w:sz w:val="22"/>
                <w:szCs w:val="22"/>
              </w:rPr>
            </w:pPr>
            <w:r w:rsidRPr="002E1E5F">
              <w:rPr>
                <w:sz w:val="22"/>
                <w:szCs w:val="22"/>
              </w:rPr>
              <w:t>Bacau</w:t>
            </w: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1,604</w:t>
            </w:r>
          </w:p>
        </w:tc>
      </w:tr>
      <w:tr w:rsidR="00660414" w:rsidRPr="000A76BD" w:rsidTr="007613DE">
        <w:tc>
          <w:tcPr>
            <w:tcW w:w="916" w:type="dxa"/>
            <w:vAlign w:val="center"/>
          </w:tcPr>
          <w:p w:rsidR="00660414" w:rsidRPr="000A76BD" w:rsidRDefault="00660414" w:rsidP="007613DE">
            <w:pPr>
              <w:spacing w:line="276" w:lineRule="auto"/>
              <w:jc w:val="center"/>
              <w:rPr>
                <w:sz w:val="22"/>
                <w:szCs w:val="22"/>
              </w:rPr>
            </w:pPr>
            <w:r w:rsidRPr="002E1E5F">
              <w:rPr>
                <w:sz w:val="22"/>
                <w:szCs w:val="22"/>
              </w:rPr>
              <w:t>Total</w:t>
            </w:r>
          </w:p>
        </w:tc>
        <w:tc>
          <w:tcPr>
            <w:tcW w:w="2906" w:type="dxa"/>
            <w:vAlign w:val="center"/>
          </w:tcPr>
          <w:p w:rsidR="00660414" w:rsidRPr="000A76BD" w:rsidRDefault="00660414" w:rsidP="007613DE">
            <w:pPr>
              <w:spacing w:line="276" w:lineRule="auto"/>
              <w:jc w:val="center"/>
              <w:rPr>
                <w:sz w:val="22"/>
                <w:szCs w:val="22"/>
              </w:rPr>
            </w:pPr>
          </w:p>
        </w:tc>
        <w:tc>
          <w:tcPr>
            <w:tcW w:w="3090" w:type="dxa"/>
            <w:vAlign w:val="center"/>
          </w:tcPr>
          <w:p w:rsidR="00660414" w:rsidRPr="000A76BD" w:rsidRDefault="00660414" w:rsidP="007613DE">
            <w:pPr>
              <w:spacing w:line="276" w:lineRule="auto"/>
              <w:jc w:val="center"/>
              <w:rPr>
                <w:sz w:val="22"/>
                <w:szCs w:val="22"/>
              </w:rPr>
            </w:pPr>
            <w:r w:rsidRPr="002E1E5F">
              <w:rPr>
                <w:sz w:val="22"/>
                <w:szCs w:val="22"/>
              </w:rPr>
              <w:t>21,904</w:t>
            </w:r>
          </w:p>
        </w:tc>
      </w:tr>
    </w:tbl>
    <w:p w:rsidR="00660414" w:rsidRPr="000A76BD" w:rsidRDefault="00660414" w:rsidP="00660414">
      <w:pPr>
        <w:pStyle w:val="Frspaiere1"/>
        <w:ind w:left="851"/>
        <w:rPr>
          <w:rFonts w:ascii="Arial" w:hAnsi="Arial" w:cs="Arial"/>
          <w:i/>
        </w:rPr>
      </w:pPr>
      <w:r w:rsidRPr="002E1E5F">
        <w:rPr>
          <w:rFonts w:ascii="Arial" w:hAnsi="Arial" w:cs="Arial"/>
          <w:i/>
        </w:rPr>
        <w:t>Source: CFR Marfă Data</w:t>
      </w:r>
    </w:p>
    <w:p w:rsidR="00660414" w:rsidRPr="000A76BD" w:rsidRDefault="00660414" w:rsidP="00A4081F">
      <w:pPr>
        <w:pStyle w:val="NumberedParas"/>
      </w:pPr>
      <w:r w:rsidRPr="002E1E5F">
        <w:t>The figures above show that 21,904 containers were handled at CFR Marfa depots, of which 4,192 were at Ploiesti Crang which is now reported to be inactive. Although the information did not give origins and destinations of the containers nor whether they were 20’ or 40’ boxes the above volumes only represent about 4% of the volume handled at Constanta. Therefore we have used the raw data of commodities on trains provided by CFR Marfă to establish the volume and flows of containers both empty and full on their trains in 2011. Our estimate is that the majority of containers moved by CFR Marfă are to or from industrial customers at their own private terminals. This represents around 19% of the volume handled at Constanta.</w:t>
      </w:r>
    </w:p>
    <w:p w:rsidR="00660414" w:rsidRPr="000A76BD" w:rsidRDefault="00660414" w:rsidP="00660414">
      <w:pPr>
        <w:pStyle w:val="Body"/>
        <w:spacing w:before="120" w:after="120"/>
        <w:ind w:left="851"/>
        <w:rPr>
          <w:rFonts w:cs="Arial"/>
          <w:b/>
          <w:i w:val="0"/>
        </w:rPr>
      </w:pPr>
      <w:r w:rsidRPr="002E1E5F">
        <w:rPr>
          <w:rFonts w:cs="Arial"/>
          <w:b/>
          <w:i w:val="0"/>
        </w:rPr>
        <w:t>Table 8.</w:t>
      </w:r>
      <w:r>
        <w:rPr>
          <w:rFonts w:cs="Arial"/>
          <w:b/>
          <w:i w:val="0"/>
        </w:rPr>
        <w:t>7</w:t>
      </w:r>
      <w:r w:rsidRPr="002E1E5F">
        <w:rPr>
          <w:rFonts w:cs="Arial"/>
          <w:b/>
          <w:i w:val="0"/>
        </w:rPr>
        <w:t xml:space="preserve"> Top 20 Rail Container Movements in Romania by CFR Marfă by tonnage</w:t>
      </w:r>
    </w:p>
    <w:tbl>
      <w:tblPr>
        <w:tblW w:w="781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962"/>
        <w:gridCol w:w="2268"/>
        <w:gridCol w:w="2410"/>
        <w:gridCol w:w="1418"/>
      </w:tblGrid>
      <w:tr w:rsidR="00660414" w:rsidRPr="000A76BD" w:rsidTr="007613DE">
        <w:trPr>
          <w:trHeight w:val="255"/>
        </w:trPr>
        <w:tc>
          <w:tcPr>
            <w:tcW w:w="754" w:type="dxa"/>
            <w:shd w:val="clear" w:color="auto" w:fill="C6D9F1"/>
            <w:vAlign w:val="center"/>
          </w:tcPr>
          <w:p w:rsidR="00660414" w:rsidRPr="000A76BD" w:rsidRDefault="00660414" w:rsidP="007613DE">
            <w:pPr>
              <w:jc w:val="center"/>
              <w:rPr>
                <w:sz w:val="22"/>
                <w:szCs w:val="22"/>
                <w:lang w:eastAsia="en-GB"/>
              </w:rPr>
            </w:pPr>
            <w:r w:rsidRPr="002E1E5F">
              <w:rPr>
                <w:sz w:val="22"/>
                <w:szCs w:val="22"/>
                <w:lang w:eastAsia="en-GB"/>
              </w:rPr>
              <w:t>Rank</w:t>
            </w:r>
          </w:p>
        </w:tc>
        <w:tc>
          <w:tcPr>
            <w:tcW w:w="962" w:type="dxa"/>
            <w:shd w:val="clear" w:color="auto" w:fill="C6D9F1"/>
            <w:noWrap/>
            <w:vAlign w:val="center"/>
            <w:hideMark/>
          </w:tcPr>
          <w:p w:rsidR="00660414" w:rsidRPr="000A76BD" w:rsidRDefault="00660414" w:rsidP="007613DE">
            <w:pPr>
              <w:jc w:val="center"/>
              <w:rPr>
                <w:sz w:val="22"/>
                <w:szCs w:val="22"/>
                <w:lang w:eastAsia="en-GB"/>
              </w:rPr>
            </w:pPr>
            <w:r w:rsidRPr="002E1E5F">
              <w:rPr>
                <w:sz w:val="22"/>
                <w:szCs w:val="22"/>
                <w:lang w:eastAsia="en-GB"/>
              </w:rPr>
              <w:t>Region</w:t>
            </w:r>
          </w:p>
        </w:tc>
        <w:tc>
          <w:tcPr>
            <w:tcW w:w="2268" w:type="dxa"/>
            <w:shd w:val="clear" w:color="auto" w:fill="C6D9F1"/>
            <w:noWrap/>
            <w:vAlign w:val="center"/>
            <w:hideMark/>
          </w:tcPr>
          <w:p w:rsidR="00660414" w:rsidRPr="000A76BD" w:rsidRDefault="00660414" w:rsidP="007613DE">
            <w:pPr>
              <w:jc w:val="center"/>
              <w:rPr>
                <w:sz w:val="22"/>
                <w:szCs w:val="22"/>
                <w:lang w:eastAsia="en-GB"/>
              </w:rPr>
            </w:pPr>
            <w:r w:rsidRPr="002E1E5F">
              <w:rPr>
                <w:sz w:val="22"/>
                <w:szCs w:val="22"/>
                <w:lang w:eastAsia="en-GB"/>
              </w:rPr>
              <w:t>Origin</w:t>
            </w:r>
          </w:p>
        </w:tc>
        <w:tc>
          <w:tcPr>
            <w:tcW w:w="2410" w:type="dxa"/>
            <w:shd w:val="clear" w:color="auto" w:fill="C6D9F1"/>
            <w:noWrap/>
            <w:vAlign w:val="center"/>
            <w:hideMark/>
          </w:tcPr>
          <w:p w:rsidR="00660414" w:rsidRPr="000A76BD" w:rsidRDefault="00660414" w:rsidP="007613DE">
            <w:pPr>
              <w:jc w:val="center"/>
              <w:rPr>
                <w:sz w:val="22"/>
                <w:szCs w:val="22"/>
                <w:lang w:eastAsia="en-GB"/>
              </w:rPr>
            </w:pPr>
            <w:r w:rsidRPr="002E1E5F">
              <w:rPr>
                <w:sz w:val="22"/>
                <w:szCs w:val="22"/>
                <w:lang w:eastAsia="en-GB"/>
              </w:rPr>
              <w:t>Destination</w:t>
            </w:r>
          </w:p>
        </w:tc>
        <w:tc>
          <w:tcPr>
            <w:tcW w:w="1418" w:type="dxa"/>
            <w:shd w:val="clear" w:color="auto" w:fill="C6D9F1"/>
            <w:noWrap/>
            <w:vAlign w:val="center"/>
            <w:hideMark/>
          </w:tcPr>
          <w:p w:rsidR="00660414" w:rsidRPr="000A76BD" w:rsidRDefault="00660414" w:rsidP="007613DE">
            <w:pPr>
              <w:jc w:val="center"/>
              <w:rPr>
                <w:sz w:val="22"/>
                <w:szCs w:val="22"/>
                <w:lang w:eastAsia="en-GB"/>
              </w:rPr>
            </w:pPr>
            <w:r w:rsidRPr="002E1E5F">
              <w:rPr>
                <w:sz w:val="22"/>
                <w:szCs w:val="22"/>
                <w:lang w:eastAsia="en-GB"/>
              </w:rPr>
              <w:t>Total</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5</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VINTU DE JOS</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362,384</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2</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6</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DORNESTI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231,047</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3</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GOVORA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83,022</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4</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5</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VINTU DE JOS</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CURTICI</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75,981</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5</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5</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BRASOV TRIAJ</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62,499</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6</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1</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PLOIESTI CRING</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61,701</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7</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CIUMESTI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71,648</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8</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6</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DORNESTI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CURTICI</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52,436</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9</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4</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POIENI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DILGA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43,528</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10</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8</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BUCURESTI</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57,078</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11</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1</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BUCURESTI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STAMORA MORAV.</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64,714</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12</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6</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BACAU</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43,058</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13</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3</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CURTICI</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CURTICI</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35,337</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14</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7</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SUCEAVA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34,688</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15</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8</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TIRGOVISTE</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32,762</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16</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4</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TURDA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25,634</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17</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BUJORENI VILCEA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25,317</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18</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4</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CLUJ NAPOCA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26,061</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19</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8</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ZALAU</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20,165</w:t>
            </w:r>
          </w:p>
        </w:tc>
      </w:tr>
      <w:tr w:rsidR="00660414" w:rsidRPr="000A76BD" w:rsidTr="007613DE">
        <w:trPr>
          <w:trHeight w:val="255"/>
        </w:trPr>
        <w:tc>
          <w:tcPr>
            <w:tcW w:w="754" w:type="dxa"/>
            <w:vAlign w:val="center"/>
          </w:tcPr>
          <w:p w:rsidR="00660414" w:rsidRPr="000A76BD" w:rsidRDefault="00660414" w:rsidP="007613DE">
            <w:pPr>
              <w:jc w:val="center"/>
              <w:rPr>
                <w:sz w:val="22"/>
                <w:szCs w:val="22"/>
                <w:lang w:eastAsia="en-GB"/>
              </w:rPr>
            </w:pPr>
            <w:r w:rsidRPr="002E1E5F">
              <w:rPr>
                <w:sz w:val="22"/>
                <w:szCs w:val="22"/>
                <w:lang w:eastAsia="en-GB"/>
              </w:rPr>
              <w:t>20</w:t>
            </w:r>
          </w:p>
        </w:tc>
        <w:tc>
          <w:tcPr>
            <w:tcW w:w="962"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8</w:t>
            </w:r>
          </w:p>
        </w:tc>
        <w:tc>
          <w:tcPr>
            <w:tcW w:w="2268"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jc w:val="center"/>
              <w:rPr>
                <w:sz w:val="22"/>
                <w:szCs w:val="22"/>
                <w:lang w:eastAsia="en-GB"/>
              </w:rPr>
            </w:pPr>
            <w:r w:rsidRPr="002E1E5F">
              <w:rPr>
                <w:sz w:val="22"/>
                <w:szCs w:val="22"/>
                <w:lang w:eastAsia="en-GB"/>
              </w:rPr>
              <w:t>CONSTANTA</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18,925</w:t>
            </w:r>
          </w:p>
        </w:tc>
      </w:tr>
      <w:tr w:rsidR="00660414" w:rsidRPr="000A76BD" w:rsidTr="007613DE">
        <w:trPr>
          <w:trHeight w:val="255"/>
        </w:trPr>
        <w:tc>
          <w:tcPr>
            <w:tcW w:w="6394" w:type="dxa"/>
            <w:gridSpan w:val="4"/>
            <w:vAlign w:val="center"/>
          </w:tcPr>
          <w:p w:rsidR="00660414" w:rsidRPr="000A76BD" w:rsidRDefault="00660414" w:rsidP="007613DE">
            <w:pPr>
              <w:jc w:val="center"/>
              <w:rPr>
                <w:sz w:val="22"/>
                <w:szCs w:val="22"/>
                <w:lang w:eastAsia="en-GB"/>
              </w:rPr>
            </w:pPr>
            <w:r w:rsidRPr="002E1E5F">
              <w:rPr>
                <w:sz w:val="22"/>
                <w:szCs w:val="22"/>
                <w:lang w:eastAsia="en-GB"/>
              </w:rPr>
              <w:t>Total</w:t>
            </w:r>
          </w:p>
        </w:tc>
        <w:tc>
          <w:tcPr>
            <w:tcW w:w="1418" w:type="dxa"/>
            <w:shd w:val="clear" w:color="auto" w:fill="auto"/>
            <w:noWrap/>
            <w:vAlign w:val="center"/>
            <w:hideMark/>
          </w:tcPr>
          <w:p w:rsidR="00660414" w:rsidRPr="000A76BD" w:rsidRDefault="00660414" w:rsidP="007613DE">
            <w:pPr>
              <w:jc w:val="center"/>
              <w:rPr>
                <w:sz w:val="22"/>
                <w:szCs w:val="22"/>
              </w:rPr>
            </w:pPr>
            <w:r w:rsidRPr="002E1E5F">
              <w:rPr>
                <w:sz w:val="22"/>
                <w:szCs w:val="22"/>
              </w:rPr>
              <w:t>1,427,985</w:t>
            </w:r>
          </w:p>
        </w:tc>
      </w:tr>
    </w:tbl>
    <w:p w:rsidR="00660414" w:rsidRPr="000A76BD" w:rsidRDefault="00660414" w:rsidP="00660414">
      <w:pPr>
        <w:pStyle w:val="Frspaiere1"/>
        <w:ind w:left="851"/>
        <w:rPr>
          <w:rFonts w:ascii="Arial" w:hAnsi="Arial" w:cs="Arial"/>
          <w:i/>
        </w:rPr>
      </w:pPr>
      <w:r w:rsidRPr="002E1E5F">
        <w:rPr>
          <w:rFonts w:ascii="Arial" w:hAnsi="Arial" w:cs="Arial"/>
          <w:i/>
        </w:rPr>
        <w:t>Source: AECOM Analysis of CFR Marfă Data</w:t>
      </w:r>
    </w:p>
    <w:p w:rsidR="00660414" w:rsidRPr="000A76BD" w:rsidRDefault="00660414" w:rsidP="00A4081F">
      <w:pPr>
        <w:pStyle w:val="NumberedParas"/>
      </w:pPr>
      <w:r w:rsidRPr="002E1E5F">
        <w:t>The top 20 laden container routes operated by CFR Marfă represent 87% of all container tonnes moved by CFR Marfă showing that they are consolidated on to certain key corridors. The rail network is divided up into 8 regions with Bucharest being region 1 and Constanta region 8. The above table shows that the top two container flows by tonnage are from regions 5 and 6 which are the central and eastern production areas with goods to Constanta for export. Unsurprisingly the top two flows of empty boxes are from the port to the same regions.</w:t>
      </w:r>
    </w:p>
    <w:p w:rsidR="00660414" w:rsidRPr="000A76BD" w:rsidRDefault="00660414" w:rsidP="00660414">
      <w:pPr>
        <w:pStyle w:val="Body"/>
        <w:spacing w:before="120" w:after="120"/>
        <w:ind w:left="851"/>
        <w:rPr>
          <w:rFonts w:cs="Arial"/>
          <w:b/>
          <w:i w:val="0"/>
        </w:rPr>
      </w:pPr>
      <w:r w:rsidRPr="002E1E5F">
        <w:rPr>
          <w:rFonts w:cs="Arial"/>
          <w:b/>
          <w:i w:val="0"/>
        </w:rPr>
        <w:t>Table 8.</w:t>
      </w:r>
      <w:r>
        <w:rPr>
          <w:rFonts w:cs="Arial"/>
          <w:b/>
          <w:i w:val="0"/>
        </w:rPr>
        <w:t>8</w:t>
      </w:r>
      <w:r w:rsidRPr="002E1E5F">
        <w:rPr>
          <w:rFonts w:cs="Arial"/>
          <w:b/>
          <w:i w:val="0"/>
        </w:rPr>
        <w:t xml:space="preserve"> Top 20 Empty Rail Container Movements in Romania by CFR Marfă by tonnage</w:t>
      </w:r>
    </w:p>
    <w:tbl>
      <w:tblPr>
        <w:tblW w:w="795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1005"/>
        <w:gridCol w:w="2367"/>
        <w:gridCol w:w="2410"/>
        <w:gridCol w:w="1417"/>
      </w:tblGrid>
      <w:tr w:rsidR="00660414" w:rsidRPr="000A76BD" w:rsidTr="007613DE">
        <w:trPr>
          <w:trHeight w:val="255"/>
          <w:tblHeader/>
        </w:trPr>
        <w:tc>
          <w:tcPr>
            <w:tcW w:w="754" w:type="dxa"/>
            <w:shd w:val="clear" w:color="auto" w:fill="C6D9F1"/>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Rank</w:t>
            </w:r>
          </w:p>
        </w:tc>
        <w:tc>
          <w:tcPr>
            <w:tcW w:w="1005" w:type="dxa"/>
            <w:shd w:val="clear" w:color="auto" w:fill="C6D9F1"/>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Region</w:t>
            </w:r>
          </w:p>
        </w:tc>
        <w:tc>
          <w:tcPr>
            <w:tcW w:w="2367" w:type="dxa"/>
            <w:shd w:val="clear" w:color="auto" w:fill="C6D9F1"/>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Origin</w:t>
            </w:r>
          </w:p>
        </w:tc>
        <w:tc>
          <w:tcPr>
            <w:tcW w:w="2410" w:type="dxa"/>
            <w:shd w:val="clear" w:color="auto" w:fill="C6D9F1"/>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Destination</w:t>
            </w:r>
          </w:p>
        </w:tc>
        <w:tc>
          <w:tcPr>
            <w:tcW w:w="1417" w:type="dxa"/>
            <w:shd w:val="clear" w:color="auto" w:fill="C6D9F1"/>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Total</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VINTU DE JOS</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51,588</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2</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DORNESTI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34,136</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3</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CIUMESTI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16,443</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4</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3</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CURTICI</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VINTU DE JOS</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15,041</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5</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6</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DORNESTI/VICSAN</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CIUMESTI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13,380</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6</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3</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CURTICI</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DORNESTI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11,044</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7</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BRASOV TRIAJ</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8,343</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GOVORA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7,551</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9</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PLOIESTI CRING</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6,729</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10</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BUCURESTI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9,478</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11</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SUCEAVA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5,158</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12</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3</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CURTICI</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CURTICI</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4,091</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13</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CLUJ NAPOCA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3,343</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14</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BACAU</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3,696</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15</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TIRGU MURES</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2,914</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16</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BUJORENI VILCEA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2,700</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17</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1</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TIRGOVISTE</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2,580</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18</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4</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ZALAU</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2,043</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19</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LUNCA DE MIJLOC</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1,744</w:t>
            </w:r>
          </w:p>
        </w:tc>
      </w:tr>
      <w:tr w:rsidR="00660414" w:rsidRPr="000A76BD" w:rsidTr="007613DE">
        <w:trPr>
          <w:trHeight w:val="255"/>
        </w:trPr>
        <w:tc>
          <w:tcPr>
            <w:tcW w:w="754" w:type="dxa"/>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20</w:t>
            </w:r>
          </w:p>
        </w:tc>
        <w:tc>
          <w:tcPr>
            <w:tcW w:w="1005"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8</w:t>
            </w:r>
          </w:p>
        </w:tc>
        <w:tc>
          <w:tcPr>
            <w:tcW w:w="2367"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2410" w:type="dxa"/>
            <w:shd w:val="clear" w:color="auto" w:fill="auto"/>
            <w:noWrap/>
            <w:vAlign w:val="center"/>
            <w:hideMark/>
          </w:tcPr>
          <w:p w:rsidR="00660414" w:rsidRPr="000A76BD" w:rsidRDefault="00660414" w:rsidP="007613DE">
            <w:pPr>
              <w:spacing w:line="276" w:lineRule="auto"/>
              <w:jc w:val="center"/>
              <w:rPr>
                <w:sz w:val="22"/>
                <w:szCs w:val="22"/>
                <w:lang w:eastAsia="en-GB"/>
              </w:rPr>
            </w:pPr>
            <w:r w:rsidRPr="002E1E5F">
              <w:rPr>
                <w:sz w:val="22"/>
                <w:szCs w:val="22"/>
                <w:lang w:eastAsia="en-GB"/>
              </w:rPr>
              <w:t>CONSTANTA</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1,742</w:t>
            </w:r>
          </w:p>
        </w:tc>
      </w:tr>
      <w:tr w:rsidR="00660414" w:rsidRPr="000A76BD" w:rsidTr="007613DE">
        <w:trPr>
          <w:trHeight w:val="255"/>
        </w:trPr>
        <w:tc>
          <w:tcPr>
            <w:tcW w:w="6536" w:type="dxa"/>
            <w:gridSpan w:val="4"/>
            <w:vAlign w:val="center"/>
          </w:tcPr>
          <w:p w:rsidR="00660414" w:rsidRPr="000A76BD" w:rsidRDefault="00660414" w:rsidP="007613DE">
            <w:pPr>
              <w:spacing w:line="276" w:lineRule="auto"/>
              <w:jc w:val="center"/>
              <w:rPr>
                <w:sz w:val="22"/>
                <w:szCs w:val="22"/>
                <w:lang w:eastAsia="en-GB"/>
              </w:rPr>
            </w:pPr>
            <w:r w:rsidRPr="002E1E5F">
              <w:rPr>
                <w:sz w:val="22"/>
                <w:szCs w:val="22"/>
                <w:lang w:eastAsia="en-GB"/>
              </w:rPr>
              <w:t>Total</w:t>
            </w:r>
          </w:p>
        </w:tc>
        <w:tc>
          <w:tcPr>
            <w:tcW w:w="1417" w:type="dxa"/>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203,744</w:t>
            </w:r>
          </w:p>
        </w:tc>
      </w:tr>
    </w:tbl>
    <w:p w:rsidR="00660414" w:rsidRPr="000A76BD" w:rsidRDefault="00660414" w:rsidP="00660414">
      <w:pPr>
        <w:pStyle w:val="Frspaiere1"/>
        <w:ind w:left="851"/>
        <w:rPr>
          <w:rFonts w:ascii="Arial" w:hAnsi="Arial" w:cs="Arial"/>
          <w:i/>
        </w:rPr>
      </w:pPr>
      <w:r w:rsidRPr="002E1E5F">
        <w:rPr>
          <w:rFonts w:ascii="Arial" w:hAnsi="Arial" w:cs="Arial"/>
          <w:i/>
        </w:rPr>
        <w:t>Source: AECOM Analysis of CFR Marfă Data</w:t>
      </w:r>
    </w:p>
    <w:p w:rsidR="00660414" w:rsidRPr="000A76BD" w:rsidRDefault="00660414" w:rsidP="00660414">
      <w:pPr>
        <w:pStyle w:val="Hdg3"/>
        <w:spacing w:after="120"/>
      </w:pPr>
      <w:r w:rsidRPr="002E1E5F">
        <w:t>Empty Container Movements by Tonnage</w:t>
      </w:r>
    </w:p>
    <w:p w:rsidR="00660414" w:rsidRPr="000A76BD" w:rsidRDefault="00660414" w:rsidP="00A4081F">
      <w:pPr>
        <w:pStyle w:val="NumberedParas"/>
      </w:pPr>
      <w:r w:rsidRPr="002E1E5F">
        <w:t xml:space="preserve">There is a clear imbalance in the flow of loaded containers by rail with more loaded with finished products going for export than for import. This necessitates the movement of empty boxes inland to key factory sites. </w:t>
      </w:r>
    </w:p>
    <w:p w:rsidR="00660414" w:rsidRPr="000A76BD" w:rsidRDefault="00660414" w:rsidP="00A4081F">
      <w:pPr>
        <w:pStyle w:val="NumberedParas"/>
      </w:pPr>
      <w:r w:rsidRPr="002E1E5F">
        <w:t>The highest container flow on trains operated by CFR Marfă is to and from Vintu De Jos. The area is one of the main sources of timber products and Kronospan have a major wood processing plant there employing over 500 staff. It produces a wide range of forest products including fibreboard and furniture and much of it is for export through the Port of Constanta in containers. Vintu De Jos hosts the reception sidings for the various separate parts of the plant. Products arriving at the plant include lumber, chemicals, mineral (nitrogen), and empty containers and generally full containers leave with furniture, fibreboard, and sawn wood.</w:t>
      </w:r>
    </w:p>
    <w:p w:rsidR="00660414" w:rsidRPr="000A76BD" w:rsidRDefault="00660414" w:rsidP="00A4081F">
      <w:pPr>
        <w:pStyle w:val="NumberedParas"/>
      </w:pPr>
      <w:r w:rsidRPr="002E1E5F">
        <w:t xml:space="preserve">The other high volume container flows reflect the location of important industrial sites in Romania. Rail lines serve industrial zones such as those near Bacau, Bujoreni, Cluj, Turda and Timisoara close to Stamora. Buhusi, located 28km from Bacau has the biggest textile factory in Eastern Europe. Ploiesti is also one of the key textile manufacturing locations in Romania. Additionally, Comat SA, owns a production facility of various products like electrical appliances, PVC, etc outside of the city. Kronospan, has another factory with direct access for rail near Brasov. One of the biggest chemical factories in Romania is located in Bujoreni while in Cluj, Romanoff Industries have established a site of significant size. Chemical fertilisers company Azomures SA is served with direct access to rail tracks in Targu Mures. Finally, in Targoviste Cromsteel Industries (steel production) and Mechel SA (manufacturing and mining) have production facilities in the city.  Thus, the large-volume container flows are aligned with major industries. </w:t>
      </w:r>
    </w:p>
    <w:p w:rsidR="00660414" w:rsidRPr="000A76BD" w:rsidRDefault="00660414" w:rsidP="00A4081F">
      <w:pPr>
        <w:pStyle w:val="NumberedParas"/>
      </w:pPr>
      <w:r w:rsidRPr="002E1E5F">
        <w:t>The top 20 routes with empty containers operated by CFR Marfă is 90% of all empty container tonnage moved by CFR Marfă. It can be seen that in the top 20 movements for both laden and empty containers, Constanta features highly. As Romania’s main deep sea container port this is to be expected.  As noted earlier, more loaded containers arrive at Constanta than depart from there. In other words, at present rail-borne containers are used for industrial exports rather than imports of consumer goods. This implies that the rail based logistics do not (yet) offer competitive services for higher value consumer products or FMCGs, and that there is an opportunity to load containers both ways (to and from Constanta) for increased efficiency</w:t>
      </w:r>
    </w:p>
    <w:p w:rsidR="00660414" w:rsidRPr="000A76BD" w:rsidRDefault="00660414" w:rsidP="00660414">
      <w:pPr>
        <w:pStyle w:val="Hdg3"/>
      </w:pPr>
      <w:r w:rsidRPr="002E1E5F">
        <w:t>Existing and Potential Demand – Future Intermodal Network</w:t>
      </w:r>
    </w:p>
    <w:p w:rsidR="00660414" w:rsidRPr="000A76BD" w:rsidRDefault="00660414" w:rsidP="00A4081F">
      <w:pPr>
        <w:pStyle w:val="NumberedParas"/>
      </w:pPr>
      <w:r w:rsidRPr="002E1E5F">
        <w:t xml:space="preserve">Intermodal transport is one of the easiest ways of reducing transport-related emissions through transferring either part of or the entirety of a journey from road transport to more sustainable modes such as rail and water. There are also large efficiency and cost benefits through increased handling speeds, lower handling costs and improved security. </w:t>
      </w:r>
    </w:p>
    <w:p w:rsidR="00660414" w:rsidRPr="000A76BD" w:rsidRDefault="00660414" w:rsidP="00A4081F">
      <w:pPr>
        <w:pStyle w:val="NumberedParas"/>
      </w:pPr>
      <w:r w:rsidRPr="002E1E5F">
        <w:t>Table 8.</w:t>
      </w:r>
      <w:r>
        <w:t>8</w:t>
      </w:r>
      <w:r w:rsidRPr="002E1E5F">
        <w:t xml:space="preserve"> shows the number of TEUs (twenty foot equivalent units) that moved in 2011 in Romania and what they carried. Rail moved around 45.5% of all recorded containers between inland destinations. The three largest commodity groups were Manufactured Goods, Fertilisers and Metal Products. Manufactured goods include a wide range of products including furniture, chipboard and consumer goods.</w:t>
      </w:r>
    </w:p>
    <w:p w:rsidR="00660414" w:rsidRPr="000A76BD" w:rsidRDefault="00660414" w:rsidP="00660414">
      <w:pPr>
        <w:spacing w:line="276" w:lineRule="auto"/>
        <w:ind w:left="851"/>
        <w:rPr>
          <w:b/>
          <w:sz w:val="22"/>
          <w:szCs w:val="22"/>
        </w:rPr>
      </w:pPr>
      <w:r w:rsidRPr="002E1E5F">
        <w:rPr>
          <w:b/>
          <w:sz w:val="22"/>
          <w:szCs w:val="22"/>
        </w:rPr>
        <w:t>Table 8.</w:t>
      </w:r>
      <w:r>
        <w:rPr>
          <w:b/>
          <w:sz w:val="22"/>
          <w:szCs w:val="22"/>
        </w:rPr>
        <w:t>9</w:t>
      </w:r>
      <w:r w:rsidRPr="002E1E5F">
        <w:rPr>
          <w:b/>
          <w:sz w:val="22"/>
          <w:szCs w:val="22"/>
        </w:rPr>
        <w:t xml:space="preserve">: Base year container traffic (TEUs per day) </w:t>
      </w:r>
    </w:p>
    <w:tbl>
      <w:tblPr>
        <w:tblW w:w="8384" w:type="dxa"/>
        <w:tblInd w:w="964" w:type="dxa"/>
        <w:tblLook w:val="04A0" w:firstRow="1" w:lastRow="0" w:firstColumn="1" w:lastColumn="0" w:noHBand="0" w:noVBand="1"/>
      </w:tblPr>
      <w:tblGrid>
        <w:gridCol w:w="766"/>
        <w:gridCol w:w="3581"/>
        <w:gridCol w:w="1380"/>
        <w:gridCol w:w="1418"/>
        <w:gridCol w:w="1276"/>
      </w:tblGrid>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660414" w:rsidRPr="000A76BD" w:rsidRDefault="00660414" w:rsidP="007613DE">
            <w:pPr>
              <w:spacing w:line="276" w:lineRule="auto"/>
              <w:jc w:val="center"/>
              <w:rPr>
                <w:b/>
                <w:sz w:val="22"/>
                <w:szCs w:val="22"/>
              </w:rPr>
            </w:pPr>
            <w:r w:rsidRPr="002E1E5F">
              <w:rPr>
                <w:b/>
                <w:sz w:val="22"/>
                <w:szCs w:val="22"/>
              </w:rPr>
              <w:t>Code</w:t>
            </w:r>
          </w:p>
        </w:tc>
        <w:tc>
          <w:tcPr>
            <w:tcW w:w="358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660414" w:rsidRPr="000A76BD" w:rsidRDefault="00660414" w:rsidP="007613DE">
            <w:pPr>
              <w:spacing w:line="276" w:lineRule="auto"/>
              <w:jc w:val="center"/>
              <w:rPr>
                <w:b/>
                <w:sz w:val="22"/>
                <w:szCs w:val="22"/>
              </w:rPr>
            </w:pPr>
            <w:r w:rsidRPr="002E1E5F">
              <w:rPr>
                <w:b/>
                <w:sz w:val="22"/>
                <w:szCs w:val="22"/>
              </w:rPr>
              <w:t>Commodity</w:t>
            </w:r>
          </w:p>
        </w:tc>
        <w:tc>
          <w:tcPr>
            <w:tcW w:w="13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660414" w:rsidRPr="000A76BD" w:rsidRDefault="00660414" w:rsidP="007613DE">
            <w:pPr>
              <w:spacing w:line="276" w:lineRule="auto"/>
              <w:jc w:val="center"/>
              <w:rPr>
                <w:b/>
                <w:sz w:val="22"/>
                <w:szCs w:val="22"/>
              </w:rPr>
            </w:pPr>
            <w:r w:rsidRPr="002E1E5F">
              <w:rPr>
                <w:b/>
                <w:sz w:val="22"/>
                <w:szCs w:val="22"/>
              </w:rPr>
              <w:t>Water</w:t>
            </w:r>
          </w:p>
        </w:tc>
        <w:tc>
          <w:tcPr>
            <w:tcW w:w="141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660414" w:rsidRPr="000A76BD" w:rsidRDefault="00660414" w:rsidP="007613DE">
            <w:pPr>
              <w:spacing w:line="276" w:lineRule="auto"/>
              <w:jc w:val="center"/>
              <w:rPr>
                <w:b/>
                <w:sz w:val="22"/>
                <w:szCs w:val="22"/>
              </w:rPr>
            </w:pPr>
            <w:r w:rsidRPr="002E1E5F">
              <w:rPr>
                <w:b/>
                <w:sz w:val="22"/>
                <w:szCs w:val="22"/>
              </w:rPr>
              <w:t>Rail</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660414" w:rsidRPr="000A76BD" w:rsidRDefault="00660414" w:rsidP="007613DE">
            <w:pPr>
              <w:spacing w:line="276" w:lineRule="auto"/>
              <w:jc w:val="center"/>
              <w:rPr>
                <w:b/>
                <w:sz w:val="22"/>
                <w:szCs w:val="22"/>
              </w:rPr>
            </w:pPr>
            <w:r w:rsidRPr="002E1E5F">
              <w:rPr>
                <w:b/>
                <w:sz w:val="22"/>
                <w:szCs w:val="22"/>
              </w:rPr>
              <w:t>Road</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0</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Agricultural Products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Foodstuffs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62</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2</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Solid Mineral Fuels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3</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Crude Oil</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4</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Ores, Metal Waste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5</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Metal Products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159</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6</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Building Minerals &amp; Materials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7</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Fertilisers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220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16</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8</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Chemicals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26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60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9</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Machinery &amp; Heavy Manufacturing</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47</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10</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Petroleum Products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21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11</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11</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Mail &amp; Parcels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12</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Manufactured Goods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228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161</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13</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Domestic &amp; Industrial Waste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15</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14</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Forestry Products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137</w:t>
            </w:r>
          </w:p>
        </w:tc>
      </w:tr>
      <w:tr w:rsidR="00660414" w:rsidRPr="000A76BD" w:rsidTr="007613DE">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b/>
                <w:bCs/>
                <w:sz w:val="22"/>
                <w:szCs w:val="22"/>
              </w:rPr>
            </w:pPr>
            <w:r w:rsidRPr="002E1E5F">
              <w:rPr>
                <w:b/>
                <w:bCs/>
                <w:sz w:val="22"/>
                <w:szCs w:val="22"/>
              </w:rPr>
              <w:t>15</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Livestock</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0</w:t>
            </w:r>
          </w:p>
        </w:tc>
      </w:tr>
      <w:tr w:rsidR="00660414" w:rsidRPr="000A76BD" w:rsidTr="007613DE">
        <w:trPr>
          <w:trHeight w:val="300"/>
        </w:trPr>
        <w:tc>
          <w:tcPr>
            <w:tcW w:w="729" w:type="dxa"/>
            <w:tcBorders>
              <w:top w:val="single" w:sz="4" w:space="0" w:color="auto"/>
              <w:left w:val="nil"/>
              <w:bottom w:val="nil"/>
              <w:right w:val="nil"/>
            </w:tcBorders>
            <w:shd w:val="clear" w:color="auto" w:fill="auto"/>
            <w:noWrap/>
            <w:vAlign w:val="center"/>
            <w:hideMark/>
          </w:tcPr>
          <w:p w:rsidR="00660414" w:rsidRPr="000A76BD" w:rsidRDefault="00660414" w:rsidP="007613DE">
            <w:pPr>
              <w:spacing w:line="276" w:lineRule="auto"/>
              <w:jc w:val="center"/>
              <w:rPr>
                <w:sz w:val="22"/>
                <w:szCs w:val="22"/>
              </w:rPr>
            </w:pPr>
          </w:p>
        </w:tc>
        <w:tc>
          <w:tcPr>
            <w:tcW w:w="3581" w:type="dxa"/>
            <w:tcBorders>
              <w:top w:val="single" w:sz="4" w:space="0" w:color="auto"/>
              <w:left w:val="nil"/>
              <w:bottom w:val="single" w:sz="4" w:space="0" w:color="auto"/>
              <w:right w:val="nil"/>
            </w:tcBorders>
            <w:shd w:val="clear" w:color="auto" w:fill="auto"/>
            <w:noWrap/>
            <w:vAlign w:val="center"/>
            <w:hideMark/>
          </w:tcPr>
          <w:p w:rsidR="00660414" w:rsidRPr="000A76BD" w:rsidRDefault="00660414" w:rsidP="007613DE">
            <w:pPr>
              <w:spacing w:line="276" w:lineRule="auto"/>
              <w:jc w:val="center"/>
              <w:rPr>
                <w:sz w:val="22"/>
                <w:szCs w:val="22"/>
              </w:rPr>
            </w:pPr>
          </w:p>
        </w:tc>
        <w:tc>
          <w:tcPr>
            <w:tcW w:w="1380" w:type="dxa"/>
            <w:tcBorders>
              <w:top w:val="single" w:sz="4" w:space="0" w:color="auto"/>
              <w:left w:val="nil"/>
              <w:bottom w:val="single" w:sz="4" w:space="0" w:color="auto"/>
              <w:right w:val="nil"/>
            </w:tcBorders>
            <w:shd w:val="clear" w:color="auto" w:fill="auto"/>
            <w:noWrap/>
            <w:vAlign w:val="center"/>
            <w:hideMark/>
          </w:tcPr>
          <w:p w:rsidR="00660414" w:rsidRPr="000A76BD" w:rsidRDefault="00660414" w:rsidP="007613DE">
            <w:pPr>
              <w:spacing w:line="276" w:lineRule="auto"/>
              <w:ind w:right="317"/>
              <w:jc w:val="center"/>
              <w:rPr>
                <w:sz w:val="22"/>
                <w:szCs w:val="22"/>
              </w:rPr>
            </w:pPr>
          </w:p>
        </w:tc>
        <w:tc>
          <w:tcPr>
            <w:tcW w:w="1418" w:type="dxa"/>
            <w:tcBorders>
              <w:top w:val="single" w:sz="4" w:space="0" w:color="auto"/>
              <w:left w:val="nil"/>
              <w:bottom w:val="single" w:sz="4" w:space="0" w:color="auto"/>
              <w:right w:val="nil"/>
            </w:tcBorders>
            <w:shd w:val="clear" w:color="auto" w:fill="auto"/>
            <w:noWrap/>
            <w:vAlign w:val="center"/>
            <w:hideMark/>
          </w:tcPr>
          <w:p w:rsidR="00660414" w:rsidRPr="000A76BD" w:rsidRDefault="00660414" w:rsidP="007613DE">
            <w:pPr>
              <w:spacing w:line="276" w:lineRule="auto"/>
              <w:ind w:right="317"/>
              <w:jc w:val="center"/>
              <w:rPr>
                <w:sz w:val="22"/>
                <w:szCs w:val="22"/>
              </w:rPr>
            </w:pPr>
          </w:p>
        </w:tc>
        <w:tc>
          <w:tcPr>
            <w:tcW w:w="1276" w:type="dxa"/>
            <w:tcBorders>
              <w:top w:val="single" w:sz="4" w:space="0" w:color="auto"/>
              <w:left w:val="nil"/>
              <w:bottom w:val="single" w:sz="4" w:space="0" w:color="auto"/>
              <w:right w:val="nil"/>
            </w:tcBorders>
            <w:shd w:val="clear" w:color="auto" w:fill="auto"/>
            <w:noWrap/>
            <w:vAlign w:val="center"/>
            <w:hideMark/>
          </w:tcPr>
          <w:p w:rsidR="00660414" w:rsidRPr="000A76BD" w:rsidRDefault="00660414" w:rsidP="007613DE">
            <w:pPr>
              <w:spacing w:line="276" w:lineRule="auto"/>
              <w:ind w:right="317"/>
              <w:jc w:val="center"/>
              <w:rPr>
                <w:sz w:val="22"/>
                <w:szCs w:val="22"/>
              </w:rPr>
            </w:pPr>
          </w:p>
        </w:tc>
      </w:tr>
      <w:tr w:rsidR="00660414" w:rsidRPr="000A76BD" w:rsidTr="007613DE">
        <w:trPr>
          <w:trHeight w:val="300"/>
        </w:trPr>
        <w:tc>
          <w:tcPr>
            <w:tcW w:w="729" w:type="dxa"/>
            <w:tcBorders>
              <w:top w:val="nil"/>
              <w:left w:val="nil"/>
              <w:bottom w:val="nil"/>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Total</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31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584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317"/>
              <w:jc w:val="center"/>
              <w:rPr>
                <w:sz w:val="22"/>
                <w:szCs w:val="22"/>
              </w:rPr>
            </w:pPr>
            <w:r w:rsidRPr="002E1E5F">
              <w:rPr>
                <w:sz w:val="22"/>
                <w:szCs w:val="22"/>
              </w:rPr>
              <w:t>669</w:t>
            </w:r>
          </w:p>
        </w:tc>
      </w:tr>
      <w:tr w:rsidR="00660414" w:rsidRPr="000A76BD" w:rsidTr="007613DE">
        <w:trPr>
          <w:trHeight w:val="300"/>
        </w:trPr>
        <w:tc>
          <w:tcPr>
            <w:tcW w:w="729" w:type="dxa"/>
            <w:tcBorders>
              <w:top w:val="nil"/>
              <w:left w:val="nil"/>
              <w:bottom w:val="nil"/>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jc w:val="center"/>
              <w:rPr>
                <w:sz w:val="22"/>
                <w:szCs w:val="22"/>
              </w:rPr>
            </w:pPr>
            <w:r w:rsidRPr="002E1E5F">
              <w:rPr>
                <w:sz w:val="22"/>
                <w:szCs w:val="22"/>
              </w:rPr>
              <w:t>Proportion</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175"/>
              <w:jc w:val="center"/>
              <w:rPr>
                <w:sz w:val="22"/>
                <w:szCs w:val="22"/>
              </w:rPr>
            </w:pPr>
            <w:r w:rsidRPr="002E1E5F">
              <w:rPr>
                <w:sz w:val="22"/>
                <w:szCs w:val="22"/>
              </w:rPr>
              <w:t>2.4%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175"/>
              <w:jc w:val="center"/>
              <w:rPr>
                <w:sz w:val="22"/>
                <w:szCs w:val="22"/>
              </w:rPr>
            </w:pPr>
            <w:r w:rsidRPr="002E1E5F">
              <w:rPr>
                <w:sz w:val="22"/>
                <w:szCs w:val="22"/>
              </w:rPr>
              <w:t>45.5%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spacing w:line="276" w:lineRule="auto"/>
              <w:ind w:right="175"/>
              <w:jc w:val="center"/>
              <w:rPr>
                <w:sz w:val="22"/>
                <w:szCs w:val="22"/>
              </w:rPr>
            </w:pPr>
            <w:r w:rsidRPr="002E1E5F">
              <w:rPr>
                <w:sz w:val="22"/>
                <w:szCs w:val="22"/>
              </w:rPr>
              <w:t>52.1%</w:t>
            </w:r>
          </w:p>
        </w:tc>
      </w:tr>
    </w:tbl>
    <w:p w:rsidR="00660414" w:rsidRPr="000A76BD" w:rsidRDefault="00660414" w:rsidP="00660414">
      <w:pPr>
        <w:spacing w:line="276" w:lineRule="auto"/>
        <w:rPr>
          <w:sz w:val="22"/>
          <w:szCs w:val="22"/>
        </w:rPr>
      </w:pPr>
    </w:p>
    <w:p w:rsidR="00660414" w:rsidRPr="000A76BD" w:rsidRDefault="00660414" w:rsidP="00A4081F">
      <w:pPr>
        <w:pStyle w:val="NumberedParas"/>
      </w:pPr>
      <w:r w:rsidRPr="002E1E5F">
        <w:t xml:space="preserve">Although the 45.5% modal share figure is high, it must be noted that the intermodal industry in Romania is currently under-developed: 1,300 TEUs per day is a very low volume. </w:t>
      </w:r>
      <w:r>
        <w:t xml:space="preserve">As previously discussed </w:t>
      </w:r>
      <w:r w:rsidRPr="002E1E5F">
        <w:t xml:space="preserve"> Romania compares </w:t>
      </w:r>
      <w:r>
        <w:t xml:space="preserve">poorly </w:t>
      </w:r>
      <w:r w:rsidRPr="002E1E5F">
        <w:t>in terms of containerised rail freight with neighbour</w:t>
      </w:r>
      <w:r>
        <w:t>ing countries</w:t>
      </w:r>
      <w:r w:rsidRPr="002E1E5F">
        <w:t xml:space="preserve"> and </w:t>
      </w:r>
      <w:r>
        <w:t>many</w:t>
      </w:r>
      <w:r w:rsidRPr="002E1E5F">
        <w:t xml:space="preserve"> western</w:t>
      </w:r>
      <w:r>
        <w:t xml:space="preserve"> European </w:t>
      </w:r>
      <w:r w:rsidRPr="002E1E5F">
        <w:t xml:space="preserve"> countries</w:t>
      </w:r>
      <w:r w:rsidRPr="002E1E5F">
        <w:rPr>
          <w:rFonts w:cs="Arial"/>
        </w:rPr>
        <w:t>.</w:t>
      </w:r>
      <w:r w:rsidRPr="000A76BD" w:rsidDel="006807A1">
        <w:rPr>
          <w:rFonts w:cs="Arial"/>
        </w:rPr>
        <w:t xml:space="preserve"> </w:t>
      </w:r>
      <w:r w:rsidRPr="002E1E5F">
        <w:t>Rail freight’s share of the market is dramatically affected by the length of the journey. Figure 8.7 shows that after 200km, the choice of rail for container movements increases significantly. This indicates a distance/price trade off in the transport buyer’s decision making process, although if rail’s offer remains unchanged whilst road freight is improved, the distances involved can be expected to become significantly greater.</w:t>
      </w:r>
    </w:p>
    <w:p w:rsidR="00660414" w:rsidRPr="000A76BD" w:rsidRDefault="00660414" w:rsidP="00660414">
      <w:pPr>
        <w:spacing w:line="276" w:lineRule="auto"/>
        <w:ind w:firstLine="851"/>
        <w:rPr>
          <w:sz w:val="22"/>
          <w:szCs w:val="22"/>
        </w:rPr>
      </w:pPr>
      <w:r w:rsidRPr="008C5B1B">
        <w:rPr>
          <w:noProof/>
          <w:sz w:val="22"/>
          <w:szCs w:val="22"/>
          <w:lang w:val="ro-RO" w:eastAsia="ro-RO"/>
        </w:rPr>
        <w:drawing>
          <wp:inline distT="0" distB="0" distL="0" distR="0" wp14:anchorId="4CA3874B" wp14:editId="388A23E2">
            <wp:extent cx="4572762" cy="2746629"/>
            <wp:effectExtent l="19050" t="0" r="18288" b="0"/>
            <wp:docPr id="22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660414" w:rsidRPr="000A76BD" w:rsidRDefault="00660414" w:rsidP="00660414">
      <w:pPr>
        <w:spacing w:line="276" w:lineRule="auto"/>
        <w:ind w:left="851"/>
        <w:rPr>
          <w:b/>
          <w:sz w:val="22"/>
          <w:szCs w:val="22"/>
        </w:rPr>
      </w:pPr>
      <w:r w:rsidRPr="002E1E5F">
        <w:rPr>
          <w:b/>
          <w:sz w:val="22"/>
          <w:szCs w:val="22"/>
        </w:rPr>
        <w:t xml:space="preserve">Figure 8.7 – Proportion of Base Year Container Traffic on Rail by distance </w:t>
      </w:r>
    </w:p>
    <w:p w:rsidR="00660414" w:rsidRPr="000A76BD" w:rsidRDefault="00660414" w:rsidP="00660414">
      <w:pPr>
        <w:spacing w:line="276" w:lineRule="auto"/>
        <w:rPr>
          <w:sz w:val="22"/>
          <w:szCs w:val="22"/>
        </w:rPr>
      </w:pPr>
    </w:p>
    <w:p w:rsidR="00660414" w:rsidRPr="000A76BD" w:rsidRDefault="00660414" w:rsidP="00A4081F">
      <w:pPr>
        <w:pStyle w:val="NumberedParas"/>
      </w:pPr>
      <w:r w:rsidRPr="002E1E5F">
        <w:t>However, a lack of development of the container market needs to be accounted for. From the forecast of potential for containerisation by commodity undertaken in the model, Figure 8.8 shows the container traffic transported by rail as a proportion of the forecasted container market. It shows that maintaining its current level of activity, rail would only account for 18% of the market, essentially losing out on two thirds of potential growth. On the other hand, if rail could maintain its current share of traffic travelling 300kms, (58%), the analysis implies a trebling of container traffic by rail, which could place severe pressure on current infrastructure.  Clearly if there was a network of efficient intermodal terminals across Romania then this would ease pressure and better enable the sector to capitalise on any growth. This intervention is discussed in greater detail later in this note.</w:t>
      </w:r>
    </w:p>
    <w:p w:rsidR="00660414" w:rsidRPr="000A76BD" w:rsidRDefault="00660414" w:rsidP="00660414">
      <w:pPr>
        <w:spacing w:line="276" w:lineRule="auto"/>
        <w:rPr>
          <w:b/>
          <w:sz w:val="22"/>
          <w:szCs w:val="22"/>
        </w:rPr>
      </w:pPr>
    </w:p>
    <w:p w:rsidR="00660414" w:rsidRPr="000A76BD" w:rsidRDefault="00660414" w:rsidP="00660414">
      <w:pPr>
        <w:spacing w:line="276" w:lineRule="auto"/>
        <w:ind w:firstLine="851"/>
        <w:rPr>
          <w:sz w:val="22"/>
          <w:szCs w:val="22"/>
        </w:rPr>
      </w:pPr>
      <w:r w:rsidRPr="008C5B1B">
        <w:rPr>
          <w:noProof/>
          <w:sz w:val="22"/>
          <w:szCs w:val="22"/>
          <w:lang w:val="ro-RO" w:eastAsia="ro-RO"/>
        </w:rPr>
        <w:drawing>
          <wp:inline distT="0" distB="0" distL="0" distR="0" wp14:anchorId="268F7490" wp14:editId="68777B85">
            <wp:extent cx="4572762" cy="2746629"/>
            <wp:effectExtent l="19050" t="0" r="18288" b="0"/>
            <wp:docPr id="22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660414" w:rsidRPr="000A76BD" w:rsidRDefault="00660414" w:rsidP="00660414">
      <w:pPr>
        <w:spacing w:line="276" w:lineRule="auto"/>
        <w:ind w:left="851"/>
        <w:rPr>
          <w:b/>
          <w:sz w:val="22"/>
          <w:szCs w:val="22"/>
        </w:rPr>
      </w:pPr>
      <w:r w:rsidRPr="002E1E5F">
        <w:rPr>
          <w:b/>
          <w:sz w:val="22"/>
          <w:szCs w:val="22"/>
        </w:rPr>
        <w:t xml:space="preserve">Figure 8.8 – Proportion of Potential Container Traffic on Rail by distance </w:t>
      </w:r>
    </w:p>
    <w:p w:rsidR="00660414" w:rsidRPr="000A76BD" w:rsidRDefault="00660414" w:rsidP="00A4081F">
      <w:pPr>
        <w:pStyle w:val="NumberedParas"/>
        <w:rPr>
          <w:noProof/>
          <w:lang w:eastAsia="en-GB"/>
        </w:rPr>
      </w:pPr>
      <w:r w:rsidRPr="002E1E5F">
        <w:t>From an origin and destination perspective, the following is a review of the actual and potential market for containerised freight transport using data from the National Model. All values are average daily tonnes.</w:t>
      </w:r>
    </w:p>
    <w:p w:rsidR="00660414" w:rsidRPr="000A76BD" w:rsidRDefault="00660414" w:rsidP="00660414">
      <w:pPr>
        <w:spacing w:line="276" w:lineRule="auto"/>
        <w:ind w:firstLine="851"/>
        <w:rPr>
          <w:noProof/>
          <w:sz w:val="22"/>
          <w:szCs w:val="22"/>
          <w:lang w:eastAsia="en-GB"/>
        </w:rPr>
      </w:pPr>
      <w:r w:rsidRPr="008C5B1B">
        <w:rPr>
          <w:noProof/>
          <w:sz w:val="22"/>
          <w:szCs w:val="22"/>
          <w:lang w:val="ro-RO" w:eastAsia="ro-RO"/>
        </w:rPr>
        <w:drawing>
          <wp:inline distT="0" distB="0" distL="0" distR="0" wp14:anchorId="4ACA9AE5" wp14:editId="59A52D83">
            <wp:extent cx="4783066" cy="3971499"/>
            <wp:effectExtent l="19050" t="0" r="0" b="0"/>
            <wp:docPr id="230" name="Picture 5" descr="C:\Users\clarkegj\AppData\Local\Microsoft\Windows\Temporary Internet Files\Content.Outlook\TQMH87TY\Container_Rail_Freight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rkegj\AppData\Local\Microsoft\Windows\Temporary Internet Files\Content.Outlook\TQMH87TY\Container_Rail_Freight_Flow.png"/>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4787654" cy="3975309"/>
                    </a:xfrm>
                    <a:prstGeom prst="rect">
                      <a:avLst/>
                    </a:prstGeom>
                    <a:noFill/>
                    <a:ln w="9525">
                      <a:noFill/>
                      <a:miter lim="800000"/>
                      <a:headEnd/>
                      <a:tailEnd/>
                    </a:ln>
                  </pic:spPr>
                </pic:pic>
              </a:graphicData>
            </a:graphic>
          </wp:inline>
        </w:drawing>
      </w:r>
    </w:p>
    <w:p w:rsidR="00660414" w:rsidRPr="000A76BD" w:rsidRDefault="00660414" w:rsidP="00660414">
      <w:pPr>
        <w:spacing w:line="276" w:lineRule="auto"/>
        <w:ind w:left="851"/>
        <w:rPr>
          <w:b/>
          <w:sz w:val="22"/>
          <w:szCs w:val="22"/>
        </w:rPr>
      </w:pPr>
      <w:r w:rsidRPr="002E1E5F">
        <w:rPr>
          <w:b/>
          <w:sz w:val="22"/>
          <w:szCs w:val="22"/>
        </w:rPr>
        <w:t>Figure 8.9: Existing container rail freight flow 2011, tonnes</w:t>
      </w:r>
    </w:p>
    <w:p w:rsidR="00660414" w:rsidRPr="000A76BD" w:rsidRDefault="00660414" w:rsidP="00A4081F">
      <w:pPr>
        <w:pStyle w:val="NumberedParas"/>
      </w:pPr>
      <w:r w:rsidRPr="002E1E5F">
        <w:t>Figure 8.9 shows the flow of containerised tonnes on Romania’s railways in 2011. The largest cumulative flow is between Bucharest and Constanta.</w:t>
      </w:r>
      <w:r>
        <w:t xml:space="preserve"> In addition a significant number of flows join at Fetesti through to Constanta.</w:t>
      </w:r>
      <w:r w:rsidRPr="002E1E5F">
        <w:t xml:space="preserve"> This is understandable as Constanta is Romania’s major port and handles 80% of its containers. A lighter flow of containers running between the centre of the country and Constanta on Corridor IV. Another flow of containers heads northwards from Constanta linking up with Corridor IX.</w:t>
      </w:r>
    </w:p>
    <w:p w:rsidR="00660414" w:rsidRPr="000A76BD" w:rsidRDefault="00660414" w:rsidP="00A4081F">
      <w:pPr>
        <w:pStyle w:val="NumberedParas"/>
      </w:pPr>
      <w:r w:rsidRPr="002E1E5F">
        <w:t>Contrasting this, Figure 8.10, however shows the maximum potential container flow on Romania’s railways. The analysis uses an assumption on the types of goods that are suited to containerisation (see Table 8.1</w:t>
      </w:r>
      <w:r>
        <w:t>0</w:t>
      </w:r>
      <w:r w:rsidRPr="002E1E5F">
        <w:t xml:space="preserve">). The plot has two-way flows, and is colour coded showing the existing rail market share compared with the potential. </w:t>
      </w:r>
    </w:p>
    <w:p w:rsidR="00660414" w:rsidRPr="000A76BD" w:rsidRDefault="00660414" w:rsidP="00660414">
      <w:pPr>
        <w:spacing w:line="276" w:lineRule="auto"/>
        <w:ind w:left="851"/>
        <w:rPr>
          <w:b/>
          <w:sz w:val="22"/>
          <w:szCs w:val="22"/>
        </w:rPr>
      </w:pPr>
      <w:r w:rsidRPr="002E1E5F">
        <w:rPr>
          <w:b/>
          <w:sz w:val="22"/>
          <w:szCs w:val="22"/>
        </w:rPr>
        <w:t>Table 8.1</w:t>
      </w:r>
      <w:r>
        <w:rPr>
          <w:b/>
          <w:sz w:val="22"/>
          <w:szCs w:val="22"/>
        </w:rPr>
        <w:t>0</w:t>
      </w:r>
      <w:r w:rsidRPr="002E1E5F">
        <w:rPr>
          <w:b/>
          <w:sz w:val="22"/>
          <w:szCs w:val="22"/>
        </w:rPr>
        <w:t>: Industries suited to containerisation and distances at which rail freight becomes competitive</w:t>
      </w:r>
    </w:p>
    <w:p w:rsidR="00660414" w:rsidRPr="000A76BD" w:rsidRDefault="00660414" w:rsidP="00660414">
      <w:pPr>
        <w:spacing w:line="276" w:lineRule="auto"/>
        <w:rPr>
          <w:i/>
          <w:sz w:val="22"/>
          <w:szCs w:val="22"/>
        </w:rPr>
      </w:pPr>
    </w:p>
    <w:tbl>
      <w:tblPr>
        <w:tblW w:w="9502" w:type="dxa"/>
        <w:tblInd w:w="851" w:type="dxa"/>
        <w:tblLook w:val="04A0" w:firstRow="1" w:lastRow="0" w:firstColumn="1" w:lastColumn="0" w:noHBand="0" w:noVBand="1"/>
      </w:tblPr>
      <w:tblGrid>
        <w:gridCol w:w="766"/>
        <w:gridCol w:w="2765"/>
        <w:gridCol w:w="1170"/>
        <w:gridCol w:w="766"/>
        <w:gridCol w:w="2865"/>
        <w:gridCol w:w="1170"/>
      </w:tblGrid>
      <w:tr w:rsidR="00660414" w:rsidRPr="000A76BD" w:rsidTr="007613DE">
        <w:tc>
          <w:tcPr>
            <w:tcW w:w="716" w:type="dxa"/>
            <w:vAlign w:val="center"/>
          </w:tcPr>
          <w:p w:rsidR="00660414" w:rsidRPr="000A76BD" w:rsidRDefault="00660414" w:rsidP="007613DE">
            <w:pPr>
              <w:spacing w:line="276" w:lineRule="auto"/>
              <w:jc w:val="center"/>
              <w:rPr>
                <w:b/>
                <w:sz w:val="22"/>
                <w:szCs w:val="22"/>
              </w:rPr>
            </w:pPr>
            <w:r w:rsidRPr="002E1E5F">
              <w:rPr>
                <w:b/>
                <w:sz w:val="22"/>
                <w:szCs w:val="22"/>
              </w:rPr>
              <w:t>Code</w:t>
            </w:r>
          </w:p>
        </w:tc>
        <w:tc>
          <w:tcPr>
            <w:tcW w:w="2805" w:type="dxa"/>
            <w:vAlign w:val="center"/>
          </w:tcPr>
          <w:p w:rsidR="00660414" w:rsidRPr="000A76BD" w:rsidRDefault="00660414" w:rsidP="007613DE">
            <w:pPr>
              <w:spacing w:line="276" w:lineRule="auto"/>
              <w:jc w:val="center"/>
              <w:rPr>
                <w:b/>
                <w:sz w:val="22"/>
                <w:szCs w:val="22"/>
              </w:rPr>
            </w:pPr>
            <w:r w:rsidRPr="002E1E5F">
              <w:rPr>
                <w:b/>
                <w:sz w:val="22"/>
                <w:szCs w:val="22"/>
              </w:rPr>
              <w:t>Commodity</w:t>
            </w:r>
          </w:p>
        </w:tc>
        <w:tc>
          <w:tcPr>
            <w:tcW w:w="1171" w:type="dxa"/>
            <w:tcBorders>
              <w:right w:val="single" w:sz="4" w:space="0" w:color="auto"/>
            </w:tcBorders>
            <w:vAlign w:val="center"/>
          </w:tcPr>
          <w:p w:rsidR="00660414" w:rsidRPr="000A76BD" w:rsidRDefault="00660414" w:rsidP="007613DE">
            <w:pPr>
              <w:spacing w:line="276" w:lineRule="auto"/>
              <w:jc w:val="center"/>
              <w:rPr>
                <w:b/>
                <w:sz w:val="22"/>
                <w:szCs w:val="22"/>
              </w:rPr>
            </w:pPr>
            <w:r w:rsidRPr="002E1E5F">
              <w:rPr>
                <w:b/>
                <w:sz w:val="22"/>
                <w:szCs w:val="22"/>
              </w:rPr>
              <w:t>Distance</w:t>
            </w:r>
          </w:p>
        </w:tc>
        <w:tc>
          <w:tcPr>
            <w:tcW w:w="737" w:type="dxa"/>
            <w:tcBorders>
              <w:left w:val="single" w:sz="4" w:space="0" w:color="auto"/>
            </w:tcBorders>
            <w:vAlign w:val="center"/>
          </w:tcPr>
          <w:p w:rsidR="00660414" w:rsidRPr="000A76BD" w:rsidRDefault="00660414" w:rsidP="007613DE">
            <w:pPr>
              <w:spacing w:line="276" w:lineRule="auto"/>
              <w:jc w:val="center"/>
              <w:rPr>
                <w:b/>
                <w:sz w:val="22"/>
                <w:szCs w:val="22"/>
              </w:rPr>
            </w:pPr>
            <w:r w:rsidRPr="002E1E5F">
              <w:rPr>
                <w:b/>
                <w:sz w:val="22"/>
                <w:szCs w:val="22"/>
              </w:rPr>
              <w:t>Code</w:t>
            </w:r>
          </w:p>
        </w:tc>
        <w:tc>
          <w:tcPr>
            <w:tcW w:w="2902" w:type="dxa"/>
            <w:vAlign w:val="center"/>
          </w:tcPr>
          <w:p w:rsidR="00660414" w:rsidRPr="000A76BD" w:rsidRDefault="00660414" w:rsidP="007613DE">
            <w:pPr>
              <w:spacing w:line="276" w:lineRule="auto"/>
              <w:jc w:val="center"/>
              <w:rPr>
                <w:b/>
                <w:sz w:val="22"/>
                <w:szCs w:val="22"/>
              </w:rPr>
            </w:pPr>
            <w:r w:rsidRPr="002E1E5F">
              <w:rPr>
                <w:b/>
                <w:sz w:val="22"/>
                <w:szCs w:val="22"/>
              </w:rPr>
              <w:t>Commodity</w:t>
            </w:r>
          </w:p>
        </w:tc>
        <w:tc>
          <w:tcPr>
            <w:tcW w:w="1171" w:type="dxa"/>
            <w:vAlign w:val="center"/>
          </w:tcPr>
          <w:p w:rsidR="00660414" w:rsidRPr="000A76BD" w:rsidRDefault="00660414" w:rsidP="007613DE">
            <w:pPr>
              <w:spacing w:line="276" w:lineRule="auto"/>
              <w:jc w:val="center"/>
              <w:rPr>
                <w:b/>
                <w:sz w:val="22"/>
                <w:szCs w:val="22"/>
              </w:rPr>
            </w:pPr>
            <w:r w:rsidRPr="002E1E5F">
              <w:rPr>
                <w:b/>
                <w:sz w:val="22"/>
                <w:szCs w:val="22"/>
              </w:rPr>
              <w:t>Distance</w:t>
            </w:r>
          </w:p>
        </w:tc>
      </w:tr>
      <w:tr w:rsidR="00660414" w:rsidRPr="000A76BD" w:rsidTr="007613DE">
        <w:tc>
          <w:tcPr>
            <w:tcW w:w="716" w:type="dxa"/>
            <w:vAlign w:val="center"/>
          </w:tcPr>
          <w:p w:rsidR="00660414" w:rsidRPr="000A76BD" w:rsidRDefault="00660414" w:rsidP="007613DE">
            <w:pPr>
              <w:spacing w:line="276" w:lineRule="auto"/>
              <w:jc w:val="center"/>
              <w:rPr>
                <w:sz w:val="22"/>
                <w:szCs w:val="22"/>
              </w:rPr>
            </w:pPr>
            <w:r w:rsidRPr="002E1E5F">
              <w:rPr>
                <w:sz w:val="22"/>
                <w:szCs w:val="22"/>
              </w:rPr>
              <w:t>1</w:t>
            </w:r>
          </w:p>
        </w:tc>
        <w:tc>
          <w:tcPr>
            <w:tcW w:w="2805" w:type="dxa"/>
            <w:vAlign w:val="center"/>
          </w:tcPr>
          <w:p w:rsidR="00660414" w:rsidRPr="000A76BD" w:rsidRDefault="00660414" w:rsidP="007613DE">
            <w:pPr>
              <w:spacing w:line="276" w:lineRule="auto"/>
              <w:jc w:val="center"/>
              <w:rPr>
                <w:sz w:val="22"/>
                <w:szCs w:val="22"/>
              </w:rPr>
            </w:pPr>
            <w:r w:rsidRPr="002E1E5F">
              <w:rPr>
                <w:sz w:val="22"/>
                <w:szCs w:val="22"/>
              </w:rPr>
              <w:t>Foodstuffs</w:t>
            </w:r>
          </w:p>
        </w:tc>
        <w:tc>
          <w:tcPr>
            <w:tcW w:w="1171" w:type="dxa"/>
            <w:tcBorders>
              <w:right w:val="single" w:sz="4" w:space="0" w:color="auto"/>
            </w:tcBorders>
            <w:vAlign w:val="center"/>
          </w:tcPr>
          <w:p w:rsidR="00660414" w:rsidRPr="000A76BD" w:rsidRDefault="00660414" w:rsidP="007613DE">
            <w:pPr>
              <w:tabs>
                <w:tab w:val="left" w:pos="743"/>
              </w:tabs>
              <w:spacing w:line="276" w:lineRule="auto"/>
              <w:ind w:right="71"/>
              <w:jc w:val="center"/>
              <w:rPr>
                <w:sz w:val="22"/>
                <w:szCs w:val="22"/>
              </w:rPr>
            </w:pPr>
            <w:r w:rsidRPr="002E1E5F">
              <w:rPr>
                <w:sz w:val="22"/>
                <w:szCs w:val="22"/>
              </w:rPr>
              <w:t>60km</w:t>
            </w:r>
          </w:p>
        </w:tc>
        <w:tc>
          <w:tcPr>
            <w:tcW w:w="737" w:type="dxa"/>
            <w:tcBorders>
              <w:left w:val="single" w:sz="4" w:space="0" w:color="auto"/>
            </w:tcBorders>
            <w:vAlign w:val="center"/>
          </w:tcPr>
          <w:p w:rsidR="00660414" w:rsidRPr="000A76BD" w:rsidRDefault="00660414" w:rsidP="007613DE">
            <w:pPr>
              <w:spacing w:line="276" w:lineRule="auto"/>
              <w:jc w:val="center"/>
              <w:rPr>
                <w:sz w:val="22"/>
                <w:szCs w:val="22"/>
              </w:rPr>
            </w:pPr>
            <w:r w:rsidRPr="002E1E5F">
              <w:rPr>
                <w:sz w:val="22"/>
                <w:szCs w:val="22"/>
              </w:rPr>
              <w:t>9</w:t>
            </w:r>
          </w:p>
        </w:tc>
        <w:tc>
          <w:tcPr>
            <w:tcW w:w="2902" w:type="dxa"/>
            <w:vAlign w:val="center"/>
          </w:tcPr>
          <w:p w:rsidR="00660414" w:rsidRPr="000A76BD" w:rsidRDefault="00660414" w:rsidP="007613DE">
            <w:pPr>
              <w:spacing w:line="276" w:lineRule="auto"/>
              <w:jc w:val="center"/>
              <w:rPr>
                <w:sz w:val="22"/>
                <w:szCs w:val="22"/>
              </w:rPr>
            </w:pPr>
            <w:r w:rsidRPr="002E1E5F">
              <w:rPr>
                <w:sz w:val="22"/>
                <w:szCs w:val="22"/>
              </w:rPr>
              <w:t>Machinery and Manufacturing</w:t>
            </w:r>
          </w:p>
        </w:tc>
        <w:tc>
          <w:tcPr>
            <w:tcW w:w="1171" w:type="dxa"/>
            <w:vAlign w:val="center"/>
          </w:tcPr>
          <w:p w:rsidR="00660414" w:rsidRPr="000A76BD" w:rsidRDefault="00660414" w:rsidP="007613DE">
            <w:pPr>
              <w:spacing w:line="276" w:lineRule="auto"/>
              <w:ind w:right="136"/>
              <w:jc w:val="center"/>
              <w:rPr>
                <w:sz w:val="22"/>
                <w:szCs w:val="22"/>
              </w:rPr>
            </w:pPr>
            <w:r w:rsidRPr="002E1E5F">
              <w:rPr>
                <w:sz w:val="22"/>
                <w:szCs w:val="22"/>
              </w:rPr>
              <w:t>100km</w:t>
            </w:r>
          </w:p>
        </w:tc>
      </w:tr>
      <w:tr w:rsidR="00660414" w:rsidRPr="000A76BD" w:rsidTr="007613DE">
        <w:tc>
          <w:tcPr>
            <w:tcW w:w="716" w:type="dxa"/>
            <w:vAlign w:val="center"/>
          </w:tcPr>
          <w:p w:rsidR="00660414" w:rsidRPr="000A76BD" w:rsidRDefault="00660414" w:rsidP="007613DE">
            <w:pPr>
              <w:spacing w:line="276" w:lineRule="auto"/>
              <w:jc w:val="center"/>
              <w:rPr>
                <w:sz w:val="22"/>
                <w:szCs w:val="22"/>
              </w:rPr>
            </w:pPr>
            <w:r w:rsidRPr="002E1E5F">
              <w:rPr>
                <w:sz w:val="22"/>
                <w:szCs w:val="22"/>
              </w:rPr>
              <w:t>5</w:t>
            </w:r>
          </w:p>
        </w:tc>
        <w:tc>
          <w:tcPr>
            <w:tcW w:w="2805" w:type="dxa"/>
            <w:vAlign w:val="center"/>
          </w:tcPr>
          <w:p w:rsidR="00660414" w:rsidRPr="000A76BD" w:rsidRDefault="00660414" w:rsidP="007613DE">
            <w:pPr>
              <w:spacing w:line="276" w:lineRule="auto"/>
              <w:jc w:val="center"/>
              <w:rPr>
                <w:sz w:val="22"/>
                <w:szCs w:val="22"/>
              </w:rPr>
            </w:pPr>
            <w:r w:rsidRPr="002E1E5F">
              <w:rPr>
                <w:sz w:val="22"/>
                <w:szCs w:val="22"/>
              </w:rPr>
              <w:t>Metal Products</w:t>
            </w:r>
          </w:p>
        </w:tc>
        <w:tc>
          <w:tcPr>
            <w:tcW w:w="1171" w:type="dxa"/>
            <w:tcBorders>
              <w:right w:val="single" w:sz="4" w:space="0" w:color="auto"/>
            </w:tcBorders>
            <w:vAlign w:val="center"/>
          </w:tcPr>
          <w:p w:rsidR="00660414" w:rsidRPr="000A76BD" w:rsidRDefault="00660414" w:rsidP="007613DE">
            <w:pPr>
              <w:tabs>
                <w:tab w:val="left" w:pos="743"/>
              </w:tabs>
              <w:spacing w:line="276" w:lineRule="auto"/>
              <w:ind w:right="71"/>
              <w:jc w:val="center"/>
              <w:rPr>
                <w:sz w:val="22"/>
                <w:szCs w:val="22"/>
              </w:rPr>
            </w:pPr>
            <w:r w:rsidRPr="002E1E5F">
              <w:rPr>
                <w:sz w:val="22"/>
                <w:szCs w:val="22"/>
              </w:rPr>
              <w:t>100km</w:t>
            </w:r>
          </w:p>
        </w:tc>
        <w:tc>
          <w:tcPr>
            <w:tcW w:w="737" w:type="dxa"/>
            <w:tcBorders>
              <w:left w:val="single" w:sz="4" w:space="0" w:color="auto"/>
            </w:tcBorders>
            <w:vAlign w:val="center"/>
          </w:tcPr>
          <w:p w:rsidR="00660414" w:rsidRPr="000A76BD" w:rsidRDefault="00660414" w:rsidP="007613DE">
            <w:pPr>
              <w:spacing w:line="276" w:lineRule="auto"/>
              <w:jc w:val="center"/>
              <w:rPr>
                <w:sz w:val="22"/>
                <w:szCs w:val="22"/>
              </w:rPr>
            </w:pPr>
            <w:r w:rsidRPr="002E1E5F">
              <w:rPr>
                <w:sz w:val="22"/>
                <w:szCs w:val="22"/>
              </w:rPr>
              <w:t>12</w:t>
            </w:r>
          </w:p>
        </w:tc>
        <w:tc>
          <w:tcPr>
            <w:tcW w:w="2902" w:type="dxa"/>
            <w:vAlign w:val="center"/>
          </w:tcPr>
          <w:p w:rsidR="00660414" w:rsidRPr="000A76BD" w:rsidRDefault="00660414" w:rsidP="007613DE">
            <w:pPr>
              <w:spacing w:line="276" w:lineRule="auto"/>
              <w:jc w:val="center"/>
              <w:rPr>
                <w:sz w:val="22"/>
                <w:szCs w:val="22"/>
              </w:rPr>
            </w:pPr>
            <w:r w:rsidRPr="002E1E5F">
              <w:rPr>
                <w:sz w:val="22"/>
                <w:szCs w:val="22"/>
              </w:rPr>
              <w:t>Manufactured Goods</w:t>
            </w:r>
          </w:p>
        </w:tc>
        <w:tc>
          <w:tcPr>
            <w:tcW w:w="1171" w:type="dxa"/>
            <w:vAlign w:val="center"/>
          </w:tcPr>
          <w:p w:rsidR="00660414" w:rsidRPr="000A76BD" w:rsidRDefault="00660414" w:rsidP="007613DE">
            <w:pPr>
              <w:spacing w:line="276" w:lineRule="auto"/>
              <w:ind w:right="136"/>
              <w:jc w:val="center"/>
              <w:rPr>
                <w:sz w:val="22"/>
                <w:szCs w:val="22"/>
              </w:rPr>
            </w:pPr>
            <w:r w:rsidRPr="002E1E5F">
              <w:rPr>
                <w:sz w:val="22"/>
                <w:szCs w:val="22"/>
              </w:rPr>
              <w:t>130km</w:t>
            </w:r>
          </w:p>
        </w:tc>
      </w:tr>
      <w:tr w:rsidR="00660414" w:rsidRPr="000A76BD" w:rsidTr="007613DE">
        <w:tc>
          <w:tcPr>
            <w:tcW w:w="716" w:type="dxa"/>
            <w:vAlign w:val="center"/>
          </w:tcPr>
          <w:p w:rsidR="00660414" w:rsidRPr="000A76BD" w:rsidRDefault="00660414" w:rsidP="007613DE">
            <w:pPr>
              <w:spacing w:line="276" w:lineRule="auto"/>
              <w:jc w:val="center"/>
              <w:rPr>
                <w:sz w:val="22"/>
                <w:szCs w:val="22"/>
              </w:rPr>
            </w:pPr>
            <w:r w:rsidRPr="002E1E5F">
              <w:rPr>
                <w:sz w:val="22"/>
                <w:szCs w:val="22"/>
              </w:rPr>
              <w:t>7</w:t>
            </w:r>
          </w:p>
        </w:tc>
        <w:tc>
          <w:tcPr>
            <w:tcW w:w="2805" w:type="dxa"/>
            <w:vAlign w:val="center"/>
          </w:tcPr>
          <w:p w:rsidR="00660414" w:rsidRPr="000A76BD" w:rsidRDefault="00660414" w:rsidP="007613DE">
            <w:pPr>
              <w:spacing w:line="276" w:lineRule="auto"/>
              <w:jc w:val="center"/>
              <w:rPr>
                <w:sz w:val="22"/>
                <w:szCs w:val="22"/>
              </w:rPr>
            </w:pPr>
            <w:r w:rsidRPr="002E1E5F">
              <w:rPr>
                <w:sz w:val="22"/>
                <w:szCs w:val="22"/>
              </w:rPr>
              <w:t>Fertilisers</w:t>
            </w:r>
          </w:p>
        </w:tc>
        <w:tc>
          <w:tcPr>
            <w:tcW w:w="1171" w:type="dxa"/>
            <w:tcBorders>
              <w:right w:val="single" w:sz="4" w:space="0" w:color="auto"/>
            </w:tcBorders>
            <w:vAlign w:val="center"/>
          </w:tcPr>
          <w:p w:rsidR="00660414" w:rsidRPr="000A76BD" w:rsidRDefault="00660414" w:rsidP="007613DE">
            <w:pPr>
              <w:tabs>
                <w:tab w:val="left" w:pos="743"/>
              </w:tabs>
              <w:spacing w:line="276" w:lineRule="auto"/>
              <w:ind w:right="71"/>
              <w:jc w:val="center"/>
              <w:rPr>
                <w:sz w:val="22"/>
                <w:szCs w:val="22"/>
              </w:rPr>
            </w:pPr>
            <w:r w:rsidRPr="002E1E5F">
              <w:rPr>
                <w:sz w:val="22"/>
                <w:szCs w:val="22"/>
              </w:rPr>
              <w:t>100km</w:t>
            </w:r>
          </w:p>
        </w:tc>
        <w:tc>
          <w:tcPr>
            <w:tcW w:w="737" w:type="dxa"/>
            <w:tcBorders>
              <w:left w:val="single" w:sz="4" w:space="0" w:color="auto"/>
            </w:tcBorders>
            <w:vAlign w:val="center"/>
          </w:tcPr>
          <w:p w:rsidR="00660414" w:rsidRPr="000A76BD" w:rsidRDefault="00660414" w:rsidP="007613DE">
            <w:pPr>
              <w:spacing w:line="276" w:lineRule="auto"/>
              <w:jc w:val="center"/>
              <w:rPr>
                <w:sz w:val="22"/>
                <w:szCs w:val="22"/>
              </w:rPr>
            </w:pPr>
            <w:r w:rsidRPr="002E1E5F">
              <w:rPr>
                <w:sz w:val="22"/>
                <w:szCs w:val="22"/>
              </w:rPr>
              <w:t>13</w:t>
            </w:r>
          </w:p>
        </w:tc>
        <w:tc>
          <w:tcPr>
            <w:tcW w:w="2902" w:type="dxa"/>
            <w:vAlign w:val="center"/>
          </w:tcPr>
          <w:p w:rsidR="00660414" w:rsidRPr="000A76BD" w:rsidRDefault="00660414" w:rsidP="007613DE">
            <w:pPr>
              <w:spacing w:line="276" w:lineRule="auto"/>
              <w:jc w:val="center"/>
              <w:rPr>
                <w:sz w:val="22"/>
                <w:szCs w:val="22"/>
              </w:rPr>
            </w:pPr>
            <w:r w:rsidRPr="002E1E5F">
              <w:rPr>
                <w:sz w:val="22"/>
                <w:szCs w:val="22"/>
              </w:rPr>
              <w:t>Domestic &amp; Industrial Waste</w:t>
            </w:r>
          </w:p>
        </w:tc>
        <w:tc>
          <w:tcPr>
            <w:tcW w:w="1171" w:type="dxa"/>
            <w:vAlign w:val="center"/>
          </w:tcPr>
          <w:p w:rsidR="00660414" w:rsidRPr="000A76BD" w:rsidRDefault="00660414" w:rsidP="007613DE">
            <w:pPr>
              <w:spacing w:line="276" w:lineRule="auto"/>
              <w:ind w:right="136"/>
              <w:jc w:val="center"/>
              <w:rPr>
                <w:sz w:val="22"/>
                <w:szCs w:val="22"/>
              </w:rPr>
            </w:pPr>
            <w:r w:rsidRPr="002E1E5F">
              <w:rPr>
                <w:sz w:val="22"/>
                <w:szCs w:val="22"/>
              </w:rPr>
              <w:t>100km</w:t>
            </w:r>
          </w:p>
        </w:tc>
      </w:tr>
      <w:tr w:rsidR="00660414" w:rsidRPr="000A76BD" w:rsidTr="007613DE">
        <w:tc>
          <w:tcPr>
            <w:tcW w:w="716" w:type="dxa"/>
            <w:vAlign w:val="center"/>
          </w:tcPr>
          <w:p w:rsidR="00660414" w:rsidRPr="000A76BD" w:rsidRDefault="00660414" w:rsidP="007613DE">
            <w:pPr>
              <w:spacing w:line="276" w:lineRule="auto"/>
              <w:jc w:val="center"/>
              <w:rPr>
                <w:sz w:val="22"/>
                <w:szCs w:val="22"/>
              </w:rPr>
            </w:pPr>
            <w:r w:rsidRPr="002E1E5F">
              <w:rPr>
                <w:sz w:val="22"/>
                <w:szCs w:val="22"/>
              </w:rPr>
              <w:t>8</w:t>
            </w:r>
          </w:p>
        </w:tc>
        <w:tc>
          <w:tcPr>
            <w:tcW w:w="2805" w:type="dxa"/>
            <w:vAlign w:val="center"/>
          </w:tcPr>
          <w:p w:rsidR="00660414" w:rsidRPr="000A76BD" w:rsidRDefault="00660414" w:rsidP="007613DE">
            <w:pPr>
              <w:spacing w:line="276" w:lineRule="auto"/>
              <w:jc w:val="center"/>
              <w:rPr>
                <w:sz w:val="22"/>
                <w:szCs w:val="22"/>
              </w:rPr>
            </w:pPr>
            <w:r w:rsidRPr="002E1E5F">
              <w:rPr>
                <w:sz w:val="22"/>
                <w:szCs w:val="22"/>
              </w:rPr>
              <w:t>Chemicals</w:t>
            </w:r>
          </w:p>
        </w:tc>
        <w:tc>
          <w:tcPr>
            <w:tcW w:w="1171" w:type="dxa"/>
            <w:tcBorders>
              <w:right w:val="single" w:sz="4" w:space="0" w:color="auto"/>
            </w:tcBorders>
            <w:vAlign w:val="center"/>
          </w:tcPr>
          <w:p w:rsidR="00660414" w:rsidRPr="000A76BD" w:rsidRDefault="00660414" w:rsidP="007613DE">
            <w:pPr>
              <w:tabs>
                <w:tab w:val="left" w:pos="743"/>
              </w:tabs>
              <w:spacing w:line="276" w:lineRule="auto"/>
              <w:ind w:right="71"/>
              <w:jc w:val="center"/>
              <w:rPr>
                <w:sz w:val="22"/>
                <w:szCs w:val="22"/>
              </w:rPr>
            </w:pPr>
            <w:r w:rsidRPr="002E1E5F">
              <w:rPr>
                <w:sz w:val="22"/>
                <w:szCs w:val="22"/>
              </w:rPr>
              <w:t>100km</w:t>
            </w:r>
          </w:p>
        </w:tc>
        <w:tc>
          <w:tcPr>
            <w:tcW w:w="737" w:type="dxa"/>
            <w:tcBorders>
              <w:left w:val="single" w:sz="4" w:space="0" w:color="auto"/>
            </w:tcBorders>
            <w:vAlign w:val="center"/>
          </w:tcPr>
          <w:p w:rsidR="00660414" w:rsidRPr="000A76BD" w:rsidRDefault="00660414" w:rsidP="007613DE">
            <w:pPr>
              <w:spacing w:line="276" w:lineRule="auto"/>
              <w:jc w:val="center"/>
              <w:rPr>
                <w:sz w:val="22"/>
                <w:szCs w:val="22"/>
              </w:rPr>
            </w:pPr>
            <w:r w:rsidRPr="002E1E5F">
              <w:rPr>
                <w:sz w:val="22"/>
                <w:szCs w:val="22"/>
              </w:rPr>
              <w:t>14</w:t>
            </w:r>
          </w:p>
        </w:tc>
        <w:tc>
          <w:tcPr>
            <w:tcW w:w="2902" w:type="dxa"/>
            <w:vAlign w:val="center"/>
          </w:tcPr>
          <w:p w:rsidR="00660414" w:rsidRPr="000A76BD" w:rsidRDefault="00660414" w:rsidP="007613DE">
            <w:pPr>
              <w:spacing w:line="276" w:lineRule="auto"/>
              <w:jc w:val="center"/>
              <w:rPr>
                <w:sz w:val="22"/>
                <w:szCs w:val="22"/>
              </w:rPr>
            </w:pPr>
            <w:r w:rsidRPr="002E1E5F">
              <w:rPr>
                <w:sz w:val="22"/>
                <w:szCs w:val="22"/>
              </w:rPr>
              <w:t>Forestry Products</w:t>
            </w:r>
          </w:p>
        </w:tc>
        <w:tc>
          <w:tcPr>
            <w:tcW w:w="1171" w:type="dxa"/>
            <w:vAlign w:val="center"/>
          </w:tcPr>
          <w:p w:rsidR="00660414" w:rsidRPr="000A76BD" w:rsidRDefault="00660414" w:rsidP="007613DE">
            <w:pPr>
              <w:spacing w:line="276" w:lineRule="auto"/>
              <w:ind w:right="136"/>
              <w:jc w:val="center"/>
              <w:rPr>
                <w:sz w:val="22"/>
                <w:szCs w:val="22"/>
              </w:rPr>
            </w:pPr>
            <w:r w:rsidRPr="002E1E5F">
              <w:rPr>
                <w:sz w:val="22"/>
                <w:szCs w:val="22"/>
              </w:rPr>
              <w:t>100km</w:t>
            </w:r>
          </w:p>
        </w:tc>
      </w:tr>
      <w:tr w:rsidR="00660414" w:rsidRPr="000A76BD" w:rsidTr="007613DE">
        <w:tc>
          <w:tcPr>
            <w:tcW w:w="716" w:type="dxa"/>
            <w:vAlign w:val="center"/>
          </w:tcPr>
          <w:p w:rsidR="00660414" w:rsidRPr="000A76BD" w:rsidRDefault="00660414" w:rsidP="007613DE">
            <w:pPr>
              <w:spacing w:line="276" w:lineRule="auto"/>
              <w:jc w:val="center"/>
              <w:rPr>
                <w:sz w:val="22"/>
                <w:szCs w:val="22"/>
              </w:rPr>
            </w:pPr>
          </w:p>
        </w:tc>
        <w:tc>
          <w:tcPr>
            <w:tcW w:w="2805" w:type="dxa"/>
            <w:vAlign w:val="center"/>
          </w:tcPr>
          <w:p w:rsidR="00660414" w:rsidRPr="000A76BD" w:rsidRDefault="00660414" w:rsidP="007613DE">
            <w:pPr>
              <w:spacing w:line="276" w:lineRule="auto"/>
              <w:jc w:val="center"/>
              <w:rPr>
                <w:sz w:val="22"/>
                <w:szCs w:val="22"/>
              </w:rPr>
            </w:pPr>
          </w:p>
        </w:tc>
        <w:tc>
          <w:tcPr>
            <w:tcW w:w="1171" w:type="dxa"/>
            <w:tcBorders>
              <w:right w:val="single" w:sz="4" w:space="0" w:color="auto"/>
            </w:tcBorders>
            <w:vAlign w:val="center"/>
          </w:tcPr>
          <w:p w:rsidR="00660414" w:rsidRPr="000A76BD" w:rsidRDefault="00660414" w:rsidP="007613DE">
            <w:pPr>
              <w:tabs>
                <w:tab w:val="left" w:pos="743"/>
              </w:tabs>
              <w:spacing w:line="276" w:lineRule="auto"/>
              <w:ind w:right="71"/>
              <w:jc w:val="center"/>
              <w:rPr>
                <w:sz w:val="22"/>
                <w:szCs w:val="22"/>
              </w:rPr>
            </w:pPr>
          </w:p>
        </w:tc>
        <w:tc>
          <w:tcPr>
            <w:tcW w:w="737" w:type="dxa"/>
            <w:tcBorders>
              <w:left w:val="single" w:sz="4" w:space="0" w:color="auto"/>
            </w:tcBorders>
            <w:vAlign w:val="center"/>
          </w:tcPr>
          <w:p w:rsidR="00660414" w:rsidRPr="000A76BD" w:rsidRDefault="00660414" w:rsidP="007613DE">
            <w:pPr>
              <w:spacing w:line="276" w:lineRule="auto"/>
              <w:jc w:val="center"/>
              <w:rPr>
                <w:sz w:val="22"/>
                <w:szCs w:val="22"/>
              </w:rPr>
            </w:pPr>
          </w:p>
        </w:tc>
        <w:tc>
          <w:tcPr>
            <w:tcW w:w="2902" w:type="dxa"/>
            <w:vAlign w:val="center"/>
          </w:tcPr>
          <w:p w:rsidR="00660414" w:rsidRPr="000A76BD" w:rsidRDefault="00660414" w:rsidP="007613DE">
            <w:pPr>
              <w:spacing w:line="276" w:lineRule="auto"/>
              <w:jc w:val="center"/>
              <w:rPr>
                <w:sz w:val="22"/>
                <w:szCs w:val="22"/>
              </w:rPr>
            </w:pPr>
          </w:p>
        </w:tc>
        <w:tc>
          <w:tcPr>
            <w:tcW w:w="1171" w:type="dxa"/>
            <w:vAlign w:val="center"/>
          </w:tcPr>
          <w:p w:rsidR="00660414" w:rsidRPr="000A76BD" w:rsidRDefault="00660414" w:rsidP="007613DE">
            <w:pPr>
              <w:spacing w:line="276" w:lineRule="auto"/>
              <w:ind w:right="136"/>
              <w:jc w:val="center"/>
              <w:rPr>
                <w:sz w:val="22"/>
                <w:szCs w:val="22"/>
              </w:rPr>
            </w:pPr>
          </w:p>
        </w:tc>
      </w:tr>
    </w:tbl>
    <w:p w:rsidR="00660414" w:rsidRPr="000A76BD" w:rsidRDefault="00660414" w:rsidP="00660414">
      <w:pPr>
        <w:spacing w:line="276" w:lineRule="auto"/>
        <w:ind w:firstLine="851"/>
        <w:rPr>
          <w:sz w:val="22"/>
          <w:szCs w:val="22"/>
        </w:rPr>
      </w:pPr>
      <w:r w:rsidRPr="008C5B1B">
        <w:rPr>
          <w:noProof/>
          <w:sz w:val="22"/>
          <w:szCs w:val="22"/>
          <w:lang w:val="ro-RO" w:eastAsia="ro-RO"/>
        </w:rPr>
        <w:drawing>
          <wp:inline distT="0" distB="0" distL="0" distR="0" wp14:anchorId="30CFF121" wp14:editId="3462401A">
            <wp:extent cx="5101579" cy="4238625"/>
            <wp:effectExtent l="19050" t="0" r="3821" b="0"/>
            <wp:docPr id="231" name="Picture 9" descr="C:\Users\turpinm\AppData\Local\Microsoft\Windows\Temporary Internet Files\Content.Outlook\RQJO0V1E\Max_Container_Rail_Flow_Plot_Coloured_Filter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rpinm\AppData\Local\Microsoft\Windows\Temporary Internet Files\Content.Outlook\RQJO0V1E\Max_Container_Rail_Flow_Plot_Coloured_Filtered (2).png"/>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5101579" cy="4238625"/>
                    </a:xfrm>
                    <a:prstGeom prst="rect">
                      <a:avLst/>
                    </a:prstGeom>
                    <a:noFill/>
                    <a:ln w="9525">
                      <a:noFill/>
                      <a:miter lim="800000"/>
                      <a:headEnd/>
                      <a:tailEnd/>
                    </a:ln>
                  </pic:spPr>
                </pic:pic>
              </a:graphicData>
            </a:graphic>
          </wp:inline>
        </w:drawing>
      </w:r>
    </w:p>
    <w:p w:rsidR="00660414" w:rsidRPr="000A76BD" w:rsidRDefault="00660414" w:rsidP="00660414">
      <w:pPr>
        <w:spacing w:line="276" w:lineRule="auto"/>
        <w:ind w:left="851"/>
        <w:rPr>
          <w:b/>
          <w:sz w:val="22"/>
          <w:szCs w:val="22"/>
        </w:rPr>
      </w:pPr>
      <w:r w:rsidRPr="002E1E5F">
        <w:rPr>
          <w:b/>
          <w:sz w:val="22"/>
          <w:szCs w:val="22"/>
        </w:rPr>
        <w:t>Figure 8.10: Potential container traffic and current mode share by rail flow</w:t>
      </w:r>
    </w:p>
    <w:p w:rsidR="00660414" w:rsidRPr="000A76BD" w:rsidRDefault="00660414" w:rsidP="00A4081F">
      <w:pPr>
        <w:pStyle w:val="NumberedParas"/>
      </w:pPr>
      <w:r w:rsidRPr="002E1E5F">
        <w:t>This can be further assessed through a quick analysis of each of the potential commodities containerised flows.</w:t>
      </w:r>
    </w:p>
    <w:p w:rsidR="00660414" w:rsidRPr="000A76BD" w:rsidRDefault="00660414" w:rsidP="00A4081F">
      <w:pPr>
        <w:pStyle w:val="NumberedParas"/>
      </w:pPr>
      <w:r w:rsidRPr="002E1E5F">
        <w:rPr>
          <w:i/>
        </w:rPr>
        <w:t>Foodstuffs (1):</w:t>
      </w:r>
      <w:r w:rsidRPr="002E1E5F">
        <w:t xml:space="preserve"> Flows of foodstuffs by rail are relatively small, (approximately 1,133 tons per day) of which approximately a third offers the potential for containerisation. This is mostly due to the time requirements of food shipments. However, of that which is suitable, there is potential for improved rail modal share on corridors IV south and IX especially. In the case of the former, modal share (of potential total containerised foodstuffs) is approximately 20 – 30% between Caracal and Carahsebes, with the modal share between there and the border (past Timisoara and Arad) below 10% northbound and 20% southbound. Improved intermodal facilities at Timisoara may help to increase this modal share through reducing handling time and costs, as would improvements to border crossing procedures, line speed and journey time reliability. The use of temperature controlled containers in some countries is enhancing the volume of foodstuffs being moved by rail and is worth further consideration for Romania</w:t>
      </w:r>
      <w:r>
        <w:t>, however this would require the installation of specialised facilities at terminals such as plug-in points for temperature controlled containers.</w:t>
      </w:r>
    </w:p>
    <w:p w:rsidR="00660414" w:rsidRPr="000A76BD" w:rsidRDefault="00660414" w:rsidP="00A4081F">
      <w:pPr>
        <w:pStyle w:val="NumberedParas"/>
      </w:pPr>
      <w:r w:rsidRPr="002E1E5F">
        <w:rPr>
          <w:i/>
        </w:rPr>
        <w:t>Metals (5):</w:t>
      </w:r>
      <w:r w:rsidRPr="002E1E5F">
        <w:t xml:space="preserve"> Between Bucharest and Constanta rail has already established a modal share dominance, which continues on Corridor IV and Corridor IX. Corridor IV South is affected by the proximity of the rail corridor to the Danube, and improvements made to intermodal terminals here will draw more traffic away from river because of its time sensitivity. However, there is room for growth between Galati, Bucharest, Pitesti and Craiova, where rail’s potential modal share (of potential containerised metal products) is low. Metals are a key component of the automotive industry and flows for car production are important. Improvements are also possible at the western end of Corridor IV South between Arad and Caransebes (via Timisoara). The proposed intermodal terminal at Timisoara, along with improvements to line speed, reliability and reduced handling costs will increase the potential for shift to rail from road. The potential flows are shown in Figure 8.11 below:</w:t>
      </w:r>
    </w:p>
    <w:p w:rsidR="00660414" w:rsidRPr="000A76BD" w:rsidRDefault="00660414" w:rsidP="00A4081F">
      <w:pPr>
        <w:pStyle w:val="NumberedParas"/>
        <w:numPr>
          <w:ilvl w:val="0"/>
          <w:numId w:val="0"/>
        </w:numPr>
        <w:ind w:left="851"/>
      </w:pPr>
      <w:r w:rsidRPr="008C5B1B">
        <w:rPr>
          <w:noProof/>
          <w:lang w:val="ro-RO" w:eastAsia="ro-RO"/>
        </w:rPr>
        <w:drawing>
          <wp:inline distT="0" distB="0" distL="0" distR="0" wp14:anchorId="3841F95E" wp14:editId="56084F68">
            <wp:extent cx="5358670" cy="5745707"/>
            <wp:effectExtent l="19050" t="0" r="0" b="0"/>
            <wp:docPr id="233" name="Picture 5" descr="F:\TMARKET\Freight\Projects\Romania Masterplan\Maps\Metals Flows (Rail 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MARKET\Freight\Projects\Romania Masterplan\Maps\Metals Flows (Rail Potential).png"/>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5358670" cy="5745707"/>
                    </a:xfrm>
                    <a:prstGeom prst="rect">
                      <a:avLst/>
                    </a:prstGeom>
                    <a:noFill/>
                    <a:ln w="9525">
                      <a:noFill/>
                      <a:miter lim="800000"/>
                      <a:headEnd/>
                      <a:tailEnd/>
                    </a:ln>
                  </pic:spPr>
                </pic:pic>
              </a:graphicData>
            </a:graphic>
          </wp:inline>
        </w:drawing>
      </w:r>
    </w:p>
    <w:p w:rsidR="00660414" w:rsidRPr="000A76BD" w:rsidRDefault="00660414" w:rsidP="00660414">
      <w:pPr>
        <w:pStyle w:val="Body"/>
        <w:ind w:left="851"/>
        <w:rPr>
          <w:b/>
          <w:i w:val="0"/>
        </w:rPr>
      </w:pPr>
      <w:r w:rsidRPr="002E1E5F">
        <w:rPr>
          <w:b/>
          <w:i w:val="0"/>
        </w:rPr>
        <w:t>Figure 8.11: Potential Containerised Metal Flows and Rail Modal Share</w:t>
      </w:r>
    </w:p>
    <w:p w:rsidR="00660414" w:rsidRPr="000A76BD" w:rsidRDefault="00660414" w:rsidP="00A4081F">
      <w:pPr>
        <w:pStyle w:val="NumberedParas"/>
      </w:pPr>
      <w:r w:rsidRPr="002E1E5F">
        <w:rPr>
          <w:i/>
        </w:rPr>
        <w:t>Fertiliser (7):</w:t>
      </w:r>
      <w:r w:rsidRPr="002E1E5F">
        <w:t xml:space="preserve"> There are nine fertiliser production plants in Romania and the country both imports and exports the commodity. The sector has been expanding in line with positive growth in cereal production. A key flow with regard to (potentially containerised) fertiliser is that from the large plant near Targu Mures through to the port of Constanta along Corridor IV. The plant currently produces around 900 tonnes per day and future investment is projected to increase this flow to over 1,400 tonnes per day by 2015. Rail has a large share of this market, although it has a poorer share of the return flow from Bucharest, past Targu Mures to Cluj-Napoca. Improving rail’s share of the industry on this return leg would enable better utilisation to be made of the rolling stock within this industry. Modal share is also high on the much smaller flows operating on Corridor IX (southbound) and on Corridor IV South (both directions), although this latter corridor has smaller potential than the others due to competition from water freight on the Danube. This is demonstrated in Figure 8.12 below:</w:t>
      </w:r>
    </w:p>
    <w:p w:rsidR="00660414" w:rsidRPr="000A76BD" w:rsidRDefault="00660414" w:rsidP="00660414">
      <w:pPr>
        <w:keepNext/>
        <w:spacing w:line="276" w:lineRule="auto"/>
        <w:ind w:firstLine="851"/>
        <w:rPr>
          <w:sz w:val="22"/>
          <w:szCs w:val="22"/>
        </w:rPr>
      </w:pPr>
      <w:r w:rsidRPr="008C5B1B">
        <w:rPr>
          <w:noProof/>
          <w:sz w:val="22"/>
          <w:szCs w:val="22"/>
          <w:lang w:val="ro-RO" w:eastAsia="ro-RO"/>
        </w:rPr>
        <w:drawing>
          <wp:inline distT="0" distB="0" distL="0" distR="0" wp14:anchorId="17DB34D5" wp14:editId="4F868002">
            <wp:extent cx="5939790" cy="5591175"/>
            <wp:effectExtent l="19050" t="0" r="3810" b="0"/>
            <wp:docPr id="234" name="Picture 4" descr="F:\TMARKET\Freight\Projects\Romania Masterplan\Maps\Fertiliser Flows (Rail 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MARKET\Freight\Projects\Romania Masterplan\Maps\Fertiliser Flows (Rail Potential).pn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5939790" cy="5591175"/>
                    </a:xfrm>
                    <a:prstGeom prst="rect">
                      <a:avLst/>
                    </a:prstGeom>
                    <a:noFill/>
                    <a:ln w="9525">
                      <a:noFill/>
                      <a:miter lim="800000"/>
                      <a:headEnd/>
                      <a:tailEnd/>
                    </a:ln>
                  </pic:spPr>
                </pic:pic>
              </a:graphicData>
            </a:graphic>
          </wp:inline>
        </w:drawing>
      </w:r>
    </w:p>
    <w:p w:rsidR="00660414" w:rsidRPr="000A76BD" w:rsidRDefault="00660414" w:rsidP="00660414">
      <w:pPr>
        <w:pStyle w:val="Body"/>
        <w:ind w:left="851"/>
        <w:rPr>
          <w:b/>
          <w:i w:val="0"/>
        </w:rPr>
      </w:pPr>
      <w:r w:rsidRPr="002E1E5F">
        <w:rPr>
          <w:b/>
          <w:i w:val="0"/>
        </w:rPr>
        <w:t xml:space="preserve">Figure 8.12: Potential Containerised Fertiliser Flows and Rail Modal Share </w:t>
      </w:r>
    </w:p>
    <w:p w:rsidR="00660414" w:rsidRPr="000A76BD" w:rsidRDefault="00660414" w:rsidP="00A4081F">
      <w:pPr>
        <w:pStyle w:val="NumberedParas"/>
      </w:pPr>
      <w:r w:rsidRPr="002E1E5F">
        <w:rPr>
          <w:i/>
        </w:rPr>
        <w:t>Petrochemicals (8 &amp; 10):</w:t>
      </w:r>
      <w:r w:rsidRPr="002E1E5F">
        <w:t xml:space="preserve"> On Corridor IV rail has a large modal share of potential eastbound flows, from the border at Curtici all the way to Constanta. Flows on Corridor IV south are affected by competition from water freight on the Danube, although improved links between modes at the Danube ports will offer opportunities to increase tonnage handled. On Corridor IV the amounts handled (under the potential containerised scenario) are low, although rail has a relatively high modal share on southbound movements, although northbound the modal share is significantly lower (under 10%).</w:t>
      </w:r>
      <w:r>
        <w:t xml:space="preserve"> Liquid or granular chemicals can travel in tanktainers.</w:t>
      </w:r>
    </w:p>
    <w:p w:rsidR="00660414" w:rsidRPr="000A76BD" w:rsidRDefault="00660414" w:rsidP="00A4081F">
      <w:pPr>
        <w:pStyle w:val="NumberedParas"/>
      </w:pPr>
      <w:r w:rsidRPr="002E1E5F">
        <w:t>Machinery, Manufactured Goods and Heavy Manufactures (9 &amp; 12): Corridor IV South is noticeable when looking at this commodity type due to water freight taking a large modal share of this important flow. However, there are also significant volumes travelling on corridors IV and IX, of which rail has a large share of the potential containerised exports. However, there is significant room for improvement on domestic movements, particularly with regard to the large flows moving between Suceava (on Corridor IX) and Dej in the north. There is also a significant flow of this commodity type over the border with Ukraine, most of which currently travels by alternative modes.</w:t>
      </w:r>
    </w:p>
    <w:p w:rsidR="00660414" w:rsidRPr="000A76BD" w:rsidRDefault="00660414" w:rsidP="00A4081F">
      <w:pPr>
        <w:pStyle w:val="NumberedParas"/>
      </w:pPr>
      <w:r w:rsidRPr="002E1E5F">
        <w:t>Forestry Products (14): It is estimated that around 20% of all forestry products are suitable for containerisation, and that rail has a good potential modal share (above 80% of this hypothetical traffic) on all three of the relevant corridors (IV, IV South and IX). Already one of the largest flows in containers is from Kronospan’s production plants to the Port of Constanta. However, at both the northern and southern extremities of Corridor IX (within Romania) rail’s modal share is projected at below 10%. Improved border crossings, axle weight loadings and journey time reliability will help rail to compete more effectively against road in these locations.</w:t>
      </w:r>
    </w:p>
    <w:p w:rsidR="00660414" w:rsidRPr="000A76BD" w:rsidRDefault="00660414" w:rsidP="00660414">
      <w:pPr>
        <w:pStyle w:val="Hdg3"/>
      </w:pPr>
      <w:r w:rsidRPr="002E1E5F">
        <w:t>Conclusions</w:t>
      </w:r>
    </w:p>
    <w:p w:rsidR="00660414" w:rsidRPr="000A76BD" w:rsidRDefault="00660414" w:rsidP="00A4081F">
      <w:pPr>
        <w:pStyle w:val="NumberedParas"/>
      </w:pPr>
      <w:r w:rsidRPr="002E1E5F">
        <w:t xml:space="preserve">Regardless of commodity type, all of the rail network in Romania would be more attractive to intermodal freight as a result of improved maintenance, efficiency and lower costs. As such, any intervention that improves the speed of freight trains and lowers the cost (in time and money) of modal transfer are to be welcomed, whether these are maintenance and rehabilitation works, improved line speeds, new locomotives and rolling stock or increased axle weights. </w:t>
      </w:r>
      <w:r>
        <w:t xml:space="preserve">In particular, there is a need to improve the pathing of intermodal block trains in order to reduce layover and stabling times in order to make journey times more competitive. </w:t>
      </w:r>
      <w:r w:rsidRPr="002E1E5F">
        <w:t>However, certain corridors will benefit from more targeted interventions, and these are outlined below.</w:t>
      </w:r>
    </w:p>
    <w:p w:rsidR="00660414" w:rsidRPr="000A76BD" w:rsidRDefault="00660414" w:rsidP="00A4081F">
      <w:pPr>
        <w:pStyle w:val="NumberedParas"/>
      </w:pPr>
      <w:r w:rsidRPr="002E1E5F">
        <w:t>Corridor IV South: There is significant potential for improvements to Corridor IV South that result in a notable increase in the amount of container traffic moving on the railway. In particular, improvements to this route would facilitate the growth of transit traffic along this corridor. Furthermore, this is not taking into account the extra benefits which would come from improving links with certain key ports along the Danube itself, including Drobeta-Turnu-Severin (recommended for a new intermodal terminal elsewhere in this strategy) and the new railway bridge at Calafat-Vidin (and the access it provides to the proposed Vidin tri-modal terminal). Supporting better connections between the Danube and the rail network will enable increases in the amount of intermodal freight that can be moved and its penetration (on sustainable modes) into areas further away from the Danube and Corridor IV South. This latter goal will be particularly assisted by the creation of an intermodal terminal at Craiova</w:t>
      </w:r>
      <w:r>
        <w:t>, Timisoara</w:t>
      </w:r>
      <w:r w:rsidRPr="002E1E5F">
        <w:t xml:space="preserve"> and a new terminal in Bucharest. Due to this connectivity, and the ability of the line to link with Bucharest, Constanta and the western border whilst avoiding much of Romania’s mountainous interior, Corridor IV South is perhaps best suited to benefit from; improved line speeds, larger axle weights and more modern infrastructure, rolling stock and locomotives that will increase the amount of international freight handled by rail, as well as domestic traffic which currently goes by road. </w:t>
      </w:r>
    </w:p>
    <w:p w:rsidR="00660414" w:rsidRPr="000A76BD" w:rsidRDefault="00660414" w:rsidP="00A4081F">
      <w:pPr>
        <w:pStyle w:val="NumberedParas"/>
      </w:pPr>
      <w:r w:rsidRPr="002E1E5F">
        <w:t xml:space="preserve">Corridor IV (North): In Romania this runs from the Hungarian border crossing near Arad (Curtici) in the west through Bucharest to the port at Constanta in the southeast. As such it passes near several important towns and cities such as Ploiesti and Brasov, in addition to providing the key link between Bucharest and the Black Sea. Whilst this latter trade is well developed (with rail having a relatively high modal share) the links further inland are less so. Interventions which improve journey times, lower costs and improve efficiency (particularly at border crossings) will assist, alongside targeted interventions such as the new terminal in Bucharest and the potential rehabilitation of terminals in central and western Romania. It is the rehabilitated routes such as Corridor IV between Constanta and Bucharest that would benefit most from the instigation of a two-tier speed limit for intermodal freight trains (and an improvement in their relative priority versus some passenger trains), although this will benefit all of the corridors to some extent. Similarly, this applies to other interventions such as allowing modern trains to be more energy efficient through the use of regenerative braking for example. </w:t>
      </w:r>
    </w:p>
    <w:p w:rsidR="00660414" w:rsidRPr="000A76BD" w:rsidRDefault="00660414" w:rsidP="00A4081F">
      <w:pPr>
        <w:pStyle w:val="NumberedParas"/>
      </w:pPr>
      <w:r w:rsidRPr="002E1E5F">
        <w:t xml:space="preserve">Corridor IX: The main north-south corridor in the east of the country, this corridor links onto corridor IV near Ploiesti to the north of Bucharest. It also links with the important ports of Galati, Braila and Giurgiu, and has border connections with Moldova, Ukraine and Bulgaria. It is mostly a freight line, and there is potential to build on the current flow of containers from Suceava (generally travelling towards Bucharest and Constanta) and develop international intermodal flows with the other countries on the corridor. As already established, the border crossing with Ukraine at Dornesti is CFR Marfa’s second busiest, and Corridor IX has great potential for future growth of transit traffic as a result of Project Viking. This ambitious project plans to move up to 1,000 trains a year on the corridor from the Baltic States to Bulgaria, Turkey and possibly Greece via Ukraine and Romania. However, for this to happen and be an ongoing success, significant interventions to improve axle weight loadings, line speed and journey time reliability would be needed. Furthermore, Corridor IX also links with Galati which is well-located as a transhipment point from water or Russian gauge railways for onwards connections. As on Corridor IV, there is generally a poor modal share of inbound containers, which could be aided through the rehabilitation of intermodal terminals in the northeast, such as at Suceava and Iasi. Again, the line would benefit from improved maintenance and the other identified interventions which apply to all corridors.  </w:t>
      </w:r>
    </w:p>
    <w:p w:rsidR="00660414" w:rsidRPr="000A76BD" w:rsidRDefault="00660414" w:rsidP="00A4081F">
      <w:pPr>
        <w:pStyle w:val="NumberedParas"/>
      </w:pPr>
      <w:r w:rsidRPr="002E1E5F">
        <w:t>Building on these foundations then, a clear programme of interventions with regard to rehabilitating the route to facilitate higher axle weights and faster intermodal trains is clear. The proposed rail network enhancements are discussed in Section 5.</w:t>
      </w:r>
    </w:p>
    <w:p w:rsidR="00660414" w:rsidRPr="000A76BD" w:rsidRDefault="00660414" w:rsidP="00660414">
      <w:pPr>
        <w:rPr>
          <w:sz w:val="22"/>
          <w:szCs w:val="22"/>
        </w:rPr>
      </w:pPr>
    </w:p>
    <w:p w:rsidR="00660414" w:rsidRPr="000A76BD" w:rsidRDefault="00660414" w:rsidP="00660414">
      <w:pPr>
        <w:pStyle w:val="Hdg3"/>
      </w:pPr>
      <w:r w:rsidRPr="002E1E5F">
        <w:t>Intermodal Terminals - Factors for Success</w:t>
      </w:r>
    </w:p>
    <w:p w:rsidR="00660414" w:rsidRPr="000A76BD" w:rsidRDefault="00660414" w:rsidP="00A4081F">
      <w:pPr>
        <w:pStyle w:val="NumberedParas"/>
        <w:rPr>
          <w:lang w:eastAsia="en-GB"/>
        </w:rPr>
      </w:pPr>
      <w:r w:rsidRPr="002E1E5F">
        <w:rPr>
          <w:lang w:eastAsia="en-GB"/>
        </w:rPr>
        <w:t>From AECOM’s experience the key success factors for intermodal services are:</w:t>
      </w:r>
    </w:p>
    <w:p w:rsidR="00660414" w:rsidRPr="000A76BD" w:rsidRDefault="00660414" w:rsidP="00273D5E">
      <w:pPr>
        <w:pStyle w:val="BulletLevel1"/>
      </w:pPr>
      <w:r w:rsidRPr="002E1E5F">
        <w:t>Availability of frequent, scheduled, reliable and punctual services;</w:t>
      </w:r>
    </w:p>
    <w:p w:rsidR="00660414" w:rsidRPr="000A76BD" w:rsidRDefault="00660414" w:rsidP="00273D5E">
      <w:pPr>
        <w:pStyle w:val="BulletLevel1"/>
      </w:pPr>
      <w:r w:rsidRPr="002E1E5F">
        <w:t>Schedules geared to the movement of business and consumer goods;</w:t>
      </w:r>
    </w:p>
    <w:p w:rsidR="00660414" w:rsidRPr="000A76BD" w:rsidRDefault="00660414" w:rsidP="00273D5E">
      <w:pPr>
        <w:pStyle w:val="BulletLevel1"/>
      </w:pPr>
      <w:r w:rsidRPr="002E1E5F">
        <w:t>Flexible door-to-door solutions, including trucking alternatives;</w:t>
      </w:r>
    </w:p>
    <w:p w:rsidR="00660414" w:rsidRPr="000A76BD" w:rsidRDefault="00660414" w:rsidP="00273D5E">
      <w:pPr>
        <w:pStyle w:val="BulletLevel1"/>
      </w:pPr>
      <w:r w:rsidRPr="002E1E5F">
        <w:t>Control and management of a secure door-to-door supply chain;</w:t>
      </w:r>
    </w:p>
    <w:p w:rsidR="00660414" w:rsidRPr="000A76BD" w:rsidRDefault="00660414" w:rsidP="00273D5E">
      <w:pPr>
        <w:pStyle w:val="BulletLevel1"/>
      </w:pPr>
      <w:r w:rsidRPr="002E1E5F">
        <w:t>Fast handling at terminals to ensure efficient round-trip schedules for trucking companies (road collection and delivery), including efficient road access infrastructure;</w:t>
      </w:r>
    </w:p>
    <w:p w:rsidR="00660414" w:rsidRPr="000A76BD" w:rsidRDefault="00660414" w:rsidP="00273D5E">
      <w:pPr>
        <w:pStyle w:val="BulletLevel1"/>
      </w:pPr>
      <w:r w:rsidRPr="002E1E5F">
        <w:t>Consistency of delivery;</w:t>
      </w:r>
    </w:p>
    <w:p w:rsidR="00660414" w:rsidRPr="000A76BD" w:rsidRDefault="00660414" w:rsidP="00273D5E">
      <w:pPr>
        <w:pStyle w:val="BulletLevel1"/>
      </w:pPr>
      <w:r w:rsidRPr="002E1E5F">
        <w:t>Seamless international intermodal services (interoperability, synchronization of processes between railways and operators, data interchange);</w:t>
      </w:r>
    </w:p>
    <w:p w:rsidR="00660414" w:rsidRPr="000A76BD" w:rsidRDefault="00660414" w:rsidP="00273D5E">
      <w:pPr>
        <w:pStyle w:val="BulletLevel1"/>
      </w:pPr>
      <w:r w:rsidRPr="002E1E5F">
        <w:t>Infrastructure access charges ensuring a level playing field between intermodal solutions and road transport;</w:t>
      </w:r>
    </w:p>
    <w:p w:rsidR="00660414" w:rsidRPr="000A76BD" w:rsidRDefault="00660414" w:rsidP="00273D5E">
      <w:pPr>
        <w:pStyle w:val="BulletLevel1"/>
      </w:pPr>
      <w:r w:rsidRPr="002E1E5F">
        <w:t>Presence of a significant number of customers close as possible to the intermodal terminals;</w:t>
      </w:r>
    </w:p>
    <w:p w:rsidR="00660414" w:rsidRPr="000A76BD" w:rsidRDefault="00660414" w:rsidP="00273D5E">
      <w:pPr>
        <w:pStyle w:val="BulletLevel1"/>
      </w:pPr>
      <w:r w:rsidRPr="002E1E5F">
        <w:t>Availability of efficient terminals;</w:t>
      </w:r>
    </w:p>
    <w:p w:rsidR="00660414" w:rsidRPr="000A76BD" w:rsidRDefault="00660414" w:rsidP="00273D5E">
      <w:pPr>
        <w:pStyle w:val="BulletLevel1"/>
      </w:pPr>
      <w:r w:rsidRPr="002E1E5F">
        <w:t>Availability of empty container depots at strategic hubs;</w:t>
      </w:r>
    </w:p>
    <w:p w:rsidR="00660414" w:rsidRPr="000A76BD" w:rsidRDefault="00660414" w:rsidP="00273D5E">
      <w:pPr>
        <w:pStyle w:val="BulletLevel1"/>
      </w:pPr>
      <w:r w:rsidRPr="002E1E5F">
        <w:t>Supportive activities by authorities;</w:t>
      </w:r>
    </w:p>
    <w:p w:rsidR="00660414" w:rsidRPr="000A76BD" w:rsidRDefault="00660414" w:rsidP="00273D5E">
      <w:pPr>
        <w:pStyle w:val="BulletLevel1"/>
      </w:pPr>
      <w:r w:rsidRPr="002E1E5F">
        <w:t xml:space="preserve">Transparency and accountability </w:t>
      </w:r>
    </w:p>
    <w:p w:rsidR="00660414" w:rsidRPr="000A76BD" w:rsidRDefault="00660414" w:rsidP="00273D5E">
      <w:pPr>
        <w:pStyle w:val="BulletLevel1"/>
      </w:pPr>
      <w:r w:rsidRPr="002E1E5F">
        <w:t>Market awareness of the possibilities of intermodal transport;</w:t>
      </w:r>
    </w:p>
    <w:p w:rsidR="00660414" w:rsidRPr="000A76BD" w:rsidRDefault="00660414" w:rsidP="00273D5E">
      <w:pPr>
        <w:pStyle w:val="BulletLevel1"/>
      </w:pPr>
      <w:r w:rsidRPr="002E1E5F">
        <w:t>Experience of the intermodal market; and</w:t>
      </w:r>
    </w:p>
    <w:p w:rsidR="00660414" w:rsidRPr="000A76BD" w:rsidRDefault="00660414" w:rsidP="00273D5E">
      <w:pPr>
        <w:pStyle w:val="BulletLevel1"/>
      </w:pPr>
      <w:r w:rsidRPr="002E1E5F">
        <w:t>Competitive end to end pricing.</w:t>
      </w:r>
    </w:p>
    <w:p w:rsidR="00660414" w:rsidRPr="000A76BD" w:rsidRDefault="00660414" w:rsidP="00A4081F">
      <w:pPr>
        <w:pStyle w:val="NumberedParas"/>
      </w:pPr>
      <w:r w:rsidRPr="002E1E5F">
        <w:t>In order to achieve this, each terminal will need to have some (if not all) of the following:</w:t>
      </w:r>
    </w:p>
    <w:p w:rsidR="00660414" w:rsidRPr="000A76BD" w:rsidRDefault="00660414" w:rsidP="00660414">
      <w:pPr>
        <w:spacing w:line="276" w:lineRule="auto"/>
        <w:rPr>
          <w:b/>
          <w:sz w:val="22"/>
          <w:szCs w:val="22"/>
          <w:u w:val="single"/>
        </w:rPr>
      </w:pPr>
    </w:p>
    <w:tbl>
      <w:tblPr>
        <w:tblW w:w="5000" w:type="pct"/>
        <w:shd w:val="clear" w:color="auto" w:fill="C6D9F1" w:themeFill="text2" w:themeFillTint="33"/>
        <w:tblLook w:val="04A0" w:firstRow="1" w:lastRow="0" w:firstColumn="1" w:lastColumn="0" w:noHBand="0" w:noVBand="1"/>
      </w:tblPr>
      <w:tblGrid>
        <w:gridCol w:w="10507"/>
      </w:tblGrid>
      <w:tr w:rsidR="00660414" w:rsidRPr="000A76BD" w:rsidTr="007613DE">
        <w:tc>
          <w:tcPr>
            <w:tcW w:w="5000" w:type="pct"/>
            <w:shd w:val="clear" w:color="auto" w:fill="C6D9F1" w:themeFill="text2" w:themeFillTint="33"/>
          </w:tcPr>
          <w:p w:rsidR="00660414" w:rsidRPr="000A76BD" w:rsidRDefault="00660414" w:rsidP="007613DE">
            <w:pPr>
              <w:spacing w:line="276" w:lineRule="auto"/>
              <w:rPr>
                <w:b/>
                <w:sz w:val="22"/>
                <w:szCs w:val="22"/>
              </w:rPr>
            </w:pPr>
            <w:r w:rsidRPr="002E1E5F">
              <w:rPr>
                <w:b/>
                <w:sz w:val="22"/>
                <w:szCs w:val="22"/>
              </w:rPr>
              <w:t xml:space="preserve">Typical Requirements for an Intermodal Rail Freight Terminal </w:t>
            </w:r>
          </w:p>
          <w:p w:rsidR="00660414" w:rsidRPr="000A76BD" w:rsidRDefault="00660414" w:rsidP="007613DE">
            <w:pPr>
              <w:spacing w:line="276" w:lineRule="auto"/>
              <w:rPr>
                <w:sz w:val="22"/>
                <w:szCs w:val="22"/>
              </w:rPr>
            </w:pPr>
            <w:r w:rsidRPr="002E1E5F">
              <w:rPr>
                <w:sz w:val="22"/>
                <w:szCs w:val="22"/>
              </w:rPr>
              <w:t>The following are typical requirements that need considering when setting up a new terminal.</w:t>
            </w:r>
          </w:p>
          <w:p w:rsidR="00660414" w:rsidRPr="000A76BD" w:rsidRDefault="00660414" w:rsidP="007613DE">
            <w:pPr>
              <w:spacing w:line="276" w:lineRule="auto"/>
              <w:rPr>
                <w:b/>
                <w:sz w:val="22"/>
                <w:szCs w:val="22"/>
              </w:rPr>
            </w:pPr>
          </w:p>
          <w:p w:rsidR="00660414" w:rsidRPr="000A76BD" w:rsidRDefault="00660414" w:rsidP="007613DE">
            <w:pPr>
              <w:spacing w:line="276" w:lineRule="auto"/>
              <w:rPr>
                <w:b/>
                <w:sz w:val="22"/>
                <w:szCs w:val="22"/>
              </w:rPr>
            </w:pPr>
            <w:r w:rsidRPr="002E1E5F">
              <w:rPr>
                <w:b/>
                <w:sz w:val="22"/>
                <w:szCs w:val="22"/>
              </w:rPr>
              <w:t>Security</w:t>
            </w:r>
          </w:p>
          <w:p w:rsidR="00660414" w:rsidRPr="000A76BD" w:rsidRDefault="00660414" w:rsidP="007613DE">
            <w:pPr>
              <w:pStyle w:val="ListParagraph"/>
              <w:numPr>
                <w:ilvl w:val="0"/>
                <w:numId w:val="45"/>
              </w:numPr>
              <w:spacing w:line="276" w:lineRule="auto"/>
              <w:jc w:val="left"/>
              <w:rPr>
                <w:sz w:val="22"/>
                <w:szCs w:val="22"/>
              </w:rPr>
            </w:pPr>
            <w:r w:rsidRPr="002E1E5F">
              <w:rPr>
                <w:sz w:val="22"/>
                <w:szCs w:val="22"/>
              </w:rPr>
              <w:t>Security office</w:t>
            </w:r>
          </w:p>
          <w:p w:rsidR="00660414" w:rsidRPr="000A76BD" w:rsidRDefault="00660414" w:rsidP="007613DE">
            <w:pPr>
              <w:pStyle w:val="ListParagraph"/>
              <w:numPr>
                <w:ilvl w:val="0"/>
                <w:numId w:val="45"/>
              </w:numPr>
              <w:spacing w:line="276" w:lineRule="auto"/>
              <w:jc w:val="left"/>
              <w:rPr>
                <w:sz w:val="22"/>
                <w:szCs w:val="22"/>
              </w:rPr>
            </w:pPr>
            <w:r w:rsidRPr="002E1E5F">
              <w:rPr>
                <w:sz w:val="22"/>
                <w:szCs w:val="22"/>
              </w:rPr>
              <w:t>Security Fencing</w:t>
            </w:r>
          </w:p>
          <w:p w:rsidR="00660414" w:rsidRPr="000A76BD" w:rsidRDefault="00660414" w:rsidP="007613DE">
            <w:pPr>
              <w:pStyle w:val="ListParagraph"/>
              <w:numPr>
                <w:ilvl w:val="0"/>
                <w:numId w:val="45"/>
              </w:numPr>
              <w:spacing w:line="276" w:lineRule="auto"/>
              <w:jc w:val="left"/>
              <w:rPr>
                <w:sz w:val="22"/>
                <w:szCs w:val="22"/>
              </w:rPr>
            </w:pPr>
            <w:r w:rsidRPr="002E1E5F">
              <w:rPr>
                <w:sz w:val="22"/>
                <w:szCs w:val="22"/>
              </w:rPr>
              <w:t>Good lighting</w:t>
            </w:r>
          </w:p>
          <w:p w:rsidR="00660414" w:rsidRPr="000A76BD" w:rsidRDefault="00660414" w:rsidP="007613DE">
            <w:pPr>
              <w:pStyle w:val="ListParagraph"/>
              <w:numPr>
                <w:ilvl w:val="0"/>
                <w:numId w:val="45"/>
              </w:numPr>
              <w:spacing w:line="276" w:lineRule="auto"/>
              <w:jc w:val="left"/>
              <w:rPr>
                <w:sz w:val="22"/>
                <w:szCs w:val="22"/>
              </w:rPr>
            </w:pPr>
            <w:r w:rsidRPr="002E1E5F">
              <w:rPr>
                <w:sz w:val="22"/>
                <w:szCs w:val="22"/>
              </w:rPr>
              <w:t>Electronic gates</w:t>
            </w:r>
          </w:p>
          <w:p w:rsidR="00660414" w:rsidRPr="000A76BD" w:rsidRDefault="00660414" w:rsidP="007613DE">
            <w:pPr>
              <w:pStyle w:val="ListParagraph"/>
              <w:numPr>
                <w:ilvl w:val="0"/>
                <w:numId w:val="45"/>
              </w:numPr>
              <w:spacing w:line="276" w:lineRule="auto"/>
              <w:jc w:val="left"/>
              <w:rPr>
                <w:sz w:val="22"/>
                <w:szCs w:val="22"/>
              </w:rPr>
            </w:pPr>
            <w:r w:rsidRPr="002E1E5F">
              <w:rPr>
                <w:sz w:val="22"/>
                <w:szCs w:val="22"/>
              </w:rPr>
              <w:t>CCTV</w:t>
            </w:r>
          </w:p>
          <w:p w:rsidR="00660414" w:rsidRPr="000A76BD" w:rsidRDefault="00660414" w:rsidP="007613DE">
            <w:pPr>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Systems</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 xml:space="preserve">Central Control Room with communication to operatives and handling equipment </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Modern IT systems with internet based train management</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Automated electronic document control</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Modern Train control system</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 xml:space="preserve">Modern Communication systems </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Integrated Train Signalling</w:t>
            </w:r>
          </w:p>
          <w:p w:rsidR="00660414" w:rsidRPr="000A76BD" w:rsidRDefault="00660414" w:rsidP="007613DE">
            <w:pPr>
              <w:pStyle w:val="ListParagraph"/>
              <w:numPr>
                <w:ilvl w:val="0"/>
                <w:numId w:val="46"/>
              </w:numPr>
              <w:spacing w:line="276" w:lineRule="auto"/>
              <w:jc w:val="left"/>
              <w:rPr>
                <w:sz w:val="22"/>
                <w:szCs w:val="22"/>
              </w:rPr>
            </w:pPr>
            <w:r w:rsidRPr="002E1E5F">
              <w:rPr>
                <w:sz w:val="22"/>
                <w:szCs w:val="22"/>
              </w:rPr>
              <w:t>Latest customs checking systems that can verify goods even whilst moving</w:t>
            </w:r>
          </w:p>
          <w:p w:rsidR="00660414" w:rsidRPr="000A76BD" w:rsidRDefault="00660414" w:rsidP="007613DE">
            <w:pPr>
              <w:spacing w:line="276" w:lineRule="auto"/>
              <w:rPr>
                <w:b/>
                <w:sz w:val="22"/>
                <w:szCs w:val="22"/>
              </w:rPr>
            </w:pPr>
          </w:p>
          <w:p w:rsidR="00660414" w:rsidRPr="000A76BD" w:rsidRDefault="00660414" w:rsidP="007613DE">
            <w:pPr>
              <w:spacing w:line="276" w:lineRule="auto"/>
              <w:rPr>
                <w:b/>
                <w:sz w:val="22"/>
                <w:szCs w:val="22"/>
              </w:rPr>
            </w:pPr>
            <w:r w:rsidRPr="002E1E5F">
              <w:rPr>
                <w:b/>
                <w:sz w:val="22"/>
                <w:szCs w:val="22"/>
              </w:rPr>
              <w:t>Handling Equipment</w:t>
            </w:r>
          </w:p>
          <w:p w:rsidR="00660414" w:rsidRPr="000A76BD" w:rsidRDefault="00660414" w:rsidP="007613DE">
            <w:pPr>
              <w:pStyle w:val="ListParagraph"/>
              <w:numPr>
                <w:ilvl w:val="0"/>
                <w:numId w:val="47"/>
              </w:numPr>
              <w:spacing w:line="276" w:lineRule="auto"/>
              <w:jc w:val="left"/>
              <w:rPr>
                <w:sz w:val="22"/>
                <w:szCs w:val="22"/>
              </w:rPr>
            </w:pPr>
            <w:r w:rsidRPr="002E1E5F">
              <w:rPr>
                <w:sz w:val="22"/>
                <w:szCs w:val="22"/>
              </w:rPr>
              <w:t>Electric gantry cranes for container handling with minimum 4 track reach and lorry loading capability</w:t>
            </w:r>
          </w:p>
          <w:p w:rsidR="00660414" w:rsidRPr="000A76BD" w:rsidRDefault="00660414" w:rsidP="007613DE">
            <w:pPr>
              <w:pStyle w:val="ListParagraph"/>
              <w:numPr>
                <w:ilvl w:val="0"/>
                <w:numId w:val="47"/>
              </w:numPr>
              <w:spacing w:line="276" w:lineRule="auto"/>
              <w:jc w:val="left"/>
              <w:rPr>
                <w:sz w:val="22"/>
                <w:szCs w:val="22"/>
              </w:rPr>
            </w:pPr>
            <w:r w:rsidRPr="002E1E5F">
              <w:rPr>
                <w:sz w:val="22"/>
                <w:szCs w:val="22"/>
              </w:rPr>
              <w:t xml:space="preserve">Reach stackers </w:t>
            </w:r>
          </w:p>
          <w:p w:rsidR="00660414" w:rsidRPr="000A76BD" w:rsidRDefault="00660414" w:rsidP="007613DE">
            <w:pPr>
              <w:pStyle w:val="ListParagraph"/>
              <w:numPr>
                <w:ilvl w:val="0"/>
                <w:numId w:val="47"/>
              </w:numPr>
              <w:spacing w:line="276" w:lineRule="auto"/>
              <w:jc w:val="left"/>
              <w:rPr>
                <w:sz w:val="22"/>
                <w:szCs w:val="22"/>
              </w:rPr>
            </w:pPr>
            <w:r w:rsidRPr="002E1E5F">
              <w:rPr>
                <w:sz w:val="22"/>
                <w:szCs w:val="22"/>
              </w:rPr>
              <w:t>Possibly cross dock for cargo wagon (box car) loading/unloading with sufficient space for fork-truck turning circle and through roads</w:t>
            </w:r>
          </w:p>
          <w:p w:rsidR="00660414" w:rsidRPr="000A76BD" w:rsidRDefault="00660414" w:rsidP="007613DE">
            <w:pPr>
              <w:pStyle w:val="ListParagraph"/>
              <w:numPr>
                <w:ilvl w:val="0"/>
                <w:numId w:val="47"/>
              </w:numPr>
              <w:spacing w:line="276" w:lineRule="auto"/>
              <w:jc w:val="left"/>
              <w:rPr>
                <w:sz w:val="22"/>
                <w:szCs w:val="22"/>
              </w:rPr>
            </w:pPr>
            <w:r w:rsidRPr="002E1E5F">
              <w:rPr>
                <w:sz w:val="22"/>
                <w:szCs w:val="22"/>
              </w:rPr>
              <w:t>Handling equipment recharging/refuelling facilities</w:t>
            </w:r>
          </w:p>
          <w:p w:rsidR="00660414" w:rsidRPr="000A76BD" w:rsidRDefault="00660414" w:rsidP="007613DE">
            <w:pPr>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Road Facilities</w:t>
            </w:r>
          </w:p>
          <w:p w:rsidR="00660414" w:rsidRPr="000A76BD" w:rsidRDefault="00660414" w:rsidP="007613DE">
            <w:pPr>
              <w:pStyle w:val="ListParagraph"/>
              <w:numPr>
                <w:ilvl w:val="0"/>
                <w:numId w:val="48"/>
              </w:numPr>
              <w:spacing w:line="276" w:lineRule="auto"/>
              <w:jc w:val="left"/>
              <w:rPr>
                <w:sz w:val="22"/>
                <w:szCs w:val="22"/>
              </w:rPr>
            </w:pPr>
            <w:r w:rsidRPr="002E1E5F">
              <w:rPr>
                <w:sz w:val="22"/>
                <w:szCs w:val="22"/>
              </w:rPr>
              <w:t>Lorry Parking area with electronic calling mechanism to instruct driver when to approach designated loading bay</w:t>
            </w:r>
          </w:p>
          <w:p w:rsidR="00660414" w:rsidRPr="000A76BD" w:rsidRDefault="00660414" w:rsidP="007613DE">
            <w:pPr>
              <w:pStyle w:val="ListParagraph"/>
              <w:numPr>
                <w:ilvl w:val="0"/>
                <w:numId w:val="48"/>
              </w:numPr>
              <w:spacing w:line="276" w:lineRule="auto"/>
              <w:jc w:val="left"/>
              <w:rPr>
                <w:sz w:val="22"/>
                <w:szCs w:val="22"/>
              </w:rPr>
            </w:pPr>
            <w:r w:rsidRPr="002E1E5F">
              <w:rPr>
                <w:sz w:val="22"/>
                <w:szCs w:val="22"/>
              </w:rPr>
              <w:t>Lorry road movement is one-way for safety and smooth operational reasons</w:t>
            </w:r>
          </w:p>
          <w:p w:rsidR="00660414" w:rsidRPr="000A76BD" w:rsidRDefault="00660414" w:rsidP="007613DE">
            <w:pPr>
              <w:pStyle w:val="ListParagraph"/>
              <w:numPr>
                <w:ilvl w:val="0"/>
                <w:numId w:val="48"/>
              </w:numPr>
              <w:spacing w:line="276" w:lineRule="auto"/>
              <w:jc w:val="left"/>
              <w:rPr>
                <w:sz w:val="22"/>
                <w:szCs w:val="22"/>
              </w:rPr>
            </w:pPr>
            <w:r w:rsidRPr="002E1E5F">
              <w:rPr>
                <w:sz w:val="22"/>
                <w:szCs w:val="22"/>
              </w:rPr>
              <w:t>Lorry driver rest area, cafe etc.</w:t>
            </w:r>
          </w:p>
          <w:p w:rsidR="00660414" w:rsidRPr="000A76BD" w:rsidRDefault="00660414" w:rsidP="007613DE">
            <w:pPr>
              <w:pStyle w:val="ListParagraph"/>
              <w:numPr>
                <w:ilvl w:val="0"/>
                <w:numId w:val="48"/>
              </w:numPr>
              <w:spacing w:line="276" w:lineRule="auto"/>
              <w:jc w:val="left"/>
              <w:rPr>
                <w:sz w:val="22"/>
                <w:szCs w:val="22"/>
              </w:rPr>
            </w:pPr>
            <w:r w:rsidRPr="002E1E5F">
              <w:rPr>
                <w:sz w:val="22"/>
                <w:szCs w:val="22"/>
              </w:rPr>
              <w:t>Lorry garage/maintenance facilities</w:t>
            </w:r>
          </w:p>
          <w:p w:rsidR="00660414" w:rsidRPr="000A76BD" w:rsidRDefault="00660414" w:rsidP="007613DE">
            <w:pPr>
              <w:pStyle w:val="ListParagraph"/>
              <w:numPr>
                <w:ilvl w:val="0"/>
                <w:numId w:val="48"/>
              </w:numPr>
              <w:spacing w:line="276" w:lineRule="auto"/>
              <w:jc w:val="left"/>
              <w:rPr>
                <w:sz w:val="22"/>
                <w:szCs w:val="22"/>
              </w:rPr>
            </w:pPr>
            <w:r w:rsidRPr="002E1E5F">
              <w:rPr>
                <w:sz w:val="22"/>
                <w:szCs w:val="22"/>
              </w:rPr>
              <w:t>Road fuel service stations</w:t>
            </w:r>
          </w:p>
          <w:p w:rsidR="00660414" w:rsidRPr="000A76BD" w:rsidRDefault="00660414" w:rsidP="007613DE">
            <w:pPr>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Staff Facilities</w:t>
            </w:r>
          </w:p>
          <w:p w:rsidR="00660414" w:rsidRPr="000A76BD" w:rsidRDefault="00660414" w:rsidP="007613DE">
            <w:pPr>
              <w:pStyle w:val="ListParagraph"/>
              <w:numPr>
                <w:ilvl w:val="0"/>
                <w:numId w:val="49"/>
              </w:numPr>
              <w:spacing w:line="276" w:lineRule="auto"/>
              <w:jc w:val="left"/>
              <w:rPr>
                <w:sz w:val="22"/>
                <w:szCs w:val="22"/>
              </w:rPr>
            </w:pPr>
            <w:r w:rsidRPr="002E1E5F">
              <w:rPr>
                <w:sz w:val="22"/>
                <w:szCs w:val="22"/>
              </w:rPr>
              <w:t>Train driver rest area, cafe etc.</w:t>
            </w:r>
          </w:p>
          <w:p w:rsidR="00660414" w:rsidRPr="000A76BD" w:rsidRDefault="00660414" w:rsidP="007613DE">
            <w:pPr>
              <w:pStyle w:val="ListParagraph"/>
              <w:numPr>
                <w:ilvl w:val="0"/>
                <w:numId w:val="49"/>
              </w:numPr>
              <w:spacing w:line="276" w:lineRule="auto"/>
              <w:jc w:val="left"/>
              <w:rPr>
                <w:sz w:val="22"/>
                <w:szCs w:val="22"/>
              </w:rPr>
            </w:pPr>
            <w:r w:rsidRPr="002E1E5F">
              <w:rPr>
                <w:sz w:val="22"/>
                <w:szCs w:val="22"/>
              </w:rPr>
              <w:t>Staff rest area, cafe etc.</w:t>
            </w:r>
          </w:p>
          <w:p w:rsidR="00660414" w:rsidRPr="000A76BD" w:rsidRDefault="00660414" w:rsidP="007613DE">
            <w:pPr>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Train Operations</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Locomotive refuelling facilities recognising that many trains are likely to be electric powered</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 xml:space="preserve">Cripple sidings for defective trains </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 xml:space="preserve">Train maintenance area </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Reception sidings for train arrivals</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Sidings for spare trains waiting for next duty</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The loading/unloading sidings should accommodate a maximum length train (minimum of 80 wagons long), consider future proofing this length</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Ideally all tracks will be capable of handling container trains</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Some sidings may be equipped for box cars/cargowagons for loose, bagged and palletised goods</w:t>
            </w:r>
          </w:p>
          <w:p w:rsidR="00660414" w:rsidRPr="000A76BD" w:rsidRDefault="00660414" w:rsidP="007613DE">
            <w:pPr>
              <w:pStyle w:val="ListParagraph"/>
              <w:numPr>
                <w:ilvl w:val="0"/>
                <w:numId w:val="50"/>
              </w:numPr>
              <w:spacing w:line="276" w:lineRule="auto"/>
              <w:jc w:val="left"/>
              <w:rPr>
                <w:sz w:val="22"/>
                <w:szCs w:val="22"/>
              </w:rPr>
            </w:pPr>
            <w:r w:rsidRPr="002E1E5F">
              <w:rPr>
                <w:sz w:val="22"/>
                <w:szCs w:val="22"/>
              </w:rPr>
              <w:t>Some sidings may be equipped for bulk products such as grain</w:t>
            </w:r>
          </w:p>
          <w:p w:rsidR="00660414" w:rsidRPr="000A76BD" w:rsidRDefault="00660414" w:rsidP="007613DE">
            <w:pPr>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Customs (may be appropriate for some inland terminals)</w:t>
            </w:r>
          </w:p>
          <w:p w:rsidR="00660414" w:rsidRPr="000A76BD" w:rsidRDefault="00660414" w:rsidP="007613DE">
            <w:pPr>
              <w:pStyle w:val="ListParagraph"/>
              <w:numPr>
                <w:ilvl w:val="0"/>
                <w:numId w:val="51"/>
              </w:numPr>
              <w:spacing w:line="276" w:lineRule="auto"/>
              <w:jc w:val="left"/>
              <w:rPr>
                <w:sz w:val="22"/>
                <w:szCs w:val="22"/>
              </w:rPr>
            </w:pPr>
            <w:r w:rsidRPr="002E1E5F">
              <w:rPr>
                <w:sz w:val="22"/>
                <w:szCs w:val="22"/>
              </w:rPr>
              <w:t>Customs office</w:t>
            </w:r>
          </w:p>
          <w:p w:rsidR="00660414" w:rsidRPr="000A76BD" w:rsidRDefault="00660414" w:rsidP="007613DE">
            <w:pPr>
              <w:pStyle w:val="ListParagraph"/>
              <w:numPr>
                <w:ilvl w:val="0"/>
                <w:numId w:val="51"/>
              </w:numPr>
              <w:spacing w:line="276" w:lineRule="auto"/>
              <w:jc w:val="left"/>
              <w:rPr>
                <w:sz w:val="22"/>
                <w:szCs w:val="22"/>
              </w:rPr>
            </w:pPr>
            <w:r w:rsidRPr="002E1E5F">
              <w:rPr>
                <w:sz w:val="22"/>
                <w:szCs w:val="22"/>
              </w:rPr>
              <w:t>Customs checking warehouse</w:t>
            </w:r>
          </w:p>
          <w:p w:rsidR="00660414" w:rsidRPr="000A76BD" w:rsidRDefault="00660414" w:rsidP="007613DE">
            <w:pPr>
              <w:pStyle w:val="ListParagraph"/>
              <w:numPr>
                <w:ilvl w:val="0"/>
                <w:numId w:val="51"/>
              </w:numPr>
              <w:spacing w:line="276" w:lineRule="auto"/>
              <w:jc w:val="left"/>
              <w:rPr>
                <w:sz w:val="22"/>
                <w:szCs w:val="22"/>
              </w:rPr>
            </w:pPr>
            <w:r w:rsidRPr="002E1E5F">
              <w:rPr>
                <w:sz w:val="22"/>
                <w:szCs w:val="22"/>
              </w:rPr>
              <w:t>Customs reception sidings</w:t>
            </w:r>
          </w:p>
          <w:p w:rsidR="00660414" w:rsidRPr="000A76BD" w:rsidRDefault="00660414" w:rsidP="007613DE">
            <w:pPr>
              <w:pStyle w:val="ListParagraph"/>
              <w:numPr>
                <w:ilvl w:val="0"/>
                <w:numId w:val="51"/>
              </w:numPr>
              <w:spacing w:line="276" w:lineRule="auto"/>
              <w:jc w:val="left"/>
              <w:rPr>
                <w:sz w:val="22"/>
                <w:szCs w:val="22"/>
              </w:rPr>
            </w:pPr>
            <w:r w:rsidRPr="002E1E5F">
              <w:rPr>
                <w:sz w:val="22"/>
                <w:szCs w:val="22"/>
              </w:rPr>
              <w:t>Customs impounded goods area</w:t>
            </w:r>
          </w:p>
          <w:p w:rsidR="00660414" w:rsidRPr="000A76BD" w:rsidRDefault="00660414" w:rsidP="007613DE">
            <w:pPr>
              <w:pStyle w:val="ListParagraph"/>
              <w:spacing w:line="276" w:lineRule="auto"/>
              <w:rPr>
                <w:sz w:val="22"/>
                <w:szCs w:val="22"/>
              </w:rPr>
            </w:pPr>
          </w:p>
          <w:p w:rsidR="00660414" w:rsidRPr="000A76BD" w:rsidRDefault="00660414" w:rsidP="007613DE">
            <w:pPr>
              <w:spacing w:line="276" w:lineRule="auto"/>
              <w:rPr>
                <w:b/>
                <w:sz w:val="22"/>
                <w:szCs w:val="22"/>
              </w:rPr>
            </w:pPr>
            <w:r w:rsidRPr="002E1E5F">
              <w:rPr>
                <w:b/>
                <w:sz w:val="22"/>
                <w:szCs w:val="22"/>
              </w:rPr>
              <w:t>Storage Area</w:t>
            </w:r>
          </w:p>
          <w:p w:rsidR="00660414" w:rsidRPr="000A76BD" w:rsidRDefault="00660414" w:rsidP="007613DE">
            <w:pPr>
              <w:pStyle w:val="ListParagraph"/>
              <w:numPr>
                <w:ilvl w:val="0"/>
                <w:numId w:val="52"/>
              </w:numPr>
              <w:spacing w:line="276" w:lineRule="auto"/>
              <w:jc w:val="left"/>
              <w:rPr>
                <w:sz w:val="22"/>
                <w:szCs w:val="22"/>
              </w:rPr>
            </w:pPr>
            <w:r w:rsidRPr="002E1E5F">
              <w:rPr>
                <w:sz w:val="22"/>
                <w:szCs w:val="22"/>
              </w:rPr>
              <w:t>Small secure storage area</w:t>
            </w:r>
          </w:p>
          <w:p w:rsidR="00660414" w:rsidRPr="000A76BD" w:rsidRDefault="00660414" w:rsidP="007613DE">
            <w:pPr>
              <w:pStyle w:val="ListParagraph"/>
              <w:numPr>
                <w:ilvl w:val="0"/>
                <w:numId w:val="52"/>
              </w:numPr>
              <w:spacing w:line="276" w:lineRule="auto"/>
              <w:jc w:val="left"/>
              <w:rPr>
                <w:sz w:val="22"/>
                <w:szCs w:val="22"/>
              </w:rPr>
            </w:pPr>
            <w:r w:rsidRPr="002E1E5F">
              <w:rPr>
                <w:sz w:val="22"/>
                <w:szCs w:val="22"/>
              </w:rPr>
              <w:t>Temperature Controlled container plug in points</w:t>
            </w:r>
          </w:p>
          <w:p w:rsidR="00660414" w:rsidRPr="000A76BD" w:rsidRDefault="00660414" w:rsidP="007613DE">
            <w:pPr>
              <w:pStyle w:val="ListParagraph"/>
              <w:numPr>
                <w:ilvl w:val="0"/>
                <w:numId w:val="52"/>
              </w:numPr>
              <w:spacing w:line="276" w:lineRule="auto"/>
              <w:jc w:val="left"/>
              <w:rPr>
                <w:sz w:val="22"/>
                <w:szCs w:val="22"/>
              </w:rPr>
            </w:pPr>
            <w:r w:rsidRPr="002E1E5F">
              <w:rPr>
                <w:sz w:val="22"/>
                <w:szCs w:val="22"/>
              </w:rPr>
              <w:t>Inbound train unloading storage stacks</w:t>
            </w:r>
          </w:p>
          <w:p w:rsidR="00660414" w:rsidRPr="000A76BD" w:rsidRDefault="00660414" w:rsidP="007613DE">
            <w:pPr>
              <w:pStyle w:val="ListParagraph"/>
              <w:numPr>
                <w:ilvl w:val="0"/>
                <w:numId w:val="52"/>
              </w:numPr>
              <w:spacing w:line="276" w:lineRule="auto"/>
              <w:jc w:val="left"/>
              <w:rPr>
                <w:sz w:val="22"/>
                <w:szCs w:val="22"/>
              </w:rPr>
            </w:pPr>
            <w:r w:rsidRPr="002E1E5F">
              <w:rPr>
                <w:sz w:val="22"/>
                <w:szCs w:val="22"/>
              </w:rPr>
              <w:t>Outgoing train preparation area for stacking containers</w:t>
            </w:r>
          </w:p>
          <w:p w:rsidR="00660414" w:rsidRPr="000A76BD" w:rsidRDefault="00660414" w:rsidP="007613DE">
            <w:pPr>
              <w:pStyle w:val="ListParagraph"/>
              <w:numPr>
                <w:ilvl w:val="0"/>
                <w:numId w:val="52"/>
              </w:numPr>
              <w:spacing w:line="276" w:lineRule="auto"/>
              <w:jc w:val="left"/>
              <w:rPr>
                <w:sz w:val="22"/>
                <w:szCs w:val="22"/>
              </w:rPr>
            </w:pPr>
            <w:r w:rsidRPr="002E1E5F">
              <w:rPr>
                <w:sz w:val="22"/>
                <w:szCs w:val="22"/>
              </w:rPr>
              <w:t>Assumes that most of the containers handled will continue their journey by road.</w:t>
            </w:r>
          </w:p>
          <w:p w:rsidR="00660414" w:rsidRPr="000A76BD" w:rsidRDefault="00660414" w:rsidP="007613DE">
            <w:pPr>
              <w:spacing w:line="276" w:lineRule="auto"/>
              <w:rPr>
                <w:b/>
                <w:sz w:val="22"/>
                <w:szCs w:val="22"/>
                <w:u w:val="single"/>
              </w:rPr>
            </w:pPr>
          </w:p>
        </w:tc>
      </w:tr>
    </w:tbl>
    <w:p w:rsidR="00660414" w:rsidRDefault="00660414" w:rsidP="00660414">
      <w:pPr>
        <w:pStyle w:val="Hdg3"/>
        <w:rPr>
          <w:u w:val="single"/>
        </w:rPr>
      </w:pPr>
      <w:r w:rsidRPr="002E1E5F">
        <w:t xml:space="preserve"> </w:t>
      </w:r>
    </w:p>
    <w:p w:rsidR="00660414" w:rsidRPr="000A76BD" w:rsidRDefault="00660414" w:rsidP="00045287">
      <w:pPr>
        <w:pStyle w:val="Hdg2"/>
      </w:pPr>
      <w:bookmarkStart w:id="8149" w:name="_Toc408990980"/>
      <w:bookmarkStart w:id="8150" w:name="_Toc413056074"/>
      <w:r w:rsidRPr="002E1E5F">
        <w:t>Operational Objectives</w:t>
      </w:r>
      <w:bookmarkEnd w:id="8149"/>
      <w:bookmarkEnd w:id="8150"/>
    </w:p>
    <w:p w:rsidR="00660414" w:rsidRPr="000A76BD" w:rsidRDefault="00660414" w:rsidP="00A4081F">
      <w:pPr>
        <w:pStyle w:val="NumberedParas"/>
      </w:pPr>
      <w:r w:rsidRPr="002E1E5F">
        <w:t>The proposed interventions will support the following operational objectives as indicated in Figure 8.13.</w:t>
      </w:r>
    </w:p>
    <w:p w:rsidR="00660414" w:rsidRPr="000A76BD" w:rsidRDefault="00660414" w:rsidP="00660414">
      <w:pPr>
        <w:spacing w:line="276" w:lineRule="auto"/>
        <w:ind w:firstLine="851"/>
        <w:jc w:val="center"/>
        <w:rPr>
          <w:sz w:val="22"/>
          <w:szCs w:val="22"/>
        </w:rPr>
      </w:pPr>
      <w:r w:rsidRPr="008C5B1B">
        <w:rPr>
          <w:noProof/>
          <w:sz w:val="22"/>
          <w:szCs w:val="22"/>
          <w:lang w:val="ro-RO" w:eastAsia="ro-RO"/>
        </w:rPr>
        <w:drawing>
          <wp:anchor distT="0" distB="0" distL="114300" distR="114300" simplePos="0" relativeHeight="251675648" behindDoc="1" locked="0" layoutInCell="1" allowOverlap="1" wp14:anchorId="2E24A05B" wp14:editId="4E28830C">
            <wp:simplePos x="0" y="0"/>
            <wp:positionH relativeFrom="column">
              <wp:posOffset>-157480</wp:posOffset>
            </wp:positionH>
            <wp:positionV relativeFrom="paragraph">
              <wp:posOffset>6985</wp:posOffset>
            </wp:positionV>
            <wp:extent cx="6321425" cy="4600575"/>
            <wp:effectExtent l="19050" t="0" r="3175" b="0"/>
            <wp:wrapTight wrapText="bothSides">
              <wp:wrapPolygon edited="0">
                <wp:start x="-65" y="0"/>
                <wp:lineTo x="-65" y="21555"/>
                <wp:lineTo x="21611" y="21555"/>
                <wp:lineTo x="21611" y="0"/>
                <wp:lineTo x="-65" y="0"/>
              </wp:wrapPolygon>
            </wp:wrapTight>
            <wp:docPr id="235" name="Picture 1" descr="Summa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tif"/>
                    <pic:cNvPicPr/>
                  </pic:nvPicPr>
                  <pic:blipFill>
                    <a:blip r:embed="rId317" cstate="email">
                      <a:extLst>
                        <a:ext uri="{28A0092B-C50C-407E-A947-70E740481C1C}">
                          <a14:useLocalDpi xmlns:a14="http://schemas.microsoft.com/office/drawing/2010/main"/>
                        </a:ext>
                      </a:extLst>
                    </a:blip>
                    <a:stretch>
                      <a:fillRect/>
                    </a:stretch>
                  </pic:blipFill>
                  <pic:spPr>
                    <a:xfrm>
                      <a:off x="0" y="0"/>
                      <a:ext cx="6321425" cy="4600575"/>
                    </a:xfrm>
                    <a:prstGeom prst="rect">
                      <a:avLst/>
                    </a:prstGeom>
                  </pic:spPr>
                </pic:pic>
              </a:graphicData>
            </a:graphic>
          </wp:anchor>
        </w:drawing>
      </w:r>
    </w:p>
    <w:p w:rsidR="00660414" w:rsidRPr="000A76BD" w:rsidRDefault="00660414" w:rsidP="00660414">
      <w:pPr>
        <w:spacing w:line="276" w:lineRule="auto"/>
        <w:ind w:left="851"/>
        <w:rPr>
          <w:b/>
          <w:sz w:val="22"/>
          <w:szCs w:val="22"/>
        </w:rPr>
      </w:pPr>
      <w:r w:rsidRPr="002E1E5F">
        <w:rPr>
          <w:b/>
          <w:sz w:val="22"/>
          <w:szCs w:val="22"/>
        </w:rPr>
        <w:t xml:space="preserve">Figure 8.13: Links </w:t>
      </w:r>
      <w:r>
        <w:rPr>
          <w:b/>
          <w:sz w:val="22"/>
          <w:szCs w:val="22"/>
        </w:rPr>
        <w:t>b</w:t>
      </w:r>
      <w:r w:rsidRPr="002E1E5F">
        <w:rPr>
          <w:b/>
          <w:sz w:val="22"/>
          <w:szCs w:val="22"/>
        </w:rPr>
        <w:t>etween Problems, Interventions and Operational Objectives</w:t>
      </w:r>
    </w:p>
    <w:p w:rsidR="00660414" w:rsidRPr="000A76BD" w:rsidRDefault="00660414" w:rsidP="00660414">
      <w:pPr>
        <w:spacing w:line="276" w:lineRule="auto"/>
        <w:jc w:val="center"/>
        <w:rPr>
          <w:sz w:val="22"/>
          <w:szCs w:val="22"/>
        </w:rPr>
      </w:pPr>
    </w:p>
    <w:p w:rsidR="00660414" w:rsidRPr="000A76BD" w:rsidRDefault="00660414" w:rsidP="00045287">
      <w:pPr>
        <w:pStyle w:val="Hdg2"/>
      </w:pPr>
      <w:bookmarkStart w:id="8151" w:name="_Toc408990981"/>
      <w:bookmarkStart w:id="8152" w:name="_Toc413056075"/>
      <w:r w:rsidRPr="002E1E5F">
        <w:t>Interventions</w:t>
      </w:r>
      <w:bookmarkEnd w:id="8151"/>
      <w:bookmarkEnd w:id="8152"/>
    </w:p>
    <w:p w:rsidR="00660414" w:rsidRPr="0047797A" w:rsidRDefault="00660414" w:rsidP="00A4081F">
      <w:pPr>
        <w:pStyle w:val="NumberedParas"/>
      </w:pPr>
      <w:r w:rsidRPr="002E1E5F">
        <w:rPr>
          <w:lang w:val="en-US"/>
        </w:rPr>
        <w:t>A comprehensive, national netw</w:t>
      </w:r>
      <w:r>
        <w:rPr>
          <w:lang w:val="en-US"/>
        </w:rPr>
        <w:t xml:space="preserve">ork of Intermodal </w:t>
      </w:r>
      <w:r w:rsidRPr="002E1E5F">
        <w:rPr>
          <w:lang w:val="en-US"/>
        </w:rPr>
        <w:t>T</w:t>
      </w:r>
      <w:r>
        <w:rPr>
          <w:lang w:val="en-US"/>
        </w:rPr>
        <w:t>erminals</w:t>
      </w:r>
      <w:r w:rsidRPr="002E1E5F">
        <w:rPr>
          <w:lang w:val="en-US"/>
        </w:rPr>
        <w:t xml:space="preserve"> is essential for Romania’s rail freight and logistics industry to modernize</w:t>
      </w:r>
      <w:r>
        <w:rPr>
          <w:lang w:val="en-US"/>
        </w:rPr>
        <w:t xml:space="preserve"> and be competitive.</w:t>
      </w:r>
    </w:p>
    <w:p w:rsidR="00660414" w:rsidRPr="000A76BD" w:rsidRDefault="00660414" w:rsidP="00A4081F">
      <w:pPr>
        <w:pStyle w:val="NumberedParas"/>
      </w:pPr>
      <w:r w:rsidRPr="002E1E5F">
        <w:t xml:space="preserve">The location of the proposed intermodal terminal network is a function of the following five factors:  </w:t>
      </w:r>
    </w:p>
    <w:p w:rsidR="00660414" w:rsidRPr="000A76BD" w:rsidRDefault="00660414" w:rsidP="00273D5E">
      <w:pPr>
        <w:pStyle w:val="BulletLevel1"/>
      </w:pPr>
      <w:r w:rsidRPr="002E1E5F">
        <w:t>Connectivity with other modes</w:t>
      </w:r>
    </w:p>
    <w:p w:rsidR="00660414" w:rsidRPr="000A76BD" w:rsidRDefault="00660414" w:rsidP="00273D5E">
      <w:pPr>
        <w:pStyle w:val="BulletLevel1"/>
      </w:pPr>
      <w:r w:rsidRPr="002E1E5F">
        <w:t>Geographic distribution of ports and population centres throughout Romania</w:t>
      </w:r>
    </w:p>
    <w:p w:rsidR="00660414" w:rsidRPr="000A76BD" w:rsidRDefault="00660414" w:rsidP="00273D5E">
      <w:pPr>
        <w:pStyle w:val="BulletLevel1"/>
      </w:pPr>
      <w:r w:rsidRPr="002E1E5F">
        <w:t>Current road/rail Infrastructure</w:t>
      </w:r>
    </w:p>
    <w:p w:rsidR="00660414" w:rsidRPr="000A76BD" w:rsidRDefault="00660414" w:rsidP="00273D5E">
      <w:pPr>
        <w:pStyle w:val="BulletLevel1"/>
      </w:pPr>
      <w:r w:rsidRPr="002E1E5F">
        <w:t>Current and Potential Containerised Freight Flows</w:t>
      </w:r>
    </w:p>
    <w:p w:rsidR="00660414" w:rsidRPr="000A76BD" w:rsidRDefault="00660414" w:rsidP="00273D5E">
      <w:pPr>
        <w:pStyle w:val="BulletLevel1"/>
      </w:pPr>
      <w:r w:rsidRPr="002E1E5F">
        <w:t>Population within a short drive by Heavy Goods Vehicle (One hour for inland rail terminals, two hours for ports)</w:t>
      </w:r>
    </w:p>
    <w:p w:rsidR="00660414" w:rsidRDefault="00660414" w:rsidP="00A4081F">
      <w:pPr>
        <w:pStyle w:val="NumberedParas"/>
      </w:pPr>
      <w:r w:rsidRPr="002E1E5F">
        <w:t xml:space="preserve">The most crucial of all the judged criteria was the ease with which a terminal location enabled interchange between road and </w:t>
      </w:r>
      <w:r>
        <w:t>other</w:t>
      </w:r>
      <w:r w:rsidRPr="002E1E5F">
        <w:t xml:space="preserve"> modes. </w:t>
      </w:r>
    </w:p>
    <w:p w:rsidR="00660414" w:rsidRPr="000A76BD" w:rsidRDefault="00660414" w:rsidP="00A4081F">
      <w:pPr>
        <w:pStyle w:val="NumberedParas"/>
      </w:pPr>
      <w:r w:rsidRPr="002E1E5F">
        <w:t xml:space="preserve">To meet the needs of industry, a successful intermodal terminal is likely to realize the following capital requirements. </w:t>
      </w:r>
    </w:p>
    <w:p w:rsidR="00660414" w:rsidRPr="000A76BD" w:rsidRDefault="00660414" w:rsidP="00273D5E">
      <w:pPr>
        <w:pStyle w:val="BulletLevel1"/>
      </w:pPr>
      <w:r w:rsidRPr="002E1E5F">
        <w:t>Secure, well lit perimeter (i.e. fencing, flood lighting, CCTV coverage etc)</w:t>
      </w:r>
    </w:p>
    <w:p w:rsidR="00660414" w:rsidRPr="000A76BD" w:rsidRDefault="00660414" w:rsidP="00273D5E">
      <w:pPr>
        <w:pStyle w:val="BulletLevel1"/>
      </w:pPr>
      <w:r w:rsidRPr="002E1E5F">
        <w:t>Good access to road network as well as internal roads system</w:t>
      </w:r>
    </w:p>
    <w:p w:rsidR="00660414" w:rsidRPr="000A76BD" w:rsidRDefault="00660414" w:rsidP="00273D5E">
      <w:pPr>
        <w:pStyle w:val="BulletLevel1"/>
      </w:pPr>
      <w:r w:rsidRPr="002E1E5F">
        <w:t>Two rail sidings with a platform length of (ideally) 750m (EU standard) with a run-round loop</w:t>
      </w:r>
    </w:p>
    <w:p w:rsidR="00660414" w:rsidRPr="000A76BD" w:rsidRDefault="00660414" w:rsidP="00273D5E">
      <w:pPr>
        <w:pStyle w:val="BulletLevel1"/>
      </w:pPr>
      <w:r w:rsidRPr="002E1E5F">
        <w:t>Reach Stacker (electric gantry cranes for busier sites)</w:t>
      </w:r>
    </w:p>
    <w:p w:rsidR="00660414" w:rsidRPr="000A76BD" w:rsidRDefault="00660414" w:rsidP="00273D5E">
      <w:pPr>
        <w:pStyle w:val="BulletLevel1"/>
      </w:pPr>
      <w:r w:rsidRPr="002E1E5F">
        <w:t>Hard-standing with a minimum 750x20m to allow reach stacker to manoeuvre, cleared to 22.5 tonne axle weights</w:t>
      </w:r>
    </w:p>
    <w:p w:rsidR="00660414" w:rsidRPr="000A76BD" w:rsidRDefault="00660414" w:rsidP="00273D5E">
      <w:pPr>
        <w:pStyle w:val="BulletLevel1"/>
      </w:pPr>
      <w:r w:rsidRPr="002E1E5F">
        <w:t>Additional space for container storage</w:t>
      </w:r>
    </w:p>
    <w:p w:rsidR="00660414" w:rsidRPr="000A76BD" w:rsidRDefault="00660414" w:rsidP="00273D5E">
      <w:pPr>
        <w:pStyle w:val="BulletLevel1"/>
      </w:pPr>
      <w:r w:rsidRPr="002E1E5F">
        <w:t>Administrative/Control Office</w:t>
      </w:r>
    </w:p>
    <w:p w:rsidR="00660414" w:rsidRPr="000A76BD" w:rsidRDefault="00660414" w:rsidP="00273D5E">
      <w:pPr>
        <w:pStyle w:val="BulletLevel1"/>
      </w:pPr>
      <w:r w:rsidRPr="002E1E5F">
        <w:t>Welfare Facilities for staff and drivers</w:t>
      </w:r>
    </w:p>
    <w:p w:rsidR="00660414" w:rsidRPr="000A76BD" w:rsidRDefault="00660414" w:rsidP="00A4081F">
      <w:pPr>
        <w:pStyle w:val="NumberedParas"/>
      </w:pPr>
      <w:r w:rsidRPr="002E1E5F">
        <w:t>Operational requirements such as labour have not been factored in. However, they may include:</w:t>
      </w:r>
    </w:p>
    <w:p w:rsidR="00660414" w:rsidRPr="000A76BD" w:rsidRDefault="00660414" w:rsidP="00273D5E">
      <w:pPr>
        <w:pStyle w:val="BulletLevel1"/>
      </w:pPr>
      <w:r w:rsidRPr="002E1E5F">
        <w:t xml:space="preserve">Site Maintenance </w:t>
      </w:r>
    </w:p>
    <w:p w:rsidR="00660414" w:rsidRPr="000A76BD" w:rsidRDefault="00660414" w:rsidP="00273D5E">
      <w:pPr>
        <w:pStyle w:val="BulletLevel1"/>
      </w:pPr>
      <w:r w:rsidRPr="002E1E5F">
        <w:t>IT</w:t>
      </w:r>
    </w:p>
    <w:p w:rsidR="00660414" w:rsidRPr="000A76BD" w:rsidRDefault="00660414" w:rsidP="00273D5E">
      <w:pPr>
        <w:pStyle w:val="BulletLevel1"/>
      </w:pPr>
      <w:r w:rsidRPr="002E1E5F">
        <w:t>Security Personnel</w:t>
      </w:r>
    </w:p>
    <w:p w:rsidR="00660414" w:rsidRPr="000A76BD" w:rsidRDefault="00660414" w:rsidP="00273D5E">
      <w:pPr>
        <w:pStyle w:val="BulletLevel1"/>
      </w:pPr>
      <w:r w:rsidRPr="002E1E5F">
        <w:t>Drivers</w:t>
      </w:r>
    </w:p>
    <w:p w:rsidR="00660414" w:rsidRPr="000A76BD" w:rsidRDefault="00660414" w:rsidP="00273D5E">
      <w:pPr>
        <w:pStyle w:val="BulletLevel1"/>
      </w:pPr>
      <w:r w:rsidRPr="002E1E5F">
        <w:t>Terminal Manager</w:t>
      </w:r>
    </w:p>
    <w:p w:rsidR="00660414" w:rsidRPr="000A76BD" w:rsidRDefault="00660414" w:rsidP="00273D5E">
      <w:pPr>
        <w:pStyle w:val="BulletLevel1"/>
      </w:pPr>
      <w:r w:rsidRPr="002E1E5F">
        <w:t>Administration</w:t>
      </w:r>
    </w:p>
    <w:p w:rsidR="00660414" w:rsidRPr="000A76BD" w:rsidRDefault="00660414" w:rsidP="00273D5E">
      <w:pPr>
        <w:pStyle w:val="BulletLevel1"/>
      </w:pPr>
      <w:r w:rsidRPr="002E1E5F">
        <w:t>Mechanics</w:t>
      </w:r>
    </w:p>
    <w:p w:rsidR="00660414" w:rsidRPr="000A76BD" w:rsidRDefault="00660414" w:rsidP="00273D5E">
      <w:pPr>
        <w:pStyle w:val="BulletLevel1"/>
      </w:pPr>
      <w:r w:rsidRPr="002E1E5F">
        <w:t xml:space="preserve">Fuel </w:t>
      </w:r>
    </w:p>
    <w:p w:rsidR="00660414" w:rsidRPr="000A76BD" w:rsidRDefault="00660414" w:rsidP="00273D5E">
      <w:pPr>
        <w:pStyle w:val="BulletLevel1"/>
      </w:pPr>
      <w:r w:rsidRPr="002E1E5F">
        <w:t>Support Vehicles</w:t>
      </w:r>
    </w:p>
    <w:p w:rsidR="00660414" w:rsidRPr="000A76BD" w:rsidRDefault="00660414" w:rsidP="00A4081F">
      <w:pPr>
        <w:pStyle w:val="NumberedParas"/>
      </w:pPr>
      <w:r w:rsidRPr="002E1E5F">
        <w:t>Based on the following assumptions, building such a facility will provide a capacity of approximately 129,000 TEUs per siding, per annum or a total of 358,000 TEU overall, with an additional reach stacker.</w:t>
      </w:r>
    </w:p>
    <w:p w:rsidR="00660414" w:rsidRPr="000A76BD" w:rsidRDefault="00660414" w:rsidP="00660414">
      <w:pPr>
        <w:keepNext/>
        <w:spacing w:before="120" w:line="276" w:lineRule="auto"/>
        <w:ind w:left="851"/>
        <w:rPr>
          <w:b/>
          <w:iCs/>
          <w:sz w:val="22"/>
          <w:szCs w:val="22"/>
        </w:rPr>
      </w:pPr>
      <w:r w:rsidRPr="002E1E5F">
        <w:rPr>
          <w:b/>
          <w:iCs/>
          <w:sz w:val="22"/>
          <w:szCs w:val="22"/>
        </w:rPr>
        <w:t>Table 8.1</w:t>
      </w:r>
      <w:r>
        <w:rPr>
          <w:b/>
          <w:iCs/>
          <w:sz w:val="22"/>
          <w:szCs w:val="22"/>
        </w:rPr>
        <w:t>1</w:t>
      </w:r>
      <w:r w:rsidRPr="002E1E5F">
        <w:rPr>
          <w:b/>
          <w:iCs/>
          <w:sz w:val="22"/>
          <w:szCs w:val="22"/>
        </w:rPr>
        <w:t>: Assumptions for terminal capacity estimates</w:t>
      </w:r>
    </w:p>
    <w:tbl>
      <w:tblPr>
        <w:tblW w:w="822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960"/>
        <w:gridCol w:w="5420"/>
      </w:tblGrid>
      <w:tr w:rsidR="00660414" w:rsidRPr="000A76BD" w:rsidTr="007613DE">
        <w:trPr>
          <w:trHeight w:val="300"/>
        </w:trPr>
        <w:tc>
          <w:tcPr>
            <w:tcW w:w="1840" w:type="dxa"/>
            <w:shd w:val="clear" w:color="auto" w:fill="8DB3E2" w:themeFill="text2" w:themeFillTint="66"/>
            <w:noWrap/>
            <w:vAlign w:val="center"/>
            <w:hideMark/>
          </w:tcPr>
          <w:p w:rsidR="00660414" w:rsidRPr="000A76BD" w:rsidRDefault="00660414" w:rsidP="007613DE">
            <w:pPr>
              <w:keepNext/>
              <w:spacing w:line="276" w:lineRule="auto"/>
              <w:jc w:val="center"/>
              <w:rPr>
                <w:b/>
                <w:bCs/>
                <w:sz w:val="22"/>
                <w:szCs w:val="22"/>
                <w:lang w:val="en-US"/>
              </w:rPr>
            </w:pPr>
            <w:r w:rsidRPr="002E1E5F">
              <w:rPr>
                <w:b/>
                <w:bCs/>
                <w:sz w:val="22"/>
                <w:szCs w:val="22"/>
                <w:lang w:val="en-US"/>
              </w:rPr>
              <w:t>Attribute</w:t>
            </w:r>
          </w:p>
        </w:tc>
        <w:tc>
          <w:tcPr>
            <w:tcW w:w="960" w:type="dxa"/>
            <w:shd w:val="clear" w:color="auto" w:fill="8DB3E2" w:themeFill="text2" w:themeFillTint="66"/>
            <w:noWrap/>
            <w:vAlign w:val="center"/>
            <w:hideMark/>
          </w:tcPr>
          <w:p w:rsidR="00660414" w:rsidRPr="000A76BD" w:rsidRDefault="00660414" w:rsidP="007613DE">
            <w:pPr>
              <w:keepNext/>
              <w:spacing w:line="276" w:lineRule="auto"/>
              <w:jc w:val="center"/>
              <w:rPr>
                <w:b/>
                <w:bCs/>
                <w:sz w:val="22"/>
                <w:szCs w:val="22"/>
                <w:lang w:val="en-US"/>
              </w:rPr>
            </w:pPr>
            <w:r w:rsidRPr="002E1E5F">
              <w:rPr>
                <w:b/>
                <w:bCs/>
                <w:sz w:val="22"/>
                <w:szCs w:val="22"/>
                <w:lang w:val="en-US"/>
              </w:rPr>
              <w:t>Meters</w:t>
            </w:r>
          </w:p>
        </w:tc>
        <w:tc>
          <w:tcPr>
            <w:tcW w:w="5420" w:type="dxa"/>
            <w:shd w:val="clear" w:color="auto" w:fill="8DB3E2" w:themeFill="text2" w:themeFillTint="66"/>
            <w:noWrap/>
            <w:vAlign w:val="center"/>
            <w:hideMark/>
          </w:tcPr>
          <w:p w:rsidR="00660414" w:rsidRPr="000A76BD" w:rsidRDefault="00660414" w:rsidP="007613DE">
            <w:pPr>
              <w:keepNext/>
              <w:spacing w:line="276" w:lineRule="auto"/>
              <w:jc w:val="center"/>
              <w:rPr>
                <w:b/>
                <w:bCs/>
                <w:sz w:val="22"/>
                <w:szCs w:val="22"/>
                <w:lang w:val="en-US"/>
              </w:rPr>
            </w:pPr>
            <w:r w:rsidRPr="002E1E5F">
              <w:rPr>
                <w:b/>
                <w:bCs/>
                <w:sz w:val="22"/>
                <w:szCs w:val="22"/>
                <w:lang w:val="en-US"/>
              </w:rPr>
              <w:t>Comments</w:t>
            </w: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Wagon Length</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19.7</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Astra Rail SGnss 60' bogie wagon</w:t>
            </w: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Loco Length</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21.4</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Typical electric/diesel locomotive</w:t>
            </w: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TEU per wagon</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3</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Siding Length</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750</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Working Days</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300</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Trains per day</w:t>
            </w:r>
          </w:p>
        </w:tc>
        <w:tc>
          <w:tcPr>
            <w:tcW w:w="96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4</w:t>
            </w:r>
          </w:p>
        </w:tc>
        <w:tc>
          <w:tcPr>
            <w:tcW w:w="5420" w:type="dxa"/>
            <w:shd w:val="clear" w:color="auto" w:fill="auto"/>
            <w:noWrap/>
            <w:vAlign w:val="center"/>
            <w:hideMark/>
          </w:tcPr>
          <w:p w:rsidR="00660414" w:rsidRPr="000A76BD" w:rsidRDefault="00660414" w:rsidP="007613DE">
            <w:pPr>
              <w:keepNext/>
              <w:spacing w:line="276" w:lineRule="auto"/>
              <w:jc w:val="center"/>
              <w:rPr>
                <w:sz w:val="22"/>
                <w:szCs w:val="22"/>
                <w:lang w:val="en-US"/>
              </w:rPr>
            </w:pPr>
            <w:r w:rsidRPr="002E1E5F">
              <w:rPr>
                <w:sz w:val="22"/>
                <w:szCs w:val="22"/>
                <w:lang w:val="en-US"/>
              </w:rPr>
              <w:t>Based on 6 hours load/unload per train</w:t>
            </w:r>
          </w:p>
        </w:tc>
      </w:tr>
      <w:tr w:rsidR="00660414" w:rsidRPr="000A76BD" w:rsidTr="007613DE">
        <w:trPr>
          <w:trHeight w:val="300"/>
        </w:trPr>
        <w:tc>
          <w:tcPr>
            <w:tcW w:w="1840" w:type="dxa"/>
            <w:shd w:val="clear" w:color="auto" w:fill="auto"/>
            <w:noWrap/>
            <w:vAlign w:val="center"/>
            <w:hideMark/>
          </w:tcPr>
          <w:p w:rsidR="00660414" w:rsidRPr="000A76BD" w:rsidRDefault="00660414" w:rsidP="007613DE">
            <w:pPr>
              <w:spacing w:line="276" w:lineRule="auto"/>
              <w:jc w:val="center"/>
              <w:rPr>
                <w:sz w:val="22"/>
                <w:szCs w:val="22"/>
                <w:lang w:val="en-US"/>
              </w:rPr>
            </w:pPr>
            <w:r w:rsidRPr="002E1E5F">
              <w:rPr>
                <w:sz w:val="22"/>
                <w:szCs w:val="22"/>
                <w:lang w:val="en-US"/>
              </w:rPr>
              <w:t>Wagons per Train</w:t>
            </w:r>
          </w:p>
        </w:tc>
        <w:tc>
          <w:tcPr>
            <w:tcW w:w="960" w:type="dxa"/>
            <w:shd w:val="clear" w:color="auto" w:fill="auto"/>
            <w:noWrap/>
            <w:vAlign w:val="center"/>
            <w:hideMark/>
          </w:tcPr>
          <w:p w:rsidR="00660414" w:rsidRPr="000A76BD" w:rsidRDefault="00660414" w:rsidP="007613DE">
            <w:pPr>
              <w:spacing w:line="276" w:lineRule="auto"/>
              <w:jc w:val="center"/>
              <w:rPr>
                <w:sz w:val="22"/>
                <w:szCs w:val="22"/>
                <w:lang w:val="en-US"/>
              </w:rPr>
            </w:pPr>
            <w:r w:rsidRPr="002E1E5F">
              <w:rPr>
                <w:sz w:val="22"/>
                <w:szCs w:val="22"/>
                <w:lang w:val="en-US"/>
              </w:rPr>
              <w:t>36</w:t>
            </w:r>
          </w:p>
        </w:tc>
        <w:tc>
          <w:tcPr>
            <w:tcW w:w="5420" w:type="dxa"/>
            <w:shd w:val="clear" w:color="auto" w:fill="auto"/>
            <w:noWrap/>
            <w:vAlign w:val="center"/>
            <w:hideMark/>
          </w:tcPr>
          <w:p w:rsidR="00660414" w:rsidRPr="000A76BD" w:rsidRDefault="00660414" w:rsidP="007613DE">
            <w:pPr>
              <w:spacing w:line="276" w:lineRule="auto"/>
              <w:jc w:val="center"/>
              <w:rPr>
                <w:sz w:val="22"/>
                <w:szCs w:val="22"/>
                <w:lang w:val="en-US"/>
              </w:rPr>
            </w:pPr>
          </w:p>
        </w:tc>
      </w:tr>
    </w:tbl>
    <w:p w:rsidR="00660414" w:rsidRPr="000A76BD" w:rsidRDefault="00660414" w:rsidP="00A4081F">
      <w:pPr>
        <w:pStyle w:val="NumberedParas"/>
      </w:pPr>
      <w:r w:rsidRPr="002E1E5F">
        <w:t xml:space="preserve">Bigger sites are likely to have an electric gantry crane in addition to a reachstacker, e.g. Bucharest. Space should be safeguarded to extend both rail and road facilities as the terminal grows in the future. Bucharest, for example, will probably require three tracks to enable two trains to be handled simultaneously, boosting capacity to feasibly the aforementioned 358,000 TEU annually. This would also provide capacity for immediate onward transhipment from international trains to </w:t>
      </w:r>
      <w:r>
        <w:t xml:space="preserve">domestic </w:t>
      </w:r>
      <w:r w:rsidRPr="002E1E5F">
        <w:t>trains destined for Constanta.</w:t>
      </w:r>
    </w:p>
    <w:p w:rsidR="00660414" w:rsidRPr="000A76BD" w:rsidRDefault="00660414" w:rsidP="00A4081F">
      <w:pPr>
        <w:pStyle w:val="NumberedParas"/>
      </w:pPr>
      <w:r w:rsidRPr="002E1E5F">
        <w:t>Although the movement of containers by river is likely to remain a relatively small percentage of total water freight, currently around 1%, it is expected to grow in volume in proportion with the market. Only around 2% of the containers being handled at Constanta move inland by barge and this compares to ports such as Rotterdam and Antwerp where significant volumes, around 35%, go by barge. Indeed the GTMP model shows that tonnage will grow by 70% by 2020 when it is entirely possible that daily sailings of container barges leave Constanta either destined for Galati or for a central and western feeder service connecting two or three Romanian ports with other ports in Hungary and Serbia.</w:t>
      </w:r>
    </w:p>
    <w:p w:rsidR="00660414" w:rsidRPr="000A76BD" w:rsidRDefault="00660414" w:rsidP="00A4081F">
      <w:pPr>
        <w:pStyle w:val="NumberedParas"/>
      </w:pPr>
      <w:r w:rsidRPr="002E1E5F">
        <w:t xml:space="preserve">An added incentive for the development of water freight is that goods are not counted as being imported until they are landed; thus a transhipment to barge at Constanta and then landing at Drobeta could provide a day or two’s steaming where VAT on transport costs would not be applicable. This could reduce costs and encourage increased use of water freight quite substantially, as such a reduction (c. 20%) in costs will induce increased traffic from less sustainable modes.  </w:t>
      </w:r>
    </w:p>
    <w:p w:rsidR="00660414" w:rsidRPr="000A76BD" w:rsidRDefault="00660414" w:rsidP="00660414">
      <w:pPr>
        <w:pStyle w:val="Hdg3"/>
      </w:pPr>
      <w:r>
        <w:t>Proposed</w:t>
      </w:r>
      <w:r w:rsidRPr="002E1E5F">
        <w:t xml:space="preserve"> Terminals</w:t>
      </w:r>
    </w:p>
    <w:p w:rsidR="00660414" w:rsidRPr="000A76BD" w:rsidRDefault="00660414" w:rsidP="00A4081F">
      <w:pPr>
        <w:pStyle w:val="NumberedParas"/>
      </w:pPr>
      <w:r w:rsidRPr="002E1E5F">
        <w:t xml:space="preserve">As the Danube only serves the extreme south of the country, for a truly comprehensive network it will also be necessary for several inland rail/road intermodal terminals to be built. The location of the terminals was led by a consideration of the nearby population and industry (hence the current and potential containerised flows) and on the basis of existing infrastructure which was suitable for rehabilitation as an intermodal terminal. It was also important that these terminals provided suitable geographic coverage of Romania to encourage the use of rail freight for long-distance trunking movements within the country. The main population centres in Romania were assessed with regard to their population, economy and existing facilities. </w:t>
      </w:r>
    </w:p>
    <w:p w:rsidR="00660414" w:rsidRPr="000A76BD" w:rsidRDefault="00660414" w:rsidP="00A4081F">
      <w:pPr>
        <w:pStyle w:val="NumberedParas"/>
      </w:pPr>
      <w:r w:rsidRPr="002E1E5F">
        <w:t xml:space="preserve">Potential demand for these sites was based on the potential maximum containerised flow (2011) from the National Transport Model, which took into account potential movements given a higher rail modal share for each commodity group that was suitable for containerisation. These movements were calculated on the existing rail network regarding speeds and terminals. Although the flows thus produced are a current “best case” scenario given the state of the rail network in 2011 (the base year), they are a fair representation of what could be expected from flows in these commodities in other countries with better developed inter-modal infrastructure. </w:t>
      </w:r>
    </w:p>
    <w:p w:rsidR="00660414" w:rsidRPr="000A76BD" w:rsidRDefault="00660414" w:rsidP="00A4081F">
      <w:pPr>
        <w:pStyle w:val="NumberedParas"/>
      </w:pPr>
      <w:r w:rsidRPr="002E1E5F">
        <w:t xml:space="preserve">There is significant room for growth in containerised freight, particularly as it plays a key role in boosting efficiency and lowering costs for transport. Romania’s population is set to decline by approximately 1.5m people by 2035, whilst current trends point towards de-urbanisation occurring across the country. Containerisation will provide an important way to maintain and improve standards of living through lowered costs of this distribution network which will need to serve more places more cheaply. However, the current facilities do not offer scope for efficient and orderly increases in container traffic, and would indeed struggle to meet demand if more industry utilised rail given their current operating conditions and locations. </w:t>
      </w:r>
    </w:p>
    <w:p w:rsidR="00660414" w:rsidRPr="000A76BD" w:rsidRDefault="00660414" w:rsidP="00A4081F">
      <w:pPr>
        <w:pStyle w:val="NumberedParas"/>
      </w:pPr>
      <w:r w:rsidRPr="002E1E5F">
        <w:t xml:space="preserve">This is demonstrated by the inclusion of the figures for “potential rail freight”, which estimates the amount of traffic which would utilise each terminal assuming that significant containerisation of freight had taken place across the country, in response to the improved network and infrastructure for its distribution. It should be noted that the potential containerised rail freight </w:t>
      </w:r>
      <w:r w:rsidRPr="002E1E5F">
        <w:rPr>
          <w:i/>
        </w:rPr>
        <w:t>is explicitly not a forecast</w:t>
      </w:r>
      <w:r w:rsidRPr="002E1E5F">
        <w:t xml:space="preserve">, but an indication of the significant role which containerised rail freight could play in distributing goods and manufactures around Romania, given better conditions than current and a more competitive offer compared with road haulage. </w:t>
      </w:r>
    </w:p>
    <w:p w:rsidR="00660414" w:rsidRPr="000A76BD" w:rsidRDefault="00660414" w:rsidP="00A4081F">
      <w:pPr>
        <w:pStyle w:val="NumberedParas"/>
      </w:pPr>
      <w:r w:rsidRPr="002E1E5F">
        <w:t xml:space="preserve">The current capacity of existing terminals was developed based on the </w:t>
      </w:r>
      <w:r>
        <w:t xml:space="preserve">following </w:t>
      </w:r>
      <w:r w:rsidRPr="002E1E5F">
        <w:t>assumption</w:t>
      </w:r>
      <w:r>
        <w:t>s,</w:t>
      </w:r>
      <w:r w:rsidRPr="002E1E5F">
        <w:t xml:space="preserve"> that the terminal would operate for 300 days a year, with twenty metre wagons being used carrying upto 3 TEUs each. Limitations apart from the rail sidings and handling equipment are not considered, for example, the state of the hard-standing. The full length of each siding can be used twice a day for either loading or unloading by any operational cranes at any given site. The crane operates on the current CFR Marfa average of seven minutes per TEU movement for the existing 12 hours of operational time per day. </w:t>
      </w:r>
    </w:p>
    <w:p w:rsidR="00660414" w:rsidRPr="000A76BD" w:rsidRDefault="00660414" w:rsidP="00A4081F">
      <w:pPr>
        <w:pStyle w:val="NumberedParas"/>
      </w:pPr>
      <w:r w:rsidRPr="002E1E5F">
        <w:t xml:space="preserve">By contrast the “best practice” capacity, developed as part of the potential rail demand scenario, proposed that each siding could be used up to six times per day, with all extant cranes restored to full working order moving a box in three minutes, in line with international best practice. This was to assess whether or not the facilities would be able to cope with a significant increase in utilisation even with improved operational conditions. </w:t>
      </w:r>
    </w:p>
    <w:p w:rsidR="00660414" w:rsidRPr="000A76BD" w:rsidRDefault="00660414" w:rsidP="00A4081F">
      <w:pPr>
        <w:pStyle w:val="NumberedParas"/>
      </w:pPr>
      <w:r w:rsidRPr="002E1E5F">
        <w:t>For situations where there was a significant shortfall of capacity over potential demand under these varied conditions then a rehabilitation scheme was considered. Furthermore, major centres which had a terminal mothballed were modelled to see if the capacity of these facilities is adequate and if so they are recommended for rehabilitation and re-opening as the intermodal market expands. In these instances it is suggested that the sites, after rehabilitation, are operated by private logistics operators to ensure open access on equal terms for all users. Various operating approaches have been utilised across Europe with success, and a study of which approach is most suitable for Romania should be undertaken as part of the rehabilitation programme.</w:t>
      </w:r>
      <w:r w:rsidRPr="002E1E5F">
        <w:br w:type="page"/>
      </w:r>
    </w:p>
    <w:p w:rsidR="00660414" w:rsidRPr="000A76BD" w:rsidRDefault="00660414" w:rsidP="00A4081F">
      <w:pPr>
        <w:pStyle w:val="NumberedParas"/>
      </w:pPr>
      <w:r w:rsidRPr="002E1E5F">
        <w:t>These interventions create the following network of rehabilitated and/or modern terminals:</w:t>
      </w:r>
    </w:p>
    <w:p w:rsidR="00660414" w:rsidRPr="000A76BD" w:rsidRDefault="00660414" w:rsidP="00660414">
      <w:pPr>
        <w:spacing w:line="276" w:lineRule="auto"/>
        <w:ind w:firstLine="851"/>
        <w:rPr>
          <w:b/>
          <w:sz w:val="22"/>
          <w:szCs w:val="22"/>
          <w:u w:val="single"/>
        </w:rPr>
      </w:pPr>
      <w:r w:rsidRPr="008C5B1B">
        <w:rPr>
          <w:noProof/>
          <w:sz w:val="22"/>
          <w:szCs w:val="22"/>
          <w:lang w:val="ro-RO" w:eastAsia="ro-RO"/>
        </w:rPr>
        <w:drawing>
          <wp:inline distT="0" distB="0" distL="0" distR="0" wp14:anchorId="2F2C15CB" wp14:editId="494CE1C1">
            <wp:extent cx="4943463" cy="3517200"/>
            <wp:effectExtent l="19050" t="0" r="0" b="0"/>
            <wp:docPr id="236" name="Picture 13" descr="C:\Users\turpinm\AppData\Local\Microsoft\Windows\Temporary Internet Files\Content.Outlook\RQJO0V1E\Intermodal_teminals_tri-modal_v2-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rpinm\AppData\Local\Microsoft\Windows\Temporary Internet Files\Content.Outlook\RQJO0V1E\Intermodal_teminals_tri-modal_v2-p1.jpg"/>
                    <pic:cNvPicPr>
                      <a:picLocks noChangeAspect="1" noChangeArrowheads="1"/>
                    </pic:cNvPicPr>
                  </pic:nvPicPr>
                  <pic:blipFill>
                    <a:blip r:embed="rId318" cstate="print"/>
                    <a:srcRect/>
                    <a:stretch>
                      <a:fillRect/>
                    </a:stretch>
                  </pic:blipFill>
                  <pic:spPr bwMode="auto">
                    <a:xfrm>
                      <a:off x="0" y="0"/>
                      <a:ext cx="4943463" cy="3517200"/>
                    </a:xfrm>
                    <a:prstGeom prst="rect">
                      <a:avLst/>
                    </a:prstGeom>
                    <a:noFill/>
                    <a:ln w="9525">
                      <a:noFill/>
                      <a:miter lim="800000"/>
                      <a:headEnd/>
                      <a:tailEnd/>
                    </a:ln>
                  </pic:spPr>
                </pic:pic>
              </a:graphicData>
            </a:graphic>
          </wp:inline>
        </w:drawing>
      </w:r>
    </w:p>
    <w:p w:rsidR="00660414" w:rsidRPr="000A76BD" w:rsidRDefault="00660414" w:rsidP="00660414">
      <w:pPr>
        <w:spacing w:line="276" w:lineRule="auto"/>
        <w:ind w:left="851"/>
        <w:rPr>
          <w:b/>
          <w:bCs/>
          <w:sz w:val="22"/>
          <w:szCs w:val="22"/>
        </w:rPr>
      </w:pPr>
      <w:r w:rsidRPr="002E1E5F">
        <w:rPr>
          <w:b/>
          <w:bCs/>
          <w:sz w:val="22"/>
          <w:szCs w:val="22"/>
        </w:rPr>
        <w:t>Figure 8.1</w:t>
      </w:r>
      <w:r>
        <w:rPr>
          <w:b/>
          <w:bCs/>
          <w:sz w:val="22"/>
          <w:szCs w:val="22"/>
        </w:rPr>
        <w:t>4</w:t>
      </w:r>
      <w:r w:rsidRPr="002E1E5F">
        <w:rPr>
          <w:b/>
          <w:bCs/>
          <w:sz w:val="22"/>
          <w:szCs w:val="22"/>
        </w:rPr>
        <w:t>: Map of Proposed Interventions</w:t>
      </w:r>
    </w:p>
    <w:p w:rsidR="00660414" w:rsidRPr="000A76BD" w:rsidRDefault="00660414" w:rsidP="00A4081F">
      <w:pPr>
        <w:pStyle w:val="NumberedParas"/>
      </w:pPr>
      <w:r w:rsidRPr="002E1E5F">
        <w:t>When this is combined with the existing terminals which have been assessed as not requiring significant rehabilitation under the aegis of the masterplan, the network of inland terminals which results is as follows:</w:t>
      </w:r>
    </w:p>
    <w:p w:rsidR="00660414" w:rsidRPr="000A76BD" w:rsidRDefault="00660414" w:rsidP="00A4081F">
      <w:pPr>
        <w:pStyle w:val="NumberedParas"/>
        <w:numPr>
          <w:ilvl w:val="0"/>
          <w:numId w:val="0"/>
        </w:numPr>
        <w:ind w:left="851"/>
      </w:pPr>
      <w:r w:rsidRPr="008C5B1B">
        <w:rPr>
          <w:noProof/>
          <w:lang w:val="ro-RO" w:eastAsia="ro-RO"/>
        </w:rPr>
        <w:drawing>
          <wp:inline distT="0" distB="0" distL="0" distR="0" wp14:anchorId="257D7282" wp14:editId="589EA8BC">
            <wp:extent cx="4971497" cy="3517200"/>
            <wp:effectExtent l="19050" t="0" r="553" b="0"/>
            <wp:docPr id="241" name="Picture 12" descr="C:\Users\turpinm\AppData\Local\Microsoft\Windows\Temporary Internet Files\Content.Outlook\RQJO0V1E\Intermodal_teminals_tri-modal_v2-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rpinm\AppData\Local\Microsoft\Windows\Temporary Internet Files\Content.Outlook\RQJO0V1E\Intermodal_teminals_tri-modal_v2-p2.jpg"/>
                    <pic:cNvPicPr>
                      <a:picLocks noChangeAspect="1" noChangeArrowheads="1"/>
                    </pic:cNvPicPr>
                  </pic:nvPicPr>
                  <pic:blipFill>
                    <a:blip r:embed="rId319" cstate="print"/>
                    <a:srcRect/>
                    <a:stretch>
                      <a:fillRect/>
                    </a:stretch>
                  </pic:blipFill>
                  <pic:spPr bwMode="auto">
                    <a:xfrm>
                      <a:off x="0" y="0"/>
                      <a:ext cx="4971497" cy="3517200"/>
                    </a:xfrm>
                    <a:prstGeom prst="rect">
                      <a:avLst/>
                    </a:prstGeom>
                    <a:noFill/>
                    <a:ln w="9525">
                      <a:noFill/>
                      <a:miter lim="800000"/>
                      <a:headEnd/>
                      <a:tailEnd/>
                    </a:ln>
                  </pic:spPr>
                </pic:pic>
              </a:graphicData>
            </a:graphic>
          </wp:inline>
        </w:drawing>
      </w:r>
    </w:p>
    <w:p w:rsidR="00660414" w:rsidRPr="000A76BD" w:rsidRDefault="00660414" w:rsidP="00660414">
      <w:pPr>
        <w:spacing w:line="276" w:lineRule="auto"/>
        <w:ind w:left="851"/>
        <w:rPr>
          <w:b/>
          <w:bCs/>
          <w:sz w:val="22"/>
          <w:szCs w:val="22"/>
        </w:rPr>
      </w:pPr>
      <w:r w:rsidRPr="002E1E5F">
        <w:rPr>
          <w:b/>
          <w:bCs/>
          <w:sz w:val="22"/>
          <w:szCs w:val="22"/>
        </w:rPr>
        <w:t>Figure 8.1</w:t>
      </w:r>
      <w:r>
        <w:rPr>
          <w:b/>
          <w:bCs/>
          <w:sz w:val="22"/>
          <w:szCs w:val="22"/>
        </w:rPr>
        <w:t>5</w:t>
      </w:r>
      <w:r w:rsidRPr="002E1E5F">
        <w:rPr>
          <w:b/>
          <w:bCs/>
          <w:sz w:val="22"/>
          <w:szCs w:val="22"/>
        </w:rPr>
        <w:t>: Map of Inland Terminal Network</w:t>
      </w:r>
    </w:p>
    <w:p w:rsidR="00660414" w:rsidRPr="000A76BD" w:rsidRDefault="00660414" w:rsidP="00A4081F">
      <w:pPr>
        <w:pStyle w:val="NumberedParas"/>
      </w:pPr>
      <w:r w:rsidRPr="002E1E5F">
        <w:t>Having arrived at these sites as a result of analysis and potential demand assessment, it is worthy to compare the proposal with those of other stakeholders who have assessed the problem. The proposed network is shown in Table 8.1</w:t>
      </w:r>
      <w:r>
        <w:t>2</w:t>
      </w:r>
      <w:r w:rsidRPr="002E1E5F">
        <w:t>, and we have considered the suggestions of other parties are shown in Table 8.1</w:t>
      </w:r>
      <w:r>
        <w:t>3</w:t>
      </w:r>
      <w:r w:rsidRPr="002E1E5F">
        <w:t>. As can be seen, the proposed network matches up well with those suggested elsewhere by either other consultants or train operators themselves.</w:t>
      </w:r>
    </w:p>
    <w:p w:rsidR="00660414" w:rsidRPr="00C52967" w:rsidRDefault="00660414" w:rsidP="00A4081F">
      <w:pPr>
        <w:pStyle w:val="NumberedParas"/>
        <w:numPr>
          <w:ilvl w:val="0"/>
          <w:numId w:val="0"/>
        </w:numPr>
        <w:ind w:left="851"/>
      </w:pPr>
      <w:r w:rsidRPr="002E1E5F">
        <w:t>Table 8.12 Proposed Network of Intermodal Terminals</w:t>
      </w:r>
    </w:p>
    <w:tbl>
      <w:tblPr>
        <w:tblStyle w:val="TableGrid"/>
        <w:tblW w:w="5130" w:type="dxa"/>
        <w:tblInd w:w="3129" w:type="dxa"/>
        <w:tblLook w:val="04A0" w:firstRow="1" w:lastRow="0" w:firstColumn="1" w:lastColumn="0" w:noHBand="0" w:noVBand="1"/>
      </w:tblPr>
      <w:tblGrid>
        <w:gridCol w:w="1725"/>
        <w:gridCol w:w="2069"/>
        <w:gridCol w:w="1336"/>
      </w:tblGrid>
      <w:tr w:rsidR="00660414" w:rsidRPr="000A76BD" w:rsidTr="007613DE">
        <w:tc>
          <w:tcPr>
            <w:tcW w:w="5130" w:type="dxa"/>
            <w:gridSpan w:val="3"/>
            <w:shd w:val="clear" w:color="auto" w:fill="8DB3E2" w:themeFill="text2" w:themeFillTint="66"/>
            <w:vAlign w:val="center"/>
          </w:tcPr>
          <w:p w:rsidR="00660414" w:rsidRPr="000A76BD" w:rsidRDefault="00660414" w:rsidP="007613DE">
            <w:pPr>
              <w:jc w:val="center"/>
              <w:rPr>
                <w:sz w:val="22"/>
                <w:szCs w:val="22"/>
              </w:rPr>
            </w:pPr>
            <w:r w:rsidRPr="002E1E5F">
              <w:rPr>
                <w:sz w:val="22"/>
                <w:szCs w:val="22"/>
              </w:rPr>
              <w:t>Inland Terminals</w:t>
            </w:r>
          </w:p>
        </w:tc>
      </w:tr>
      <w:tr w:rsidR="00660414" w:rsidRPr="000A76BD" w:rsidTr="007613DE">
        <w:tc>
          <w:tcPr>
            <w:tcW w:w="1725" w:type="dxa"/>
            <w:shd w:val="clear" w:color="auto" w:fill="C6D9F1" w:themeFill="text2" w:themeFillTint="33"/>
            <w:vAlign w:val="center"/>
          </w:tcPr>
          <w:p w:rsidR="00660414" w:rsidRPr="000A76BD" w:rsidRDefault="00660414" w:rsidP="007613DE">
            <w:pPr>
              <w:jc w:val="center"/>
              <w:rPr>
                <w:i/>
                <w:sz w:val="22"/>
                <w:szCs w:val="22"/>
              </w:rPr>
            </w:pPr>
            <w:r w:rsidRPr="002E1E5F">
              <w:rPr>
                <w:i/>
                <w:sz w:val="22"/>
                <w:szCs w:val="22"/>
              </w:rPr>
              <w:t>Extant</w:t>
            </w:r>
          </w:p>
        </w:tc>
        <w:tc>
          <w:tcPr>
            <w:tcW w:w="2069" w:type="dxa"/>
            <w:shd w:val="clear" w:color="auto" w:fill="C6D9F1" w:themeFill="text2" w:themeFillTint="33"/>
            <w:vAlign w:val="center"/>
          </w:tcPr>
          <w:p w:rsidR="00660414" w:rsidRPr="000A76BD" w:rsidRDefault="00660414" w:rsidP="007613DE">
            <w:pPr>
              <w:jc w:val="center"/>
              <w:rPr>
                <w:i/>
                <w:sz w:val="22"/>
                <w:szCs w:val="22"/>
              </w:rPr>
            </w:pPr>
            <w:r w:rsidRPr="002E1E5F">
              <w:rPr>
                <w:i/>
                <w:sz w:val="22"/>
                <w:szCs w:val="22"/>
              </w:rPr>
              <w:t>Refurbished</w:t>
            </w:r>
            <w:r>
              <w:rPr>
                <w:i/>
                <w:sz w:val="22"/>
                <w:szCs w:val="22"/>
              </w:rPr>
              <w:t xml:space="preserve"> or New Build</w:t>
            </w:r>
          </w:p>
        </w:tc>
        <w:tc>
          <w:tcPr>
            <w:tcW w:w="1336" w:type="dxa"/>
            <w:shd w:val="clear" w:color="auto" w:fill="C6D9F1" w:themeFill="text2" w:themeFillTint="33"/>
            <w:vAlign w:val="center"/>
          </w:tcPr>
          <w:p w:rsidR="00660414" w:rsidRPr="000A76BD" w:rsidRDefault="00660414" w:rsidP="007613DE">
            <w:pPr>
              <w:jc w:val="center"/>
              <w:rPr>
                <w:i/>
                <w:sz w:val="22"/>
                <w:szCs w:val="22"/>
              </w:rPr>
            </w:pPr>
            <w:r w:rsidRPr="002E1E5F">
              <w:rPr>
                <w:i/>
                <w:sz w:val="22"/>
                <w:szCs w:val="22"/>
              </w:rPr>
              <w:t>New Build</w:t>
            </w:r>
          </w:p>
        </w:tc>
      </w:tr>
      <w:tr w:rsidR="00660414" w:rsidRPr="000A76BD" w:rsidTr="007613DE">
        <w:tc>
          <w:tcPr>
            <w:tcW w:w="1725" w:type="dxa"/>
            <w:vAlign w:val="center"/>
          </w:tcPr>
          <w:p w:rsidR="00660414" w:rsidRPr="000A76BD" w:rsidRDefault="00660414" w:rsidP="007613DE">
            <w:pPr>
              <w:jc w:val="center"/>
              <w:rPr>
                <w:sz w:val="22"/>
                <w:szCs w:val="22"/>
              </w:rPr>
            </w:pPr>
            <w:r w:rsidRPr="002E1E5F">
              <w:rPr>
                <w:sz w:val="22"/>
                <w:szCs w:val="22"/>
              </w:rPr>
              <w:t>Arad</w:t>
            </w:r>
          </w:p>
          <w:p w:rsidR="00660414" w:rsidRPr="000A76BD" w:rsidRDefault="00660414" w:rsidP="007613DE">
            <w:pPr>
              <w:jc w:val="center"/>
              <w:rPr>
                <w:sz w:val="22"/>
                <w:szCs w:val="22"/>
              </w:rPr>
            </w:pPr>
            <w:r w:rsidRPr="002E1E5F">
              <w:rPr>
                <w:sz w:val="22"/>
                <w:szCs w:val="22"/>
              </w:rPr>
              <w:t>Zalau</w:t>
            </w:r>
          </w:p>
          <w:p w:rsidR="00660414" w:rsidRPr="000A76BD" w:rsidRDefault="00660414" w:rsidP="007613DE">
            <w:pPr>
              <w:jc w:val="center"/>
              <w:rPr>
                <w:sz w:val="22"/>
                <w:szCs w:val="22"/>
              </w:rPr>
            </w:pPr>
            <w:r w:rsidRPr="002E1E5F">
              <w:rPr>
                <w:sz w:val="22"/>
                <w:szCs w:val="22"/>
              </w:rPr>
              <w:t>Bistrita</w:t>
            </w:r>
          </w:p>
          <w:p w:rsidR="00660414" w:rsidRPr="000A76BD" w:rsidRDefault="00660414" w:rsidP="007613DE">
            <w:pPr>
              <w:jc w:val="center"/>
              <w:rPr>
                <w:sz w:val="22"/>
                <w:szCs w:val="22"/>
              </w:rPr>
            </w:pPr>
            <w:r w:rsidRPr="002E1E5F">
              <w:rPr>
                <w:sz w:val="22"/>
                <w:szCs w:val="22"/>
              </w:rPr>
              <w:t>Brasov</w:t>
            </w:r>
          </w:p>
          <w:p w:rsidR="00660414" w:rsidRPr="000A76BD" w:rsidRDefault="00660414" w:rsidP="007613DE">
            <w:pPr>
              <w:jc w:val="center"/>
              <w:rPr>
                <w:sz w:val="22"/>
                <w:szCs w:val="22"/>
              </w:rPr>
            </w:pPr>
            <w:r w:rsidRPr="002E1E5F">
              <w:rPr>
                <w:sz w:val="22"/>
                <w:szCs w:val="22"/>
              </w:rPr>
              <w:t>Ploiesti</w:t>
            </w:r>
          </w:p>
          <w:p w:rsidR="00660414" w:rsidRPr="000A76BD" w:rsidRDefault="00660414" w:rsidP="007613DE">
            <w:pPr>
              <w:jc w:val="center"/>
              <w:rPr>
                <w:sz w:val="22"/>
                <w:szCs w:val="22"/>
              </w:rPr>
            </w:pPr>
            <w:r w:rsidRPr="002E1E5F">
              <w:rPr>
                <w:sz w:val="22"/>
                <w:szCs w:val="22"/>
              </w:rPr>
              <w:t>Pitesti</w:t>
            </w:r>
          </w:p>
        </w:tc>
        <w:tc>
          <w:tcPr>
            <w:tcW w:w="2069" w:type="dxa"/>
            <w:vAlign w:val="center"/>
          </w:tcPr>
          <w:p w:rsidR="00660414" w:rsidRPr="000A76BD" w:rsidRDefault="00660414" w:rsidP="007613DE">
            <w:pPr>
              <w:jc w:val="center"/>
              <w:rPr>
                <w:sz w:val="22"/>
                <w:szCs w:val="22"/>
              </w:rPr>
            </w:pPr>
            <w:r w:rsidRPr="002E1E5F">
              <w:rPr>
                <w:sz w:val="22"/>
                <w:szCs w:val="22"/>
              </w:rPr>
              <w:t xml:space="preserve">Timisoara </w:t>
            </w:r>
          </w:p>
          <w:p w:rsidR="00660414" w:rsidRPr="000A76BD" w:rsidRDefault="00660414" w:rsidP="007613DE">
            <w:pPr>
              <w:jc w:val="center"/>
              <w:rPr>
                <w:sz w:val="22"/>
                <w:szCs w:val="22"/>
              </w:rPr>
            </w:pPr>
            <w:r w:rsidRPr="002E1E5F">
              <w:rPr>
                <w:sz w:val="22"/>
                <w:szCs w:val="22"/>
              </w:rPr>
              <w:t>Cluj-Napoca</w:t>
            </w:r>
          </w:p>
          <w:p w:rsidR="00660414" w:rsidRPr="000A76BD" w:rsidRDefault="00660414" w:rsidP="007613DE">
            <w:pPr>
              <w:jc w:val="center"/>
              <w:rPr>
                <w:sz w:val="22"/>
                <w:szCs w:val="22"/>
              </w:rPr>
            </w:pPr>
            <w:r w:rsidRPr="002E1E5F">
              <w:rPr>
                <w:sz w:val="22"/>
                <w:szCs w:val="22"/>
              </w:rPr>
              <w:t>Turda</w:t>
            </w:r>
          </w:p>
          <w:p w:rsidR="00660414" w:rsidRPr="000A76BD" w:rsidRDefault="00660414" w:rsidP="007613DE">
            <w:pPr>
              <w:jc w:val="center"/>
              <w:rPr>
                <w:sz w:val="22"/>
                <w:szCs w:val="22"/>
              </w:rPr>
            </w:pPr>
            <w:r w:rsidRPr="002E1E5F">
              <w:rPr>
                <w:sz w:val="22"/>
                <w:szCs w:val="22"/>
              </w:rPr>
              <w:t>Suceava</w:t>
            </w:r>
          </w:p>
          <w:p w:rsidR="00660414" w:rsidRPr="000A76BD" w:rsidRDefault="00660414" w:rsidP="007613DE">
            <w:pPr>
              <w:jc w:val="center"/>
              <w:rPr>
                <w:sz w:val="22"/>
                <w:szCs w:val="22"/>
              </w:rPr>
            </w:pPr>
            <w:r w:rsidRPr="002E1E5F">
              <w:rPr>
                <w:sz w:val="22"/>
                <w:szCs w:val="22"/>
              </w:rPr>
              <w:t xml:space="preserve">Iasi </w:t>
            </w:r>
          </w:p>
          <w:p w:rsidR="00660414" w:rsidRPr="000A76BD" w:rsidRDefault="00660414" w:rsidP="007613DE">
            <w:pPr>
              <w:jc w:val="center"/>
              <w:rPr>
                <w:sz w:val="22"/>
                <w:szCs w:val="22"/>
              </w:rPr>
            </w:pPr>
            <w:r w:rsidRPr="002E1E5F">
              <w:rPr>
                <w:sz w:val="22"/>
                <w:szCs w:val="22"/>
              </w:rPr>
              <w:t>Bacau</w:t>
            </w:r>
          </w:p>
          <w:p w:rsidR="00660414" w:rsidRPr="000A76BD" w:rsidRDefault="00660414" w:rsidP="007613DE">
            <w:pPr>
              <w:jc w:val="center"/>
              <w:rPr>
                <w:sz w:val="22"/>
                <w:szCs w:val="22"/>
              </w:rPr>
            </w:pPr>
            <w:r w:rsidRPr="002E1E5F">
              <w:rPr>
                <w:sz w:val="22"/>
                <w:szCs w:val="22"/>
              </w:rPr>
              <w:t>Oradea</w:t>
            </w:r>
          </w:p>
        </w:tc>
        <w:tc>
          <w:tcPr>
            <w:tcW w:w="1336" w:type="dxa"/>
            <w:vAlign w:val="center"/>
          </w:tcPr>
          <w:p w:rsidR="00660414" w:rsidRPr="000A76BD" w:rsidRDefault="00660414" w:rsidP="007613DE">
            <w:pPr>
              <w:jc w:val="center"/>
              <w:rPr>
                <w:sz w:val="22"/>
                <w:szCs w:val="22"/>
              </w:rPr>
            </w:pPr>
            <w:r w:rsidRPr="002E1E5F">
              <w:rPr>
                <w:sz w:val="22"/>
                <w:szCs w:val="22"/>
              </w:rPr>
              <w:t>Craoiva</w:t>
            </w:r>
          </w:p>
          <w:p w:rsidR="00660414" w:rsidRPr="000A76BD" w:rsidRDefault="00660414" w:rsidP="007613DE">
            <w:pPr>
              <w:jc w:val="center"/>
              <w:rPr>
                <w:sz w:val="22"/>
                <w:szCs w:val="22"/>
              </w:rPr>
            </w:pPr>
            <w:r w:rsidRPr="002E1E5F">
              <w:rPr>
                <w:sz w:val="22"/>
                <w:szCs w:val="22"/>
              </w:rPr>
              <w:t>Bucharest</w:t>
            </w:r>
          </w:p>
        </w:tc>
      </w:tr>
    </w:tbl>
    <w:p w:rsidR="00660414" w:rsidRPr="000A76BD" w:rsidRDefault="00660414" w:rsidP="00A4081F">
      <w:pPr>
        <w:pStyle w:val="NumberedParas"/>
      </w:pPr>
      <w:r w:rsidRPr="002E1E5F">
        <w:t xml:space="preserve">A comparison of Tables </w:t>
      </w:r>
      <w:r>
        <w:t>8.12</w:t>
      </w:r>
      <w:r w:rsidRPr="002E1E5F">
        <w:t xml:space="preserve"> and </w:t>
      </w:r>
      <w:r>
        <w:t>8.13</w:t>
      </w:r>
      <w:r w:rsidRPr="002E1E5F">
        <w:t xml:space="preserve"> demonstrates that the proposed network has widespread support from a variety of key stakeholders, in particular there is clear support for additional terminals in the Arad/Timisoara/Semenic area, Bucharest, Cluj and Craoiva. All terminal locations which received more than three recommendations were assessed in the course of developing the proposed network, in addition to the other factors discussed above.</w:t>
      </w:r>
    </w:p>
    <w:p w:rsidR="00660414" w:rsidRPr="000A76BD" w:rsidRDefault="00660414" w:rsidP="00A4081F">
      <w:pPr>
        <w:pStyle w:val="NumberedParas"/>
      </w:pPr>
      <w:r w:rsidRPr="002E1E5F">
        <w:t>The cost of these schemes varies to reflect the different condition of the existing yards available fo</w:t>
      </w:r>
      <w:r>
        <w:t>r</w:t>
      </w:r>
      <w:r w:rsidRPr="002E1E5F">
        <w:t xml:space="preserve"> use. Therefore in some yards a lighter rehabilitation programme is required, whereas other terminals require the construction of new,</w:t>
      </w:r>
      <w:r>
        <w:t xml:space="preserve"> modern and</w:t>
      </w:r>
      <w:r w:rsidRPr="002E1E5F">
        <w:t xml:space="preserve"> bespoke facilities. </w:t>
      </w:r>
    </w:p>
    <w:p w:rsidR="00660414" w:rsidRPr="000A76BD" w:rsidRDefault="00660414" w:rsidP="00A4081F">
      <w:pPr>
        <w:pStyle w:val="NumberedParas"/>
      </w:pPr>
      <w:r w:rsidRPr="002E1E5F">
        <w:t>This intermodal terminals</w:t>
      </w:r>
      <w:r>
        <w:t xml:space="preserve"> network</w:t>
      </w:r>
      <w:r w:rsidRPr="002E1E5F">
        <w:t xml:space="preserve"> provides for large retail demand in population centres </w:t>
      </w:r>
      <w:r>
        <w:t>and</w:t>
      </w:r>
      <w:r w:rsidRPr="002E1E5F">
        <w:t xml:space="preserve"> also potential industrial containerised flows in important industrial sectors. Furthermore, it offers an opportunity for a coherent, comprehensive sustainable transport network for containers across the nation which should promote modal shift from road to more sustainable </w:t>
      </w:r>
      <w:r>
        <w:t>transport</w:t>
      </w:r>
      <w:r w:rsidRPr="002E1E5F">
        <w:t xml:space="preserve"> modes. </w:t>
      </w:r>
    </w:p>
    <w:p w:rsidR="00660414" w:rsidRPr="000A76BD" w:rsidRDefault="00660414" w:rsidP="00A4081F">
      <w:pPr>
        <w:pStyle w:val="NumberedParas"/>
      </w:pPr>
      <w:r w:rsidRPr="002E1E5F">
        <w:t>According to the national transport model, the recommended set of intermodal terminals</w:t>
      </w:r>
      <w:r>
        <w:t>, when combined with the full set of rail improvements (alongside water improvements and the proposed tri-modal terminals)</w:t>
      </w:r>
      <w:r w:rsidRPr="002E1E5F">
        <w:t xml:space="preserve"> do indeed promote modal shift, with approximately 900,000 fewer road tonne kilometres, over 100,000 additional rail tonne kilometres, over 1.1 million additional water freight tonne kilometres and approximately 400,000 more freight tonne kilometres than the reference case by 2030. </w:t>
      </w:r>
    </w:p>
    <w:p w:rsidR="00660414" w:rsidRPr="000A76BD" w:rsidRDefault="00660414" w:rsidP="00A4081F">
      <w:pPr>
        <w:pStyle w:val="NumberedParas"/>
      </w:pPr>
      <w:r w:rsidRPr="002E1E5F">
        <w:t>However, these terminals will need to be accompanied by rehabilitated rail corridors to enable heavier trains (22.5</w:t>
      </w:r>
      <w:r>
        <w:t xml:space="preserve"> </w:t>
      </w:r>
      <w:r w:rsidRPr="002E1E5F">
        <w:t>ton</w:t>
      </w:r>
      <w:r>
        <w:t>ne</w:t>
      </w:r>
      <w:r w:rsidRPr="002E1E5F">
        <w:t xml:space="preserve"> axle weight) and also effective pathing of container trains to enable higher speeds and journey time reliability and punctuality. These improvements will also benefit and cater for predicted growth in non-containerised freight, where rail remains more competitive against road.</w:t>
      </w:r>
      <w:r>
        <w:t xml:space="preserve"> </w:t>
      </w:r>
    </w:p>
    <w:p w:rsidR="00660414" w:rsidRPr="000A76BD" w:rsidRDefault="00660414" w:rsidP="00A4081F">
      <w:pPr>
        <w:pStyle w:val="NumberedParas"/>
        <w:numPr>
          <w:ilvl w:val="0"/>
          <w:numId w:val="0"/>
        </w:numPr>
        <w:ind w:left="851"/>
        <w:sectPr w:rsidR="00660414" w:rsidRPr="000A76BD" w:rsidSect="00933C17">
          <w:pgSz w:w="11907" w:h="16840" w:code="9"/>
          <w:pgMar w:top="1418" w:right="709" w:bottom="1418" w:left="907" w:header="357" w:footer="567" w:gutter="0"/>
          <w:cols w:space="187"/>
          <w:docGrid w:linePitch="360"/>
        </w:sectPr>
      </w:pPr>
      <w:r w:rsidRPr="002E1E5F">
        <w:t xml:space="preserve">  </w:t>
      </w:r>
    </w:p>
    <w:p w:rsidR="00660414" w:rsidRPr="000A76BD" w:rsidRDefault="00660414" w:rsidP="00660414">
      <w:pPr>
        <w:pStyle w:val="Body"/>
        <w:rPr>
          <w:rFonts w:cs="Arial"/>
          <w:b/>
          <w:i w:val="0"/>
        </w:rPr>
      </w:pPr>
      <w:r w:rsidRPr="002E1E5F">
        <w:rPr>
          <w:rFonts w:cs="Arial"/>
          <w:b/>
          <w:i w:val="0"/>
        </w:rPr>
        <w:t>Table 8.1</w:t>
      </w:r>
      <w:r>
        <w:rPr>
          <w:rFonts w:cs="Arial"/>
          <w:b/>
          <w:i w:val="0"/>
        </w:rPr>
        <w:t>3</w:t>
      </w:r>
      <w:r w:rsidRPr="002E1E5F">
        <w:rPr>
          <w:rFonts w:cs="Arial"/>
          <w:b/>
          <w:i w:val="0"/>
        </w:rPr>
        <w:t xml:space="preserve"> Proposed Networks of Terminals from previous studies and Consultation</w:t>
      </w:r>
    </w:p>
    <w:tbl>
      <w:tblPr>
        <w:tblW w:w="5000" w:type="pct"/>
        <w:jc w:val="center"/>
        <w:tblLook w:val="04A0" w:firstRow="1" w:lastRow="0" w:firstColumn="1" w:lastColumn="0" w:noHBand="0" w:noVBand="1"/>
      </w:tblPr>
      <w:tblGrid>
        <w:gridCol w:w="2466"/>
        <w:gridCol w:w="922"/>
        <w:gridCol w:w="676"/>
        <w:gridCol w:w="681"/>
        <w:gridCol w:w="549"/>
        <w:gridCol w:w="549"/>
        <w:gridCol w:w="549"/>
        <w:gridCol w:w="549"/>
        <w:gridCol w:w="549"/>
        <w:gridCol w:w="549"/>
        <w:gridCol w:w="549"/>
        <w:gridCol w:w="549"/>
        <w:gridCol w:w="549"/>
        <w:gridCol w:w="549"/>
        <w:gridCol w:w="549"/>
        <w:gridCol w:w="549"/>
        <w:gridCol w:w="549"/>
        <w:gridCol w:w="549"/>
        <w:gridCol w:w="549"/>
        <w:gridCol w:w="549"/>
        <w:gridCol w:w="1372"/>
        <w:gridCol w:w="1372"/>
        <w:gridCol w:w="549"/>
        <w:gridCol w:w="549"/>
        <w:gridCol w:w="549"/>
        <w:gridCol w:w="549"/>
        <w:gridCol w:w="550"/>
        <w:gridCol w:w="550"/>
        <w:gridCol w:w="550"/>
        <w:gridCol w:w="550"/>
        <w:gridCol w:w="525"/>
      </w:tblGrid>
      <w:tr w:rsidR="00660414" w:rsidRPr="000A76BD" w:rsidTr="00F17B06">
        <w:trPr>
          <w:trHeight w:val="233"/>
          <w:jc w:val="center"/>
        </w:trPr>
        <w:tc>
          <w:tcPr>
            <w:tcW w:w="419" w:type="pc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660414" w:rsidRPr="000A76BD" w:rsidRDefault="00660414" w:rsidP="007613D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rPr>
                <w:sz w:val="22"/>
                <w:szCs w:val="22"/>
                <w:lang w:val="en-US"/>
              </w:rPr>
            </w:pPr>
            <w:r w:rsidRPr="002E1E5F">
              <w:rPr>
                <w:sz w:val="22"/>
                <w:szCs w:val="22"/>
                <w:lang w:val="en-US"/>
              </w:rPr>
              <w:t>Reference /Consultee</w:t>
            </w:r>
          </w:p>
        </w:tc>
        <w:tc>
          <w:tcPr>
            <w:tcW w:w="223" w:type="pct"/>
            <w:tcBorders>
              <w:top w:val="single" w:sz="4" w:space="0" w:color="auto"/>
              <w:left w:val="nil"/>
              <w:bottom w:val="single" w:sz="4" w:space="0" w:color="auto"/>
              <w:right w:val="single" w:sz="4" w:space="0" w:color="auto"/>
            </w:tcBorders>
            <w:shd w:val="clear" w:color="000000" w:fill="C5D9F1"/>
            <w:noWrap/>
            <w:vAlign w:val="center"/>
            <w:hideMark/>
          </w:tcPr>
          <w:p w:rsidR="00660414" w:rsidRPr="000A76BD" w:rsidRDefault="00660414" w:rsidP="007613D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rPr>
                <w:sz w:val="22"/>
                <w:szCs w:val="22"/>
                <w:lang w:val="en-US"/>
              </w:rPr>
            </w:pPr>
            <w:r w:rsidRPr="002E1E5F">
              <w:rPr>
                <w:sz w:val="22"/>
                <w:szCs w:val="22"/>
                <w:lang w:val="en-US"/>
              </w:rPr>
              <w:t>Year</w:t>
            </w:r>
          </w:p>
        </w:tc>
        <w:tc>
          <w:tcPr>
            <w:tcW w:w="331" w:type="pct"/>
            <w:gridSpan w:val="2"/>
            <w:tcBorders>
              <w:top w:val="single" w:sz="4" w:space="0" w:color="auto"/>
              <w:left w:val="nil"/>
              <w:bottom w:val="single" w:sz="4" w:space="0" w:color="auto"/>
              <w:right w:val="single" w:sz="4" w:space="0" w:color="auto"/>
            </w:tcBorders>
            <w:shd w:val="clear" w:color="000000" w:fill="C5D9F1"/>
            <w:noWrap/>
            <w:vAlign w:val="center"/>
            <w:hideMark/>
          </w:tcPr>
          <w:p w:rsidR="00660414" w:rsidRPr="000A76BD" w:rsidRDefault="00660414" w:rsidP="007613D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rPr>
                <w:sz w:val="22"/>
                <w:szCs w:val="22"/>
                <w:lang w:val="en-US"/>
              </w:rPr>
            </w:pPr>
            <w:r w:rsidRPr="002E1E5F">
              <w:rPr>
                <w:sz w:val="22"/>
                <w:szCs w:val="22"/>
                <w:lang w:val="en-US"/>
              </w:rPr>
              <w:t>No. of</w:t>
            </w:r>
          </w:p>
          <w:p w:rsidR="00660414" w:rsidRPr="000A76BD" w:rsidRDefault="00660414" w:rsidP="007613D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rPr>
                <w:sz w:val="22"/>
                <w:szCs w:val="22"/>
                <w:lang w:val="en-US"/>
              </w:rPr>
            </w:pPr>
            <w:r w:rsidRPr="002E1E5F">
              <w:rPr>
                <w:sz w:val="22"/>
                <w:szCs w:val="22"/>
                <w:lang w:val="en-US"/>
              </w:rPr>
              <w:t>Terminals</w:t>
            </w:r>
          </w:p>
        </w:tc>
        <w:tc>
          <w:tcPr>
            <w:tcW w:w="4027" w:type="pct"/>
            <w:gridSpan w:val="27"/>
            <w:tcBorders>
              <w:top w:val="single" w:sz="4" w:space="0" w:color="auto"/>
              <w:left w:val="nil"/>
              <w:bottom w:val="single" w:sz="4" w:space="0" w:color="auto"/>
              <w:right w:val="single" w:sz="4" w:space="0" w:color="auto"/>
            </w:tcBorders>
            <w:shd w:val="clear" w:color="000000" w:fill="C5D9F1"/>
            <w:noWrap/>
            <w:vAlign w:val="center"/>
            <w:hideMark/>
          </w:tcPr>
          <w:p w:rsidR="00660414" w:rsidRPr="000A76BD" w:rsidRDefault="00660414" w:rsidP="007613D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rPr>
                <w:sz w:val="22"/>
                <w:szCs w:val="22"/>
                <w:lang w:val="en-US"/>
              </w:rPr>
            </w:pPr>
            <w:r w:rsidRPr="002E1E5F">
              <w:rPr>
                <w:sz w:val="22"/>
                <w:szCs w:val="22"/>
                <w:lang w:val="en-US"/>
              </w:rPr>
              <w:t>Most Appropriate Locations</w:t>
            </w:r>
          </w:p>
        </w:tc>
      </w:tr>
      <w:tr w:rsidR="00660414" w:rsidRPr="000A76BD" w:rsidTr="00F17B06">
        <w:trPr>
          <w:cantSplit/>
          <w:trHeight w:val="1809"/>
          <w:jc w:val="center"/>
        </w:trPr>
        <w:tc>
          <w:tcPr>
            <w:tcW w:w="419" w:type="pct"/>
            <w:tcBorders>
              <w:top w:val="nil"/>
              <w:left w:val="single" w:sz="4" w:space="0" w:color="auto"/>
              <w:bottom w:val="single" w:sz="4" w:space="0" w:color="auto"/>
              <w:right w:val="single" w:sz="4" w:space="0" w:color="auto"/>
            </w:tcBorders>
            <w:shd w:val="clear" w:color="000000" w:fill="C5D9F1"/>
            <w:noWrap/>
            <w:vAlign w:val="center"/>
            <w:hideMark/>
          </w:tcPr>
          <w:p w:rsidR="00660414" w:rsidRPr="000A76BD" w:rsidRDefault="00660414" w:rsidP="007613DE">
            <w:pPr>
              <w:keepNext/>
              <w:spacing w:before="240" w:after="240"/>
              <w:jc w:val="center"/>
              <w:rPr>
                <w:sz w:val="22"/>
                <w:szCs w:val="22"/>
                <w:lang w:val="en-US"/>
              </w:rPr>
            </w:pPr>
          </w:p>
        </w:tc>
        <w:tc>
          <w:tcPr>
            <w:tcW w:w="223" w:type="pct"/>
            <w:tcBorders>
              <w:top w:val="nil"/>
              <w:left w:val="nil"/>
              <w:bottom w:val="single" w:sz="4" w:space="0" w:color="auto"/>
              <w:right w:val="single" w:sz="4" w:space="0" w:color="auto"/>
            </w:tcBorders>
            <w:shd w:val="clear" w:color="000000" w:fill="C5D9F1"/>
            <w:noWrap/>
            <w:vAlign w:val="center"/>
            <w:hideMark/>
          </w:tcPr>
          <w:p w:rsidR="00660414" w:rsidRPr="000A76BD" w:rsidRDefault="00660414" w:rsidP="007613DE">
            <w:pPr>
              <w:keepNext/>
              <w:spacing w:before="240" w:after="240"/>
              <w:jc w:val="center"/>
              <w:rPr>
                <w:sz w:val="22"/>
                <w:szCs w:val="22"/>
                <w:lang w:val="en-US"/>
              </w:rPr>
            </w:pPr>
          </w:p>
        </w:tc>
        <w:tc>
          <w:tcPr>
            <w:tcW w:w="165" w:type="pct"/>
            <w:tcBorders>
              <w:top w:val="nil"/>
              <w:left w:val="nil"/>
              <w:bottom w:val="single" w:sz="4" w:space="0" w:color="auto"/>
              <w:right w:val="single" w:sz="4" w:space="0" w:color="auto"/>
            </w:tcBorders>
            <w:shd w:val="clear" w:color="000000" w:fill="C5D9F1"/>
            <w:noWrap/>
            <w:textDirection w:val="tbRl"/>
            <w:vAlign w:val="center"/>
            <w:hideMark/>
          </w:tcPr>
          <w:p w:rsidR="00660414" w:rsidRPr="000A76BD" w:rsidRDefault="00660414" w:rsidP="007613DE">
            <w:pPr>
              <w:jc w:val="center"/>
              <w:rPr>
                <w:sz w:val="22"/>
                <w:szCs w:val="22"/>
                <w:lang w:val="en-US"/>
              </w:rPr>
            </w:pPr>
            <w:r w:rsidRPr="002E1E5F">
              <w:rPr>
                <w:sz w:val="22"/>
                <w:szCs w:val="22"/>
                <w:lang w:val="en-US"/>
              </w:rPr>
              <w:t>Strategic</w:t>
            </w:r>
          </w:p>
        </w:tc>
        <w:tc>
          <w:tcPr>
            <w:tcW w:w="165" w:type="pct"/>
            <w:tcBorders>
              <w:top w:val="nil"/>
              <w:left w:val="nil"/>
              <w:bottom w:val="single" w:sz="4" w:space="0" w:color="auto"/>
              <w:right w:val="single" w:sz="4" w:space="0" w:color="auto"/>
            </w:tcBorders>
            <w:shd w:val="clear" w:color="000000" w:fill="C5D9F1"/>
            <w:noWrap/>
            <w:textDirection w:val="tbRl"/>
            <w:vAlign w:val="center"/>
            <w:hideMark/>
          </w:tcPr>
          <w:p w:rsidR="00660414" w:rsidRPr="000A76BD" w:rsidRDefault="00660414" w:rsidP="007613DE">
            <w:pPr>
              <w:jc w:val="center"/>
              <w:rPr>
                <w:sz w:val="22"/>
                <w:szCs w:val="22"/>
                <w:lang w:val="en-US"/>
              </w:rPr>
            </w:pPr>
            <w:r w:rsidRPr="002E1E5F">
              <w:rPr>
                <w:sz w:val="22"/>
                <w:szCs w:val="22"/>
                <w:lang w:val="en-US"/>
              </w:rPr>
              <w:t>Small</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Bucharest</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Arad /Timisoara/Seminic</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Ploiesti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Brasov;</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Sibiu;</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Iasi;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Cluj;</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Vidin</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Constanta;</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Galati;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Giurgiu</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Oradea Est</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Zalau</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Baia Mare</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Turda</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Medias</w:t>
            </w:r>
          </w:p>
        </w:tc>
        <w:tc>
          <w:tcPr>
            <w:tcW w:w="329"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Craiova</w:t>
            </w:r>
          </w:p>
        </w:tc>
        <w:tc>
          <w:tcPr>
            <w:tcW w:w="329"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Buzau</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Suceava</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Botasani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Bacau</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Bujoreni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Bradu de sus</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Ciumesti</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Vinto de Jos</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Slatina</w:t>
            </w:r>
          </w:p>
        </w:tc>
        <w:tc>
          <w:tcPr>
            <w:tcW w:w="135" w:type="pct"/>
            <w:tcBorders>
              <w:top w:val="nil"/>
              <w:left w:val="nil"/>
              <w:bottom w:val="single" w:sz="4" w:space="0" w:color="auto"/>
              <w:right w:val="single" w:sz="4" w:space="0" w:color="auto"/>
            </w:tcBorders>
            <w:shd w:val="clear" w:color="000000" w:fill="C5D9F1"/>
            <w:textDirection w:val="tbRl"/>
            <w:vAlign w:val="center"/>
            <w:hideMark/>
          </w:tcPr>
          <w:p w:rsidR="00660414" w:rsidRPr="000A76BD" w:rsidRDefault="00660414" w:rsidP="007613DE">
            <w:pPr>
              <w:jc w:val="center"/>
              <w:rPr>
                <w:sz w:val="22"/>
                <w:szCs w:val="22"/>
                <w:lang w:val="en-US"/>
              </w:rPr>
            </w:pPr>
            <w:r w:rsidRPr="002E1E5F">
              <w:rPr>
                <w:sz w:val="22"/>
                <w:szCs w:val="22"/>
                <w:lang w:val="en-US"/>
              </w:rPr>
              <w:t>Pitesti</w:t>
            </w: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Syancu</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2004</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7</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Halcrow</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2006</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4</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6</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Diomis</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2010</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4</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Kombi</w:t>
            </w:r>
          </w:p>
          <w:p w:rsidR="00660414" w:rsidRPr="000A76BD" w:rsidRDefault="00660414" w:rsidP="007613DE">
            <w:pPr>
              <w:jc w:val="center"/>
              <w:rPr>
                <w:sz w:val="22"/>
                <w:szCs w:val="22"/>
                <w:lang w:val="en-US"/>
              </w:rPr>
            </w:pPr>
            <w:r w:rsidRPr="002E1E5F">
              <w:rPr>
                <w:sz w:val="22"/>
                <w:szCs w:val="22"/>
                <w:lang w:val="en-US"/>
              </w:rPr>
              <w:t>Consult</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7</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IM Strategy – Romania</w:t>
            </w:r>
          </w:p>
          <w:p w:rsidR="00660414" w:rsidRPr="000A76BD" w:rsidRDefault="00660414" w:rsidP="007613DE">
            <w:pPr>
              <w:jc w:val="center"/>
              <w:rPr>
                <w:sz w:val="22"/>
                <w:szCs w:val="22"/>
                <w:lang w:val="en-US"/>
              </w:rPr>
            </w:pPr>
            <w:r w:rsidRPr="002E1E5F">
              <w:rPr>
                <w:sz w:val="22"/>
                <w:szCs w:val="22"/>
                <w:lang w:val="en-US"/>
              </w:rPr>
              <w:t>2020</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2010</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8</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tabs>
                <w:tab w:val="left" w:pos="680"/>
                <w:tab w:val="right" w:leader="dot" w:pos="10291"/>
              </w:tabs>
              <w:ind w:left="1360" w:right="170" w:hanging="680"/>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tabs>
                <w:tab w:val="left" w:pos="680"/>
                <w:tab w:val="right" w:leader="dot" w:pos="10291"/>
              </w:tabs>
              <w:ind w:left="1360" w:right="170" w:hanging="680"/>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Train</w:t>
            </w:r>
          </w:p>
          <w:p w:rsidR="00660414" w:rsidRPr="000A76BD" w:rsidRDefault="00660414" w:rsidP="007613DE">
            <w:pPr>
              <w:jc w:val="center"/>
              <w:rPr>
                <w:sz w:val="22"/>
                <w:szCs w:val="22"/>
                <w:lang w:val="en-US"/>
              </w:rPr>
            </w:pPr>
            <w:r w:rsidRPr="002E1E5F">
              <w:rPr>
                <w:sz w:val="22"/>
                <w:szCs w:val="22"/>
                <w:lang w:val="en-US"/>
              </w:rPr>
              <w:t>Operator 1</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4</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17</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Train</w:t>
            </w:r>
          </w:p>
          <w:p w:rsidR="00660414" w:rsidRPr="000A76BD" w:rsidRDefault="00660414" w:rsidP="007613DE">
            <w:pPr>
              <w:jc w:val="center"/>
              <w:rPr>
                <w:sz w:val="22"/>
                <w:szCs w:val="22"/>
                <w:lang w:val="en-US"/>
              </w:rPr>
            </w:pPr>
            <w:r w:rsidRPr="002E1E5F">
              <w:rPr>
                <w:sz w:val="22"/>
                <w:szCs w:val="22"/>
                <w:lang w:val="en-US"/>
              </w:rPr>
              <w:t>Operator 2</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5</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Train</w:t>
            </w:r>
          </w:p>
          <w:p w:rsidR="00660414" w:rsidRPr="000A76BD" w:rsidRDefault="00660414" w:rsidP="007613DE">
            <w:pPr>
              <w:jc w:val="center"/>
              <w:rPr>
                <w:sz w:val="22"/>
                <w:szCs w:val="22"/>
                <w:lang w:val="en-US"/>
              </w:rPr>
            </w:pPr>
            <w:r w:rsidRPr="002E1E5F">
              <w:rPr>
                <w:sz w:val="22"/>
                <w:szCs w:val="22"/>
                <w:lang w:val="en-US"/>
              </w:rPr>
              <w:t>Operator 3</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w:t>
            </w:r>
          </w:p>
        </w:tc>
        <w:tc>
          <w:tcPr>
            <w:tcW w:w="4027" w:type="pct"/>
            <w:gridSpan w:val="27"/>
            <w:tcBorders>
              <w:top w:val="single" w:sz="4" w:space="0" w:color="auto"/>
              <w:left w:val="nil"/>
              <w:bottom w:val="single" w:sz="4" w:space="0" w:color="auto"/>
              <w:right w:val="single" w:sz="4" w:space="0" w:color="000000"/>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Not Specified</w:t>
            </w: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Train</w:t>
            </w:r>
          </w:p>
          <w:p w:rsidR="00660414" w:rsidRPr="000A76BD" w:rsidRDefault="00660414" w:rsidP="007613DE">
            <w:pPr>
              <w:jc w:val="center"/>
              <w:rPr>
                <w:sz w:val="22"/>
                <w:szCs w:val="22"/>
                <w:lang w:val="en-US"/>
              </w:rPr>
            </w:pPr>
            <w:r w:rsidRPr="002E1E5F">
              <w:rPr>
                <w:sz w:val="22"/>
                <w:szCs w:val="22"/>
                <w:lang w:val="en-US"/>
              </w:rPr>
              <w:t>Operator 4</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2013</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5</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33"/>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Train</w:t>
            </w:r>
          </w:p>
          <w:p w:rsidR="00660414" w:rsidRPr="000A76BD" w:rsidRDefault="00660414" w:rsidP="007613DE">
            <w:pPr>
              <w:jc w:val="center"/>
              <w:rPr>
                <w:sz w:val="22"/>
                <w:szCs w:val="22"/>
                <w:lang w:val="en-US"/>
              </w:rPr>
            </w:pPr>
            <w:r w:rsidRPr="002E1E5F">
              <w:rPr>
                <w:sz w:val="22"/>
                <w:szCs w:val="22"/>
                <w:lang w:val="en-US"/>
              </w:rPr>
              <w:t>Operator 5</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2014</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9</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r w:rsidR="00660414" w:rsidRPr="000A76BD" w:rsidTr="00F17B06">
        <w:trPr>
          <w:trHeight w:val="274"/>
          <w:jc w:val="center"/>
        </w:trPr>
        <w:tc>
          <w:tcPr>
            <w:tcW w:w="419" w:type="pct"/>
            <w:tcBorders>
              <w:top w:val="nil"/>
              <w:left w:val="single" w:sz="4" w:space="0" w:color="auto"/>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Private</w:t>
            </w:r>
          </w:p>
          <w:p w:rsidR="00660414" w:rsidRPr="000A76BD" w:rsidRDefault="00660414" w:rsidP="007613DE">
            <w:pPr>
              <w:jc w:val="center"/>
              <w:rPr>
                <w:sz w:val="22"/>
                <w:szCs w:val="22"/>
                <w:lang w:val="en-US"/>
              </w:rPr>
            </w:pPr>
            <w:r w:rsidRPr="002E1E5F">
              <w:rPr>
                <w:sz w:val="22"/>
                <w:szCs w:val="22"/>
                <w:lang w:val="en-US"/>
              </w:rPr>
              <w:t>Company</w:t>
            </w:r>
          </w:p>
        </w:tc>
        <w:tc>
          <w:tcPr>
            <w:tcW w:w="223"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2012</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12</w:t>
            </w:r>
          </w:p>
        </w:tc>
        <w:tc>
          <w:tcPr>
            <w:tcW w:w="16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r w:rsidRPr="002E1E5F">
              <w:rPr>
                <w:sz w:val="22"/>
                <w:szCs w:val="22"/>
                <w:lang w:val="en-US"/>
              </w:rPr>
              <w:t>x</w:t>
            </w: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329"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c>
          <w:tcPr>
            <w:tcW w:w="135" w:type="pct"/>
            <w:tcBorders>
              <w:top w:val="nil"/>
              <w:left w:val="nil"/>
              <w:bottom w:val="single" w:sz="4" w:space="0" w:color="auto"/>
              <w:right w:val="single" w:sz="4" w:space="0" w:color="auto"/>
            </w:tcBorders>
            <w:shd w:val="clear" w:color="auto" w:fill="auto"/>
            <w:noWrap/>
            <w:vAlign w:val="center"/>
            <w:hideMark/>
          </w:tcPr>
          <w:p w:rsidR="00660414" w:rsidRPr="000A76BD" w:rsidRDefault="00660414" w:rsidP="007613DE">
            <w:pPr>
              <w:jc w:val="center"/>
              <w:rPr>
                <w:sz w:val="22"/>
                <w:szCs w:val="22"/>
                <w:lang w:val="en-US"/>
              </w:rPr>
            </w:pPr>
          </w:p>
        </w:tc>
      </w:tr>
    </w:tbl>
    <w:p w:rsidR="00660414" w:rsidRDefault="00660414" w:rsidP="00660414">
      <w:pPr>
        <w:pStyle w:val="Frspaiere1"/>
      </w:pPr>
    </w:p>
    <w:p w:rsidR="00660414" w:rsidRPr="000A76BD" w:rsidRDefault="00660414" w:rsidP="00660414">
      <w:pPr>
        <w:pStyle w:val="Frspaiere1"/>
        <w:rPr>
          <w:lang w:val="ro-RO"/>
        </w:rPr>
      </w:pPr>
      <w:r w:rsidRPr="002E1E5F">
        <w:t>* This train operator felt that whilst there should be additional, smaller terminals for domestic traffic spread throughout the country, the specific locations were not necessarily pre-determined but should be demand-led.</w:t>
      </w:r>
    </w:p>
    <w:p w:rsidR="00660414" w:rsidRPr="000A76BD" w:rsidRDefault="00660414" w:rsidP="00660414">
      <w:pPr>
        <w:pStyle w:val="Body"/>
        <w:rPr>
          <w:lang w:val="ro-RO"/>
        </w:rPr>
        <w:sectPr w:rsidR="00660414" w:rsidRPr="000A76BD" w:rsidSect="00F17B06">
          <w:pgSz w:w="23814" w:h="16840" w:orient="landscape" w:code="8"/>
          <w:pgMar w:top="709" w:right="1418" w:bottom="284" w:left="1418" w:header="357" w:footer="567" w:gutter="0"/>
          <w:cols w:space="187"/>
          <w:docGrid w:linePitch="360"/>
        </w:sectPr>
      </w:pPr>
    </w:p>
    <w:p w:rsidR="00660414" w:rsidRPr="000A76BD" w:rsidRDefault="00660414" w:rsidP="00A4081F">
      <w:pPr>
        <w:pStyle w:val="NumberedParas"/>
        <w:rPr>
          <w:lang w:val="ro-RO"/>
        </w:rPr>
      </w:pPr>
      <w:r>
        <w:t>T</w:t>
      </w:r>
      <w:r w:rsidRPr="002E1E5F">
        <w:t xml:space="preserve">he resultant proposed network of new and rehabilitated terminals provides both strategic, international terminals and smaller domestic terminals where potential and expected demand supports development. Additionally, the set of terminals proposed will enable direct transshipment from Russian to European gauge at </w:t>
      </w:r>
      <w:r>
        <w:t>Iasi</w:t>
      </w:r>
      <w:r w:rsidRPr="002E1E5F">
        <w:t>. This will result in a more sustainable and cost-efficient distribution network for the country as a whole</w:t>
      </w:r>
    </w:p>
    <w:p w:rsidR="00660414" w:rsidRPr="000A76BD" w:rsidRDefault="00660414" w:rsidP="00660414">
      <w:pPr>
        <w:rPr>
          <w:sz w:val="22"/>
          <w:szCs w:val="22"/>
        </w:rPr>
      </w:pPr>
    </w:p>
    <w:p w:rsidR="00660414" w:rsidRPr="000A76BD" w:rsidRDefault="00660414" w:rsidP="00045287">
      <w:pPr>
        <w:pStyle w:val="Hdg2"/>
      </w:pPr>
      <w:bookmarkStart w:id="8153" w:name="_Toc408990982"/>
      <w:bookmarkStart w:id="8154" w:name="_Toc413056076"/>
      <w:r w:rsidRPr="002E1E5F">
        <w:t>Testing interventions</w:t>
      </w:r>
      <w:bookmarkEnd w:id="8153"/>
      <w:bookmarkEnd w:id="8154"/>
    </w:p>
    <w:p w:rsidR="00660414" w:rsidRPr="000A76BD" w:rsidRDefault="00660414" w:rsidP="00A4081F">
      <w:pPr>
        <w:pStyle w:val="NumberedParas"/>
      </w:pPr>
      <w:r w:rsidRPr="002E1E5F">
        <w:t>For ease of understanding, this section is split into two sections. The first section will assess the new and refurbished Intermodal Terminals, whilst the second section will include other interventions.</w:t>
      </w:r>
    </w:p>
    <w:p w:rsidR="00660414" w:rsidRPr="000A76BD" w:rsidRDefault="00660414" w:rsidP="00660414">
      <w:pPr>
        <w:pStyle w:val="Hdg3"/>
      </w:pPr>
      <w:r w:rsidRPr="002E1E5F">
        <w:t>New and Refurbished Intermodal Terminals</w:t>
      </w:r>
    </w:p>
    <w:p w:rsidR="00660414" w:rsidRDefault="00660414" w:rsidP="00A4081F">
      <w:pPr>
        <w:pStyle w:val="NumberedParas"/>
      </w:pPr>
      <w:r w:rsidRPr="002E1E5F">
        <w:t>These proposals fall under the High-Level Objective of Improving Economic Efficiency. First the new terminals are considered followed by the refurbished existing terminals.</w:t>
      </w:r>
    </w:p>
    <w:p w:rsidR="00660414" w:rsidRDefault="00660414" w:rsidP="00A4081F">
      <w:pPr>
        <w:pStyle w:val="NumberedParas"/>
      </w:pPr>
      <w:r>
        <w:t>New terminals are those terminals which do not currently exist</w:t>
      </w:r>
    </w:p>
    <w:p w:rsidR="00660414" w:rsidRDefault="00660414" w:rsidP="00A4081F">
      <w:pPr>
        <w:pStyle w:val="NumberedParas"/>
      </w:pPr>
      <w:r>
        <w:t>Refurbished terminals are those terminals that currently exist and have undergone refurbishment which brings them into line with modern logistics practices, in particular with regard to handling containers.</w:t>
      </w:r>
    </w:p>
    <w:p w:rsidR="00660414" w:rsidRPr="008C5B1B" w:rsidRDefault="00660414" w:rsidP="00A4081F">
      <w:pPr>
        <w:pStyle w:val="NumberedParas"/>
        <w:rPr>
          <w:b/>
        </w:rPr>
      </w:pPr>
      <w:r>
        <w:t>AECOM has also considered the outcome of undertaking a new build at selected existing intermodal terminals. A comparison of model outputs is made between the option of refurbishment or a new build.</w:t>
      </w:r>
    </w:p>
    <w:p w:rsidR="00660414" w:rsidRPr="008C5B1B" w:rsidRDefault="00660414" w:rsidP="00A4081F">
      <w:pPr>
        <w:pStyle w:val="NumberedParas"/>
        <w:rPr>
          <w:b/>
        </w:rPr>
      </w:pPr>
      <w:r>
        <w:t xml:space="preserve">In all cases, it is envisaged that local Highway Authorities will ensure road access and building permits are available to private operators who wish to operate the given terminal. CFR SA will be responsible for ensuring the terminal’s connection to the main rail network and the private sector will design, build and operate the terminals (see below). </w:t>
      </w:r>
    </w:p>
    <w:p w:rsidR="00660414" w:rsidRPr="008C5B1B" w:rsidRDefault="00660414" w:rsidP="00A4081F">
      <w:pPr>
        <w:pStyle w:val="NumberedParas"/>
        <w:numPr>
          <w:ilvl w:val="0"/>
          <w:numId w:val="0"/>
        </w:numPr>
        <w:ind w:left="1673"/>
      </w:pPr>
    </w:p>
    <w:p w:rsidR="00660414" w:rsidRPr="000A76BD" w:rsidRDefault="00660414" w:rsidP="00660414">
      <w:pPr>
        <w:pStyle w:val="Hdg3"/>
      </w:pPr>
      <w:r w:rsidRPr="002E1E5F">
        <w:t>Institutional Issues – Operation of Intermodal Terminals</w:t>
      </w:r>
    </w:p>
    <w:p w:rsidR="00660414" w:rsidRDefault="00660414" w:rsidP="00A4081F">
      <w:pPr>
        <w:pStyle w:val="NumberedParas"/>
      </w:pPr>
      <w:r w:rsidRPr="002E1E5F">
        <w:t>Intermodal terminals generally work more efficiently when operated by the private sector as they are able to be entrepreneurial in operations, staffing, costing and investing in modern technology and handling equipment. Some terminals offer added value services such as stuffing and destuffing containers, box repairs and local deliveries as ways of maximising revenue. It is recommended that Romanian terminals are operated on a commercial basis that gives operators and customers the flexibility they need to be successful.</w:t>
      </w:r>
      <w:r>
        <w:t xml:space="preserve"> The use of private operators needn’t preclude the use of EU funding to provide some investment towards the terminals, provided that it is utilised only as a bridge to cross the funding gap and ensure that construction of the terminals is undertaken and not as an ongoing subsidy of any kind. </w:t>
      </w:r>
    </w:p>
    <w:p w:rsidR="00660414" w:rsidRDefault="00660414" w:rsidP="00A4081F">
      <w:pPr>
        <w:pStyle w:val="NumberedParas"/>
      </w:pPr>
      <w:r>
        <w:t>With regard to the recommendations that are therefore made later in this chapter, it is important therefore to clarify that it has been assumed that there will not be any legal barriers to the creation of these privately operated public terminals. However, it is noted that, especially where the rehabilitation or re-opening of an existing terminal is suggested, there may be legal constraints to the handover of property from CFR Marfa or local authorities to the private sector. As these conditions vary from terminal to terminal, the development of any individual one must take this potential cause of delay into account. In extreme circumstances, there may be a need to develop a new terminal location rather than re-develop an existing terminal.</w:t>
      </w:r>
    </w:p>
    <w:p w:rsidR="00660414" w:rsidRDefault="00660414" w:rsidP="00A4081F">
      <w:pPr>
        <w:pStyle w:val="NumberedParas"/>
      </w:pPr>
      <w:r w:rsidRPr="002E1E5F">
        <w:t>An increasingly common approach to the construction of these intermodal terminals is for the government to provide the land and drive for the terminal’s construction, with construction and operation often being tendered to the private sector in order to minimise risks for the government and maximise innovation and value for money through private sector expertise. This model should also encourage low costs for handling containers, which will help rail freight to compete with road transport.</w:t>
      </w:r>
    </w:p>
    <w:p w:rsidR="00660414" w:rsidRDefault="00660414" w:rsidP="00A4081F">
      <w:pPr>
        <w:pStyle w:val="NumberedParas"/>
        <w:numPr>
          <w:ilvl w:val="0"/>
          <w:numId w:val="0"/>
        </w:numPr>
        <w:ind w:left="993"/>
      </w:pPr>
    </w:p>
    <w:p w:rsidR="00660414" w:rsidRDefault="00660414" w:rsidP="00660414">
      <w:pPr>
        <w:rPr>
          <w:b/>
          <w:sz w:val="22"/>
          <w:szCs w:val="22"/>
        </w:rPr>
      </w:pPr>
      <w:r>
        <w:rPr>
          <w:b/>
          <w:sz w:val="22"/>
          <w:szCs w:val="22"/>
        </w:rPr>
        <w:br w:type="page"/>
      </w: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Bucharest (New Terminal)</w:t>
      </w:r>
    </w:p>
    <w:p w:rsidR="00660414" w:rsidRDefault="00660414" w:rsidP="00A4081F">
      <w:pPr>
        <w:pStyle w:val="NumberedParas"/>
      </w:pPr>
      <w:r w:rsidRPr="002E1E5F">
        <w:t>AECOM recommend the closure of the existing Bucarestii Noi facility and the establishment of a new, larger, high-capacity terminal located near the ring road and motorway network</w:t>
      </w:r>
      <w:r>
        <w:t xml:space="preserve">. Ideally this should </w:t>
      </w:r>
      <w:r w:rsidRPr="002E1E5F">
        <w:t>ha</w:t>
      </w:r>
      <w:r>
        <w:t>ve the</w:t>
      </w:r>
      <w:r w:rsidRPr="002E1E5F">
        <w:t xml:space="preserve"> potential for conversion to a tri-modal terminal </w:t>
      </w:r>
      <w:r>
        <w:t xml:space="preserve">if built </w:t>
      </w:r>
      <w:r w:rsidRPr="002E1E5F">
        <w:t xml:space="preserve">alongside the </w:t>
      </w:r>
      <w:r>
        <w:t xml:space="preserve">proposed route of the </w:t>
      </w:r>
      <w:r w:rsidRPr="002E1E5F">
        <w:t>Danube-Bucharest Canal, should this be built at a future date.</w:t>
      </w:r>
    </w:p>
    <w:p w:rsidR="00660414" w:rsidRPr="004A007D"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rPr>
          <w:b/>
        </w:rPr>
        <w:t>OR16,</w:t>
      </w:r>
      <w:r w:rsidRPr="002E1E5F">
        <w:t xml:space="preserve"> Develop a network of “open user” freight terminals to serve Romania’s highest demand potential regions, cities and major EU markets in Bulgaria and Hungary. </w:t>
      </w:r>
    </w:p>
    <w:p w:rsidR="00660414" w:rsidRPr="004A007D"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Problem Addressed</w:t>
      </w:r>
    </w:p>
    <w:p w:rsidR="00660414" w:rsidRDefault="00660414" w:rsidP="00A4081F">
      <w:pPr>
        <w:pStyle w:val="NumberedParas"/>
      </w:pPr>
      <w:r w:rsidRPr="002E1E5F">
        <w:t xml:space="preserve">Current intermodal freight volumes in Romania are low, and this is partly due to the poor state of the facilities designed to receive them. When combined with expected growth in the intermodal sector, the current facilities at Bucharest are too small for anticipated demand with capacity rapidly being outstripped by supply (see table below under Outcomes) and so a new terminal is recommended. </w:t>
      </w:r>
    </w:p>
    <w:p w:rsidR="00660414" w:rsidRPr="004A007D"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660414">
      <w:pPr>
        <w:ind w:left="851"/>
        <w:rPr>
          <w:b/>
          <w:sz w:val="22"/>
          <w:szCs w:val="22"/>
        </w:rPr>
      </w:pPr>
      <w:r>
        <w:rPr>
          <w:b/>
          <w:sz w:val="22"/>
          <w:szCs w:val="22"/>
        </w:rPr>
        <w:t>Table 8.14 Current and Potential Demand (TEU) at Selected Milestone Dates</w:t>
      </w:r>
    </w:p>
    <w:tbl>
      <w:tblPr>
        <w:tblW w:w="9639" w:type="dxa"/>
        <w:tblInd w:w="851" w:type="dxa"/>
        <w:shd w:val="clear" w:color="auto" w:fill="FFFFFF"/>
        <w:tblCellMar>
          <w:left w:w="0" w:type="dxa"/>
          <w:right w:w="0" w:type="dxa"/>
        </w:tblCellMar>
        <w:tblLook w:val="0600" w:firstRow="0" w:lastRow="0" w:firstColumn="0" w:lastColumn="0" w:noHBand="1" w:noVBand="1"/>
      </w:tblPr>
      <w:tblGrid>
        <w:gridCol w:w="2029"/>
        <w:gridCol w:w="2302"/>
        <w:gridCol w:w="1382"/>
        <w:gridCol w:w="1284"/>
        <w:gridCol w:w="1284"/>
        <w:gridCol w:w="1358"/>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35</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131</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196</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34%</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128%</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192%</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35</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179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270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380</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34%</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175%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265%</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373%</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8%</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39%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59%</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83%</w:t>
            </w:r>
          </w:p>
        </w:tc>
      </w:tr>
    </w:tbl>
    <w:p w:rsidR="00660414" w:rsidRPr="000A76BD" w:rsidRDefault="00660414" w:rsidP="00660414">
      <w:pPr>
        <w:pStyle w:val="ListParagraph"/>
        <w:spacing w:before="120" w:after="120" w:line="276" w:lineRule="auto"/>
        <w:ind w:left="680"/>
        <w:rPr>
          <w:sz w:val="22"/>
          <w:szCs w:val="22"/>
        </w:rPr>
      </w:pPr>
    </w:p>
    <w:p w:rsidR="00660414" w:rsidRDefault="00660414" w:rsidP="00660414">
      <w:pPr>
        <w:pStyle w:val="ListParagraph"/>
        <w:spacing w:before="120" w:after="120" w:line="276" w:lineRule="auto"/>
        <w:ind w:left="0"/>
        <w:jc w:val="center"/>
        <w:rPr>
          <w:sz w:val="22"/>
          <w:szCs w:val="22"/>
        </w:rPr>
      </w:pPr>
      <w:r w:rsidRPr="008C5B1B">
        <w:rPr>
          <w:noProof/>
          <w:sz w:val="22"/>
          <w:szCs w:val="22"/>
          <w:lang w:val="ro-RO" w:eastAsia="ro-RO"/>
        </w:rPr>
        <w:drawing>
          <wp:inline distT="0" distB="0" distL="0" distR="0" wp14:anchorId="59BC2763" wp14:editId="223FDACE">
            <wp:extent cx="4610100" cy="2781300"/>
            <wp:effectExtent l="19050" t="0" r="19050" b="0"/>
            <wp:docPr id="250"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660414" w:rsidRDefault="00660414" w:rsidP="00660414">
      <w:pPr>
        <w:spacing w:before="120" w:after="120" w:line="276" w:lineRule="auto"/>
        <w:ind w:left="709"/>
        <w:rPr>
          <w:b/>
          <w:sz w:val="22"/>
          <w:szCs w:val="22"/>
        </w:rPr>
      </w:pPr>
      <w:r>
        <w:rPr>
          <w:b/>
          <w:sz w:val="22"/>
          <w:szCs w:val="22"/>
        </w:rPr>
        <w:t>Figure 8.16: Chart of Difference between All Terminals and Reference Scenarios</w:t>
      </w:r>
    </w:p>
    <w:p w:rsidR="00660414" w:rsidRDefault="00660414" w:rsidP="00660414">
      <w:pPr>
        <w:spacing w:before="120" w:after="120" w:line="276" w:lineRule="auto"/>
        <w:ind w:left="709"/>
        <w:rPr>
          <w:b/>
          <w:sz w:val="22"/>
          <w:szCs w:val="22"/>
        </w:rPr>
      </w:pPr>
    </w:p>
    <w:p w:rsidR="00660414" w:rsidRDefault="00660414" w:rsidP="00A4081F">
      <w:pPr>
        <w:pStyle w:val="NumberedParas"/>
      </w:pPr>
      <w:r w:rsidRPr="002E1E5F">
        <w:t xml:space="preserve">The new terminal has significant economic benefits: </w:t>
      </w:r>
    </w:p>
    <w:p w:rsidR="00660414" w:rsidRDefault="00660414" w:rsidP="00A4081F">
      <w:pPr>
        <w:pStyle w:val="NumberedParas"/>
        <w:numPr>
          <w:ilvl w:val="0"/>
          <w:numId w:val="0"/>
        </w:numPr>
        <w:ind w:left="993"/>
      </w:pPr>
    </w:p>
    <w:p w:rsidR="00660414" w:rsidRDefault="00660414" w:rsidP="00A4081F">
      <w:pPr>
        <w:pStyle w:val="NumberedParas"/>
        <w:numPr>
          <w:ilvl w:val="0"/>
          <w:numId w:val="0"/>
        </w:numPr>
        <w:ind w:left="993"/>
      </w:pPr>
      <w:r w:rsidRPr="002E1E5F">
        <w:t>Table 8.15: Economic Impact of Terminal Construction</w:t>
      </w:r>
    </w:p>
    <w:tbl>
      <w:tblPr>
        <w:tblW w:w="3278" w:type="pct"/>
        <w:jc w:val="center"/>
        <w:tblCellMar>
          <w:left w:w="0" w:type="dxa"/>
          <w:right w:w="0" w:type="dxa"/>
        </w:tblCellMar>
        <w:tblLook w:val="04A0" w:firstRow="1" w:lastRow="0" w:firstColumn="1" w:lastColumn="0" w:noHBand="0" w:noVBand="1"/>
      </w:tblPr>
      <w:tblGrid>
        <w:gridCol w:w="4991"/>
        <w:gridCol w:w="1897"/>
      </w:tblGrid>
      <w:tr w:rsidR="00660414" w:rsidRPr="000A76BD" w:rsidTr="007613DE">
        <w:trPr>
          <w:trHeight w:val="250"/>
          <w:jc w:val="center"/>
        </w:trPr>
        <w:tc>
          <w:tcPr>
            <w:tcW w:w="3623"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Present Value of Costs</w:t>
            </w:r>
          </w:p>
        </w:tc>
        <w:tc>
          <w:tcPr>
            <w:tcW w:w="1377"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Pr>
                <w:sz w:val="22"/>
                <w:szCs w:val="22"/>
              </w:rPr>
              <w:t>18.0</w:t>
            </w:r>
          </w:p>
        </w:tc>
      </w:tr>
      <w:tr w:rsidR="00660414" w:rsidRPr="000A76BD" w:rsidTr="007613DE">
        <w:trPr>
          <w:trHeight w:val="250"/>
          <w:jc w:val="center"/>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EIRR</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13.8%</w:t>
            </w:r>
          </w:p>
        </w:tc>
      </w:tr>
      <w:tr w:rsidR="00660414" w:rsidRPr="000A76BD" w:rsidTr="007613DE">
        <w:trPr>
          <w:trHeight w:val="265"/>
          <w:jc w:val="center"/>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3.91</w:t>
            </w:r>
          </w:p>
        </w:tc>
      </w:tr>
    </w:tbl>
    <w:p w:rsidR="00660414" w:rsidRDefault="00660414" w:rsidP="00660414">
      <w:pPr>
        <w:pStyle w:val="ListParagraph"/>
        <w:spacing w:before="120" w:after="120" w:line="276" w:lineRule="auto"/>
        <w:ind w:left="851"/>
        <w:rPr>
          <w:b/>
          <w:i/>
          <w:sz w:val="22"/>
          <w:szCs w:val="22"/>
        </w:rPr>
      </w:pPr>
    </w:p>
    <w:p w:rsidR="00660414"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The development of the intermodal terminals is viewed as being very important for the development of rail freight in Romania as they are integral to allowing rail to compete in a modern and growing sector. The terminal at Bucharest is scheduled for implementation in the period 2015 – 2020.</w:t>
      </w:r>
    </w:p>
    <w:p w:rsidR="00660414" w:rsidRPr="000A76BD" w:rsidRDefault="00660414" w:rsidP="00660414">
      <w:pPr>
        <w:rPr>
          <w:b/>
          <w:sz w:val="22"/>
          <w:szCs w:val="22"/>
        </w:rPr>
      </w:pPr>
      <w:r w:rsidRPr="002E1E5F">
        <w:rPr>
          <w:b/>
          <w:sz w:val="22"/>
          <w:szCs w:val="22"/>
        </w:rPr>
        <w:br w:type="page"/>
      </w:r>
    </w:p>
    <w:p w:rsidR="00660414" w:rsidRPr="000A76BD" w:rsidRDefault="00660414" w:rsidP="00660414">
      <w:pPr>
        <w:spacing w:before="120" w:after="120" w:line="276" w:lineRule="auto"/>
        <w:rPr>
          <w:b/>
          <w:sz w:val="22"/>
          <w:szCs w:val="22"/>
        </w:rPr>
      </w:pP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Craiova (New Terminal)</w:t>
      </w:r>
    </w:p>
    <w:p w:rsidR="00660414" w:rsidRDefault="00660414" w:rsidP="00A4081F">
      <w:pPr>
        <w:pStyle w:val="NumberedParas"/>
      </w:pPr>
      <w:r w:rsidRPr="002E1E5F">
        <w:t>AECOM recommend the disposal of the existing, mothballed terminal at Craiova and instead the creation of a new terminal with better links to the road network in order to cater for expected growth in the intermodal sector.</w:t>
      </w:r>
    </w:p>
    <w:p w:rsidR="00660414"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rPr>
          <w:b/>
        </w:rPr>
        <w:t>OR16</w:t>
      </w:r>
      <w:r w:rsidRPr="002E1E5F">
        <w:t xml:space="preserve">, Develop a network of “open user” freight terminals to serve Romania’s highest demand potential regions, cities and major EU markets in Bulgaria and Hungary. </w:t>
      </w:r>
    </w:p>
    <w:p w:rsidR="00660414"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When combined with expected growth in the intermodal sector and the industrial composition of the area around Craiova, there is potential for demand to outstrip capacity at the existing, dilapidated location.</w:t>
      </w:r>
      <w:r>
        <w:t xml:space="preserve"> The terminal could help serve the local automotive cluster as well as consumer demand from the sixth largest city in the country. Craiova also is well positioned on the TEN-T corridor from Hungary to Bulgaria and will benefit when this route is rehabilitated.</w:t>
      </w:r>
    </w:p>
    <w:p w:rsidR="00660414"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A4081F">
      <w:pPr>
        <w:pStyle w:val="NumberedParas"/>
        <w:numPr>
          <w:ilvl w:val="0"/>
          <w:numId w:val="0"/>
        </w:numPr>
        <w:ind w:left="1673"/>
      </w:pPr>
    </w:p>
    <w:p w:rsidR="00660414" w:rsidRDefault="00660414" w:rsidP="00660414">
      <w:pPr>
        <w:pStyle w:val="ListParagraph"/>
        <w:ind w:left="680"/>
        <w:rPr>
          <w:b/>
        </w:rPr>
      </w:pPr>
      <w:r w:rsidRPr="00DC15D5">
        <w:rPr>
          <w:b/>
          <w:sz w:val="22"/>
          <w:szCs w:val="22"/>
        </w:rPr>
        <w:t>Table</w:t>
      </w:r>
      <w:r>
        <w:rPr>
          <w:b/>
          <w:sz w:val="22"/>
          <w:szCs w:val="22"/>
        </w:rPr>
        <w:t xml:space="preserve"> 8.17</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32"/>
        <w:gridCol w:w="2306"/>
        <w:gridCol w:w="1385"/>
        <w:gridCol w:w="1272"/>
        <w:gridCol w:w="1271"/>
        <w:gridCol w:w="1345"/>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41</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60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83</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59%</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81%</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13%</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18%</w:t>
            </w:r>
          </w:p>
        </w:tc>
      </w:tr>
    </w:tbl>
    <w:p w:rsidR="00660414" w:rsidRDefault="00660414" w:rsidP="00660414">
      <w:pPr>
        <w:spacing w:before="120" w:after="120" w:line="276" w:lineRule="auto"/>
        <w:jc w:val="center"/>
        <w:rPr>
          <w:sz w:val="22"/>
          <w:szCs w:val="22"/>
        </w:rPr>
      </w:pPr>
    </w:p>
    <w:p w:rsidR="00660414" w:rsidRDefault="00660414" w:rsidP="00660414">
      <w:pPr>
        <w:rPr>
          <w:sz w:val="22"/>
          <w:szCs w:val="22"/>
        </w:rPr>
      </w:pPr>
      <w:r>
        <w:rPr>
          <w:sz w:val="22"/>
          <w:szCs w:val="22"/>
        </w:rPr>
        <w:br w:type="page"/>
      </w:r>
    </w:p>
    <w:p w:rsidR="00660414" w:rsidRPr="000A76BD"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06B9E283" wp14:editId="24336E9E">
            <wp:extent cx="4981575" cy="3086100"/>
            <wp:effectExtent l="19050" t="0" r="9525" b="0"/>
            <wp:docPr id="25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660414" w:rsidRDefault="00660414" w:rsidP="00660414">
      <w:pPr>
        <w:spacing w:before="120" w:after="120" w:line="276" w:lineRule="auto"/>
        <w:ind w:left="709"/>
        <w:rPr>
          <w:b/>
          <w:sz w:val="22"/>
          <w:szCs w:val="22"/>
        </w:rPr>
      </w:pPr>
      <w:r>
        <w:rPr>
          <w:b/>
          <w:sz w:val="22"/>
          <w:szCs w:val="22"/>
        </w:rPr>
        <w:t>Figure 8.19: Chart of Difference between All Terminals and Reference Scenarios</w:t>
      </w:r>
    </w:p>
    <w:p w:rsidR="00660414" w:rsidRDefault="00660414" w:rsidP="00660414">
      <w:pPr>
        <w:spacing w:before="120" w:after="120" w:line="276" w:lineRule="auto"/>
        <w:ind w:left="709"/>
        <w:rPr>
          <w:b/>
          <w:sz w:val="22"/>
          <w:szCs w:val="22"/>
        </w:rPr>
      </w:pPr>
    </w:p>
    <w:p w:rsidR="00660414" w:rsidRDefault="00660414" w:rsidP="00A4081F">
      <w:pPr>
        <w:pStyle w:val="NumberedParas"/>
      </w:pPr>
      <w:r w:rsidRPr="002E1E5F">
        <w:t xml:space="preserve">The new terminal has significant economic benefits: </w:t>
      </w:r>
    </w:p>
    <w:p w:rsidR="00660414" w:rsidRDefault="00660414" w:rsidP="00A4081F">
      <w:pPr>
        <w:pStyle w:val="NumberedParas"/>
        <w:numPr>
          <w:ilvl w:val="0"/>
          <w:numId w:val="0"/>
        </w:numPr>
        <w:ind w:left="1673"/>
      </w:pPr>
    </w:p>
    <w:p w:rsidR="00660414" w:rsidRDefault="00660414" w:rsidP="00A4081F">
      <w:pPr>
        <w:pStyle w:val="NumberedParas"/>
        <w:numPr>
          <w:ilvl w:val="0"/>
          <w:numId w:val="0"/>
        </w:numPr>
        <w:ind w:left="680"/>
      </w:pPr>
      <w:r>
        <w:t>Table 8.18</w:t>
      </w:r>
      <w:r w:rsidRPr="004A007D">
        <w:t>: Economic Impact of Terminal Construction</w:t>
      </w:r>
    </w:p>
    <w:tbl>
      <w:tblPr>
        <w:tblW w:w="3278" w:type="pct"/>
        <w:jc w:val="center"/>
        <w:tblCellMar>
          <w:left w:w="0" w:type="dxa"/>
          <w:right w:w="0" w:type="dxa"/>
        </w:tblCellMar>
        <w:tblLook w:val="04A0" w:firstRow="1" w:lastRow="0" w:firstColumn="1" w:lastColumn="0" w:noHBand="0" w:noVBand="1"/>
      </w:tblPr>
      <w:tblGrid>
        <w:gridCol w:w="4991"/>
        <w:gridCol w:w="1897"/>
      </w:tblGrid>
      <w:tr w:rsidR="00660414" w:rsidRPr="000A76BD" w:rsidTr="007613DE">
        <w:trPr>
          <w:trHeight w:val="250"/>
          <w:jc w:val="center"/>
        </w:trPr>
        <w:tc>
          <w:tcPr>
            <w:tcW w:w="3623"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Present Value of Costs</w:t>
            </w:r>
          </w:p>
        </w:tc>
        <w:tc>
          <w:tcPr>
            <w:tcW w:w="1377"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Pr>
                <w:sz w:val="22"/>
                <w:szCs w:val="22"/>
              </w:rPr>
              <w:t>18.0</w:t>
            </w:r>
          </w:p>
        </w:tc>
      </w:tr>
      <w:tr w:rsidR="00660414" w:rsidRPr="000A76BD" w:rsidTr="007613DE">
        <w:trPr>
          <w:trHeight w:val="250"/>
          <w:jc w:val="center"/>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EIRR</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sidRPr="002E1E5F">
              <w:rPr>
                <w:sz w:val="22"/>
                <w:szCs w:val="22"/>
              </w:rPr>
              <w:t>6.6%</w:t>
            </w:r>
          </w:p>
        </w:tc>
      </w:tr>
      <w:tr w:rsidR="00660414" w:rsidRPr="000A76BD" w:rsidTr="007613DE">
        <w:trPr>
          <w:trHeight w:val="265"/>
          <w:jc w:val="center"/>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Benefit/Cost Ratio</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sidRPr="002E1E5F">
              <w:rPr>
                <w:sz w:val="22"/>
                <w:szCs w:val="22"/>
              </w:rPr>
              <w:t>1.39</w:t>
            </w:r>
          </w:p>
        </w:tc>
      </w:tr>
    </w:tbl>
    <w:p w:rsidR="00660414" w:rsidRDefault="00660414" w:rsidP="00660414">
      <w:pPr>
        <w:spacing w:before="120" w:after="120" w:line="276" w:lineRule="auto"/>
        <w:ind w:left="851"/>
        <w:rPr>
          <w:b/>
          <w:i/>
          <w:color w:val="9E0880"/>
          <w:sz w:val="22"/>
          <w:szCs w:val="22"/>
          <w:lang w:val="ro-RO"/>
        </w:rPr>
      </w:pPr>
    </w:p>
    <w:p w:rsidR="00660414" w:rsidRPr="00DC15D5"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 xml:space="preserve"> The development of the intermodal terminals is viewed as being very important for the development of rail freight in Romania as they are integral to allowing rail to compete in a modern and growing sector. The terminal at Craiova is scheduled for implementation in the period 2015 – 2020</w:t>
      </w:r>
    </w:p>
    <w:p w:rsidR="00660414" w:rsidRPr="000A76BD" w:rsidRDefault="00660414" w:rsidP="00660414">
      <w:pPr>
        <w:spacing w:before="120" w:after="120" w:line="276" w:lineRule="auto"/>
        <w:ind w:left="851"/>
        <w:rPr>
          <w:sz w:val="22"/>
          <w:szCs w:val="22"/>
        </w:rPr>
      </w:pPr>
    </w:p>
    <w:p w:rsidR="00660414" w:rsidRDefault="00660414" w:rsidP="00660414">
      <w:pPr>
        <w:rPr>
          <w:b/>
          <w:sz w:val="22"/>
          <w:szCs w:val="22"/>
          <w:u w:val="single"/>
        </w:rPr>
      </w:pPr>
      <w:r>
        <w:rPr>
          <w:b/>
          <w:sz w:val="22"/>
          <w:szCs w:val="22"/>
          <w:u w:val="single"/>
        </w:rPr>
        <w:br w:type="page"/>
      </w: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Iasi (Refurbished or New Build Terminal)</w:t>
      </w:r>
    </w:p>
    <w:p w:rsidR="00660414" w:rsidRDefault="00660414" w:rsidP="00A4081F">
      <w:pPr>
        <w:pStyle w:val="NumberedParas"/>
      </w:pPr>
      <w:r w:rsidRPr="002E1E5F">
        <w:t xml:space="preserve">AECOM propose that the Terminal is re-opened to take advantage of the potential from transhipping containers from European to Russian gauges and also the ability to handle domestic traffic. </w:t>
      </w:r>
      <w:r>
        <w:t>If reopening is not possible then AECOM proposes that a new terminal is created at Iasi.</w:t>
      </w:r>
      <w:r w:rsidRPr="002E1E5F">
        <w:t xml:space="preserve"> </w:t>
      </w:r>
    </w:p>
    <w:p w:rsidR="00660414" w:rsidRPr="00DC15D5"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rPr>
          <w:b/>
        </w:rPr>
        <w:t>OR16,</w:t>
      </w:r>
      <w:r w:rsidRPr="002E1E5F">
        <w:t xml:space="preserve"> Develop a network of “open user” freight terminals to serve Romania’s highest demand potential regions, cities and major EU markets in Bulgaria and Hungary. </w:t>
      </w:r>
    </w:p>
    <w:p w:rsidR="00660414" w:rsidRPr="00DC15D5"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When combined with expected growth in the intermodal sector and the opportunity to tranship to/from Russian gauge, there is a need for the currently closed terminal to be re</w:t>
      </w:r>
      <w:r>
        <w:t>habilitated</w:t>
      </w:r>
      <w:r w:rsidRPr="002E1E5F">
        <w:t xml:space="preserve"> and reopened. </w:t>
      </w:r>
    </w:p>
    <w:p w:rsidR="00660414" w:rsidRPr="00DC15D5"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Outcomes </w:t>
      </w:r>
    </w:p>
    <w:p w:rsidR="00660414" w:rsidRDefault="00660414" w:rsidP="00A4081F">
      <w:pPr>
        <w:pStyle w:val="NumberedParas"/>
      </w:pPr>
      <w:r w:rsidRPr="002E1E5F">
        <w:t>As demonstrated in the table and chart below, the intervention (in con</w:t>
      </w:r>
      <w:r>
        <w:t>junction</w:t>
      </w:r>
      <w:r w:rsidRPr="002E1E5F">
        <w:t xml:space="preserve"> with the other intermodal terminals) provides a significant boost to the amount of intermodal freight travelling by rail. </w:t>
      </w:r>
    </w:p>
    <w:p w:rsidR="00660414" w:rsidRDefault="00660414" w:rsidP="00A4081F">
      <w:pPr>
        <w:pStyle w:val="NumberedParas"/>
        <w:numPr>
          <w:ilvl w:val="0"/>
          <w:numId w:val="0"/>
        </w:numPr>
        <w:ind w:left="1673"/>
      </w:pPr>
    </w:p>
    <w:p w:rsidR="00660414" w:rsidRDefault="00660414" w:rsidP="00660414">
      <w:pPr>
        <w:pStyle w:val="ListParagraph"/>
        <w:ind w:left="680"/>
        <w:rPr>
          <w:b/>
        </w:rPr>
      </w:pPr>
      <w:r w:rsidRPr="00DC15D5">
        <w:rPr>
          <w:b/>
          <w:sz w:val="22"/>
          <w:szCs w:val="22"/>
        </w:rPr>
        <w:t>Table</w:t>
      </w:r>
      <w:r>
        <w:rPr>
          <w:b/>
          <w:sz w:val="22"/>
          <w:szCs w:val="22"/>
        </w:rPr>
        <w:t xml:space="preserve"> 8.19</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32"/>
        <w:gridCol w:w="2306"/>
        <w:gridCol w:w="1385"/>
        <w:gridCol w:w="1272"/>
        <w:gridCol w:w="1271"/>
        <w:gridCol w:w="1345"/>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5</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6%</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9%</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34</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47</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46%</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63%</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87%</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16%</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22%</w:t>
            </w:r>
          </w:p>
        </w:tc>
      </w:tr>
    </w:tbl>
    <w:p w:rsidR="00660414" w:rsidRDefault="00660414" w:rsidP="00660414">
      <w:pPr>
        <w:spacing w:before="120" w:after="120" w:line="276" w:lineRule="auto"/>
        <w:jc w:val="center"/>
        <w:rPr>
          <w:sz w:val="22"/>
          <w:szCs w:val="22"/>
        </w:rPr>
      </w:pPr>
    </w:p>
    <w:p w:rsidR="00660414" w:rsidRDefault="00660414" w:rsidP="00660414">
      <w:pPr>
        <w:rPr>
          <w:sz w:val="22"/>
          <w:szCs w:val="22"/>
        </w:rPr>
      </w:pPr>
      <w:r>
        <w:rPr>
          <w:sz w:val="22"/>
          <w:szCs w:val="22"/>
        </w:rPr>
        <w:br w:type="page"/>
      </w:r>
    </w:p>
    <w:p w:rsidR="00660414" w:rsidRPr="000A76BD"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6427719F" wp14:editId="583ED2E0">
            <wp:extent cx="4287600" cy="2658140"/>
            <wp:effectExtent l="19050" t="0" r="17700" b="8860"/>
            <wp:docPr id="25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660414" w:rsidRDefault="00660414" w:rsidP="00660414">
      <w:pPr>
        <w:spacing w:before="120" w:after="120" w:line="276" w:lineRule="auto"/>
        <w:ind w:left="709"/>
        <w:rPr>
          <w:b/>
          <w:sz w:val="22"/>
          <w:szCs w:val="22"/>
        </w:rPr>
      </w:pPr>
      <w:r>
        <w:rPr>
          <w:b/>
          <w:sz w:val="22"/>
          <w:szCs w:val="22"/>
        </w:rPr>
        <w:t>Figure 8.20: Chart of Difference between All Terminals and Reference Scenarios</w:t>
      </w:r>
    </w:p>
    <w:p w:rsidR="00660414" w:rsidRPr="000A76BD" w:rsidRDefault="00660414" w:rsidP="00660414">
      <w:pPr>
        <w:spacing w:before="120" w:after="120" w:line="276" w:lineRule="auto"/>
        <w:rPr>
          <w:sz w:val="22"/>
          <w:szCs w:val="22"/>
        </w:rPr>
      </w:pPr>
    </w:p>
    <w:p w:rsidR="00660414" w:rsidRDefault="00660414" w:rsidP="00A4081F">
      <w:pPr>
        <w:pStyle w:val="NumberedParas"/>
        <w:numPr>
          <w:ilvl w:val="0"/>
          <w:numId w:val="0"/>
        </w:numPr>
        <w:ind w:left="993"/>
      </w:pPr>
      <w:r w:rsidRPr="002E1E5F">
        <w:t xml:space="preserve">The new terminal has </w:t>
      </w:r>
      <w:r>
        <w:t xml:space="preserve">some </w:t>
      </w:r>
      <w:r w:rsidRPr="002E1E5F">
        <w:t>economic benefits</w:t>
      </w:r>
      <w:r>
        <w:t xml:space="preserve"> and they</w:t>
      </w:r>
      <w:r w:rsidRPr="002E1E5F">
        <w:t xml:space="preserve"> indicate that a refurbishment is the most appropriate decision for the intermodal terminal at Iasi. The BCR for a new build terminal is forecast as less than 1.</w:t>
      </w:r>
    </w:p>
    <w:p w:rsidR="00660414" w:rsidRDefault="00660414" w:rsidP="00A4081F">
      <w:pPr>
        <w:pStyle w:val="NumberedParas"/>
        <w:numPr>
          <w:ilvl w:val="0"/>
          <w:numId w:val="0"/>
        </w:numPr>
        <w:ind w:left="680"/>
      </w:pPr>
      <w:r>
        <w:t>Table 8.20</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jc w:val="cente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Pr>
                <w:rFonts w:eastAsia="Calibri"/>
                <w:sz w:val="22"/>
                <w:szCs w:val="22"/>
                <w:lang w:eastAsia="en-GB"/>
              </w:rPr>
              <w:t>4.0</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12.0%</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3.9%</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3.01</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0.81</w:t>
            </w:r>
          </w:p>
        </w:tc>
      </w:tr>
    </w:tbl>
    <w:p w:rsidR="00660414" w:rsidRDefault="00660414" w:rsidP="00660414">
      <w:pPr>
        <w:spacing w:before="120" w:after="120" w:line="276" w:lineRule="auto"/>
        <w:ind w:left="851"/>
        <w:rPr>
          <w:b/>
          <w:i/>
          <w:color w:val="9E0880"/>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 xml:space="preserve"> The development of the intermodal terminals is viewed as being very important for the development of rail freight in Romania as they are integral to allowing rail to compete in a modern and growing sector. The refurbishing </w:t>
      </w:r>
      <w:r>
        <w:t xml:space="preserve">or new build </w:t>
      </w:r>
      <w:r w:rsidRPr="002E1E5F">
        <w:t>of the terminal at Iasi is scheduled for implementation in the period 2015 – 2020</w:t>
      </w:r>
      <w:r w:rsidR="00387C25">
        <w:t>.</w:t>
      </w:r>
    </w:p>
    <w:p w:rsidR="00660414" w:rsidRPr="000A76BD" w:rsidRDefault="00660414" w:rsidP="00660414">
      <w:pPr>
        <w:rPr>
          <w:b/>
          <w:sz w:val="22"/>
          <w:szCs w:val="22"/>
        </w:rPr>
      </w:pPr>
      <w:r w:rsidRPr="002E1E5F">
        <w:rPr>
          <w:b/>
          <w:sz w:val="22"/>
          <w:szCs w:val="22"/>
        </w:rPr>
        <w:br w:type="page"/>
      </w: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Timisoara (Refurbished or New Build Terminal)</w:t>
      </w:r>
    </w:p>
    <w:p w:rsidR="00660414" w:rsidRDefault="00660414" w:rsidP="00A4081F">
      <w:pPr>
        <w:pStyle w:val="NumberedParas"/>
      </w:pPr>
      <w:r w:rsidRPr="002E1E5F">
        <w:t>AECOM propose that the</w:t>
      </w:r>
      <w:r>
        <w:t>re are two options for an intermodal</w:t>
      </w:r>
      <w:r w:rsidRPr="002E1E5F">
        <w:t xml:space="preserve"> terminal at Timisoara to provide Romania’s second city with its own intermodal facility as well as relieve pressure on private facilities at Arad </w:t>
      </w:r>
      <w:r>
        <w:t xml:space="preserve">to cope with </w:t>
      </w:r>
      <w:r w:rsidRPr="002E1E5F">
        <w:t>growth in the intermodal sector.</w:t>
      </w:r>
      <w:r>
        <w:t xml:space="preserve"> Option 1 is to consider reopening the Seminic terminal or Option 2 is to build a new terminal. The latter proposed idea to create an intermodal facility near the airport is worthy of consideration as although generally air freight and rail freight are not particularly compatible for products needing transhipment from one of these modes to another, the idea of a new business park with cargo facilities offering shippers the choice of road, rail or air freight depending on the goods is potentially an attractive one. </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rPr>
          <w:b/>
        </w:rPr>
        <w:t>OR16,</w:t>
      </w:r>
      <w:r w:rsidRPr="002E1E5F">
        <w:t xml:space="preserve"> Develop a network of “open user” freight terminals to serve Romania’s highest demand potential regions, cities and major EU markets in Bulgaria and Hungary. </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T</w:t>
      </w:r>
      <w:r>
        <w:t>his is a good</w:t>
      </w:r>
      <w:r w:rsidRPr="002E1E5F">
        <w:t xml:space="preserve"> opportunity to cater for expected growth in the intermodal sector and to expand facilities near the border in this important economic region </w:t>
      </w:r>
      <w:r>
        <w:t>in</w:t>
      </w:r>
      <w:r w:rsidRPr="002E1E5F">
        <w:t xml:space="preserve"> the </w:t>
      </w:r>
      <w:r>
        <w:t xml:space="preserve">west of the </w:t>
      </w:r>
      <w:r w:rsidRPr="002E1E5F">
        <w:t>country</w:t>
      </w:r>
      <w:r>
        <w:t>.</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A4081F">
      <w:pPr>
        <w:pStyle w:val="NumberedParas"/>
        <w:numPr>
          <w:ilvl w:val="0"/>
          <w:numId w:val="0"/>
        </w:numPr>
        <w:ind w:left="993"/>
      </w:pPr>
    </w:p>
    <w:p w:rsidR="00660414" w:rsidRDefault="00660414" w:rsidP="00660414">
      <w:pPr>
        <w:pStyle w:val="ListParagraph"/>
        <w:ind w:left="680"/>
        <w:rPr>
          <w:b/>
        </w:rPr>
      </w:pPr>
      <w:r w:rsidRPr="00DC15D5">
        <w:rPr>
          <w:b/>
          <w:sz w:val="22"/>
          <w:szCs w:val="22"/>
        </w:rPr>
        <w:t>Table</w:t>
      </w:r>
      <w:r>
        <w:rPr>
          <w:b/>
          <w:sz w:val="22"/>
          <w:szCs w:val="22"/>
        </w:rPr>
        <w:t xml:space="preserve"> 8.21</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02"/>
        <w:gridCol w:w="2296"/>
        <w:gridCol w:w="1403"/>
        <w:gridCol w:w="1276"/>
        <w:gridCol w:w="1275"/>
        <w:gridCol w:w="1359"/>
      </w:tblGrid>
      <w:tr w:rsidR="00660414" w:rsidRPr="000A76BD" w:rsidTr="007613DE">
        <w:trPr>
          <w:trHeight w:val="58"/>
        </w:trPr>
        <w:tc>
          <w:tcPr>
            <w:tcW w:w="417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58"/>
        </w:trPr>
        <w:tc>
          <w:tcPr>
            <w:tcW w:w="1943"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17</w:t>
            </w:r>
          </w:p>
        </w:tc>
      </w:tr>
      <w:tr w:rsidR="00660414" w:rsidRPr="000A76BD" w:rsidTr="007613DE">
        <w:trPr>
          <w:trHeight w:val="58"/>
        </w:trPr>
        <w:tc>
          <w:tcPr>
            <w:tcW w:w="194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5%</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10%</w:t>
            </w:r>
          </w:p>
        </w:tc>
      </w:tr>
      <w:tr w:rsidR="00660414" w:rsidRPr="000A76BD" w:rsidTr="007613DE">
        <w:trPr>
          <w:trHeight w:val="58"/>
        </w:trPr>
        <w:tc>
          <w:tcPr>
            <w:tcW w:w="1943"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2</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40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57</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84</w:t>
            </w:r>
          </w:p>
        </w:tc>
      </w:tr>
      <w:tr w:rsidR="00660414" w:rsidRPr="000A76BD" w:rsidTr="007613DE">
        <w:trPr>
          <w:trHeight w:val="58"/>
        </w:trPr>
        <w:tc>
          <w:tcPr>
            <w:tcW w:w="194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3%</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56%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79%</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117%</w:t>
            </w:r>
          </w:p>
        </w:tc>
      </w:tr>
      <w:tr w:rsidR="00660414" w:rsidRPr="000A76BD" w:rsidTr="007613DE">
        <w:trPr>
          <w:trHeight w:val="58"/>
        </w:trPr>
        <w:tc>
          <w:tcPr>
            <w:tcW w:w="194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w:t>
            </w:r>
          </w:p>
        </w:tc>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14%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20%</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29%</w:t>
            </w:r>
          </w:p>
        </w:tc>
      </w:tr>
    </w:tbl>
    <w:p w:rsidR="00660414" w:rsidRDefault="00660414" w:rsidP="00660414">
      <w:pPr>
        <w:spacing w:before="120" w:after="120" w:line="276" w:lineRule="auto"/>
        <w:jc w:val="center"/>
        <w:rPr>
          <w:sz w:val="22"/>
          <w:szCs w:val="22"/>
        </w:rPr>
      </w:pPr>
    </w:p>
    <w:p w:rsidR="00660414" w:rsidRDefault="00660414" w:rsidP="00660414">
      <w:pPr>
        <w:rPr>
          <w:sz w:val="22"/>
          <w:szCs w:val="22"/>
        </w:rPr>
      </w:pPr>
      <w:r>
        <w:rPr>
          <w:sz w:val="22"/>
          <w:szCs w:val="22"/>
        </w:rPr>
        <w:br w:type="page"/>
      </w: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7D2CCDB6" wp14:editId="3ADCC65D">
            <wp:extent cx="4286250" cy="2657475"/>
            <wp:effectExtent l="19050" t="0" r="19050" b="0"/>
            <wp:docPr id="25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00660414" w:rsidRDefault="00660414" w:rsidP="00660414">
      <w:pPr>
        <w:spacing w:before="120" w:after="120" w:line="276" w:lineRule="auto"/>
        <w:ind w:left="709"/>
        <w:rPr>
          <w:b/>
          <w:sz w:val="22"/>
          <w:szCs w:val="22"/>
        </w:rPr>
      </w:pPr>
      <w:r>
        <w:rPr>
          <w:b/>
          <w:sz w:val="22"/>
          <w:szCs w:val="22"/>
        </w:rPr>
        <w:t>Figure 8.21: Chart of Difference between All Terminals and Reference Scenarios</w:t>
      </w:r>
    </w:p>
    <w:p w:rsidR="00660414" w:rsidRDefault="00660414" w:rsidP="00660414">
      <w:pPr>
        <w:spacing w:before="120" w:after="120" w:line="276" w:lineRule="auto"/>
        <w:ind w:left="709"/>
        <w:rPr>
          <w:b/>
          <w:sz w:val="22"/>
          <w:szCs w:val="22"/>
        </w:rPr>
      </w:pPr>
    </w:p>
    <w:p w:rsidR="00660414" w:rsidRDefault="00660414" w:rsidP="00A4081F">
      <w:pPr>
        <w:pStyle w:val="NumberedParas"/>
      </w:pPr>
      <w:r w:rsidRPr="002E1E5F">
        <w:t>The new terminal has significant economic benefits</w:t>
      </w:r>
      <w:r>
        <w:t>. Whilst a new build terminal would satisfy the Master Plan criterion and regional development plans for Timisoara, the lower costs of a refurbished terminal offer a better BCR</w:t>
      </w:r>
      <w:r w:rsidRPr="002E1E5F">
        <w:t xml:space="preserve">: </w:t>
      </w:r>
      <w:r>
        <w:t>Clearly a Masterplan for the area that shows a new business park and new metro system linking to the city centre would benefit from a new intermodal freight terminal in order to help attract inward investment.</w:t>
      </w:r>
    </w:p>
    <w:p w:rsidR="00660414" w:rsidRDefault="00660414" w:rsidP="00A4081F">
      <w:pPr>
        <w:pStyle w:val="NumberedParas"/>
        <w:numPr>
          <w:ilvl w:val="0"/>
          <w:numId w:val="0"/>
        </w:numPr>
        <w:ind w:left="993"/>
      </w:pPr>
    </w:p>
    <w:p w:rsidR="00660414" w:rsidRDefault="00660414" w:rsidP="00A4081F">
      <w:pPr>
        <w:pStyle w:val="NumberedParas"/>
        <w:numPr>
          <w:ilvl w:val="0"/>
          <w:numId w:val="0"/>
        </w:numPr>
        <w:ind w:left="680"/>
      </w:pPr>
      <w:r>
        <w:t>Table 8.22</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keepNext/>
              <w:jc w:val="cente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keepNext/>
              <w:jc w:val="center"/>
              <w:rPr>
                <w:rFonts w:eastAsiaTheme="minorHAnsi"/>
                <w:sz w:val="22"/>
                <w:szCs w:val="22"/>
              </w:rPr>
            </w:pPr>
            <w:r>
              <w:rPr>
                <w:sz w:val="22"/>
                <w:szCs w:val="22"/>
              </w:rPr>
              <w:t>1.5</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keepNext/>
              <w:jc w:val="center"/>
              <w:rPr>
                <w:sz w:val="22"/>
                <w:szCs w:val="22"/>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keepNext/>
              <w:jc w:val="center"/>
              <w:rPr>
                <w:rFonts w:eastAsiaTheme="minorHAnsi"/>
                <w:sz w:val="22"/>
                <w:szCs w:val="22"/>
              </w:rPr>
            </w:pPr>
            <w:r w:rsidRPr="002E1E5F">
              <w:rPr>
                <w:sz w:val="22"/>
                <w:szCs w:val="22"/>
              </w:rPr>
              <w:t>24.4%</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keepNext/>
              <w:jc w:val="center"/>
              <w:rPr>
                <w:sz w:val="22"/>
                <w:szCs w:val="22"/>
              </w:rPr>
            </w:pPr>
            <w:r>
              <w:rPr>
                <w:rFonts w:cs="Arial"/>
                <w:b/>
                <w:bCs/>
                <w:color w:val="000000"/>
                <w:sz w:val="20"/>
                <w:szCs w:val="20"/>
              </w:rPr>
              <w:t>6.6%</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Theme="minorHAnsi"/>
                <w:sz w:val="22"/>
                <w:szCs w:val="22"/>
              </w:rPr>
            </w:pPr>
            <w:r w:rsidRPr="002E1E5F">
              <w:rPr>
                <w:sz w:val="22"/>
                <w:szCs w:val="22"/>
              </w:rPr>
              <w:t>8.45</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sz w:val="22"/>
                <w:szCs w:val="22"/>
              </w:rPr>
            </w:pPr>
            <w:r>
              <w:rPr>
                <w:rFonts w:cs="Arial"/>
                <w:b/>
                <w:bCs/>
                <w:color w:val="000000"/>
                <w:sz w:val="20"/>
                <w:szCs w:val="20"/>
              </w:rPr>
              <w:t>1.33</w:t>
            </w:r>
          </w:p>
        </w:tc>
      </w:tr>
    </w:tbl>
    <w:p w:rsidR="00660414" w:rsidRDefault="00660414" w:rsidP="00660414">
      <w:pPr>
        <w:spacing w:before="120" w:after="120" w:line="276" w:lineRule="auto"/>
        <w:ind w:left="851"/>
      </w:pP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The development of the intermodal terminals is viewed as being very important for the development of rail freight in Romania as they are integral to allowing rail to compete in a modern and growing sector. The refurbishing or new build of the terminal at Timisoara is scheduled for implementation in the period 2015 – 2020.</w:t>
      </w:r>
    </w:p>
    <w:p w:rsidR="00660414" w:rsidRDefault="00660414" w:rsidP="00660414">
      <w:pPr>
        <w:rPr>
          <w:b/>
          <w:sz w:val="22"/>
          <w:szCs w:val="22"/>
          <w:u w:val="single"/>
        </w:rPr>
      </w:pPr>
      <w:r>
        <w:rPr>
          <w:b/>
          <w:sz w:val="22"/>
          <w:szCs w:val="22"/>
          <w:u w:val="single"/>
        </w:rPr>
        <w:br w:type="page"/>
      </w: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Cluj Napoca (Refurbished or New Build Terminal)</w:t>
      </w:r>
    </w:p>
    <w:p w:rsidR="00660414" w:rsidRDefault="00660414" w:rsidP="00A4081F">
      <w:pPr>
        <w:pStyle w:val="NumberedParas"/>
      </w:pPr>
      <w:r w:rsidRPr="002E1E5F">
        <w:t>AECOM propose that the existing terminal at Cluj Napoca is refurbished to increase efficiency, lower costs and transit times and to promote growth of the intermodal sector.</w:t>
      </w:r>
      <w:r>
        <w:t xml:space="preserve"> If reopening is not possible then AECOM proposes that a new terminal is created.</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Operational Objective </w:t>
      </w:r>
    </w:p>
    <w:p w:rsidR="00660414" w:rsidRDefault="00660414" w:rsidP="00A4081F">
      <w:pPr>
        <w:pStyle w:val="NumberedParas"/>
        <w:rPr>
          <w:b/>
        </w:rPr>
      </w:pPr>
      <w:r w:rsidRPr="002E1E5F">
        <w:rPr>
          <w:b/>
        </w:rPr>
        <w:t xml:space="preserve">OR16, </w:t>
      </w:r>
      <w:r w:rsidRPr="002E1E5F">
        <w:t xml:space="preserve">Develop a network of “open user” freight terminals to serve Romania’s highest demand potential regions, cities and major EU markets in Bulgaria and Hungary. </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Problem Addressed</w:t>
      </w:r>
    </w:p>
    <w:p w:rsidR="00660414" w:rsidRDefault="00660414" w:rsidP="00A4081F">
      <w:pPr>
        <w:pStyle w:val="NumberedParas"/>
      </w:pPr>
      <w:r w:rsidRPr="002E1E5F">
        <w:t xml:space="preserve">Current intermodal freight volumes in Romania are low, and this is partly due to the poor state of the facilities designed to receive them. Expected growth in the intermodal sector means that capacity at this terminal will be outgrown within a short time frame (see Outcomes) </w:t>
      </w:r>
      <w:r>
        <w:t xml:space="preserve">expected to be around 2020 </w:t>
      </w:r>
      <w:r w:rsidRPr="002E1E5F">
        <w:t>and so modernisation is required.</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Outcomes </w:t>
      </w:r>
    </w:p>
    <w:p w:rsidR="00660414" w:rsidRDefault="00660414" w:rsidP="00A4081F">
      <w:pPr>
        <w:pStyle w:val="NumberedParas"/>
      </w:pPr>
      <w:r w:rsidRPr="002E1E5F">
        <w:t>As demonstrated in the table and chart below, the intervention (in con</w:t>
      </w:r>
      <w:r>
        <w:t>junction</w:t>
      </w:r>
      <w:r w:rsidRPr="002E1E5F">
        <w:t xml:space="preserve"> with the other intermodal terminals) provides a significant boost to the amount of intermodal freight travelling by rail. </w:t>
      </w:r>
    </w:p>
    <w:p w:rsidR="00660414" w:rsidRDefault="00660414" w:rsidP="00A4081F">
      <w:pPr>
        <w:pStyle w:val="NumberedParas"/>
        <w:numPr>
          <w:ilvl w:val="0"/>
          <w:numId w:val="0"/>
        </w:numPr>
        <w:ind w:left="1673"/>
      </w:pPr>
    </w:p>
    <w:p w:rsidR="00660414" w:rsidRDefault="00660414" w:rsidP="00660414">
      <w:pPr>
        <w:pStyle w:val="ListParagraph"/>
        <w:ind w:left="680"/>
        <w:rPr>
          <w:b/>
          <w:sz w:val="22"/>
          <w:szCs w:val="22"/>
        </w:rPr>
      </w:pPr>
      <w:r w:rsidRPr="00DC15D5">
        <w:rPr>
          <w:b/>
          <w:sz w:val="22"/>
          <w:szCs w:val="22"/>
        </w:rPr>
        <w:t>Table</w:t>
      </w:r>
      <w:r>
        <w:rPr>
          <w:b/>
          <w:sz w:val="22"/>
          <w:szCs w:val="22"/>
        </w:rPr>
        <w:t xml:space="preserve"> 8.23</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4"/>
        <w:gridCol w:w="2295"/>
        <w:gridCol w:w="1377"/>
        <w:gridCol w:w="1281"/>
        <w:gridCol w:w="1280"/>
        <w:gridCol w:w="1354"/>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9</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23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39</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62</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17%</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43%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72%</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115%</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9</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55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77</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103</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17%</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102%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143%</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kern w:val="24"/>
                <w:sz w:val="22"/>
                <w:szCs w:val="22"/>
                <w:lang w:eastAsia="en-GB"/>
              </w:rPr>
              <w:t>191%</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i/>
                <w:iCs/>
                <w:kern w:val="24"/>
                <w:sz w:val="22"/>
                <w:szCs w:val="22"/>
                <w:lang w:eastAsia="en-GB"/>
              </w:rPr>
              <w:t>4%</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i/>
                <w:iCs/>
                <w:kern w:val="24"/>
                <w:sz w:val="22"/>
                <w:szCs w:val="22"/>
                <w:lang w:eastAsia="en-GB"/>
              </w:rPr>
              <w:t>25%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i/>
                <w:iCs/>
                <w:kern w:val="24"/>
                <w:sz w:val="22"/>
                <w:szCs w:val="22"/>
                <w:lang w:eastAsia="en-GB"/>
              </w:rPr>
              <w:t>36%</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rFonts w:eastAsia="Calibri"/>
                <w:i/>
                <w:iCs/>
                <w:kern w:val="24"/>
                <w:sz w:val="22"/>
                <w:szCs w:val="22"/>
                <w:lang w:eastAsia="en-GB"/>
              </w:rPr>
              <w:t>48%</w:t>
            </w:r>
          </w:p>
        </w:tc>
      </w:tr>
    </w:tbl>
    <w:p w:rsidR="00660414" w:rsidRDefault="00660414" w:rsidP="00660414">
      <w:pPr>
        <w:spacing w:before="120" w:after="120" w:line="276" w:lineRule="auto"/>
        <w:rPr>
          <w:sz w:val="22"/>
          <w:szCs w:val="22"/>
        </w:rPr>
      </w:pPr>
    </w:p>
    <w:p w:rsidR="00660414" w:rsidRPr="000A76BD" w:rsidRDefault="00660414" w:rsidP="00660414">
      <w:pPr>
        <w:spacing w:before="120" w:after="120" w:line="276" w:lineRule="auto"/>
        <w:rPr>
          <w:sz w:val="22"/>
          <w:szCs w:val="22"/>
        </w:rPr>
      </w:pP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42B2B261" wp14:editId="5C720FD9">
            <wp:extent cx="4287600" cy="2658140"/>
            <wp:effectExtent l="19050" t="0" r="17700" b="8860"/>
            <wp:docPr id="25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rsidR="00660414" w:rsidRDefault="00660414" w:rsidP="00660414">
      <w:pPr>
        <w:spacing w:before="120" w:after="120" w:line="276" w:lineRule="auto"/>
        <w:ind w:left="709"/>
        <w:rPr>
          <w:b/>
          <w:sz w:val="22"/>
          <w:szCs w:val="22"/>
        </w:rPr>
      </w:pPr>
      <w:r>
        <w:rPr>
          <w:b/>
          <w:sz w:val="22"/>
          <w:szCs w:val="22"/>
        </w:rPr>
        <w:t>Figure 8.22: Chart of Difference between All Terminals and Reference Scenarios</w:t>
      </w:r>
    </w:p>
    <w:p w:rsidR="00660414" w:rsidRPr="000A76BD" w:rsidRDefault="00660414" w:rsidP="00660414">
      <w:pPr>
        <w:spacing w:before="120" w:after="120" w:line="276" w:lineRule="auto"/>
        <w:jc w:val="center"/>
        <w:rPr>
          <w:sz w:val="22"/>
          <w:szCs w:val="22"/>
        </w:rPr>
      </w:pPr>
    </w:p>
    <w:p w:rsidR="00660414" w:rsidRDefault="00660414" w:rsidP="00A4081F">
      <w:pPr>
        <w:pStyle w:val="NumberedParas"/>
        <w:numPr>
          <w:ilvl w:val="0"/>
          <w:numId w:val="0"/>
        </w:numPr>
        <w:ind w:left="2240"/>
      </w:pPr>
      <w:r>
        <w:t>A new build terminal would satisfy the Master Plan criterion at Cluj Napoca however a refurbished terminal is an option. Regardless, t</w:t>
      </w:r>
      <w:r w:rsidRPr="002E1E5F">
        <w:t xml:space="preserve">he terminal has significant economic benefits: </w:t>
      </w:r>
    </w:p>
    <w:p w:rsidR="00660414" w:rsidRDefault="00660414" w:rsidP="00A4081F">
      <w:pPr>
        <w:pStyle w:val="NumberedParas"/>
        <w:numPr>
          <w:ilvl w:val="0"/>
          <w:numId w:val="0"/>
        </w:numPr>
        <w:ind w:left="680"/>
      </w:pPr>
    </w:p>
    <w:p w:rsidR="00660414" w:rsidRDefault="00660414" w:rsidP="00A4081F">
      <w:pPr>
        <w:pStyle w:val="NumberedParas"/>
        <w:numPr>
          <w:ilvl w:val="0"/>
          <w:numId w:val="0"/>
        </w:numPr>
        <w:ind w:left="680"/>
      </w:pPr>
      <w:r>
        <w:t>Table 8.24</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Default="00660414" w:rsidP="007613DE">
            <w:pPr>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Pr>
                <w:sz w:val="22"/>
                <w:szCs w:val="22"/>
              </w:rPr>
              <w:t>5.3</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rPr>
                <w:sz w:val="22"/>
                <w:szCs w:val="22"/>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Default="00660414" w:rsidP="007613DE">
            <w:pPr>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sidRPr="002E1E5F">
              <w:rPr>
                <w:sz w:val="22"/>
                <w:szCs w:val="22"/>
              </w:rPr>
              <w:t>14.5%</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rPr>
                <w:sz w:val="22"/>
                <w:szCs w:val="22"/>
              </w:rPr>
            </w:pPr>
            <w:r>
              <w:rPr>
                <w:rFonts w:cs="Arial"/>
                <w:b/>
                <w:bCs/>
                <w:color w:val="000000"/>
                <w:sz w:val="20"/>
                <w:szCs w:val="20"/>
              </w:rPr>
              <w:t>6.3%</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rPr>
                <w:rFonts w:eastAsiaTheme="minorHAnsi"/>
                <w:sz w:val="22"/>
                <w:szCs w:val="22"/>
              </w:rPr>
            </w:pPr>
            <w:r w:rsidRPr="002E1E5F">
              <w:rPr>
                <w:sz w:val="22"/>
                <w:szCs w:val="22"/>
              </w:rPr>
              <w:t>3.86</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rPr>
                <w:sz w:val="22"/>
                <w:szCs w:val="22"/>
              </w:rPr>
            </w:pPr>
            <w:r>
              <w:rPr>
                <w:rFonts w:cs="Arial"/>
                <w:b/>
                <w:bCs/>
                <w:color w:val="000000"/>
                <w:sz w:val="20"/>
                <w:szCs w:val="20"/>
              </w:rPr>
              <w:t>1.25</w:t>
            </w:r>
          </w:p>
        </w:tc>
      </w:tr>
    </w:tbl>
    <w:p w:rsidR="00660414" w:rsidRDefault="00660414" w:rsidP="00660414">
      <w:pPr>
        <w:spacing w:before="120" w:after="120" w:line="276" w:lineRule="auto"/>
        <w:ind w:left="851"/>
        <w:rPr>
          <w:b/>
          <w:color w:val="9E0880"/>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 xml:space="preserve"> The development of the intermodal terminals is viewed as being very important for the development of rail freight in Romania as they are integral to allowing rail to compete in a modern and growing sector. The refurbishing </w:t>
      </w:r>
      <w:r>
        <w:t xml:space="preserve">or new build </w:t>
      </w:r>
      <w:r w:rsidRPr="002E1E5F">
        <w:t>of the terminal at Cluj Napoca is scheduled for implementation in the period 2015 – 2020 so that capacity can be provided before it is outgrown.</w:t>
      </w:r>
    </w:p>
    <w:p w:rsidR="00660414" w:rsidRDefault="00660414" w:rsidP="00660414">
      <w:pPr>
        <w:rPr>
          <w:b/>
          <w:sz w:val="22"/>
          <w:szCs w:val="22"/>
        </w:rPr>
      </w:pPr>
      <w:r>
        <w:rPr>
          <w:b/>
          <w:sz w:val="22"/>
          <w:szCs w:val="22"/>
        </w:rPr>
        <w:br w:type="page"/>
      </w:r>
    </w:p>
    <w:p w:rsidR="00660414" w:rsidRDefault="00660414" w:rsidP="00660414">
      <w:pPr>
        <w:spacing w:before="120" w:after="120" w:line="276" w:lineRule="auto"/>
        <w:rPr>
          <w:rFonts w:cs="Arial"/>
          <w:b/>
          <w:color w:val="9E0880"/>
          <w:sz w:val="22"/>
          <w:szCs w:val="22"/>
        </w:rPr>
      </w:pPr>
      <w:r w:rsidRPr="002E1E5F">
        <w:rPr>
          <w:rFonts w:cs="Arial"/>
          <w:b/>
          <w:color w:val="9E0880"/>
          <w:sz w:val="22"/>
          <w:szCs w:val="22"/>
        </w:rPr>
        <w:t>Oradea (Refurbished or New Build Terminal)</w:t>
      </w:r>
    </w:p>
    <w:p w:rsidR="00660414" w:rsidRDefault="00660414" w:rsidP="00A4081F">
      <w:pPr>
        <w:pStyle w:val="NumberedParas"/>
      </w:pPr>
      <w:r w:rsidRPr="002E1E5F">
        <w:t>AECOM propose that the terminal at Oradea is re-opened from its existing mothballed state to provide an important and useful interchange point between rail and road networks. This is particularly useful given the site’s location at the centre of the north-east, near the rail crossing with Hungary and the E60 core road.</w:t>
      </w:r>
      <w:r>
        <w:t xml:space="preserve"> If reopening is not possible then AECOM proposes that a new terminal is created.</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rPr>
          <w:b/>
        </w:rPr>
        <w:t>OR16,</w:t>
      </w:r>
      <w:r w:rsidRPr="002E1E5F">
        <w:t xml:space="preserve"> Develop a network of “open user” freight terminals to serve Romania’s highest demand potential regions, cities and major EU markets in Bulgaria and Hungary. </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The opportunity to cater for expected growth in the intermodal sector and to expand facilities near the border in this important economic region of the country together means the rehabilitation of this terminal is recommended.</w:t>
      </w: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A4081F">
      <w:pPr>
        <w:pStyle w:val="NumberedParas"/>
        <w:numPr>
          <w:ilvl w:val="0"/>
          <w:numId w:val="0"/>
        </w:numPr>
        <w:ind w:left="993"/>
      </w:pPr>
    </w:p>
    <w:p w:rsidR="00660414" w:rsidRPr="003A532F" w:rsidRDefault="00660414" w:rsidP="00660414">
      <w:pPr>
        <w:pStyle w:val="ListParagraph"/>
        <w:ind w:left="680"/>
        <w:rPr>
          <w:b/>
          <w:sz w:val="22"/>
          <w:szCs w:val="22"/>
        </w:rPr>
      </w:pPr>
      <w:r w:rsidRPr="00DC15D5">
        <w:rPr>
          <w:b/>
          <w:sz w:val="22"/>
          <w:szCs w:val="22"/>
        </w:rPr>
        <w:t>Table</w:t>
      </w:r>
      <w:r>
        <w:rPr>
          <w:b/>
          <w:sz w:val="22"/>
          <w:szCs w:val="22"/>
        </w:rPr>
        <w:t xml:space="preserve"> 8.25</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02"/>
        <w:gridCol w:w="2296"/>
        <w:gridCol w:w="1403"/>
        <w:gridCol w:w="1276"/>
        <w:gridCol w:w="1275"/>
        <w:gridCol w:w="1359"/>
      </w:tblGrid>
      <w:tr w:rsidR="00660414" w:rsidRPr="000A76BD" w:rsidTr="007613DE">
        <w:trPr>
          <w:trHeight w:val="58"/>
        </w:trPr>
        <w:tc>
          <w:tcPr>
            <w:tcW w:w="4298"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spacing w:before="240" w:after="240" w:line="276" w:lineRule="auto"/>
              <w:ind w:left="567"/>
              <w:jc w:val="center"/>
              <w:rPr>
                <w:sz w:val="22"/>
                <w:szCs w:val="22"/>
                <w:lang w:eastAsia="en-GB"/>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58"/>
        </w:trPr>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5</w:t>
            </w:r>
          </w:p>
        </w:tc>
      </w:tr>
      <w:tr w:rsidR="00660414" w:rsidRPr="000A76BD" w:rsidTr="007613DE">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4%</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6%</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9%</w:t>
            </w:r>
          </w:p>
        </w:tc>
      </w:tr>
      <w:tr w:rsidR="00660414" w:rsidRPr="000A76BD" w:rsidTr="007613DE">
        <w:trPr>
          <w:trHeight w:val="58"/>
        </w:trPr>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15</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25</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34</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47</w:t>
            </w:r>
          </w:p>
        </w:tc>
      </w:tr>
      <w:tr w:rsidR="00660414" w:rsidRPr="000A76BD" w:rsidTr="007613DE">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28%</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46%</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63%</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87%</w:t>
            </w:r>
          </w:p>
        </w:tc>
      </w:tr>
      <w:tr w:rsidR="00660414" w:rsidRPr="000A76BD" w:rsidTr="007613DE">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7%</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12%</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16%</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22%</w:t>
            </w:r>
          </w:p>
        </w:tc>
      </w:tr>
    </w:tbl>
    <w:p w:rsidR="00660414" w:rsidRDefault="00660414" w:rsidP="00660414">
      <w:pPr>
        <w:spacing w:before="120" w:after="120" w:line="276" w:lineRule="auto"/>
        <w:jc w:val="center"/>
        <w:rPr>
          <w:sz w:val="22"/>
          <w:szCs w:val="22"/>
        </w:rPr>
      </w:pPr>
    </w:p>
    <w:p w:rsidR="00660414" w:rsidRDefault="00660414" w:rsidP="00660414">
      <w:pPr>
        <w:rPr>
          <w:sz w:val="22"/>
          <w:szCs w:val="22"/>
        </w:rPr>
      </w:pPr>
      <w:r>
        <w:rPr>
          <w:sz w:val="22"/>
          <w:szCs w:val="22"/>
        </w:rPr>
        <w:br w:type="page"/>
      </w: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1ED6E528" wp14:editId="3521E388">
            <wp:extent cx="4291256" cy="2656800"/>
            <wp:effectExtent l="19050" t="0" r="14044" b="0"/>
            <wp:docPr id="25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rsidR="00660414" w:rsidRDefault="00660414" w:rsidP="00660414">
      <w:pPr>
        <w:spacing w:before="120" w:after="120" w:line="276" w:lineRule="auto"/>
        <w:ind w:left="709"/>
        <w:rPr>
          <w:b/>
          <w:sz w:val="22"/>
          <w:szCs w:val="22"/>
        </w:rPr>
      </w:pPr>
      <w:r>
        <w:rPr>
          <w:b/>
          <w:sz w:val="22"/>
          <w:szCs w:val="22"/>
        </w:rPr>
        <w:t>Figure 8.23: Chart of Difference between All Terminals and Reference Scenarios</w:t>
      </w:r>
    </w:p>
    <w:p w:rsidR="00660414" w:rsidRPr="000A76BD" w:rsidRDefault="00660414" w:rsidP="00660414">
      <w:pPr>
        <w:spacing w:before="120" w:after="120" w:line="276" w:lineRule="auto"/>
        <w:jc w:val="center"/>
        <w:rPr>
          <w:sz w:val="22"/>
          <w:szCs w:val="22"/>
        </w:rPr>
      </w:pPr>
    </w:p>
    <w:p w:rsidR="00660414" w:rsidRDefault="00660414" w:rsidP="00A4081F">
      <w:pPr>
        <w:pStyle w:val="NumberedParas"/>
      </w:pPr>
      <w:r w:rsidRPr="002E1E5F">
        <w:t>The new terminal has s</w:t>
      </w:r>
      <w:r>
        <w:t>ome</w:t>
      </w:r>
      <w:r w:rsidRPr="002E1E5F">
        <w:t xml:space="preserve"> economic benefits</w:t>
      </w:r>
      <w:r>
        <w:t>, with</w:t>
      </w:r>
      <w:r w:rsidRPr="000A0472">
        <w:t xml:space="preserve"> </w:t>
      </w:r>
      <w:r w:rsidRPr="002E1E5F">
        <w:t xml:space="preserve">a refurbishment </w:t>
      </w:r>
      <w:r>
        <w:t>being</w:t>
      </w:r>
      <w:r w:rsidRPr="002E1E5F">
        <w:t xml:space="preserve"> the mo</w:t>
      </w:r>
      <w:r>
        <w:t>re</w:t>
      </w:r>
      <w:r w:rsidRPr="002E1E5F">
        <w:t xml:space="preserve"> appropriate decision for the intermodal terminal at Oradea as a ne</w:t>
      </w:r>
      <w:r>
        <w:t>w build terminal has a poor BCR</w:t>
      </w:r>
      <w:r w:rsidRPr="002E1E5F">
        <w:t xml:space="preserve">: </w:t>
      </w:r>
    </w:p>
    <w:p w:rsidR="00660414" w:rsidRDefault="00660414" w:rsidP="00A4081F">
      <w:pPr>
        <w:pStyle w:val="NumberedParas"/>
        <w:numPr>
          <w:ilvl w:val="0"/>
          <w:numId w:val="0"/>
        </w:numPr>
        <w:ind w:left="993"/>
      </w:pPr>
    </w:p>
    <w:p w:rsidR="00660414" w:rsidRPr="003A532F" w:rsidRDefault="00660414" w:rsidP="00A4081F">
      <w:pPr>
        <w:pStyle w:val="NumberedParas"/>
        <w:numPr>
          <w:ilvl w:val="0"/>
          <w:numId w:val="0"/>
        </w:numPr>
        <w:ind w:left="680"/>
      </w:pPr>
      <w:r>
        <w:t>Table 8.26</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tcPr>
          <w:p w:rsidR="00660414" w:rsidRDefault="00660414" w:rsidP="007613DE">
            <w:pPr>
              <w:keepNext/>
              <w:jc w:val="cente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keepNext/>
              <w:jc w:val="center"/>
              <w:rPr>
                <w:rFonts w:eastAsiaTheme="minorHAnsi"/>
                <w:sz w:val="22"/>
                <w:szCs w:val="22"/>
              </w:rPr>
            </w:pPr>
            <w:r>
              <w:rPr>
                <w:sz w:val="22"/>
                <w:szCs w:val="22"/>
              </w:rPr>
              <w:t>5.3</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keepNext/>
              <w:jc w:val="center"/>
              <w:rPr>
                <w:sz w:val="22"/>
                <w:szCs w:val="22"/>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keepNext/>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keepNext/>
              <w:jc w:val="center"/>
              <w:rPr>
                <w:rFonts w:eastAsiaTheme="minorHAnsi"/>
                <w:sz w:val="22"/>
                <w:szCs w:val="22"/>
              </w:rPr>
            </w:pPr>
            <w:r w:rsidRPr="002E1E5F">
              <w:rPr>
                <w:sz w:val="22"/>
                <w:szCs w:val="22"/>
              </w:rPr>
              <w:t>10.6%</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keepNext/>
              <w:jc w:val="center"/>
              <w:rPr>
                <w:sz w:val="22"/>
                <w:szCs w:val="22"/>
              </w:rPr>
            </w:pPr>
            <w:r>
              <w:rPr>
                <w:rFonts w:cs="Arial"/>
                <w:b/>
                <w:bCs/>
                <w:color w:val="000000"/>
                <w:sz w:val="20"/>
                <w:szCs w:val="20"/>
              </w:rPr>
              <w:t>3.8%</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Theme="minorHAnsi"/>
                <w:sz w:val="22"/>
                <w:szCs w:val="22"/>
              </w:rPr>
            </w:pPr>
            <w:r w:rsidRPr="002E1E5F">
              <w:rPr>
                <w:sz w:val="22"/>
                <w:szCs w:val="22"/>
              </w:rPr>
              <w:t>2.46</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sz w:val="22"/>
                <w:szCs w:val="22"/>
              </w:rPr>
            </w:pPr>
            <w:r>
              <w:rPr>
                <w:rFonts w:cs="Arial"/>
                <w:b/>
                <w:bCs/>
                <w:color w:val="000000"/>
                <w:sz w:val="20"/>
                <w:szCs w:val="20"/>
              </w:rPr>
              <w:t>0.80</w:t>
            </w:r>
          </w:p>
        </w:tc>
      </w:tr>
    </w:tbl>
    <w:p w:rsidR="00660414" w:rsidRDefault="00660414" w:rsidP="00660414">
      <w:pPr>
        <w:spacing w:before="120" w:after="120" w:line="276" w:lineRule="auto"/>
        <w:ind w:left="851"/>
      </w:pPr>
    </w:p>
    <w:p w:rsidR="00660414" w:rsidRPr="003A532F" w:rsidRDefault="00660414" w:rsidP="00660414">
      <w:pPr>
        <w:spacing w:before="120" w:after="120" w:line="276" w:lineRule="auto"/>
        <w:ind w:left="851"/>
        <w:rPr>
          <w:b/>
          <w:i/>
          <w:color w:val="9E0880"/>
          <w:sz w:val="22"/>
          <w:szCs w:val="22"/>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The development of the intermodal terminals is viewed as being very important for the development of rail freight in Romania as they are integral to allowing rail to compete in a modern and growing sector. The refurbishing</w:t>
      </w:r>
      <w:r>
        <w:t xml:space="preserve"> or new build</w:t>
      </w:r>
      <w:r w:rsidRPr="002E1E5F">
        <w:t xml:space="preserve"> of the terminal at Oradea is scheduled for implementation in the period 2021– 2030.</w:t>
      </w:r>
    </w:p>
    <w:p w:rsidR="00660414" w:rsidRDefault="00660414" w:rsidP="00660414">
      <w:pPr>
        <w:rPr>
          <w:b/>
          <w:sz w:val="22"/>
          <w:szCs w:val="22"/>
          <w:u w:val="single"/>
        </w:rPr>
      </w:pPr>
      <w:r>
        <w:rPr>
          <w:b/>
          <w:sz w:val="22"/>
          <w:szCs w:val="22"/>
          <w:u w:val="single"/>
        </w:rPr>
        <w:br w:type="page"/>
      </w:r>
    </w:p>
    <w:p w:rsidR="00660414" w:rsidRDefault="00387C25" w:rsidP="00660414">
      <w:pPr>
        <w:spacing w:before="120" w:after="120" w:line="276" w:lineRule="auto"/>
        <w:rPr>
          <w:rFonts w:cs="Arial"/>
          <w:b/>
          <w:color w:val="9E0880"/>
          <w:sz w:val="22"/>
          <w:szCs w:val="22"/>
        </w:rPr>
      </w:pPr>
      <w:r>
        <w:rPr>
          <w:rFonts w:cs="Arial"/>
          <w:b/>
          <w:color w:val="9E0880"/>
          <w:sz w:val="22"/>
          <w:szCs w:val="22"/>
        </w:rPr>
        <w:t>Turda</w:t>
      </w:r>
      <w:r w:rsidR="00660414" w:rsidRPr="002E1E5F">
        <w:rPr>
          <w:rFonts w:cs="Arial"/>
          <w:b/>
          <w:color w:val="9E0880"/>
          <w:sz w:val="22"/>
          <w:szCs w:val="22"/>
        </w:rPr>
        <w:t xml:space="preserve"> (Refurbished or New Build Terminal)</w:t>
      </w:r>
    </w:p>
    <w:p w:rsidR="00660414" w:rsidRDefault="00660414" w:rsidP="00A4081F">
      <w:pPr>
        <w:pStyle w:val="NumberedParas"/>
      </w:pPr>
      <w:r w:rsidRPr="002E1E5F">
        <w:t>AECOM propose that the existing terminal at Turd</w:t>
      </w:r>
      <w:r w:rsidR="00387C25">
        <w:t>a</w:t>
      </w:r>
      <w:r w:rsidRPr="002E1E5F">
        <w:t xml:space="preserve"> is</w:t>
      </w:r>
      <w:r>
        <w:t xml:space="preserve"> either</w:t>
      </w:r>
      <w:r w:rsidRPr="002E1E5F">
        <w:t xml:space="preserve"> refurbished </w:t>
      </w:r>
      <w:r>
        <w:t xml:space="preserve">or rebuilt </w:t>
      </w:r>
      <w:r w:rsidRPr="002E1E5F">
        <w:t>to increase efficiency, lower costs and transit times and to promote growth of the intermodal sector, complementing the terminal at Cluj Napoca.</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t xml:space="preserve">OR16, Develop a network of “open user” freight terminals to serve Romania’s highest demand potential regions, cities and major EU markets in Bulgaria and Hungary. </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Expected growth in the intermodal sector means that capacity at this terminal will be outgrown within a short time frame (see Outcomes) and so modernisation is required.</w:t>
      </w:r>
      <w:r>
        <w:t xml:space="preserve"> This site has continued to be buoyant even in the recession, catering for specific local industries and hence why it justifies consideration for improvement.</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660414">
      <w:pPr>
        <w:pStyle w:val="ListParagraph"/>
        <w:ind w:left="680"/>
        <w:rPr>
          <w:b/>
        </w:rPr>
      </w:pPr>
      <w:r w:rsidRPr="00DC15D5">
        <w:rPr>
          <w:b/>
          <w:sz w:val="22"/>
          <w:szCs w:val="22"/>
        </w:rPr>
        <w:t>Table</w:t>
      </w:r>
      <w:r>
        <w:rPr>
          <w:b/>
          <w:sz w:val="22"/>
          <w:szCs w:val="22"/>
        </w:rPr>
        <w:t xml:space="preserve"> 8.27</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4"/>
        <w:gridCol w:w="2295"/>
        <w:gridCol w:w="1377"/>
        <w:gridCol w:w="1281"/>
        <w:gridCol w:w="1280"/>
        <w:gridCol w:w="1354"/>
      </w:tblGrid>
      <w:tr w:rsidR="00660414" w:rsidRPr="000A76BD" w:rsidTr="007613DE">
        <w:trPr>
          <w:trHeight w:val="99"/>
        </w:trPr>
        <w:tc>
          <w:tcPr>
            <w:tcW w:w="4319"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spacing w:before="240" w:after="240" w:line="276" w:lineRule="auto"/>
              <w:ind w:left="567"/>
              <w:jc w:val="center"/>
              <w:rPr>
                <w:sz w:val="22"/>
                <w:szCs w:val="22"/>
                <w:lang w:eastAsia="en-GB"/>
              </w:rPr>
            </w:pP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024"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11</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16</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23</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32</w:t>
            </w:r>
          </w:p>
        </w:tc>
      </w:tr>
      <w:tr w:rsidR="00660414" w:rsidRPr="000A76BD" w:rsidTr="007613DE">
        <w:trPr>
          <w:trHeight w:val="99"/>
        </w:trPr>
        <w:tc>
          <w:tcPr>
            <w:tcW w:w="2024"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37%</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53%</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77%</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107%</w:t>
            </w:r>
          </w:p>
        </w:tc>
      </w:tr>
      <w:tr w:rsidR="00660414" w:rsidRPr="000A76BD" w:rsidTr="007613DE">
        <w:trPr>
          <w:trHeight w:val="99"/>
        </w:trPr>
        <w:tc>
          <w:tcPr>
            <w:tcW w:w="2024"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15</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28</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37</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47</w:t>
            </w:r>
          </w:p>
        </w:tc>
      </w:tr>
      <w:tr w:rsidR="00660414" w:rsidRPr="000A76BD" w:rsidTr="007613DE">
        <w:trPr>
          <w:trHeight w:val="99"/>
        </w:trPr>
        <w:tc>
          <w:tcPr>
            <w:tcW w:w="2024"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50%</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93%</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123%</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157%</w:t>
            </w:r>
          </w:p>
        </w:tc>
      </w:tr>
      <w:tr w:rsidR="00660414" w:rsidRPr="000A76BD" w:rsidTr="007613DE">
        <w:trPr>
          <w:trHeight w:val="99"/>
        </w:trPr>
        <w:tc>
          <w:tcPr>
            <w:tcW w:w="2024"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37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13%</w:t>
            </w:r>
          </w:p>
        </w:tc>
        <w:tc>
          <w:tcPr>
            <w:tcW w:w="12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23%</w:t>
            </w:r>
          </w:p>
        </w:tc>
        <w:tc>
          <w:tcPr>
            <w:tcW w:w="12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31%</w:t>
            </w:r>
          </w:p>
        </w:tc>
        <w:tc>
          <w:tcPr>
            <w:tcW w:w="135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rFonts w:eastAsia="Calibri"/>
                <w:kern w:val="24"/>
                <w:sz w:val="22"/>
                <w:szCs w:val="22"/>
                <w:lang w:eastAsia="en-GB"/>
              </w:rPr>
            </w:pPr>
            <w:r w:rsidRPr="002E1E5F">
              <w:rPr>
                <w:rFonts w:eastAsia="Calibri"/>
                <w:kern w:val="24"/>
                <w:sz w:val="22"/>
                <w:szCs w:val="22"/>
                <w:lang w:eastAsia="en-GB"/>
              </w:rPr>
              <w:t>39%</w:t>
            </w:r>
          </w:p>
        </w:tc>
      </w:tr>
    </w:tbl>
    <w:p w:rsidR="00660414" w:rsidRDefault="00660414" w:rsidP="00660414">
      <w:pPr>
        <w:spacing w:before="120" w:after="120" w:line="276" w:lineRule="auto"/>
        <w:rPr>
          <w:sz w:val="22"/>
          <w:szCs w:val="22"/>
        </w:rPr>
      </w:pPr>
    </w:p>
    <w:p w:rsidR="00660414" w:rsidRPr="000A76BD" w:rsidRDefault="00660414" w:rsidP="00660414">
      <w:pPr>
        <w:spacing w:before="120" w:after="120" w:line="276" w:lineRule="auto"/>
        <w:rPr>
          <w:sz w:val="22"/>
          <w:szCs w:val="22"/>
        </w:rPr>
      </w:pP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7022B47E" wp14:editId="7E7328AD">
            <wp:extent cx="4287600" cy="2690038"/>
            <wp:effectExtent l="19050" t="0" r="17700" b="0"/>
            <wp:docPr id="41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rsidR="00660414" w:rsidRDefault="00660414" w:rsidP="00660414">
      <w:pPr>
        <w:spacing w:before="120" w:after="120" w:line="276" w:lineRule="auto"/>
        <w:ind w:left="709"/>
        <w:rPr>
          <w:b/>
          <w:sz w:val="22"/>
          <w:szCs w:val="22"/>
        </w:rPr>
      </w:pPr>
      <w:r>
        <w:rPr>
          <w:b/>
          <w:sz w:val="22"/>
          <w:szCs w:val="22"/>
        </w:rPr>
        <w:t>Figure 8.24: Chart of Difference between All Terminals and Reference Scenarios</w:t>
      </w:r>
    </w:p>
    <w:p w:rsidR="00660414" w:rsidRPr="000A76BD" w:rsidRDefault="00660414" w:rsidP="00660414">
      <w:pPr>
        <w:spacing w:before="120" w:after="120" w:line="276" w:lineRule="auto"/>
        <w:jc w:val="center"/>
        <w:rPr>
          <w:sz w:val="22"/>
          <w:szCs w:val="22"/>
        </w:rPr>
      </w:pPr>
    </w:p>
    <w:p w:rsidR="00660414" w:rsidRDefault="00660414" w:rsidP="00A4081F">
      <w:pPr>
        <w:pStyle w:val="NumberedParas"/>
        <w:numPr>
          <w:ilvl w:val="0"/>
          <w:numId w:val="0"/>
        </w:numPr>
        <w:ind w:left="1673"/>
      </w:pPr>
      <w:r>
        <w:t>T</w:t>
      </w:r>
      <w:r w:rsidRPr="002E1E5F">
        <w:t>he economic results indicate that a refurbishment is the most appropriate decision for the intermodal terminal at Turdu as a new build terminal has both a poor EIRR and BCR.</w:t>
      </w:r>
    </w:p>
    <w:p w:rsidR="00660414" w:rsidRDefault="00660414" w:rsidP="00A4081F">
      <w:pPr>
        <w:pStyle w:val="NumberedParas"/>
        <w:numPr>
          <w:ilvl w:val="0"/>
          <w:numId w:val="0"/>
        </w:numPr>
        <w:ind w:left="993"/>
      </w:pPr>
    </w:p>
    <w:p w:rsidR="00660414" w:rsidRDefault="00660414" w:rsidP="00A4081F">
      <w:pPr>
        <w:pStyle w:val="NumberedParas"/>
        <w:numPr>
          <w:ilvl w:val="0"/>
          <w:numId w:val="0"/>
        </w:numPr>
        <w:ind w:left="680"/>
      </w:pPr>
      <w:r>
        <w:t>Table 8.28</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Default="00660414" w:rsidP="007613DE">
            <w:pPr>
              <w:jc w:val="center"/>
              <w:rPr>
                <w:rFonts w:eastAsia="Calibri" w:cs="Arial"/>
                <w:color w:val="000000"/>
                <w:sz w:val="22"/>
                <w:szCs w:val="22"/>
                <w:lang w:eastAsia="en-GB"/>
              </w:rPr>
            </w:pPr>
            <w:r>
              <w:rPr>
                <w:rFonts w:eastAsia="Calibri"/>
                <w:sz w:val="22"/>
                <w:szCs w:val="22"/>
              </w:rPr>
              <w:t>Refurbishment</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jc w:val="center"/>
              <w:rPr>
                <w:rFonts w:eastAsia="Calibri" w:cs="Arial"/>
                <w:color w:val="000000"/>
                <w:sz w:val="22"/>
                <w:szCs w:val="22"/>
                <w:lang w:eastAsia="en-GB"/>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Default="00660414" w:rsidP="007613DE">
            <w:pPr>
              <w:jc w:val="center"/>
              <w:rPr>
                <w:rFonts w:eastAsiaTheme="minorHAnsi"/>
                <w:sz w:val="22"/>
                <w:szCs w:val="22"/>
              </w:rPr>
            </w:pPr>
            <w:r>
              <w:rPr>
                <w:sz w:val="22"/>
                <w:szCs w:val="22"/>
              </w:rPr>
              <w:t>5.3</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jc w:val="center"/>
              <w:rPr>
                <w:sz w:val="22"/>
                <w:szCs w:val="22"/>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Default="00660414" w:rsidP="007613DE">
            <w:pPr>
              <w:jc w:val="center"/>
              <w:rPr>
                <w:rFonts w:eastAsiaTheme="minorHAnsi"/>
                <w:sz w:val="22"/>
                <w:szCs w:val="22"/>
              </w:rPr>
            </w:pPr>
            <w:r w:rsidRPr="002E1E5F">
              <w:rPr>
                <w:sz w:val="22"/>
                <w:szCs w:val="22"/>
              </w:rPr>
              <w:t>6.6%</w:t>
            </w:r>
          </w:p>
        </w:tc>
        <w:tc>
          <w:tcPr>
            <w:tcW w:w="1079" w:type="pct"/>
            <w:tcBorders>
              <w:top w:val="nil"/>
              <w:left w:val="nil"/>
              <w:bottom w:val="single" w:sz="8" w:space="0" w:color="auto"/>
              <w:right w:val="single" w:sz="8" w:space="0" w:color="auto"/>
            </w:tcBorders>
            <w:vAlign w:val="center"/>
          </w:tcPr>
          <w:p w:rsidR="00660414" w:rsidRDefault="00660414" w:rsidP="007613DE">
            <w:pPr>
              <w:jc w:val="center"/>
              <w:rPr>
                <w:sz w:val="22"/>
                <w:szCs w:val="22"/>
              </w:rPr>
            </w:pPr>
            <w:r>
              <w:rPr>
                <w:rFonts w:cs="Arial"/>
                <w:b/>
                <w:bCs/>
                <w:color w:val="000000"/>
                <w:sz w:val="20"/>
                <w:szCs w:val="20"/>
              </w:rPr>
              <w:t>0.1%</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Default="00660414" w:rsidP="007613DE">
            <w:pPr>
              <w:jc w:val="center"/>
              <w:rPr>
                <w:rFonts w:eastAsiaTheme="minorHAnsi"/>
                <w:sz w:val="22"/>
                <w:szCs w:val="22"/>
              </w:rPr>
            </w:pPr>
            <w:r w:rsidRPr="002E1E5F">
              <w:rPr>
                <w:sz w:val="22"/>
                <w:szCs w:val="22"/>
              </w:rPr>
              <w:t>1.26</w:t>
            </w:r>
          </w:p>
        </w:tc>
        <w:tc>
          <w:tcPr>
            <w:tcW w:w="1079" w:type="pct"/>
            <w:tcBorders>
              <w:top w:val="nil"/>
              <w:left w:val="nil"/>
              <w:bottom w:val="single" w:sz="8" w:space="0" w:color="auto"/>
              <w:right w:val="single" w:sz="8" w:space="0" w:color="auto"/>
            </w:tcBorders>
            <w:vAlign w:val="center"/>
          </w:tcPr>
          <w:p w:rsidR="00660414" w:rsidRDefault="00660414" w:rsidP="007613DE">
            <w:pPr>
              <w:jc w:val="center"/>
              <w:rPr>
                <w:sz w:val="22"/>
                <w:szCs w:val="22"/>
              </w:rPr>
            </w:pPr>
            <w:r>
              <w:rPr>
                <w:rFonts w:cs="Arial"/>
                <w:b/>
                <w:bCs/>
                <w:color w:val="000000"/>
                <w:sz w:val="20"/>
                <w:szCs w:val="20"/>
              </w:rPr>
              <w:t>0.41</w:t>
            </w:r>
          </w:p>
        </w:tc>
      </w:tr>
    </w:tbl>
    <w:p w:rsidR="00660414" w:rsidRDefault="00660414" w:rsidP="00660414">
      <w:pPr>
        <w:spacing w:before="120" w:after="120" w:line="276" w:lineRule="auto"/>
        <w:ind w:left="851"/>
        <w:rPr>
          <w:b/>
          <w:i/>
          <w:color w:val="9E0880"/>
          <w:sz w:val="22"/>
          <w:szCs w:val="22"/>
          <w:lang w:val="ro-RO"/>
        </w:rPr>
      </w:pPr>
    </w:p>
    <w:p w:rsidR="00660414" w:rsidRDefault="00660414" w:rsidP="00660414">
      <w:pPr>
        <w:spacing w:before="120" w:after="120" w:line="276" w:lineRule="auto"/>
        <w:ind w:left="851"/>
        <w:rPr>
          <w:b/>
          <w:color w:val="9E0880"/>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The development of the intermodal terminals is viewed as being very important for the development of rail freight in Romania as they are integral to allowing rail to compete in a modern and growing sector. The refurbishing of the terminal at Turda is scheduled for implementation in the period 2015 – 2020 so that capacity can be provided before it is outgrown.</w:t>
      </w:r>
    </w:p>
    <w:p w:rsidR="00660414" w:rsidRDefault="00660414" w:rsidP="00660414">
      <w:pPr>
        <w:rPr>
          <w:b/>
          <w:i/>
          <w:sz w:val="22"/>
          <w:szCs w:val="22"/>
        </w:rPr>
      </w:pPr>
      <w:r>
        <w:rPr>
          <w:b/>
        </w:rPr>
        <w:br w:type="page"/>
      </w:r>
    </w:p>
    <w:p w:rsidR="00660414" w:rsidRDefault="00660414" w:rsidP="00660414">
      <w:pPr>
        <w:spacing w:before="120" w:after="120" w:line="276" w:lineRule="auto"/>
        <w:rPr>
          <w:rFonts w:cs="Arial"/>
          <w:b/>
          <w:color w:val="9E0880"/>
        </w:rPr>
      </w:pPr>
      <w:r w:rsidRPr="002E1E5F">
        <w:rPr>
          <w:rFonts w:cs="Arial"/>
          <w:b/>
          <w:color w:val="9E0880"/>
          <w:sz w:val="22"/>
          <w:szCs w:val="22"/>
        </w:rPr>
        <w:t>Suceava (Refurbished or New BuildTerminal)</w:t>
      </w:r>
    </w:p>
    <w:p w:rsidR="00660414" w:rsidRDefault="00660414" w:rsidP="00A4081F">
      <w:pPr>
        <w:pStyle w:val="NumberedParas"/>
      </w:pPr>
      <w:r w:rsidRPr="002E1E5F">
        <w:t>AECOM propose that the existing terminal at Suceava is refurbished to increase efficiency, lower costs and transit times and to promote growth of the intermodal sector. Given the strong growth in tonnage already experienced, Suceava offers an opportunity to further develop and encourage intermodal traffic on corridor IX.</w:t>
      </w:r>
      <w:r>
        <w:t xml:space="preserve"> If rehabilitation is not possible then AECOM proposes that a new terminal is created.</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t xml:space="preserve">OR16, Develop a network of “open user” freight terminals to serve Romania’s highest demand potential regions, cities and major EU markets in Bulgaria and Hungary. </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Expected growth in the intermodal sector means that capacity at this terminal will be outgrown within a short time frame (see Outcomes) and so modernisation is required, particularly given the growth witnessed during the recession.</w:t>
      </w:r>
      <w:r>
        <w:t xml:space="preserve"> </w:t>
      </w:r>
      <w:r w:rsidRPr="002E1E5F">
        <w:t>Suceava</w:t>
      </w:r>
      <w:r>
        <w:t xml:space="preserve"> stands to benefit from being on the route of the potential “Project Viking” services and as such should be equipped to serve this new set of north-south intermational intermodal services in an efficient and timely way.</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w:t>
      </w:r>
      <w:r>
        <w:t>interventions) has the following impact:</w:t>
      </w:r>
    </w:p>
    <w:p w:rsidR="00660414" w:rsidRDefault="00660414" w:rsidP="00660414">
      <w:pPr>
        <w:pStyle w:val="ListParagraph"/>
        <w:ind w:left="680"/>
        <w:rPr>
          <w:b/>
        </w:rPr>
      </w:pPr>
      <w:r w:rsidRPr="00DC15D5">
        <w:rPr>
          <w:b/>
          <w:sz w:val="22"/>
          <w:szCs w:val="22"/>
        </w:rPr>
        <w:t>Table</w:t>
      </w:r>
      <w:r>
        <w:rPr>
          <w:b/>
          <w:sz w:val="22"/>
          <w:szCs w:val="22"/>
        </w:rPr>
        <w:t xml:space="preserve"> 8.29</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4"/>
        <w:gridCol w:w="2295"/>
        <w:gridCol w:w="1377"/>
        <w:gridCol w:w="1281"/>
        <w:gridCol w:w="1280"/>
        <w:gridCol w:w="1354"/>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34</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55</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26%</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45%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81%</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131%</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63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93</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130</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26%</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150%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221%</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310%</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7%</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38%</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55%</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77%</w:t>
            </w:r>
          </w:p>
        </w:tc>
      </w:tr>
    </w:tbl>
    <w:p w:rsidR="00660414" w:rsidRPr="000A76BD" w:rsidRDefault="00660414" w:rsidP="00660414">
      <w:pPr>
        <w:spacing w:before="120" w:after="120" w:line="276" w:lineRule="auto"/>
        <w:rPr>
          <w:sz w:val="22"/>
          <w:szCs w:val="22"/>
        </w:rPr>
      </w:pP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22EC6C10" wp14:editId="62FA54FD">
            <wp:extent cx="4572000" cy="2745441"/>
            <wp:effectExtent l="19050" t="0" r="19050" b="0"/>
            <wp:docPr id="41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rsidR="00660414" w:rsidRDefault="00660414" w:rsidP="00660414">
      <w:pPr>
        <w:spacing w:before="120" w:after="120" w:line="276" w:lineRule="auto"/>
        <w:ind w:left="709"/>
        <w:rPr>
          <w:b/>
          <w:sz w:val="22"/>
          <w:szCs w:val="22"/>
        </w:rPr>
      </w:pPr>
      <w:r>
        <w:rPr>
          <w:b/>
          <w:sz w:val="22"/>
          <w:szCs w:val="22"/>
        </w:rPr>
        <w:t>Figure 8.25: Chart of Difference between All Terminals and Reference Scenarios</w:t>
      </w:r>
    </w:p>
    <w:p w:rsidR="00660414" w:rsidRPr="000A76BD" w:rsidRDefault="00660414" w:rsidP="00660414">
      <w:pPr>
        <w:spacing w:before="120" w:after="120" w:line="276" w:lineRule="auto"/>
        <w:jc w:val="center"/>
        <w:rPr>
          <w:sz w:val="22"/>
          <w:szCs w:val="22"/>
        </w:rPr>
      </w:pPr>
    </w:p>
    <w:p w:rsidR="00660414" w:rsidRDefault="00660414" w:rsidP="00A4081F">
      <w:pPr>
        <w:pStyle w:val="NumberedParas"/>
        <w:numPr>
          <w:ilvl w:val="0"/>
          <w:numId w:val="0"/>
        </w:numPr>
        <w:ind w:left="1673"/>
      </w:pPr>
      <w:r>
        <w:t>A new build terminal would satisfy the Master Plan criterion at Suceava however the lower costs of a refurbished terminal means that the refurbished terminal has a better BCR when compared to a new build.</w:t>
      </w:r>
    </w:p>
    <w:p w:rsidR="00660414" w:rsidRDefault="00660414" w:rsidP="00A4081F">
      <w:pPr>
        <w:pStyle w:val="NumberedParas"/>
        <w:numPr>
          <w:ilvl w:val="0"/>
          <w:numId w:val="0"/>
        </w:numPr>
        <w:ind w:left="1673"/>
      </w:pPr>
    </w:p>
    <w:p w:rsidR="00660414" w:rsidRDefault="00660414" w:rsidP="00A4081F">
      <w:pPr>
        <w:pStyle w:val="NumberedParas"/>
        <w:numPr>
          <w:ilvl w:val="0"/>
          <w:numId w:val="0"/>
        </w:numPr>
        <w:ind w:left="680"/>
      </w:pPr>
      <w:r>
        <w:t>Table 8.30</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pBdr>
                <w:top w:val="single" w:sz="4" w:space="0" w:color="auto"/>
                <w:left w:val="single" w:sz="4" w:space="0" w:color="auto"/>
                <w:right w:val="single" w:sz="4" w:space="0" w:color="auto"/>
              </w:pBdr>
              <w:spacing w:before="100" w:beforeAutospacing="1" w:after="100" w:afterAutospacing="1"/>
              <w:jc w:val="center"/>
              <w:textAlignment w:val="center"/>
              <w:rPr>
                <w:rFonts w:eastAsia="Calibri"/>
                <w:sz w:val="22"/>
                <w:szCs w:val="22"/>
              </w:rPr>
            </w:pPr>
            <w:r w:rsidRPr="002E1E5F">
              <w:rPr>
                <w:sz w:val="22"/>
                <w:szCs w:val="22"/>
              </w:rPr>
              <w:t>Economic Impact</w:t>
            </w: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vAlign w:val="center"/>
          </w:tcPr>
          <w:p w:rsidR="00660414" w:rsidRDefault="00660414" w:rsidP="007613DE">
            <w:pPr>
              <w:jc w:val="cente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Pr>
                <w:rFonts w:eastAsia="Calibri"/>
                <w:sz w:val="22"/>
                <w:szCs w:val="22"/>
                <w:lang w:eastAsia="en-GB"/>
              </w:rPr>
              <w:t>5.3</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14.3%</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6.4%</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4.00</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1.29</w:t>
            </w:r>
          </w:p>
        </w:tc>
      </w:tr>
    </w:tbl>
    <w:p w:rsidR="00660414" w:rsidRDefault="00660414" w:rsidP="00660414">
      <w:pPr>
        <w:spacing w:before="120" w:after="120" w:line="276" w:lineRule="auto"/>
        <w:ind w:left="851"/>
        <w:rPr>
          <w:b/>
          <w:i/>
          <w:color w:val="9E0880"/>
          <w:sz w:val="22"/>
          <w:szCs w:val="22"/>
          <w:lang w:val="ro-RO"/>
        </w:rPr>
      </w:pPr>
    </w:p>
    <w:p w:rsidR="00660414" w:rsidRDefault="00660414" w:rsidP="00660414">
      <w:pPr>
        <w:spacing w:before="120" w:after="120" w:line="276" w:lineRule="auto"/>
        <w:ind w:left="851"/>
        <w:rPr>
          <w:b/>
          <w:color w:val="9E0880"/>
          <w:lang w:val="ro-RO"/>
        </w:rPr>
      </w:pPr>
      <w:r w:rsidRPr="002E1E5F">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w:t>
      </w:r>
      <w:r w:rsidRPr="002E1E5F">
        <w:t xml:space="preserve">The development of the intermodal terminals is viewed as being very important for the development of rail freight in Romania as they are integral to allowing rail to compete in a modern and growing sector. The refurbishing </w:t>
      </w:r>
      <w:r>
        <w:t xml:space="preserve">or new build </w:t>
      </w:r>
      <w:r w:rsidRPr="002E1E5F">
        <w:t>of the terminal at Suceava is scheduled for implementation in the period 2015 – 2020 so that capacity can be provided before momentum from the terminal’s current increased use is lost.</w:t>
      </w:r>
      <w:r>
        <w:t xml:space="preserve"> Also it is difficult to assess the full benefits of through transit traffic such as Project Viking but it can only be a positive thing.</w:t>
      </w:r>
    </w:p>
    <w:p w:rsidR="00660414" w:rsidRDefault="00660414" w:rsidP="00660414">
      <w:pPr>
        <w:rPr>
          <w:b/>
          <w:sz w:val="22"/>
          <w:szCs w:val="22"/>
          <w:u w:val="single"/>
        </w:rPr>
      </w:pPr>
      <w:r>
        <w:rPr>
          <w:b/>
          <w:i/>
          <w:u w:val="single"/>
        </w:rPr>
        <w:br w:type="page"/>
      </w:r>
    </w:p>
    <w:p w:rsidR="00660414" w:rsidRDefault="00660414" w:rsidP="00660414">
      <w:pPr>
        <w:spacing w:before="120" w:after="120" w:line="276" w:lineRule="auto"/>
        <w:rPr>
          <w:rFonts w:cs="Arial"/>
          <w:b/>
          <w:color w:val="9E0880"/>
        </w:rPr>
      </w:pPr>
      <w:r w:rsidRPr="002E1E5F">
        <w:rPr>
          <w:rFonts w:cs="Arial"/>
          <w:b/>
          <w:color w:val="9E0880"/>
          <w:sz w:val="22"/>
          <w:szCs w:val="22"/>
        </w:rPr>
        <w:t>Bacau (Refurbished or New Build Terminal)</w:t>
      </w:r>
    </w:p>
    <w:p w:rsidR="00660414" w:rsidRDefault="00660414" w:rsidP="00A4081F">
      <w:pPr>
        <w:pStyle w:val="NumberedParas"/>
      </w:pPr>
      <w:r w:rsidRPr="002E1E5F">
        <w:t xml:space="preserve">AECOM propose that the existing terminal at Bacau is refurbished and expanded to the south east to increase efficiency, lower costs and transit times and to promote growth of the intermodal sector. </w:t>
      </w:r>
      <w:r>
        <w:t>If refurbishment is not possible then AECOM proposes that a new terminal is created.</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Operational Objective </w:t>
      </w:r>
    </w:p>
    <w:p w:rsidR="00660414" w:rsidRDefault="00660414" w:rsidP="00A4081F">
      <w:pPr>
        <w:pStyle w:val="NumberedParas"/>
      </w:pPr>
      <w:r w:rsidRPr="002E1E5F">
        <w:t xml:space="preserve">OR16, Develop a network of “open user” freight terminals to serve Romania’s highest demand potential regions, cities and major EU markets in Bulgaria and Hungary. </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Problem Addressed</w:t>
      </w:r>
    </w:p>
    <w:p w:rsidR="00660414" w:rsidRDefault="00660414" w:rsidP="00A4081F">
      <w:pPr>
        <w:pStyle w:val="NumberedParas"/>
      </w:pPr>
      <w:r w:rsidRPr="002E1E5F">
        <w:t>Current intermodal freight volumes in Romania are low, and this is partly due to the poor state of the facilities designed to receive them. Expected growth in the intermodal sector means that the current layout at Bacau will soon be overwhelmed (see Outcomes), and so improvements need to be made to increase throughput and enable greater container storage.</w:t>
      </w:r>
    </w:p>
    <w:p w:rsidR="00660414" w:rsidRDefault="00660414" w:rsidP="00660414">
      <w:pPr>
        <w:spacing w:before="120" w:after="120" w:line="276" w:lineRule="auto"/>
        <w:ind w:left="851"/>
        <w:rPr>
          <w:b/>
          <w:color w:val="9E0880"/>
          <w:lang w:val="ro-RO"/>
        </w:rPr>
      </w:pPr>
      <w:r w:rsidRPr="002E1E5F">
        <w:rPr>
          <w:b/>
          <w:i/>
          <w:color w:val="9E0880"/>
          <w:sz w:val="22"/>
          <w:szCs w:val="22"/>
          <w:lang w:val="ro-RO"/>
        </w:rPr>
        <w:t xml:space="preserve">Outcomes </w:t>
      </w:r>
    </w:p>
    <w:p w:rsidR="00660414" w:rsidRDefault="00660414" w:rsidP="00A4081F">
      <w:pPr>
        <w:pStyle w:val="NumberedParas"/>
      </w:pPr>
      <w:r w:rsidRPr="002E1E5F">
        <w:t xml:space="preserve">As demonstrated in the table and chart below, the intervention (in concert with the other intermodal terminals) provides a significant boost to the amount of intermodal freight travelling by rail. </w:t>
      </w:r>
    </w:p>
    <w:p w:rsidR="00660414" w:rsidRDefault="00660414" w:rsidP="00660414">
      <w:pPr>
        <w:pStyle w:val="ListParagraph"/>
        <w:ind w:left="680"/>
        <w:rPr>
          <w:b/>
          <w:sz w:val="22"/>
          <w:szCs w:val="22"/>
        </w:rPr>
      </w:pPr>
    </w:p>
    <w:p w:rsidR="00660414" w:rsidRDefault="00660414" w:rsidP="00660414">
      <w:pPr>
        <w:pStyle w:val="ListParagraph"/>
        <w:ind w:left="680"/>
        <w:rPr>
          <w:b/>
          <w:sz w:val="22"/>
          <w:szCs w:val="22"/>
        </w:rPr>
      </w:pPr>
      <w:r w:rsidRPr="00DC15D5">
        <w:rPr>
          <w:b/>
          <w:sz w:val="22"/>
          <w:szCs w:val="22"/>
        </w:rPr>
        <w:t>Table</w:t>
      </w:r>
      <w:r>
        <w:rPr>
          <w:b/>
          <w:sz w:val="22"/>
          <w:szCs w:val="22"/>
        </w:rPr>
        <w:t xml:space="preserve"> 8.31</w:t>
      </w:r>
      <w:r w:rsidRPr="00DC15D5">
        <w:rPr>
          <w:b/>
          <w:sz w:val="22"/>
          <w:szCs w:val="22"/>
        </w:rPr>
        <w:t xml:space="preserve"> Current and Potential Demand (TEU) at Selected Milestone Dates</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4"/>
        <w:gridCol w:w="2295"/>
        <w:gridCol w:w="1377"/>
        <w:gridCol w:w="1281"/>
        <w:gridCol w:w="1280"/>
        <w:gridCol w:w="1354"/>
      </w:tblGrid>
      <w:tr w:rsidR="00660414" w:rsidRPr="000A76BD" w:rsidTr="007613DE">
        <w:trPr>
          <w:trHeight w:val="99"/>
        </w:trPr>
        <w:tc>
          <w:tcPr>
            <w:tcW w:w="4776"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2011</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2030</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2040</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Reference Case</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15</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41</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62</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36%</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57%</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98%</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148%</w:t>
            </w:r>
          </w:p>
        </w:tc>
      </w:tr>
      <w:tr w:rsidR="00660414" w:rsidRPr="000A76BD" w:rsidTr="007613DE">
        <w:trPr>
          <w:trHeight w:val="99"/>
        </w:trPr>
        <w:tc>
          <w:tcPr>
            <w:tcW w:w="22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b/>
                <w:bCs/>
                <w:sz w:val="22"/>
                <w:szCs w:val="22"/>
                <w:lang w:eastAsia="en-GB"/>
              </w:rPr>
              <w:t>With Terminal</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Daily Demand</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15</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74</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107</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150</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sz w:val="22"/>
                <w:szCs w:val="22"/>
                <w:lang w:eastAsia="en-GB"/>
              </w:rPr>
              <w:t>Percentage of Capacity (Current)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36%</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176%</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255%</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sz w:val="22"/>
                <w:szCs w:val="22"/>
              </w:rPr>
              <w:t>357%</w:t>
            </w:r>
          </w:p>
        </w:tc>
      </w:tr>
      <w:tr w:rsidR="00660414" w:rsidRPr="000A76BD" w:rsidTr="007613DE">
        <w:trPr>
          <w:trHeight w:val="99"/>
        </w:trPr>
        <w:tc>
          <w:tcPr>
            <w:tcW w:w="222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60414" w:rsidRPr="000A76BD" w:rsidRDefault="00660414" w:rsidP="007613DE">
            <w:pPr>
              <w:jc w:val="center"/>
              <w:rPr>
                <w:sz w:val="22"/>
                <w:szCs w:val="22"/>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lang w:eastAsia="en-GB"/>
              </w:rPr>
            </w:pPr>
            <w:r w:rsidRPr="002E1E5F">
              <w:rPr>
                <w:i/>
                <w:iCs/>
                <w:sz w:val="22"/>
                <w:szCs w:val="22"/>
                <w:lang w:eastAsia="en-GB"/>
              </w:rPr>
              <w:t>Percentage of Capacity (Best Practice)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9%</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44%</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64%</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660414" w:rsidRPr="000A76BD" w:rsidRDefault="00660414" w:rsidP="007613DE">
            <w:pPr>
              <w:jc w:val="center"/>
              <w:rPr>
                <w:sz w:val="22"/>
                <w:szCs w:val="22"/>
              </w:rPr>
            </w:pPr>
            <w:r w:rsidRPr="002E1E5F">
              <w:rPr>
                <w:i/>
                <w:iCs/>
                <w:sz w:val="22"/>
                <w:szCs w:val="22"/>
              </w:rPr>
              <w:t>89%</w:t>
            </w:r>
          </w:p>
        </w:tc>
      </w:tr>
    </w:tbl>
    <w:p w:rsidR="00660414" w:rsidRDefault="00660414" w:rsidP="00660414">
      <w:pPr>
        <w:spacing w:before="120" w:after="120" w:line="276" w:lineRule="auto"/>
        <w:jc w:val="center"/>
        <w:rPr>
          <w:sz w:val="22"/>
          <w:szCs w:val="22"/>
        </w:rPr>
      </w:pPr>
    </w:p>
    <w:p w:rsidR="00660414" w:rsidRDefault="00660414" w:rsidP="00660414">
      <w:pPr>
        <w:rPr>
          <w:sz w:val="22"/>
          <w:szCs w:val="22"/>
        </w:rPr>
      </w:pPr>
      <w:r>
        <w:rPr>
          <w:sz w:val="22"/>
          <w:szCs w:val="22"/>
        </w:rPr>
        <w:br w:type="page"/>
      </w:r>
    </w:p>
    <w:p w:rsidR="00660414" w:rsidRDefault="00660414" w:rsidP="00660414">
      <w:pPr>
        <w:spacing w:before="120" w:after="120" w:line="276" w:lineRule="auto"/>
        <w:jc w:val="center"/>
        <w:rPr>
          <w:sz w:val="22"/>
          <w:szCs w:val="22"/>
        </w:rPr>
      </w:pPr>
      <w:r w:rsidRPr="008C5B1B">
        <w:rPr>
          <w:noProof/>
          <w:sz w:val="22"/>
          <w:szCs w:val="22"/>
          <w:lang w:val="ro-RO" w:eastAsia="ro-RO"/>
        </w:rPr>
        <w:drawing>
          <wp:inline distT="0" distB="0" distL="0" distR="0" wp14:anchorId="389B4A13" wp14:editId="38757E6A">
            <wp:extent cx="4287600" cy="2658140"/>
            <wp:effectExtent l="19050" t="0" r="17700" b="8860"/>
            <wp:docPr id="41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rsidR="00660414" w:rsidRDefault="00660414" w:rsidP="00660414">
      <w:pPr>
        <w:spacing w:before="120" w:after="120" w:line="276" w:lineRule="auto"/>
        <w:ind w:left="709"/>
        <w:rPr>
          <w:b/>
          <w:sz w:val="22"/>
          <w:szCs w:val="22"/>
        </w:rPr>
      </w:pPr>
      <w:r>
        <w:rPr>
          <w:b/>
          <w:sz w:val="22"/>
          <w:szCs w:val="22"/>
        </w:rPr>
        <w:t>Figure 8.26: Chart of Difference between All Terminals and Reference Scenarios</w:t>
      </w:r>
    </w:p>
    <w:p w:rsidR="00660414" w:rsidRPr="000A76BD" w:rsidRDefault="00660414" w:rsidP="00660414">
      <w:pPr>
        <w:spacing w:before="120" w:after="120" w:line="276" w:lineRule="auto"/>
        <w:jc w:val="center"/>
        <w:rPr>
          <w:sz w:val="22"/>
          <w:szCs w:val="22"/>
        </w:rPr>
      </w:pPr>
    </w:p>
    <w:p w:rsidR="00660414" w:rsidRDefault="00660414" w:rsidP="00A4081F">
      <w:pPr>
        <w:pStyle w:val="NumberedParas"/>
        <w:numPr>
          <w:ilvl w:val="0"/>
          <w:numId w:val="0"/>
        </w:numPr>
        <w:ind w:left="1673"/>
      </w:pPr>
      <w:r>
        <w:t>A new build terminal would satisfy the Master Plan criterion at Bacau however the lower costs of a refurbished terminal means that the refurbished terminal has a better BCR than a new build.</w:t>
      </w:r>
    </w:p>
    <w:p w:rsidR="00660414" w:rsidRDefault="00660414" w:rsidP="00A4081F">
      <w:pPr>
        <w:pStyle w:val="NumberedParas"/>
        <w:numPr>
          <w:ilvl w:val="0"/>
          <w:numId w:val="0"/>
        </w:numPr>
        <w:ind w:left="1673"/>
      </w:pPr>
    </w:p>
    <w:p w:rsidR="00660414" w:rsidRDefault="00660414" w:rsidP="00A4081F">
      <w:pPr>
        <w:pStyle w:val="NumberedParas"/>
        <w:numPr>
          <w:ilvl w:val="0"/>
          <w:numId w:val="0"/>
        </w:numPr>
        <w:ind w:left="680"/>
      </w:pPr>
      <w:r>
        <w:t>Table 8.32</w:t>
      </w:r>
      <w:r w:rsidRPr="004A007D">
        <w:t>: Economic Impact of Terminal Construction</w:t>
      </w:r>
    </w:p>
    <w:tbl>
      <w:tblPr>
        <w:tblW w:w="4220" w:type="pct"/>
        <w:jc w:val="center"/>
        <w:tblCellMar>
          <w:left w:w="0" w:type="dxa"/>
          <w:right w:w="0" w:type="dxa"/>
        </w:tblCellMar>
        <w:tblLook w:val="04A0" w:firstRow="1" w:lastRow="0" w:firstColumn="1" w:lastColumn="0" w:noHBand="0" w:noVBand="1"/>
      </w:tblPr>
      <w:tblGrid>
        <w:gridCol w:w="4991"/>
        <w:gridCol w:w="1898"/>
        <w:gridCol w:w="1896"/>
      </w:tblGrid>
      <w:tr w:rsidR="00660414" w:rsidRPr="000A76BD" w:rsidTr="007613DE">
        <w:trPr>
          <w:trHeight w:val="499"/>
          <w:jc w:val="center"/>
        </w:trPr>
        <w:tc>
          <w:tcPr>
            <w:tcW w:w="2841" w:type="pct"/>
            <w:tcBorders>
              <w:top w:val="single" w:sz="8" w:space="0" w:color="auto"/>
              <w:left w:val="single" w:sz="8" w:space="0" w:color="auto"/>
              <w:bottom w:val="nil"/>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pBdr>
                <w:top w:val="single" w:sz="4" w:space="0" w:color="auto"/>
                <w:left w:val="single" w:sz="4" w:space="0" w:color="auto"/>
                <w:right w:val="single" w:sz="4" w:space="0" w:color="auto"/>
              </w:pBdr>
              <w:spacing w:before="100" w:beforeAutospacing="1" w:after="100" w:afterAutospacing="1"/>
              <w:jc w:val="center"/>
              <w:textAlignment w:val="center"/>
              <w:rPr>
                <w:rFonts w:eastAsia="Calibri"/>
                <w:sz w:val="22"/>
                <w:szCs w:val="22"/>
              </w:rPr>
            </w:pPr>
          </w:p>
        </w:tc>
        <w:tc>
          <w:tcPr>
            <w:tcW w:w="108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Pr>
                <w:rFonts w:eastAsia="Calibri"/>
                <w:sz w:val="22"/>
                <w:szCs w:val="22"/>
              </w:rPr>
              <w:t>Refurbished</w:t>
            </w:r>
          </w:p>
        </w:tc>
        <w:tc>
          <w:tcPr>
            <w:tcW w:w="1079" w:type="pct"/>
            <w:tcBorders>
              <w:top w:val="single" w:sz="8" w:space="0" w:color="auto"/>
              <w:left w:val="nil"/>
              <w:bottom w:val="single" w:sz="8" w:space="0" w:color="auto"/>
              <w:right w:val="single" w:sz="8" w:space="0" w:color="auto"/>
            </w:tcBorders>
          </w:tcPr>
          <w:p w:rsidR="00660414" w:rsidRDefault="00660414" w:rsidP="007613DE">
            <w:pPr>
              <w:jc w:val="center"/>
              <w:rPr>
                <w:rFonts w:eastAsia="Calibri"/>
                <w:sz w:val="22"/>
                <w:szCs w:val="22"/>
              </w:rPr>
            </w:pPr>
            <w:r>
              <w:rPr>
                <w:rFonts w:eastAsia="Calibri"/>
                <w:sz w:val="22"/>
                <w:szCs w:val="22"/>
              </w:rPr>
              <w:t>New Build</w:t>
            </w:r>
          </w:p>
        </w:tc>
      </w:tr>
      <w:tr w:rsidR="00660414" w:rsidRPr="000A76BD" w:rsidTr="007613DE">
        <w:trPr>
          <w:trHeight w:val="250"/>
          <w:jc w:val="center"/>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Present Value of Costs</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Pr>
                <w:rFonts w:eastAsia="Calibri"/>
                <w:sz w:val="22"/>
                <w:szCs w:val="22"/>
                <w:lang w:eastAsia="en-GB"/>
              </w:rPr>
              <w:t>5.3</w:t>
            </w:r>
          </w:p>
        </w:tc>
        <w:tc>
          <w:tcPr>
            <w:tcW w:w="1079" w:type="pct"/>
            <w:tcBorders>
              <w:top w:val="single" w:sz="8" w:space="0" w:color="auto"/>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14.4</w:t>
            </w:r>
          </w:p>
        </w:tc>
      </w:tr>
      <w:tr w:rsidR="00660414" w:rsidRPr="000A76BD" w:rsidTr="007613DE">
        <w:trPr>
          <w:trHeight w:val="250"/>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EIRR</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14.4%</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6.4%</w:t>
            </w:r>
          </w:p>
        </w:tc>
      </w:tr>
      <w:tr w:rsidR="00660414" w:rsidRPr="000A76BD" w:rsidTr="007613DE">
        <w:trPr>
          <w:trHeight w:val="265"/>
          <w:jc w:val="center"/>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rPr>
            </w:pPr>
            <w:r w:rsidRPr="002E1E5F">
              <w:rPr>
                <w:sz w:val="22"/>
                <w:szCs w:val="22"/>
              </w:rPr>
              <w:t>Benefit/Cost Ratio</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660414" w:rsidRPr="000A76BD" w:rsidRDefault="00660414" w:rsidP="007613DE">
            <w:pPr>
              <w:jc w:val="center"/>
              <w:rPr>
                <w:rFonts w:eastAsia="Calibri"/>
                <w:sz w:val="22"/>
                <w:szCs w:val="22"/>
                <w:lang w:eastAsia="en-GB"/>
              </w:rPr>
            </w:pPr>
            <w:r w:rsidRPr="002E1E5F">
              <w:rPr>
                <w:rFonts w:eastAsia="Calibri"/>
                <w:sz w:val="22"/>
                <w:szCs w:val="22"/>
                <w:lang w:eastAsia="en-GB"/>
              </w:rPr>
              <w:t>3.95</w:t>
            </w:r>
          </w:p>
        </w:tc>
        <w:tc>
          <w:tcPr>
            <w:tcW w:w="1079" w:type="pct"/>
            <w:tcBorders>
              <w:top w:val="nil"/>
              <w:left w:val="nil"/>
              <w:bottom w:val="single" w:sz="8" w:space="0" w:color="auto"/>
              <w:right w:val="single" w:sz="8" w:space="0" w:color="auto"/>
            </w:tcBorders>
            <w:vAlign w:val="center"/>
          </w:tcPr>
          <w:p w:rsidR="00660414" w:rsidRPr="003B3E0A" w:rsidRDefault="00660414" w:rsidP="007613DE">
            <w:pPr>
              <w:jc w:val="center"/>
              <w:rPr>
                <w:rFonts w:eastAsia="Calibri"/>
                <w:sz w:val="22"/>
                <w:szCs w:val="22"/>
                <w:lang w:eastAsia="en-GB"/>
              </w:rPr>
            </w:pPr>
            <w:r>
              <w:rPr>
                <w:rFonts w:cs="Arial"/>
                <w:b/>
                <w:bCs/>
                <w:color w:val="000000"/>
                <w:sz w:val="20"/>
                <w:szCs w:val="20"/>
              </w:rPr>
              <w:t>1.28</w:t>
            </w:r>
          </w:p>
        </w:tc>
      </w:tr>
    </w:tbl>
    <w:p w:rsidR="00660414" w:rsidRPr="000A0472" w:rsidRDefault="00660414" w:rsidP="00660414">
      <w:pPr>
        <w:spacing w:before="120" w:after="120" w:line="276" w:lineRule="auto"/>
        <w:ind w:left="851"/>
        <w:rPr>
          <w:b/>
          <w:i/>
          <w:color w:val="9E0880"/>
          <w:sz w:val="22"/>
          <w:szCs w:val="22"/>
          <w:lang w:val="ro-RO"/>
        </w:rPr>
      </w:pPr>
      <w:r w:rsidRPr="008C5B1B">
        <w:rPr>
          <w:b/>
          <w:i/>
          <w:color w:val="9E0880"/>
          <w:sz w:val="22"/>
          <w:szCs w:val="22"/>
          <w:lang w:val="ro-RO"/>
        </w:rPr>
        <w:t>Implementation:</w:t>
      </w:r>
    </w:p>
    <w:p w:rsidR="00660414" w:rsidRDefault="00660414" w:rsidP="00A4081F">
      <w:pPr>
        <w:pStyle w:val="NumberedParas"/>
      </w:pPr>
      <w:r w:rsidRPr="002E1E5F">
        <w:t xml:space="preserve">This scheme would be implemented </w:t>
      </w:r>
      <w:r>
        <w:t xml:space="preserve">as suggested in paragraph 8.4.6.  The development of the intermodal terminals is viewed as being very important for the development of rail freight in Romania as they are integral to allowing rail to compete in a modern and growing sector. The refurbishing of the terminal at Bacau is scheduled for implementation in the period 2015 – 2020 so that capacity can be provided before the existing terminal is over-capacity. </w:t>
      </w:r>
    </w:p>
    <w:p w:rsidR="003349F2" w:rsidRDefault="003349F2">
      <w:pPr>
        <w:rPr>
          <w:b/>
          <w:i/>
          <w:color w:val="9E0880"/>
          <w:sz w:val="22"/>
          <w:szCs w:val="22"/>
          <w:lang w:val="ro-RO"/>
        </w:rPr>
      </w:pPr>
      <w:r>
        <w:br w:type="page"/>
      </w:r>
    </w:p>
    <w:p w:rsidR="00660414" w:rsidRPr="000A76BD" w:rsidRDefault="00660414" w:rsidP="00660414">
      <w:pPr>
        <w:pStyle w:val="Hdg3"/>
      </w:pPr>
      <w:r>
        <w:t>General</w:t>
      </w:r>
      <w:r w:rsidRPr="002E1E5F">
        <w:t xml:space="preserve"> Rail Freight</w:t>
      </w:r>
      <w:r>
        <w:t xml:space="preserve"> Improvements that will also Benefit Intermodal</w:t>
      </w:r>
    </w:p>
    <w:p w:rsidR="00660414" w:rsidRPr="000A76BD" w:rsidRDefault="00660414" w:rsidP="00A4081F">
      <w:pPr>
        <w:pStyle w:val="NumberedParas"/>
      </w:pPr>
      <w:r>
        <w:t>Freight will be able to benefit from the improvements being made for the passenger network to become more competitive with road, and as such much of its potential growth depends on the rehabilitation of the network and the improved reliability which is outlined in the main rail section. In particular the rehabilitation of key corridors to their full design speed and capacity will remove speed restrictions, reducing journey times whilst simultaneously improving reliability. This is particularly the case given the current operational speed limit for all freight trains being limited to 80km/h. We have seen no compelling evidence why the speed limit for certain freight trains could not be raised to 120 km/h on rehabilitated tracks, where line speeds, and gradients, allow.</w:t>
      </w:r>
    </w:p>
    <w:p w:rsidR="00660414" w:rsidRPr="000A76BD" w:rsidRDefault="00660414" w:rsidP="00A4081F">
      <w:pPr>
        <w:pStyle w:val="NumberedParas"/>
      </w:pPr>
      <w:r>
        <w:t>Journey times will benefit from the creation of a sound performance accountability system to encourage effective and consistent timetabling and use through a compensatory regime for delays. Similarly, improvements to train handling procedures and administrative systems at borders will also benefit international freight flows.  The evidence we have seen suggests that private operators can deal with the border crossing procedures in less than an hour, whereas trains run by the state-owned operator CFR Marfa typically take more than two hours to obtain clearances.  Reducing times for administrative procedures improves track utilisation and reduces the need for additional train storage areas.</w:t>
      </w:r>
    </w:p>
    <w:p w:rsidR="00660414" w:rsidRPr="000A76BD" w:rsidRDefault="00660414" w:rsidP="00A4081F">
      <w:pPr>
        <w:pStyle w:val="NumberedParas"/>
      </w:pPr>
      <w:r>
        <w:t>There are a number of interventions which will provide improvements to Romania’s rail freight potential and network. International interoperability of trains is an important European aim to facilitate long distance international rail freight and therefore, as part of the rehabilitation programme, it is important that axle weight limits on all rehabilitated corridors are improved to 22.5 tonnes, in line with European norms. Although a proportion of the existing legacy rolling stock will not be able to make use of higher axle weights, some wagons are already suitable and all new and refurbished wagons would have enhanced capability. This will not only enable better use of most rolling stock (as wagons will not need to be underloaded) but also smooth the flow of trains from other countries as they will not have to be loaded to meet Romania’s unique axle weight restrictions but instead be able to travel widely across the EU. On a 30 wagon train, this could improve productivity by approximately 15% due to the increase in tonnage that could potentially be carried (an extra 240 tonnes). Although this will not be the case on every single service operated, it is an important increase in capacity and efficiency. This is a key intervention and will carry on throughout the duration of the masterplan, resulting in a network of reliable, more productive freight corridors across the country.</w:t>
      </w:r>
    </w:p>
    <w:p w:rsidR="00660414" w:rsidRPr="000A76BD" w:rsidRDefault="00660414" w:rsidP="00A4081F">
      <w:pPr>
        <w:pStyle w:val="NumberedParas"/>
      </w:pPr>
      <w:r>
        <w:t xml:space="preserve">The rehabilitation programme will enable better speeds for freight trains across the network, in particular this should be capitalised on through the creation of a two-tier system differentiating between heavier bulk and lighter intermodal freight trains. It is recommended that containers are run on dedicated block trains rather than the existing procedure of transporting a proportion of containers on the stopping pick-up services or mixed wagon trains. The intermodal block services should be capable of speeds of 120km/h and prioritised over slower freight services and even some slow passenger services in order to ensure lower journey times and improved journey time reliability. Intermodal transport is a key future market sector for rail freight, and offers the best potential to ensure sustainable modal shift from road to rail transport provided that rail’s offer is competitive. Intermodal and bulk rail freight transport will also benefit from a range of technological interventions. There is an opportunity to streamline and increase efficiency through improved training and use of technology. Whilst some modern systems are utilised on the network (ARGOS and the utilisation of GPS tracking by some private rail freight operators for example) this is currently limited. The roll-out of technology is further hampered by the traditional and somewhat out-moded training delivered to workers on the railway, therefore the introduction of new technology should be integrated with a revamped training system to make best use of the new facilities both in the short and long-term. </w:t>
      </w:r>
    </w:p>
    <w:p w:rsidR="00660414" w:rsidRPr="000A76BD" w:rsidRDefault="00660414" w:rsidP="00A4081F">
      <w:pPr>
        <w:pStyle w:val="NumberedParas"/>
      </w:pPr>
      <w:r>
        <w:t xml:space="preserve">The privatisation of CFR Marfa will enable private operators to develop long-term relationships with key customers. Currently the uncertainty over CFR Marfa’s future means that the railway is locked into a cycle of short-term contracts, limited maintenance and an inability to make investment decisions, as there is little long-term thinking in an organisation that is still uncertain over its future. </w:t>
      </w:r>
    </w:p>
    <w:p w:rsidR="00660414" w:rsidRPr="000A76BD" w:rsidRDefault="00660414" w:rsidP="00A4081F">
      <w:pPr>
        <w:pStyle w:val="NumberedParas"/>
      </w:pPr>
      <w:r>
        <w:t>Such long-term thinking and new technology could also be used on the network to make its use more sustainable. A proportion of current rolling stock is being sub-optimally used. The trains could be used more productively, by being loaded/unloaded quicker, have reduced journey times, carry more payload and generally increase annual revenue per train set per year. An example of a system not used in Romania but fitted to a number of locomotives used by the private sector in the country is regenerative braking, whereby energy used in slowing trains feeds power back into the grid. The life-expired infrastructure is currently unable to accept such inputs. A plan to introduce this technology could significantly lower the cost of providing rail freight services as power use can be reduced by 5% for freight trains and up to 17% on passenger services, and as such a feasibility study into how this could best be implemented is recommended. This should be undertaken immediately as it would be logical to combine this with the other rehabilitation work.</w:t>
      </w:r>
    </w:p>
    <w:p w:rsidR="00660414" w:rsidRPr="008B3B0F" w:rsidRDefault="00660414" w:rsidP="00A4081F">
      <w:pPr>
        <w:pStyle w:val="NumberedParas"/>
      </w:pPr>
      <w:r>
        <w:t>Together the interventions combined provide a blueprint for a successful, sustainable rail freight network in Romania. Not only will the rehabilitation of the rail corridors enable improvements to bulk freight reliability and delivery speeds, but in combination with the other operational interventions it will provide the basis for a strong intermodal offering in competition with road. In particular, this intermodal market has been identified as a key sector for future growth, and this will be encouraged by the proposed network of intermodal terminals which are strategically located to offer comprehensive coverage of Romania’s key economic hubs and population centres.</w:t>
      </w:r>
    </w:p>
    <w:p w:rsidR="00660414" w:rsidRPr="000A76BD" w:rsidRDefault="00660414" w:rsidP="00045287">
      <w:pPr>
        <w:pStyle w:val="Hdg2"/>
        <w:rPr>
          <w:i/>
        </w:rPr>
      </w:pPr>
      <w:bookmarkStart w:id="8155" w:name="_Toc408990983"/>
      <w:bookmarkStart w:id="8156" w:name="_Toc413056077"/>
      <w:r>
        <w:t>Summary of Interventions for Intermodal</w:t>
      </w:r>
      <w:bookmarkEnd w:id="8155"/>
      <w:bookmarkEnd w:id="8156"/>
    </w:p>
    <w:p w:rsidR="00660414" w:rsidRDefault="00660414" w:rsidP="00A4081F">
      <w:pPr>
        <w:pStyle w:val="NumberedParas"/>
      </w:pPr>
      <w:r>
        <w:t xml:space="preserve">In order to deliver a competitive intermodal offer, it is necessary for Romania’s intermodal infrastructure to offer a comprehensive and high-quality network of terminals which reflect and serve the forecast future of intermodal rail freight in the country. In addition to the proposed works at Constanta for the facilitation of the import and export trade (including additional terminal capacity in the next ten years as the market expands), the masterplan also recommends the creation or rehabilitation of several other intermodal terminals. </w:t>
      </w:r>
      <w:r w:rsidRPr="002E1E5F">
        <w:t>There is no doubt that new build offers the best opportunity to construct efficient modern terminals. Analysis has shown that there is strong demand for intermodal services at Iasi, Oradea and Turda, but insufficient demand to make these viable in economic terms, as entirely new build. For these reasons we recommend as a first phase that the existing terminals are refurbished a</w:t>
      </w:r>
      <w:r>
        <w:t>t a</w:t>
      </w:r>
      <w:r w:rsidRPr="002E1E5F">
        <w:t xml:space="preserve"> lower cost. As demand for intermodal transport increases then it may well be feasible to develop new sites at these locations. If, however, there is a private sector initiative for new builds at these locations, then the Ministry of Transport, through the Master Plan, would support such initiatives.</w:t>
      </w:r>
    </w:p>
    <w:p w:rsidR="00660414" w:rsidRDefault="00660414" w:rsidP="00A4081F">
      <w:pPr>
        <w:pStyle w:val="NumberedParas"/>
      </w:pPr>
      <w:r>
        <w:t xml:space="preserve">The plan is to establish a network of ‘open-user’ terminals operated in an efficient manner by the private sector. The network seeks to build on the existing provision of terminals, some of which are already operating actively in the private sector. In other locations it requires major refurbishment or replacement of selected existing terminals previously owned and operated by CFR Marfa. In future these should be operated by the private sector. Whilst all of the terminals will enable and encourage international traffic, the terminals at Timisoara and Iasi will act as gateways to the international network given their locations in the west and east respectively. Iasi also provides the opportunity for transhipment to Soviet gauge services for Ukraine, Russia and much of Eastern Europe. Other terminals are chosen for their location which allows them to serve large centres of the Romanian industrial production, economic activity and population; Craiova, Cluj Napoca, Turdu, Suceava and Bacau. </w:t>
      </w:r>
    </w:p>
    <w:p w:rsidR="00660414" w:rsidRDefault="00660414" w:rsidP="00A4081F">
      <w:pPr>
        <w:pStyle w:val="NumberedParas"/>
      </w:pPr>
      <w:r>
        <w:t xml:space="preserve">Along with the proposed tri-modal terminals on the Danube at Drobeta-Turnu-Severin, Giurgiu and Galati, Romania will be able to offer an extensive intermodal terminal network linked by rehabilitated rail lines promising reliable and fast freight services – a competitive offer when compared with road haulage. </w:t>
      </w:r>
    </w:p>
    <w:p w:rsidR="00660414" w:rsidRPr="000A76BD" w:rsidRDefault="00660414" w:rsidP="00A4081F">
      <w:pPr>
        <w:pStyle w:val="NumberedParas"/>
      </w:pPr>
      <w:r>
        <w:t>This proposed intermodal terminal network for Romania is outlined in Figure 8.27:</w:t>
      </w:r>
    </w:p>
    <w:p w:rsidR="00660414" w:rsidRPr="000A76BD" w:rsidRDefault="00660414" w:rsidP="00660414">
      <w:pPr>
        <w:spacing w:before="120" w:after="120" w:line="276" w:lineRule="auto"/>
        <w:rPr>
          <w:sz w:val="22"/>
          <w:szCs w:val="22"/>
        </w:rPr>
      </w:pPr>
    </w:p>
    <w:p w:rsidR="00660414" w:rsidRPr="000A76BD" w:rsidRDefault="00660414" w:rsidP="00660414">
      <w:pPr>
        <w:spacing w:before="120" w:after="120" w:line="276" w:lineRule="auto"/>
        <w:ind w:firstLine="851"/>
        <w:rPr>
          <w:sz w:val="22"/>
          <w:szCs w:val="22"/>
        </w:rPr>
      </w:pPr>
      <w:r w:rsidRPr="008C5B1B">
        <w:rPr>
          <w:noProof/>
          <w:sz w:val="22"/>
          <w:szCs w:val="22"/>
          <w:lang w:val="ro-RO" w:eastAsia="ro-RO"/>
        </w:rPr>
        <w:drawing>
          <wp:inline distT="0" distB="0" distL="0" distR="0" wp14:anchorId="0E7F753D" wp14:editId="4AC158A3">
            <wp:extent cx="5705475" cy="4029075"/>
            <wp:effectExtent l="19050" t="0" r="9525" b="0"/>
            <wp:docPr id="419" name="Picture 9" descr="OR - ALL4 - Intermodal_teminals_tri-modal_v2-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 - ALL4 - Intermodal_teminals_tri-modal_v2-p3"/>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5705475" cy="4029075"/>
                    </a:xfrm>
                    <a:prstGeom prst="rect">
                      <a:avLst/>
                    </a:prstGeom>
                    <a:noFill/>
                    <a:ln w="9525">
                      <a:noFill/>
                      <a:miter lim="800000"/>
                      <a:headEnd/>
                      <a:tailEnd/>
                    </a:ln>
                  </pic:spPr>
                </pic:pic>
              </a:graphicData>
            </a:graphic>
          </wp:inline>
        </w:drawing>
      </w:r>
    </w:p>
    <w:p w:rsidR="00660414" w:rsidRDefault="00660414" w:rsidP="00660414">
      <w:pPr>
        <w:spacing w:before="120" w:after="120" w:line="276" w:lineRule="auto"/>
        <w:ind w:left="851"/>
        <w:rPr>
          <w:b/>
          <w:sz w:val="22"/>
          <w:szCs w:val="22"/>
        </w:rPr>
      </w:pPr>
      <w:r>
        <w:rPr>
          <w:b/>
          <w:sz w:val="22"/>
          <w:szCs w:val="22"/>
        </w:rPr>
        <w:t>Figure 8.27 Proposed Intermodal Terminal Network</w:t>
      </w:r>
    </w:p>
    <w:p w:rsidR="00660414" w:rsidRDefault="00660414" w:rsidP="00A4081F">
      <w:pPr>
        <w:pStyle w:val="NumberedParas"/>
      </w:pPr>
      <w:r w:rsidRPr="002E1E5F">
        <w:t>As can be seen, comparing this network with a map of the largest population centres in Romania demonstrates that this is a ‘good fit’ in terms of providing access to population and industrial heartlands for potential containerised flows. Population centres are shown in Figure 8.</w:t>
      </w:r>
      <w:r>
        <w:t>28</w:t>
      </w:r>
      <w:r w:rsidRPr="002E1E5F">
        <w:t xml:space="preserve">. </w:t>
      </w:r>
    </w:p>
    <w:p w:rsidR="00660414" w:rsidRPr="000A76BD" w:rsidRDefault="00660414" w:rsidP="00A4081F">
      <w:pPr>
        <w:pStyle w:val="NumberedParas"/>
        <w:numPr>
          <w:ilvl w:val="0"/>
          <w:numId w:val="0"/>
        </w:numPr>
        <w:ind w:left="851"/>
      </w:pPr>
      <w:r w:rsidRPr="008C5B1B">
        <w:rPr>
          <w:noProof/>
          <w:lang w:val="ro-RO" w:eastAsia="ro-RO"/>
        </w:rPr>
        <w:drawing>
          <wp:inline distT="0" distB="0" distL="0" distR="0" wp14:anchorId="767236E2" wp14:editId="16B07BDB">
            <wp:extent cx="4980462" cy="3516578"/>
            <wp:effectExtent l="19050" t="0" r="0" b="0"/>
            <wp:docPr id="435" name="Picture 8" descr="F:\TMARKET\Freight\Projects\Romania Masterplan\Maps\Top_20_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MARKET\Freight\Projects\Romania Masterplan\Maps\Top_20_cities.jpg"/>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4979110" cy="3515623"/>
                    </a:xfrm>
                    <a:prstGeom prst="rect">
                      <a:avLst/>
                    </a:prstGeom>
                    <a:noFill/>
                    <a:ln w="9525">
                      <a:noFill/>
                      <a:miter lim="800000"/>
                      <a:headEnd/>
                      <a:tailEnd/>
                    </a:ln>
                  </pic:spPr>
                </pic:pic>
              </a:graphicData>
            </a:graphic>
          </wp:inline>
        </w:drawing>
      </w:r>
    </w:p>
    <w:p w:rsidR="00660414" w:rsidRPr="000A76BD" w:rsidRDefault="00660414" w:rsidP="00660414">
      <w:pPr>
        <w:spacing w:line="276" w:lineRule="auto"/>
        <w:ind w:left="851"/>
        <w:rPr>
          <w:b/>
          <w:bCs/>
          <w:sz w:val="22"/>
          <w:szCs w:val="22"/>
        </w:rPr>
      </w:pPr>
      <w:r w:rsidRPr="002E1E5F">
        <w:rPr>
          <w:b/>
          <w:bCs/>
          <w:sz w:val="22"/>
          <w:szCs w:val="22"/>
        </w:rPr>
        <w:t>Figure 8.</w:t>
      </w:r>
      <w:r>
        <w:rPr>
          <w:b/>
          <w:bCs/>
          <w:sz w:val="22"/>
          <w:szCs w:val="22"/>
        </w:rPr>
        <w:t>28</w:t>
      </w:r>
      <w:r w:rsidRPr="002E1E5F">
        <w:rPr>
          <w:b/>
          <w:bCs/>
          <w:sz w:val="22"/>
          <w:szCs w:val="22"/>
        </w:rPr>
        <w:t>: Twenty Largest Population Centres in Romania</w:t>
      </w:r>
    </w:p>
    <w:p w:rsidR="00660414" w:rsidRDefault="00660414" w:rsidP="00A4081F">
      <w:pPr>
        <w:pStyle w:val="NumberedParas"/>
      </w:pPr>
      <w:r>
        <w:t xml:space="preserve">Overall the intermodal strategy outlined above, when combined with the complete package of water and rail improvements (as well as the tri-modal terminals at Galati, Giurgiu and Drobeta-Turnu-Severin) has the potential to make a significant contribution to Romania’s sustainability and economic growth through the promotion of modal shift and improvements to freight transport. The implementation of the strategy will result in </w:t>
      </w:r>
      <w:r w:rsidRPr="002E1E5F">
        <w:t xml:space="preserve">approximately 900,000 fewer road tonne kilometres, over 100,000 additional rail tonne kilometres, over 1.1 million additional water freight tonne kilometres and approximately 400,000 more freight tonne kilometres than the reference case by 2030. </w:t>
      </w:r>
      <w:r>
        <w:t xml:space="preserve"> The strategy is summarised in Tables 8.33 and 8.34.</w:t>
      </w:r>
    </w:p>
    <w:p w:rsidR="00660414" w:rsidRDefault="00660414" w:rsidP="00660414">
      <w:pPr>
        <w:spacing w:before="120" w:after="120" w:line="276" w:lineRule="auto"/>
        <w:ind w:left="851"/>
        <w:rPr>
          <w:b/>
          <w:sz w:val="22"/>
          <w:szCs w:val="22"/>
        </w:rPr>
      </w:pPr>
    </w:p>
    <w:p w:rsidR="00660414" w:rsidRDefault="00660414" w:rsidP="00660414">
      <w:pPr>
        <w:spacing w:before="120" w:after="120" w:line="276" w:lineRule="auto"/>
        <w:ind w:left="851"/>
        <w:rPr>
          <w:b/>
          <w:sz w:val="22"/>
          <w:szCs w:val="22"/>
        </w:rPr>
      </w:pPr>
    </w:p>
    <w:p w:rsidR="00660414" w:rsidRDefault="00660414" w:rsidP="00660414">
      <w:pPr>
        <w:rPr>
          <w:b/>
          <w:sz w:val="22"/>
          <w:szCs w:val="22"/>
        </w:rPr>
      </w:pPr>
      <w:r>
        <w:rPr>
          <w:b/>
          <w:sz w:val="22"/>
          <w:szCs w:val="22"/>
        </w:rPr>
        <w:br w:type="page"/>
      </w:r>
    </w:p>
    <w:p w:rsidR="00660414" w:rsidRPr="000A76BD" w:rsidRDefault="00660414" w:rsidP="00660414">
      <w:pPr>
        <w:spacing w:line="276" w:lineRule="auto"/>
        <w:rPr>
          <w:b/>
          <w:sz w:val="22"/>
          <w:szCs w:val="22"/>
        </w:rPr>
      </w:pPr>
      <w:r w:rsidRPr="00456A6E">
        <w:rPr>
          <w:b/>
          <w:sz w:val="22"/>
          <w:szCs w:val="22"/>
        </w:rPr>
        <w:t xml:space="preserve">Table </w:t>
      </w:r>
      <w:r>
        <w:rPr>
          <w:b/>
          <w:sz w:val="22"/>
          <w:szCs w:val="22"/>
        </w:rPr>
        <w:t>8.33</w:t>
      </w:r>
      <w:r w:rsidRPr="00456A6E">
        <w:rPr>
          <w:b/>
          <w:sz w:val="22"/>
          <w:szCs w:val="22"/>
        </w:rPr>
        <w:t xml:space="preserve"> Summary of </w:t>
      </w:r>
      <w:r>
        <w:rPr>
          <w:b/>
          <w:sz w:val="22"/>
          <w:szCs w:val="22"/>
        </w:rPr>
        <w:t>Recommended Interventions and Impact on Usage (Daily Figures)</w:t>
      </w:r>
    </w:p>
    <w:tbl>
      <w:tblPr>
        <w:tblW w:w="49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3"/>
        <w:gridCol w:w="1684"/>
        <w:gridCol w:w="1684"/>
        <w:gridCol w:w="1684"/>
        <w:gridCol w:w="1678"/>
      </w:tblGrid>
      <w:tr w:rsidR="00660414" w:rsidRPr="000A76BD" w:rsidTr="007613DE">
        <w:trPr>
          <w:tblHeader/>
        </w:trPr>
        <w:tc>
          <w:tcPr>
            <w:tcW w:w="1759"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Intervention</w:t>
            </w:r>
          </w:p>
        </w:tc>
        <w:tc>
          <w:tcPr>
            <w:tcW w:w="811"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Location</w:t>
            </w:r>
          </w:p>
        </w:tc>
        <w:tc>
          <w:tcPr>
            <w:tcW w:w="811"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2011 T</w:t>
            </w:r>
            <w:r>
              <w:rPr>
                <w:b/>
                <w:sz w:val="22"/>
                <w:szCs w:val="22"/>
              </w:rPr>
              <w:t>EU</w:t>
            </w:r>
          </w:p>
          <w:p w:rsidR="00660414" w:rsidRPr="000A76BD" w:rsidRDefault="00660414" w:rsidP="007613DE">
            <w:pPr>
              <w:spacing w:line="276" w:lineRule="auto"/>
              <w:rPr>
                <w:b/>
                <w:sz w:val="22"/>
                <w:szCs w:val="22"/>
              </w:rPr>
            </w:pPr>
            <w:r w:rsidRPr="00456A6E">
              <w:rPr>
                <w:b/>
                <w:sz w:val="22"/>
                <w:szCs w:val="22"/>
              </w:rPr>
              <w:t>(Actual)</w:t>
            </w:r>
          </w:p>
        </w:tc>
        <w:tc>
          <w:tcPr>
            <w:tcW w:w="811"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2020 T</w:t>
            </w:r>
            <w:r>
              <w:rPr>
                <w:b/>
                <w:sz w:val="22"/>
                <w:szCs w:val="22"/>
              </w:rPr>
              <w:t>EU</w:t>
            </w:r>
          </w:p>
          <w:p w:rsidR="00660414" w:rsidRPr="000A76BD" w:rsidRDefault="00660414" w:rsidP="007613DE">
            <w:pPr>
              <w:spacing w:line="276" w:lineRule="auto"/>
              <w:rPr>
                <w:b/>
                <w:sz w:val="22"/>
                <w:szCs w:val="22"/>
              </w:rPr>
            </w:pPr>
            <w:r w:rsidRPr="00456A6E">
              <w:rPr>
                <w:b/>
                <w:sz w:val="22"/>
                <w:szCs w:val="22"/>
              </w:rPr>
              <w:t>(Reference Case)</w:t>
            </w:r>
          </w:p>
        </w:tc>
        <w:tc>
          <w:tcPr>
            <w:tcW w:w="808"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2020 T</w:t>
            </w:r>
            <w:r>
              <w:rPr>
                <w:b/>
                <w:sz w:val="22"/>
                <w:szCs w:val="22"/>
              </w:rPr>
              <w:t>EU</w:t>
            </w:r>
          </w:p>
          <w:p w:rsidR="00660414" w:rsidRPr="000A76BD" w:rsidRDefault="00660414" w:rsidP="007613DE">
            <w:pPr>
              <w:spacing w:line="276" w:lineRule="auto"/>
              <w:rPr>
                <w:b/>
                <w:sz w:val="22"/>
                <w:szCs w:val="22"/>
              </w:rPr>
            </w:pPr>
            <w:r w:rsidRPr="00456A6E">
              <w:rPr>
                <w:b/>
                <w:sz w:val="22"/>
                <w:szCs w:val="22"/>
              </w:rPr>
              <w:t>(Do Something)</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 xml:space="preserve">Build a new terminal </w:t>
            </w:r>
          </w:p>
        </w:tc>
        <w:tc>
          <w:tcPr>
            <w:tcW w:w="811" w:type="pct"/>
          </w:tcPr>
          <w:p w:rsidR="00660414" w:rsidRPr="000A76BD" w:rsidRDefault="00660414" w:rsidP="007613DE">
            <w:pPr>
              <w:spacing w:line="276" w:lineRule="auto"/>
              <w:rPr>
                <w:sz w:val="22"/>
                <w:szCs w:val="22"/>
              </w:rPr>
            </w:pPr>
            <w:r>
              <w:rPr>
                <w:sz w:val="22"/>
                <w:szCs w:val="22"/>
              </w:rPr>
              <w:t>Bucharest</w:t>
            </w:r>
          </w:p>
        </w:tc>
        <w:tc>
          <w:tcPr>
            <w:tcW w:w="811" w:type="pct"/>
            <w:vAlign w:val="center"/>
          </w:tcPr>
          <w:p w:rsidR="00660414" w:rsidRPr="006B28E8" w:rsidRDefault="00660414" w:rsidP="007613DE">
            <w:pPr>
              <w:spacing w:line="276" w:lineRule="auto"/>
              <w:jc w:val="right"/>
              <w:rPr>
                <w:rFonts w:cs="Arial"/>
                <w:sz w:val="22"/>
                <w:szCs w:val="22"/>
              </w:rPr>
            </w:pPr>
            <w:r>
              <w:rPr>
                <w:rFonts w:cs="Arial"/>
                <w:sz w:val="22"/>
                <w:szCs w:val="22"/>
              </w:rPr>
              <w:t>35</w:t>
            </w:r>
          </w:p>
        </w:tc>
        <w:tc>
          <w:tcPr>
            <w:tcW w:w="811" w:type="pct"/>
            <w:vAlign w:val="center"/>
          </w:tcPr>
          <w:p w:rsidR="00660414" w:rsidRPr="006B28E8" w:rsidRDefault="00660414" w:rsidP="007613DE">
            <w:pPr>
              <w:spacing w:line="276" w:lineRule="auto"/>
              <w:jc w:val="right"/>
              <w:rPr>
                <w:rFonts w:cs="Arial"/>
                <w:sz w:val="22"/>
                <w:szCs w:val="22"/>
              </w:rPr>
            </w:pPr>
            <w:r>
              <w:rPr>
                <w:rFonts w:cs="Arial"/>
                <w:sz w:val="22"/>
                <w:szCs w:val="22"/>
              </w:rPr>
              <w:t>82</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179</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Build a new terminal</w:t>
            </w:r>
          </w:p>
        </w:tc>
        <w:tc>
          <w:tcPr>
            <w:tcW w:w="811" w:type="pct"/>
          </w:tcPr>
          <w:p w:rsidR="00660414" w:rsidRPr="000A76BD" w:rsidRDefault="00660414" w:rsidP="007613DE">
            <w:pPr>
              <w:spacing w:line="276" w:lineRule="auto"/>
              <w:rPr>
                <w:sz w:val="22"/>
                <w:szCs w:val="22"/>
              </w:rPr>
            </w:pPr>
            <w:r>
              <w:rPr>
                <w:sz w:val="22"/>
                <w:szCs w:val="22"/>
              </w:rPr>
              <w:t>Craiova</w:t>
            </w:r>
          </w:p>
        </w:tc>
        <w:tc>
          <w:tcPr>
            <w:tcW w:w="811" w:type="pct"/>
            <w:vAlign w:val="center"/>
          </w:tcPr>
          <w:p w:rsidR="00660414" w:rsidRPr="006B28E8" w:rsidRDefault="00660414" w:rsidP="007613DE">
            <w:pPr>
              <w:jc w:val="right"/>
              <w:rPr>
                <w:rFonts w:cs="Arial"/>
                <w:bCs/>
                <w:sz w:val="22"/>
                <w:szCs w:val="22"/>
              </w:rPr>
            </w:pPr>
            <w:r>
              <w:rPr>
                <w:rFonts w:cs="Arial"/>
                <w:bCs/>
                <w:sz w:val="22"/>
                <w:szCs w:val="22"/>
              </w:rPr>
              <w:t>0</w:t>
            </w:r>
          </w:p>
        </w:tc>
        <w:tc>
          <w:tcPr>
            <w:tcW w:w="811" w:type="pct"/>
            <w:vAlign w:val="center"/>
          </w:tcPr>
          <w:p w:rsidR="00660414" w:rsidRPr="006B28E8" w:rsidRDefault="00660414" w:rsidP="007613DE">
            <w:pPr>
              <w:jc w:val="right"/>
              <w:rPr>
                <w:rFonts w:cs="Arial"/>
                <w:sz w:val="22"/>
                <w:szCs w:val="22"/>
              </w:rPr>
            </w:pPr>
            <w:r>
              <w:rPr>
                <w:rFonts w:cs="Arial"/>
                <w:sz w:val="22"/>
                <w:szCs w:val="22"/>
              </w:rPr>
              <w:t>0</w:t>
            </w:r>
          </w:p>
        </w:tc>
        <w:tc>
          <w:tcPr>
            <w:tcW w:w="808" w:type="pct"/>
            <w:vAlign w:val="center"/>
          </w:tcPr>
          <w:p w:rsidR="00660414" w:rsidRPr="006B28E8" w:rsidRDefault="00660414" w:rsidP="007613DE">
            <w:pPr>
              <w:jc w:val="right"/>
              <w:rPr>
                <w:rFonts w:cs="Arial"/>
                <w:sz w:val="22"/>
                <w:szCs w:val="22"/>
              </w:rPr>
            </w:pPr>
            <w:r>
              <w:rPr>
                <w:rFonts w:cs="Arial"/>
                <w:sz w:val="22"/>
                <w:szCs w:val="22"/>
              </w:rPr>
              <w:t>41</w:t>
            </w:r>
          </w:p>
        </w:tc>
      </w:tr>
      <w:tr w:rsidR="00660414" w:rsidRPr="000A76BD" w:rsidTr="007613DE">
        <w:tc>
          <w:tcPr>
            <w:tcW w:w="1759" w:type="pct"/>
          </w:tcPr>
          <w:p w:rsidR="00660414" w:rsidRDefault="00660414" w:rsidP="007613DE">
            <w:pPr>
              <w:spacing w:line="276" w:lineRule="auto"/>
              <w:rPr>
                <w:sz w:val="22"/>
                <w:szCs w:val="22"/>
              </w:rPr>
            </w:pPr>
            <w:r>
              <w:rPr>
                <w:sz w:val="22"/>
                <w:szCs w:val="22"/>
              </w:rPr>
              <w:t>Build a new terminal or refurbish existing terminal</w:t>
            </w:r>
          </w:p>
        </w:tc>
        <w:tc>
          <w:tcPr>
            <w:tcW w:w="811" w:type="pct"/>
          </w:tcPr>
          <w:p w:rsidR="00660414" w:rsidRPr="000A76BD" w:rsidRDefault="00660414" w:rsidP="007613DE">
            <w:pPr>
              <w:spacing w:line="276" w:lineRule="auto"/>
              <w:rPr>
                <w:sz w:val="22"/>
                <w:szCs w:val="22"/>
              </w:rPr>
            </w:pPr>
            <w:r>
              <w:rPr>
                <w:sz w:val="22"/>
                <w:szCs w:val="22"/>
              </w:rPr>
              <w:t>Timisoara</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2</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2</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40</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Build a new terminal or refurbish existing terminal</w:t>
            </w:r>
          </w:p>
        </w:tc>
        <w:tc>
          <w:tcPr>
            <w:tcW w:w="811" w:type="pct"/>
          </w:tcPr>
          <w:p w:rsidR="00660414" w:rsidRPr="000A76BD" w:rsidRDefault="00660414" w:rsidP="007613DE">
            <w:pPr>
              <w:spacing w:line="276" w:lineRule="auto"/>
              <w:rPr>
                <w:sz w:val="22"/>
                <w:szCs w:val="22"/>
              </w:rPr>
            </w:pPr>
            <w:r>
              <w:rPr>
                <w:sz w:val="22"/>
                <w:szCs w:val="22"/>
              </w:rPr>
              <w:t>Cluj Napoca</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9</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23</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55</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Build a new terminal or refurbish existing terminal</w:t>
            </w:r>
          </w:p>
        </w:tc>
        <w:tc>
          <w:tcPr>
            <w:tcW w:w="811" w:type="pct"/>
          </w:tcPr>
          <w:p w:rsidR="00660414" w:rsidRPr="000A76BD" w:rsidRDefault="00660414" w:rsidP="007613DE">
            <w:pPr>
              <w:spacing w:line="276" w:lineRule="auto"/>
              <w:rPr>
                <w:sz w:val="22"/>
                <w:szCs w:val="22"/>
              </w:rPr>
            </w:pPr>
            <w:r>
              <w:rPr>
                <w:sz w:val="22"/>
                <w:szCs w:val="22"/>
              </w:rPr>
              <w:t>Suceava</w:t>
            </w:r>
          </w:p>
        </w:tc>
        <w:tc>
          <w:tcPr>
            <w:tcW w:w="811" w:type="pct"/>
            <w:vAlign w:val="center"/>
          </w:tcPr>
          <w:p w:rsidR="00660414" w:rsidRPr="006B28E8" w:rsidRDefault="00660414" w:rsidP="007613DE">
            <w:pPr>
              <w:jc w:val="right"/>
              <w:rPr>
                <w:rFonts w:cs="Arial"/>
                <w:bCs/>
                <w:sz w:val="22"/>
                <w:szCs w:val="22"/>
              </w:rPr>
            </w:pPr>
            <w:r>
              <w:rPr>
                <w:rFonts w:cs="Arial"/>
                <w:bCs/>
                <w:sz w:val="22"/>
                <w:szCs w:val="22"/>
              </w:rPr>
              <w:t>11</w:t>
            </w:r>
          </w:p>
        </w:tc>
        <w:tc>
          <w:tcPr>
            <w:tcW w:w="811" w:type="pct"/>
            <w:vAlign w:val="center"/>
          </w:tcPr>
          <w:p w:rsidR="00660414" w:rsidRPr="006B28E8" w:rsidRDefault="00660414" w:rsidP="007613DE">
            <w:pPr>
              <w:jc w:val="right"/>
              <w:rPr>
                <w:rFonts w:cs="Arial"/>
                <w:bCs/>
                <w:sz w:val="22"/>
                <w:szCs w:val="22"/>
              </w:rPr>
            </w:pPr>
            <w:r>
              <w:rPr>
                <w:rFonts w:cs="Arial"/>
                <w:bCs/>
                <w:sz w:val="22"/>
                <w:szCs w:val="22"/>
              </w:rPr>
              <w:t>19</w:t>
            </w:r>
          </w:p>
        </w:tc>
        <w:tc>
          <w:tcPr>
            <w:tcW w:w="808" w:type="pct"/>
            <w:vAlign w:val="center"/>
          </w:tcPr>
          <w:p w:rsidR="00660414" w:rsidRPr="006B28E8" w:rsidRDefault="00660414" w:rsidP="007613DE">
            <w:pPr>
              <w:jc w:val="right"/>
              <w:rPr>
                <w:rFonts w:cs="Arial"/>
                <w:bCs/>
                <w:sz w:val="22"/>
                <w:szCs w:val="22"/>
              </w:rPr>
            </w:pPr>
            <w:r>
              <w:rPr>
                <w:rFonts w:cs="Arial"/>
                <w:bCs/>
                <w:sz w:val="22"/>
                <w:szCs w:val="22"/>
              </w:rPr>
              <w:t>63</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Build a new terminal or refurbish existing terminal</w:t>
            </w:r>
          </w:p>
        </w:tc>
        <w:tc>
          <w:tcPr>
            <w:tcW w:w="811" w:type="pct"/>
          </w:tcPr>
          <w:p w:rsidR="00660414" w:rsidRPr="000A76BD" w:rsidRDefault="00660414" w:rsidP="007613DE">
            <w:pPr>
              <w:spacing w:line="276" w:lineRule="auto"/>
              <w:rPr>
                <w:sz w:val="22"/>
                <w:szCs w:val="22"/>
              </w:rPr>
            </w:pPr>
            <w:r>
              <w:rPr>
                <w:sz w:val="22"/>
                <w:szCs w:val="22"/>
              </w:rPr>
              <w:t>Bacau</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15</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24</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74</w:t>
            </w:r>
          </w:p>
        </w:tc>
      </w:tr>
      <w:tr w:rsidR="00660414" w:rsidRPr="000A76BD" w:rsidTr="007613DE">
        <w:tc>
          <w:tcPr>
            <w:tcW w:w="1759" w:type="pct"/>
          </w:tcPr>
          <w:p w:rsidR="00660414" w:rsidRDefault="00660414" w:rsidP="007613DE">
            <w:pPr>
              <w:spacing w:line="276" w:lineRule="auto"/>
              <w:rPr>
                <w:sz w:val="22"/>
                <w:szCs w:val="22"/>
              </w:rPr>
            </w:pPr>
            <w:r>
              <w:rPr>
                <w:sz w:val="22"/>
                <w:szCs w:val="22"/>
              </w:rPr>
              <w:t xml:space="preserve">Refurbish existing terminal </w:t>
            </w:r>
            <w:r w:rsidRPr="00456A6E">
              <w:rPr>
                <w:sz w:val="22"/>
                <w:szCs w:val="22"/>
              </w:rPr>
              <w:t xml:space="preserve"> </w:t>
            </w:r>
          </w:p>
        </w:tc>
        <w:tc>
          <w:tcPr>
            <w:tcW w:w="811" w:type="pct"/>
          </w:tcPr>
          <w:p w:rsidR="00660414" w:rsidRPr="000A76BD" w:rsidRDefault="00660414" w:rsidP="007613DE">
            <w:pPr>
              <w:spacing w:line="276" w:lineRule="auto"/>
              <w:rPr>
                <w:sz w:val="22"/>
                <w:szCs w:val="22"/>
              </w:rPr>
            </w:pPr>
            <w:r>
              <w:rPr>
                <w:sz w:val="22"/>
                <w:szCs w:val="22"/>
              </w:rPr>
              <w:t>Iasi</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1</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2</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25</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 xml:space="preserve">Refurbish existing terminal </w:t>
            </w:r>
            <w:r w:rsidRPr="00456A6E">
              <w:rPr>
                <w:sz w:val="22"/>
                <w:szCs w:val="22"/>
              </w:rPr>
              <w:t xml:space="preserve"> </w:t>
            </w:r>
          </w:p>
        </w:tc>
        <w:tc>
          <w:tcPr>
            <w:tcW w:w="811" w:type="pct"/>
          </w:tcPr>
          <w:p w:rsidR="00660414" w:rsidRPr="000A76BD" w:rsidRDefault="00660414" w:rsidP="007613DE">
            <w:pPr>
              <w:spacing w:line="276" w:lineRule="auto"/>
              <w:rPr>
                <w:sz w:val="22"/>
                <w:szCs w:val="22"/>
              </w:rPr>
            </w:pPr>
            <w:r>
              <w:rPr>
                <w:sz w:val="22"/>
                <w:szCs w:val="22"/>
              </w:rPr>
              <w:t>Oradea</w:t>
            </w:r>
          </w:p>
        </w:tc>
        <w:tc>
          <w:tcPr>
            <w:tcW w:w="811" w:type="pct"/>
            <w:vAlign w:val="center"/>
          </w:tcPr>
          <w:p w:rsidR="00660414" w:rsidRPr="006B28E8" w:rsidRDefault="00660414" w:rsidP="007613DE">
            <w:pPr>
              <w:spacing w:line="276" w:lineRule="auto"/>
              <w:jc w:val="right"/>
              <w:rPr>
                <w:rFonts w:cs="Arial"/>
                <w:sz w:val="22"/>
                <w:szCs w:val="22"/>
              </w:rPr>
            </w:pPr>
            <w:r>
              <w:rPr>
                <w:rFonts w:cs="Arial"/>
                <w:sz w:val="22"/>
                <w:szCs w:val="22"/>
              </w:rPr>
              <w:t>1</w:t>
            </w:r>
          </w:p>
        </w:tc>
        <w:tc>
          <w:tcPr>
            <w:tcW w:w="811" w:type="pct"/>
            <w:vAlign w:val="center"/>
          </w:tcPr>
          <w:p w:rsidR="00660414" w:rsidRPr="006B28E8" w:rsidRDefault="00660414" w:rsidP="007613DE">
            <w:pPr>
              <w:spacing w:line="276" w:lineRule="auto"/>
              <w:jc w:val="right"/>
              <w:rPr>
                <w:rFonts w:cs="Arial"/>
                <w:sz w:val="22"/>
                <w:szCs w:val="22"/>
              </w:rPr>
            </w:pPr>
            <w:r>
              <w:rPr>
                <w:rFonts w:cs="Arial"/>
                <w:sz w:val="22"/>
                <w:szCs w:val="22"/>
              </w:rPr>
              <w:t>2</w:t>
            </w:r>
          </w:p>
        </w:tc>
        <w:tc>
          <w:tcPr>
            <w:tcW w:w="808" w:type="pct"/>
            <w:vAlign w:val="center"/>
          </w:tcPr>
          <w:p w:rsidR="00660414" w:rsidRPr="006B28E8" w:rsidRDefault="00660414" w:rsidP="007613DE">
            <w:pPr>
              <w:spacing w:line="276" w:lineRule="auto"/>
              <w:jc w:val="right"/>
              <w:rPr>
                <w:rFonts w:cs="Arial"/>
                <w:sz w:val="22"/>
                <w:szCs w:val="22"/>
              </w:rPr>
            </w:pPr>
            <w:r>
              <w:rPr>
                <w:rFonts w:cs="Arial"/>
                <w:sz w:val="22"/>
                <w:szCs w:val="22"/>
              </w:rPr>
              <w:t>25</w:t>
            </w:r>
          </w:p>
        </w:tc>
      </w:tr>
      <w:tr w:rsidR="00660414" w:rsidRPr="000A76BD" w:rsidTr="007613DE">
        <w:tc>
          <w:tcPr>
            <w:tcW w:w="1759" w:type="pct"/>
          </w:tcPr>
          <w:p w:rsidR="00660414" w:rsidRPr="000A76BD" w:rsidRDefault="00660414" w:rsidP="007613DE">
            <w:pPr>
              <w:spacing w:line="276" w:lineRule="auto"/>
              <w:rPr>
                <w:sz w:val="22"/>
                <w:szCs w:val="22"/>
              </w:rPr>
            </w:pPr>
            <w:r>
              <w:rPr>
                <w:sz w:val="22"/>
                <w:szCs w:val="22"/>
              </w:rPr>
              <w:t xml:space="preserve">Refurbish existing terminal </w:t>
            </w:r>
            <w:r w:rsidRPr="00456A6E">
              <w:rPr>
                <w:sz w:val="22"/>
                <w:szCs w:val="22"/>
              </w:rPr>
              <w:t xml:space="preserve"> </w:t>
            </w:r>
          </w:p>
        </w:tc>
        <w:tc>
          <w:tcPr>
            <w:tcW w:w="811" w:type="pct"/>
          </w:tcPr>
          <w:p w:rsidR="00660414" w:rsidRDefault="00660414" w:rsidP="007613DE">
            <w:pPr>
              <w:spacing w:line="276" w:lineRule="auto"/>
              <w:rPr>
                <w:sz w:val="22"/>
                <w:szCs w:val="22"/>
              </w:rPr>
            </w:pPr>
            <w:r>
              <w:rPr>
                <w:sz w:val="22"/>
                <w:szCs w:val="22"/>
              </w:rPr>
              <w:t>Turdu</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11</w:t>
            </w:r>
          </w:p>
        </w:tc>
        <w:tc>
          <w:tcPr>
            <w:tcW w:w="811" w:type="pct"/>
            <w:vAlign w:val="center"/>
          </w:tcPr>
          <w:p w:rsidR="00660414" w:rsidRPr="006B28E8" w:rsidRDefault="00660414" w:rsidP="007613DE">
            <w:pPr>
              <w:jc w:val="right"/>
              <w:rPr>
                <w:rFonts w:cs="Arial"/>
                <w:color w:val="000000"/>
                <w:sz w:val="22"/>
                <w:szCs w:val="22"/>
              </w:rPr>
            </w:pPr>
            <w:r>
              <w:rPr>
                <w:rFonts w:cs="Arial"/>
                <w:color w:val="000000"/>
                <w:sz w:val="22"/>
                <w:szCs w:val="22"/>
              </w:rPr>
              <w:t>16</w:t>
            </w:r>
          </w:p>
        </w:tc>
        <w:tc>
          <w:tcPr>
            <w:tcW w:w="808" w:type="pct"/>
            <w:vAlign w:val="center"/>
          </w:tcPr>
          <w:p w:rsidR="00660414" w:rsidRPr="006B28E8" w:rsidRDefault="00660414" w:rsidP="007613DE">
            <w:pPr>
              <w:jc w:val="right"/>
              <w:rPr>
                <w:rFonts w:cs="Arial"/>
                <w:color w:val="000000"/>
                <w:sz w:val="22"/>
                <w:szCs w:val="22"/>
              </w:rPr>
            </w:pPr>
            <w:r>
              <w:rPr>
                <w:rFonts w:cs="Arial"/>
                <w:color w:val="000000"/>
                <w:sz w:val="22"/>
                <w:szCs w:val="22"/>
              </w:rPr>
              <w:t>28</w:t>
            </w:r>
          </w:p>
        </w:tc>
      </w:tr>
    </w:tbl>
    <w:p w:rsidR="00660414" w:rsidRPr="000A76BD" w:rsidRDefault="00660414" w:rsidP="00660414">
      <w:pPr>
        <w:spacing w:before="120" w:after="120" w:line="276" w:lineRule="auto"/>
        <w:ind w:left="851"/>
        <w:rPr>
          <w:b/>
          <w:sz w:val="22"/>
          <w:szCs w:val="22"/>
        </w:rPr>
      </w:pPr>
    </w:p>
    <w:p w:rsidR="00660414" w:rsidRPr="000A76BD" w:rsidRDefault="00660414" w:rsidP="00660414">
      <w:pPr>
        <w:spacing w:line="276" w:lineRule="auto"/>
        <w:rPr>
          <w:b/>
          <w:sz w:val="22"/>
          <w:szCs w:val="22"/>
        </w:rPr>
      </w:pPr>
      <w:r w:rsidRPr="00456A6E">
        <w:rPr>
          <w:b/>
          <w:sz w:val="22"/>
          <w:szCs w:val="22"/>
        </w:rPr>
        <w:t xml:space="preserve">Table </w:t>
      </w:r>
      <w:r>
        <w:rPr>
          <w:b/>
          <w:sz w:val="22"/>
          <w:szCs w:val="22"/>
        </w:rPr>
        <w:t>8.34</w:t>
      </w:r>
      <w:r w:rsidRPr="00456A6E">
        <w:rPr>
          <w:b/>
          <w:sz w:val="22"/>
          <w:szCs w:val="22"/>
        </w:rPr>
        <w:t xml:space="preserve"> Summary </w:t>
      </w:r>
      <w:r>
        <w:rPr>
          <w:b/>
          <w:sz w:val="22"/>
          <w:szCs w:val="22"/>
        </w:rPr>
        <w:t>of Economic Return on Interventions</w:t>
      </w: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0"/>
        <w:gridCol w:w="2499"/>
        <w:gridCol w:w="1571"/>
        <w:gridCol w:w="1573"/>
        <w:gridCol w:w="1573"/>
        <w:gridCol w:w="1571"/>
      </w:tblGrid>
      <w:tr w:rsidR="00660414" w:rsidRPr="000A76BD" w:rsidTr="007613DE">
        <w:trPr>
          <w:tblHeader/>
        </w:trPr>
        <w:tc>
          <w:tcPr>
            <w:tcW w:w="799" w:type="pct"/>
            <w:shd w:val="clear" w:color="auto" w:fill="8DB3E2" w:themeFill="text2" w:themeFillTint="66"/>
          </w:tcPr>
          <w:p w:rsidR="00660414" w:rsidRPr="00456A6E" w:rsidRDefault="00660414" w:rsidP="007613DE">
            <w:pPr>
              <w:spacing w:line="276" w:lineRule="auto"/>
              <w:rPr>
                <w:b/>
                <w:sz w:val="22"/>
                <w:szCs w:val="22"/>
              </w:rPr>
            </w:pPr>
            <w:r w:rsidRPr="00456A6E">
              <w:rPr>
                <w:b/>
                <w:sz w:val="22"/>
                <w:szCs w:val="22"/>
              </w:rPr>
              <w:t>Location</w:t>
            </w:r>
          </w:p>
        </w:tc>
        <w:tc>
          <w:tcPr>
            <w:tcW w:w="1195"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Intervention</w:t>
            </w:r>
          </w:p>
        </w:tc>
        <w:tc>
          <w:tcPr>
            <w:tcW w:w="751"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Scheme Value</w:t>
            </w:r>
          </w:p>
          <w:p w:rsidR="00660414" w:rsidRPr="000A76BD" w:rsidRDefault="00660414" w:rsidP="007613DE">
            <w:pPr>
              <w:spacing w:line="276" w:lineRule="auto"/>
              <w:rPr>
                <w:b/>
                <w:sz w:val="22"/>
                <w:szCs w:val="22"/>
              </w:rPr>
            </w:pPr>
            <w:r w:rsidRPr="00456A6E">
              <w:rPr>
                <w:b/>
                <w:sz w:val="22"/>
                <w:szCs w:val="22"/>
              </w:rPr>
              <w:t>(CAPEX)</w:t>
            </w:r>
          </w:p>
        </w:tc>
        <w:tc>
          <w:tcPr>
            <w:tcW w:w="752"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Benefits</w:t>
            </w:r>
          </w:p>
        </w:tc>
        <w:tc>
          <w:tcPr>
            <w:tcW w:w="752" w:type="pct"/>
            <w:shd w:val="clear" w:color="auto" w:fill="8DB3E2" w:themeFill="text2" w:themeFillTint="66"/>
          </w:tcPr>
          <w:p w:rsidR="00660414" w:rsidRPr="000A76BD" w:rsidRDefault="00660414" w:rsidP="007613DE">
            <w:pPr>
              <w:spacing w:line="276" w:lineRule="auto"/>
              <w:rPr>
                <w:b/>
                <w:sz w:val="22"/>
                <w:szCs w:val="22"/>
              </w:rPr>
            </w:pPr>
            <w:r w:rsidRPr="00456A6E">
              <w:rPr>
                <w:b/>
                <w:sz w:val="22"/>
                <w:szCs w:val="22"/>
              </w:rPr>
              <w:t>Benefit to Cost Ratio</w:t>
            </w:r>
          </w:p>
        </w:tc>
        <w:tc>
          <w:tcPr>
            <w:tcW w:w="751" w:type="pct"/>
            <w:shd w:val="clear" w:color="auto" w:fill="8DB3E2" w:themeFill="text2" w:themeFillTint="66"/>
          </w:tcPr>
          <w:p w:rsidR="00660414" w:rsidRPr="00456A6E" w:rsidRDefault="00660414" w:rsidP="007613DE">
            <w:pPr>
              <w:spacing w:line="276" w:lineRule="auto"/>
              <w:rPr>
                <w:b/>
                <w:sz w:val="22"/>
                <w:szCs w:val="22"/>
              </w:rPr>
            </w:pPr>
            <w:r w:rsidRPr="00456A6E">
              <w:rPr>
                <w:b/>
                <w:sz w:val="22"/>
                <w:szCs w:val="22"/>
              </w:rPr>
              <w:t>Economic Internal Rate of Return</w:t>
            </w:r>
          </w:p>
        </w:tc>
      </w:tr>
      <w:tr w:rsidR="00660414" w:rsidRPr="000A76BD" w:rsidTr="007613DE">
        <w:tc>
          <w:tcPr>
            <w:tcW w:w="799" w:type="pct"/>
          </w:tcPr>
          <w:p w:rsidR="00660414" w:rsidRDefault="00660414" w:rsidP="007613DE">
            <w:pPr>
              <w:spacing w:line="276" w:lineRule="auto"/>
              <w:rPr>
                <w:sz w:val="22"/>
                <w:szCs w:val="22"/>
              </w:rPr>
            </w:pPr>
            <w:r>
              <w:rPr>
                <w:sz w:val="22"/>
                <w:szCs w:val="22"/>
              </w:rPr>
              <w:t>Bucharest</w:t>
            </w:r>
          </w:p>
        </w:tc>
        <w:tc>
          <w:tcPr>
            <w:tcW w:w="1195" w:type="pct"/>
          </w:tcPr>
          <w:p w:rsidR="00660414" w:rsidRPr="000A76BD" w:rsidRDefault="00660414" w:rsidP="007613DE">
            <w:pPr>
              <w:spacing w:line="276" w:lineRule="auto"/>
              <w:rPr>
                <w:sz w:val="22"/>
                <w:szCs w:val="22"/>
              </w:rPr>
            </w:pPr>
            <w:r>
              <w:rPr>
                <w:sz w:val="22"/>
                <w:szCs w:val="22"/>
              </w:rPr>
              <w:t>New Build Terminal</w:t>
            </w:r>
          </w:p>
        </w:tc>
        <w:tc>
          <w:tcPr>
            <w:tcW w:w="751" w:type="pct"/>
            <w:vAlign w:val="center"/>
          </w:tcPr>
          <w:p w:rsidR="00660414" w:rsidRPr="006B28E8" w:rsidRDefault="00660414" w:rsidP="007613DE">
            <w:pPr>
              <w:spacing w:line="276" w:lineRule="auto"/>
              <w:jc w:val="right"/>
              <w:rPr>
                <w:rFonts w:cs="Arial"/>
                <w:sz w:val="22"/>
                <w:szCs w:val="22"/>
              </w:rPr>
            </w:pPr>
            <w:r>
              <w:rPr>
                <w:rFonts w:cs="Arial"/>
                <w:sz w:val="22"/>
                <w:szCs w:val="22"/>
              </w:rPr>
              <w:t>12.8</w:t>
            </w:r>
          </w:p>
        </w:tc>
        <w:tc>
          <w:tcPr>
            <w:tcW w:w="752" w:type="pct"/>
            <w:vAlign w:val="center"/>
          </w:tcPr>
          <w:p w:rsidR="00660414" w:rsidRPr="006B28E8" w:rsidRDefault="00660414" w:rsidP="007613DE">
            <w:pPr>
              <w:spacing w:line="276" w:lineRule="auto"/>
              <w:jc w:val="right"/>
              <w:rPr>
                <w:rFonts w:cs="Arial"/>
                <w:sz w:val="22"/>
                <w:szCs w:val="22"/>
              </w:rPr>
            </w:pPr>
            <w:r>
              <w:rPr>
                <w:rFonts w:cs="Arial"/>
                <w:sz w:val="22"/>
                <w:szCs w:val="22"/>
              </w:rPr>
              <w:t>50.1</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3.91</w:t>
            </w:r>
          </w:p>
        </w:tc>
        <w:tc>
          <w:tcPr>
            <w:tcW w:w="751" w:type="pct"/>
          </w:tcPr>
          <w:p w:rsidR="00660414" w:rsidRDefault="00660414" w:rsidP="007613DE">
            <w:pPr>
              <w:jc w:val="right"/>
              <w:rPr>
                <w:rFonts w:cs="Arial"/>
                <w:color w:val="000000"/>
                <w:sz w:val="22"/>
                <w:szCs w:val="22"/>
              </w:rPr>
            </w:pPr>
            <w:r>
              <w:rPr>
                <w:rFonts w:cs="Arial"/>
                <w:color w:val="000000"/>
                <w:sz w:val="22"/>
                <w:szCs w:val="22"/>
              </w:rPr>
              <w:t>13.8%</w:t>
            </w:r>
          </w:p>
        </w:tc>
      </w:tr>
      <w:tr w:rsidR="00660414" w:rsidRPr="000A76BD" w:rsidTr="007613DE">
        <w:tc>
          <w:tcPr>
            <w:tcW w:w="799" w:type="pct"/>
          </w:tcPr>
          <w:p w:rsidR="00660414" w:rsidRDefault="00660414" w:rsidP="007613DE">
            <w:pPr>
              <w:spacing w:line="276" w:lineRule="auto"/>
              <w:rPr>
                <w:sz w:val="22"/>
                <w:szCs w:val="22"/>
              </w:rPr>
            </w:pPr>
            <w:r>
              <w:rPr>
                <w:sz w:val="22"/>
                <w:szCs w:val="22"/>
              </w:rPr>
              <w:t>Craiova</w:t>
            </w:r>
          </w:p>
        </w:tc>
        <w:tc>
          <w:tcPr>
            <w:tcW w:w="1195" w:type="pct"/>
          </w:tcPr>
          <w:p w:rsidR="00660414" w:rsidRPr="000A76BD" w:rsidRDefault="00660414" w:rsidP="007613DE">
            <w:pPr>
              <w:spacing w:line="276" w:lineRule="auto"/>
              <w:rPr>
                <w:sz w:val="22"/>
                <w:szCs w:val="22"/>
              </w:rPr>
            </w:pPr>
            <w:r>
              <w:rPr>
                <w:sz w:val="22"/>
                <w:szCs w:val="22"/>
              </w:rPr>
              <w:t>New Build Terminal</w:t>
            </w:r>
          </w:p>
        </w:tc>
        <w:tc>
          <w:tcPr>
            <w:tcW w:w="751" w:type="pct"/>
            <w:vAlign w:val="center"/>
          </w:tcPr>
          <w:p w:rsidR="00660414" w:rsidRPr="006B28E8" w:rsidRDefault="00660414" w:rsidP="007613DE">
            <w:pPr>
              <w:jc w:val="right"/>
              <w:rPr>
                <w:rFonts w:cs="Arial"/>
                <w:bCs/>
                <w:sz w:val="22"/>
                <w:szCs w:val="22"/>
              </w:rPr>
            </w:pPr>
            <w:r>
              <w:rPr>
                <w:rFonts w:cs="Arial"/>
                <w:bCs/>
                <w:sz w:val="22"/>
                <w:szCs w:val="22"/>
              </w:rPr>
              <w:t>13.6</w:t>
            </w:r>
          </w:p>
        </w:tc>
        <w:tc>
          <w:tcPr>
            <w:tcW w:w="752" w:type="pct"/>
            <w:vAlign w:val="center"/>
          </w:tcPr>
          <w:p w:rsidR="00660414" w:rsidRPr="006B28E8" w:rsidRDefault="00660414" w:rsidP="007613DE">
            <w:pPr>
              <w:jc w:val="right"/>
              <w:rPr>
                <w:rFonts w:cs="Arial"/>
                <w:sz w:val="22"/>
                <w:szCs w:val="22"/>
              </w:rPr>
            </w:pPr>
            <w:r>
              <w:rPr>
                <w:rFonts w:cs="Arial"/>
                <w:sz w:val="22"/>
                <w:szCs w:val="22"/>
              </w:rPr>
              <w:t>18.8</w:t>
            </w:r>
          </w:p>
        </w:tc>
        <w:tc>
          <w:tcPr>
            <w:tcW w:w="752" w:type="pct"/>
            <w:vAlign w:val="center"/>
          </w:tcPr>
          <w:p w:rsidR="00660414" w:rsidRPr="006B28E8" w:rsidRDefault="00660414" w:rsidP="007613DE">
            <w:pPr>
              <w:jc w:val="right"/>
              <w:rPr>
                <w:rFonts w:cs="Arial"/>
                <w:sz w:val="22"/>
                <w:szCs w:val="22"/>
              </w:rPr>
            </w:pPr>
            <w:r>
              <w:rPr>
                <w:rFonts w:cs="Arial"/>
                <w:sz w:val="22"/>
                <w:szCs w:val="22"/>
              </w:rPr>
              <w:t>1.39</w:t>
            </w:r>
          </w:p>
        </w:tc>
        <w:tc>
          <w:tcPr>
            <w:tcW w:w="751" w:type="pct"/>
          </w:tcPr>
          <w:p w:rsidR="00660414" w:rsidRDefault="00660414" w:rsidP="007613DE">
            <w:pPr>
              <w:jc w:val="right"/>
              <w:rPr>
                <w:rFonts w:cs="Arial"/>
                <w:sz w:val="22"/>
                <w:szCs w:val="22"/>
              </w:rPr>
            </w:pPr>
            <w:r>
              <w:rPr>
                <w:rFonts w:cs="Arial"/>
                <w:sz w:val="22"/>
                <w:szCs w:val="22"/>
              </w:rPr>
              <w:t>6.6%</w:t>
            </w:r>
          </w:p>
        </w:tc>
      </w:tr>
      <w:tr w:rsidR="00660414" w:rsidRPr="000A76BD" w:rsidTr="007613DE">
        <w:tc>
          <w:tcPr>
            <w:tcW w:w="799" w:type="pct"/>
            <w:vMerge w:val="restart"/>
            <w:vAlign w:val="center"/>
          </w:tcPr>
          <w:p w:rsidR="00660414" w:rsidRDefault="00660414" w:rsidP="007613DE">
            <w:pPr>
              <w:spacing w:line="276" w:lineRule="auto"/>
              <w:rPr>
                <w:sz w:val="22"/>
                <w:szCs w:val="22"/>
              </w:rPr>
            </w:pPr>
            <w:r>
              <w:rPr>
                <w:sz w:val="22"/>
                <w:szCs w:val="22"/>
              </w:rPr>
              <w:t>Timisoara</w:t>
            </w:r>
          </w:p>
        </w:tc>
        <w:tc>
          <w:tcPr>
            <w:tcW w:w="1195" w:type="pct"/>
          </w:tcPr>
          <w:p w:rsidR="00660414" w:rsidRDefault="00660414" w:rsidP="007613DE">
            <w:pPr>
              <w:spacing w:line="276" w:lineRule="auto"/>
              <w:rPr>
                <w:sz w:val="22"/>
                <w:szCs w:val="22"/>
              </w:rPr>
            </w:pPr>
            <w:r>
              <w:rPr>
                <w:sz w:val="22"/>
                <w:szCs w:val="22"/>
              </w:rPr>
              <w:t xml:space="preserve">New Build Terminal </w:t>
            </w:r>
          </w:p>
        </w:tc>
        <w:tc>
          <w:tcPr>
            <w:tcW w:w="751" w:type="pct"/>
            <w:vAlign w:val="center"/>
          </w:tcPr>
          <w:p w:rsidR="00660414" w:rsidRPr="006B28E8" w:rsidRDefault="00660414" w:rsidP="007613DE">
            <w:pPr>
              <w:jc w:val="right"/>
              <w:rPr>
                <w:rFonts w:cs="Arial"/>
                <w:color w:val="000000"/>
                <w:sz w:val="22"/>
                <w:szCs w:val="22"/>
              </w:rPr>
            </w:pPr>
            <w:r>
              <w:rPr>
                <w:rFonts w:cs="Arial"/>
                <w:color w:val="000000"/>
                <w:sz w:val="22"/>
                <w:szCs w:val="22"/>
              </w:rPr>
              <w:t>14.4</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19.1</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1.33</w:t>
            </w:r>
          </w:p>
        </w:tc>
        <w:tc>
          <w:tcPr>
            <w:tcW w:w="751" w:type="pct"/>
          </w:tcPr>
          <w:p w:rsidR="00660414" w:rsidRDefault="00660414" w:rsidP="007613DE">
            <w:pPr>
              <w:jc w:val="right"/>
              <w:rPr>
                <w:rFonts w:cs="Arial"/>
                <w:color w:val="000000"/>
                <w:sz w:val="22"/>
                <w:szCs w:val="22"/>
              </w:rPr>
            </w:pPr>
            <w:r>
              <w:rPr>
                <w:rFonts w:cs="Arial"/>
                <w:color w:val="000000"/>
                <w:sz w:val="22"/>
                <w:szCs w:val="22"/>
              </w:rPr>
              <w:t>6.6%</w:t>
            </w:r>
          </w:p>
        </w:tc>
      </w:tr>
      <w:tr w:rsidR="00660414" w:rsidRPr="000A76BD" w:rsidTr="007613DE">
        <w:tc>
          <w:tcPr>
            <w:tcW w:w="799" w:type="pct"/>
            <w:vMerge/>
            <w:vAlign w:val="center"/>
          </w:tcPr>
          <w:p w:rsidR="00660414" w:rsidRDefault="00660414" w:rsidP="007613DE">
            <w:pPr>
              <w:spacing w:line="276" w:lineRule="auto"/>
              <w:rPr>
                <w:sz w:val="22"/>
                <w:szCs w:val="22"/>
              </w:rPr>
            </w:pPr>
          </w:p>
        </w:tc>
        <w:tc>
          <w:tcPr>
            <w:tcW w:w="1195" w:type="pct"/>
          </w:tcPr>
          <w:p w:rsidR="00660414" w:rsidRDefault="00660414" w:rsidP="007613DE">
            <w:pPr>
              <w:spacing w:line="276" w:lineRule="auto"/>
              <w:rPr>
                <w:sz w:val="22"/>
                <w:szCs w:val="22"/>
              </w:rPr>
            </w:pPr>
            <w:r>
              <w:rPr>
                <w:sz w:val="22"/>
                <w:szCs w:val="22"/>
              </w:rPr>
              <w:t>Refurbished Terminal</w:t>
            </w:r>
          </w:p>
        </w:tc>
        <w:tc>
          <w:tcPr>
            <w:tcW w:w="751" w:type="pct"/>
            <w:vAlign w:val="center"/>
          </w:tcPr>
          <w:p w:rsidR="00660414" w:rsidRDefault="00660414" w:rsidP="007613DE">
            <w:pPr>
              <w:jc w:val="right"/>
              <w:rPr>
                <w:rFonts w:cs="Arial"/>
                <w:color w:val="000000"/>
                <w:sz w:val="22"/>
                <w:szCs w:val="22"/>
              </w:rPr>
            </w:pPr>
            <w:r>
              <w:rPr>
                <w:rFonts w:cs="Arial"/>
                <w:color w:val="000000"/>
                <w:sz w:val="22"/>
                <w:szCs w:val="22"/>
              </w:rPr>
              <w:t>2.3</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19.1</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8.45</w:t>
            </w:r>
          </w:p>
        </w:tc>
        <w:tc>
          <w:tcPr>
            <w:tcW w:w="751" w:type="pct"/>
          </w:tcPr>
          <w:p w:rsidR="00660414" w:rsidRDefault="00660414" w:rsidP="007613DE">
            <w:pPr>
              <w:jc w:val="right"/>
              <w:rPr>
                <w:rFonts w:cs="Arial"/>
                <w:color w:val="000000"/>
                <w:sz w:val="22"/>
                <w:szCs w:val="22"/>
              </w:rPr>
            </w:pPr>
            <w:r>
              <w:rPr>
                <w:rFonts w:cs="Arial"/>
                <w:color w:val="000000"/>
                <w:sz w:val="22"/>
                <w:szCs w:val="22"/>
              </w:rPr>
              <w:t>24.4%</w:t>
            </w:r>
          </w:p>
        </w:tc>
      </w:tr>
      <w:tr w:rsidR="00660414" w:rsidRPr="000A76BD" w:rsidTr="007613DE">
        <w:tc>
          <w:tcPr>
            <w:tcW w:w="799" w:type="pct"/>
            <w:vMerge w:val="restart"/>
            <w:vAlign w:val="center"/>
          </w:tcPr>
          <w:p w:rsidR="00660414" w:rsidRDefault="00660414" w:rsidP="007613DE">
            <w:pPr>
              <w:spacing w:line="276" w:lineRule="auto"/>
              <w:rPr>
                <w:sz w:val="22"/>
                <w:szCs w:val="22"/>
              </w:rPr>
            </w:pPr>
            <w:r>
              <w:rPr>
                <w:sz w:val="22"/>
                <w:szCs w:val="22"/>
              </w:rPr>
              <w:t>Cluj Napoca</w:t>
            </w:r>
          </w:p>
        </w:tc>
        <w:tc>
          <w:tcPr>
            <w:tcW w:w="1195" w:type="pct"/>
          </w:tcPr>
          <w:p w:rsidR="00660414" w:rsidRDefault="00660414" w:rsidP="007613DE">
            <w:pPr>
              <w:spacing w:line="276" w:lineRule="auto"/>
              <w:rPr>
                <w:sz w:val="22"/>
                <w:szCs w:val="22"/>
              </w:rPr>
            </w:pPr>
            <w:r>
              <w:rPr>
                <w:sz w:val="22"/>
                <w:szCs w:val="22"/>
              </w:rPr>
              <w:t xml:space="preserve">New Build Terminal </w:t>
            </w:r>
          </w:p>
        </w:tc>
        <w:tc>
          <w:tcPr>
            <w:tcW w:w="751" w:type="pct"/>
            <w:vAlign w:val="center"/>
          </w:tcPr>
          <w:p w:rsidR="00660414" w:rsidRPr="006B28E8" w:rsidRDefault="00660414" w:rsidP="007613DE">
            <w:pPr>
              <w:jc w:val="right"/>
              <w:rPr>
                <w:rFonts w:cs="Arial"/>
                <w:color w:val="000000"/>
                <w:sz w:val="22"/>
                <w:szCs w:val="22"/>
              </w:rPr>
            </w:pPr>
            <w:r>
              <w:rPr>
                <w:rFonts w:cs="Arial"/>
                <w:color w:val="000000"/>
                <w:sz w:val="22"/>
                <w:szCs w:val="22"/>
              </w:rPr>
              <w:t>14.4</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18.0</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1.25</w:t>
            </w:r>
          </w:p>
        </w:tc>
        <w:tc>
          <w:tcPr>
            <w:tcW w:w="751" w:type="pct"/>
          </w:tcPr>
          <w:p w:rsidR="00660414" w:rsidRDefault="00660414" w:rsidP="007613DE">
            <w:pPr>
              <w:jc w:val="right"/>
              <w:rPr>
                <w:rFonts w:cs="Arial"/>
                <w:color w:val="000000"/>
                <w:sz w:val="22"/>
                <w:szCs w:val="22"/>
              </w:rPr>
            </w:pPr>
            <w:r>
              <w:rPr>
                <w:rFonts w:cs="Arial"/>
                <w:color w:val="000000"/>
                <w:sz w:val="22"/>
                <w:szCs w:val="22"/>
              </w:rPr>
              <w:t>6.3%</w:t>
            </w:r>
          </w:p>
        </w:tc>
      </w:tr>
      <w:tr w:rsidR="00660414" w:rsidRPr="000A76BD" w:rsidTr="007613DE">
        <w:tc>
          <w:tcPr>
            <w:tcW w:w="799" w:type="pct"/>
            <w:vMerge/>
            <w:vAlign w:val="center"/>
          </w:tcPr>
          <w:p w:rsidR="00660414" w:rsidRDefault="00660414" w:rsidP="007613DE">
            <w:pPr>
              <w:spacing w:line="276" w:lineRule="auto"/>
              <w:rPr>
                <w:sz w:val="22"/>
                <w:szCs w:val="22"/>
              </w:rPr>
            </w:pPr>
          </w:p>
        </w:tc>
        <w:tc>
          <w:tcPr>
            <w:tcW w:w="1195" w:type="pct"/>
          </w:tcPr>
          <w:p w:rsidR="00660414" w:rsidRDefault="00660414" w:rsidP="007613DE">
            <w:pPr>
              <w:spacing w:line="276" w:lineRule="auto"/>
              <w:rPr>
                <w:sz w:val="22"/>
                <w:szCs w:val="22"/>
              </w:rPr>
            </w:pPr>
            <w:r>
              <w:rPr>
                <w:sz w:val="22"/>
                <w:szCs w:val="22"/>
              </w:rPr>
              <w:t>Refurbished Terminal</w:t>
            </w:r>
          </w:p>
        </w:tc>
        <w:tc>
          <w:tcPr>
            <w:tcW w:w="751" w:type="pct"/>
            <w:vAlign w:val="center"/>
          </w:tcPr>
          <w:p w:rsidR="00660414" w:rsidRDefault="00660414" w:rsidP="007613DE">
            <w:pPr>
              <w:jc w:val="right"/>
              <w:rPr>
                <w:rFonts w:cs="Arial"/>
                <w:color w:val="000000"/>
                <w:sz w:val="22"/>
                <w:szCs w:val="22"/>
              </w:rPr>
            </w:pPr>
            <w:r>
              <w:rPr>
                <w:rFonts w:cs="Arial"/>
                <w:color w:val="000000"/>
                <w:sz w:val="22"/>
                <w:szCs w:val="22"/>
              </w:rPr>
              <w:t>4.7</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18.0</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3.86</w:t>
            </w:r>
          </w:p>
        </w:tc>
        <w:tc>
          <w:tcPr>
            <w:tcW w:w="751" w:type="pct"/>
          </w:tcPr>
          <w:p w:rsidR="00660414" w:rsidRDefault="00660414" w:rsidP="007613DE">
            <w:pPr>
              <w:jc w:val="right"/>
              <w:rPr>
                <w:rFonts w:cs="Arial"/>
                <w:color w:val="000000"/>
                <w:sz w:val="22"/>
                <w:szCs w:val="22"/>
              </w:rPr>
            </w:pPr>
            <w:r>
              <w:rPr>
                <w:rFonts w:cs="Arial"/>
                <w:color w:val="000000"/>
                <w:sz w:val="22"/>
                <w:szCs w:val="22"/>
              </w:rPr>
              <w:t>14.5%</w:t>
            </w:r>
          </w:p>
        </w:tc>
      </w:tr>
      <w:tr w:rsidR="00660414" w:rsidRPr="000A76BD" w:rsidTr="007613DE">
        <w:tc>
          <w:tcPr>
            <w:tcW w:w="799" w:type="pct"/>
            <w:vMerge w:val="restart"/>
            <w:vAlign w:val="center"/>
          </w:tcPr>
          <w:p w:rsidR="00660414" w:rsidRDefault="00660414" w:rsidP="007613DE">
            <w:pPr>
              <w:spacing w:line="276" w:lineRule="auto"/>
              <w:rPr>
                <w:sz w:val="22"/>
                <w:szCs w:val="22"/>
              </w:rPr>
            </w:pPr>
            <w:r>
              <w:rPr>
                <w:sz w:val="22"/>
                <w:szCs w:val="22"/>
              </w:rPr>
              <w:t>Suceava</w:t>
            </w:r>
          </w:p>
        </w:tc>
        <w:tc>
          <w:tcPr>
            <w:tcW w:w="1195" w:type="pct"/>
          </w:tcPr>
          <w:p w:rsidR="00660414" w:rsidRDefault="00660414" w:rsidP="007613DE">
            <w:pPr>
              <w:spacing w:line="276" w:lineRule="auto"/>
              <w:rPr>
                <w:sz w:val="22"/>
                <w:szCs w:val="22"/>
              </w:rPr>
            </w:pPr>
            <w:r>
              <w:rPr>
                <w:sz w:val="22"/>
                <w:szCs w:val="22"/>
              </w:rPr>
              <w:t xml:space="preserve">New Build Terminal </w:t>
            </w:r>
          </w:p>
        </w:tc>
        <w:tc>
          <w:tcPr>
            <w:tcW w:w="751" w:type="pct"/>
            <w:vAlign w:val="center"/>
          </w:tcPr>
          <w:p w:rsidR="00660414" w:rsidRPr="006B28E8" w:rsidRDefault="00660414" w:rsidP="007613DE">
            <w:pPr>
              <w:jc w:val="right"/>
              <w:rPr>
                <w:rFonts w:cs="Arial"/>
                <w:bCs/>
                <w:sz w:val="22"/>
                <w:szCs w:val="22"/>
              </w:rPr>
            </w:pPr>
            <w:r>
              <w:rPr>
                <w:rFonts w:cs="Arial"/>
                <w:bCs/>
                <w:sz w:val="22"/>
                <w:szCs w:val="22"/>
              </w:rPr>
              <w:t>14.4</w:t>
            </w:r>
          </w:p>
        </w:tc>
        <w:tc>
          <w:tcPr>
            <w:tcW w:w="752" w:type="pct"/>
            <w:vAlign w:val="center"/>
          </w:tcPr>
          <w:p w:rsidR="00660414" w:rsidRPr="006B28E8" w:rsidRDefault="00660414" w:rsidP="007613DE">
            <w:pPr>
              <w:jc w:val="right"/>
              <w:rPr>
                <w:rFonts w:cs="Arial"/>
                <w:bCs/>
                <w:sz w:val="22"/>
                <w:szCs w:val="22"/>
              </w:rPr>
            </w:pPr>
            <w:r>
              <w:rPr>
                <w:rFonts w:cs="Arial"/>
                <w:bCs/>
                <w:sz w:val="22"/>
                <w:szCs w:val="22"/>
              </w:rPr>
              <w:t>18.6</w:t>
            </w:r>
          </w:p>
        </w:tc>
        <w:tc>
          <w:tcPr>
            <w:tcW w:w="752" w:type="pct"/>
            <w:vAlign w:val="center"/>
          </w:tcPr>
          <w:p w:rsidR="00660414" w:rsidRPr="006B28E8" w:rsidRDefault="00660414" w:rsidP="007613DE">
            <w:pPr>
              <w:jc w:val="right"/>
              <w:rPr>
                <w:rFonts w:cs="Arial"/>
                <w:bCs/>
                <w:sz w:val="22"/>
                <w:szCs w:val="22"/>
              </w:rPr>
            </w:pPr>
            <w:r>
              <w:rPr>
                <w:rFonts w:cs="Arial"/>
                <w:bCs/>
                <w:sz w:val="22"/>
                <w:szCs w:val="22"/>
              </w:rPr>
              <w:t>1.29</w:t>
            </w:r>
          </w:p>
        </w:tc>
        <w:tc>
          <w:tcPr>
            <w:tcW w:w="751" w:type="pct"/>
          </w:tcPr>
          <w:p w:rsidR="00660414" w:rsidRDefault="00660414" w:rsidP="007613DE">
            <w:pPr>
              <w:jc w:val="right"/>
              <w:rPr>
                <w:rFonts w:cs="Arial"/>
                <w:bCs/>
                <w:sz w:val="22"/>
                <w:szCs w:val="22"/>
              </w:rPr>
            </w:pPr>
            <w:r>
              <w:rPr>
                <w:rFonts w:cs="Arial"/>
                <w:bCs/>
                <w:sz w:val="22"/>
                <w:szCs w:val="22"/>
              </w:rPr>
              <w:t>6.4%</w:t>
            </w:r>
          </w:p>
        </w:tc>
      </w:tr>
      <w:tr w:rsidR="00660414" w:rsidRPr="000A76BD" w:rsidTr="007613DE">
        <w:tc>
          <w:tcPr>
            <w:tcW w:w="799" w:type="pct"/>
            <w:vMerge/>
            <w:vAlign w:val="center"/>
          </w:tcPr>
          <w:p w:rsidR="00660414" w:rsidRDefault="00660414" w:rsidP="007613DE">
            <w:pPr>
              <w:spacing w:line="276" w:lineRule="auto"/>
              <w:rPr>
                <w:sz w:val="22"/>
                <w:szCs w:val="22"/>
              </w:rPr>
            </w:pPr>
          </w:p>
        </w:tc>
        <w:tc>
          <w:tcPr>
            <w:tcW w:w="1195" w:type="pct"/>
          </w:tcPr>
          <w:p w:rsidR="00660414" w:rsidRDefault="00660414" w:rsidP="007613DE">
            <w:pPr>
              <w:spacing w:line="276" w:lineRule="auto"/>
              <w:rPr>
                <w:sz w:val="22"/>
                <w:szCs w:val="22"/>
              </w:rPr>
            </w:pPr>
            <w:r>
              <w:rPr>
                <w:sz w:val="22"/>
                <w:szCs w:val="22"/>
              </w:rPr>
              <w:t>Refurbished Terminal</w:t>
            </w:r>
          </w:p>
        </w:tc>
        <w:tc>
          <w:tcPr>
            <w:tcW w:w="751" w:type="pct"/>
            <w:vAlign w:val="center"/>
          </w:tcPr>
          <w:p w:rsidR="00660414" w:rsidRDefault="00660414" w:rsidP="007613DE">
            <w:pPr>
              <w:jc w:val="right"/>
              <w:rPr>
                <w:rFonts w:cs="Arial"/>
                <w:bCs/>
                <w:sz w:val="22"/>
                <w:szCs w:val="22"/>
              </w:rPr>
            </w:pPr>
            <w:r>
              <w:rPr>
                <w:rFonts w:cs="Arial"/>
                <w:bCs/>
                <w:sz w:val="22"/>
                <w:szCs w:val="22"/>
              </w:rPr>
              <w:t>4.7</w:t>
            </w:r>
          </w:p>
        </w:tc>
        <w:tc>
          <w:tcPr>
            <w:tcW w:w="752" w:type="pct"/>
            <w:vAlign w:val="center"/>
          </w:tcPr>
          <w:p w:rsidR="00660414" w:rsidRDefault="00660414" w:rsidP="007613DE">
            <w:pPr>
              <w:jc w:val="right"/>
              <w:rPr>
                <w:rFonts w:cs="Arial"/>
                <w:bCs/>
                <w:sz w:val="22"/>
                <w:szCs w:val="22"/>
              </w:rPr>
            </w:pPr>
            <w:r>
              <w:rPr>
                <w:rFonts w:cs="Arial"/>
                <w:bCs/>
                <w:sz w:val="22"/>
                <w:szCs w:val="22"/>
              </w:rPr>
              <w:t>18.6</w:t>
            </w:r>
          </w:p>
        </w:tc>
        <w:tc>
          <w:tcPr>
            <w:tcW w:w="752" w:type="pct"/>
            <w:vAlign w:val="center"/>
          </w:tcPr>
          <w:p w:rsidR="00660414" w:rsidRDefault="00660414" w:rsidP="007613DE">
            <w:pPr>
              <w:jc w:val="right"/>
              <w:rPr>
                <w:rFonts w:cs="Arial"/>
                <w:bCs/>
                <w:sz w:val="22"/>
                <w:szCs w:val="22"/>
              </w:rPr>
            </w:pPr>
            <w:r>
              <w:rPr>
                <w:rFonts w:cs="Arial"/>
                <w:bCs/>
                <w:sz w:val="22"/>
                <w:szCs w:val="22"/>
              </w:rPr>
              <w:t>4.00</w:t>
            </w:r>
          </w:p>
        </w:tc>
        <w:tc>
          <w:tcPr>
            <w:tcW w:w="751" w:type="pct"/>
          </w:tcPr>
          <w:p w:rsidR="00660414" w:rsidRDefault="00660414" w:rsidP="007613DE">
            <w:pPr>
              <w:jc w:val="right"/>
              <w:rPr>
                <w:rFonts w:cs="Arial"/>
                <w:bCs/>
                <w:sz w:val="22"/>
                <w:szCs w:val="22"/>
              </w:rPr>
            </w:pPr>
            <w:r>
              <w:rPr>
                <w:rFonts w:cs="Arial"/>
                <w:bCs/>
                <w:sz w:val="22"/>
                <w:szCs w:val="22"/>
              </w:rPr>
              <w:t>14.3%</w:t>
            </w:r>
          </w:p>
        </w:tc>
      </w:tr>
      <w:tr w:rsidR="00660414" w:rsidRPr="000A76BD" w:rsidTr="007613DE">
        <w:tc>
          <w:tcPr>
            <w:tcW w:w="799" w:type="pct"/>
            <w:vMerge w:val="restart"/>
            <w:vAlign w:val="center"/>
          </w:tcPr>
          <w:p w:rsidR="00660414" w:rsidRDefault="00660414" w:rsidP="007613DE">
            <w:pPr>
              <w:spacing w:line="276" w:lineRule="auto"/>
              <w:rPr>
                <w:sz w:val="22"/>
                <w:szCs w:val="22"/>
              </w:rPr>
            </w:pPr>
            <w:r>
              <w:rPr>
                <w:sz w:val="22"/>
                <w:szCs w:val="22"/>
              </w:rPr>
              <w:t>Bacau</w:t>
            </w:r>
          </w:p>
        </w:tc>
        <w:tc>
          <w:tcPr>
            <w:tcW w:w="1195" w:type="pct"/>
          </w:tcPr>
          <w:p w:rsidR="00660414" w:rsidRDefault="00660414" w:rsidP="007613DE">
            <w:pPr>
              <w:spacing w:line="276" w:lineRule="auto"/>
              <w:rPr>
                <w:sz w:val="22"/>
                <w:szCs w:val="22"/>
              </w:rPr>
            </w:pPr>
            <w:r>
              <w:rPr>
                <w:sz w:val="22"/>
                <w:szCs w:val="22"/>
              </w:rPr>
              <w:t xml:space="preserve">New Build Terminal </w:t>
            </w:r>
          </w:p>
        </w:tc>
        <w:tc>
          <w:tcPr>
            <w:tcW w:w="751" w:type="pct"/>
            <w:vAlign w:val="center"/>
          </w:tcPr>
          <w:p w:rsidR="00660414" w:rsidRPr="006B28E8" w:rsidRDefault="00660414" w:rsidP="007613DE">
            <w:pPr>
              <w:jc w:val="right"/>
              <w:rPr>
                <w:rFonts w:cs="Arial"/>
                <w:color w:val="000000"/>
                <w:sz w:val="22"/>
                <w:szCs w:val="22"/>
              </w:rPr>
            </w:pPr>
            <w:r>
              <w:rPr>
                <w:rFonts w:cs="Arial"/>
                <w:color w:val="000000"/>
                <w:sz w:val="22"/>
                <w:szCs w:val="22"/>
              </w:rPr>
              <w:t>14.4</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18.4</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1.28</w:t>
            </w:r>
          </w:p>
        </w:tc>
        <w:tc>
          <w:tcPr>
            <w:tcW w:w="751" w:type="pct"/>
          </w:tcPr>
          <w:p w:rsidR="00660414" w:rsidRDefault="00660414" w:rsidP="007613DE">
            <w:pPr>
              <w:jc w:val="right"/>
              <w:rPr>
                <w:rFonts w:cs="Arial"/>
                <w:color w:val="000000"/>
                <w:sz w:val="22"/>
                <w:szCs w:val="22"/>
              </w:rPr>
            </w:pPr>
            <w:r>
              <w:rPr>
                <w:rFonts w:cs="Arial"/>
                <w:color w:val="000000"/>
                <w:sz w:val="22"/>
                <w:szCs w:val="22"/>
              </w:rPr>
              <w:t>6.4%</w:t>
            </w:r>
          </w:p>
        </w:tc>
      </w:tr>
      <w:tr w:rsidR="00660414" w:rsidRPr="000A76BD" w:rsidTr="007613DE">
        <w:tc>
          <w:tcPr>
            <w:tcW w:w="799" w:type="pct"/>
            <w:vMerge/>
          </w:tcPr>
          <w:p w:rsidR="00660414" w:rsidRDefault="00660414" w:rsidP="007613DE">
            <w:pPr>
              <w:spacing w:line="276" w:lineRule="auto"/>
              <w:rPr>
                <w:sz w:val="22"/>
                <w:szCs w:val="22"/>
              </w:rPr>
            </w:pPr>
          </w:p>
        </w:tc>
        <w:tc>
          <w:tcPr>
            <w:tcW w:w="1195" w:type="pct"/>
          </w:tcPr>
          <w:p w:rsidR="00660414" w:rsidRDefault="00660414" w:rsidP="007613DE">
            <w:pPr>
              <w:spacing w:line="276" w:lineRule="auto"/>
              <w:rPr>
                <w:sz w:val="22"/>
                <w:szCs w:val="22"/>
              </w:rPr>
            </w:pPr>
            <w:r>
              <w:rPr>
                <w:sz w:val="22"/>
                <w:szCs w:val="22"/>
              </w:rPr>
              <w:t>Refurbished Terminal</w:t>
            </w:r>
          </w:p>
        </w:tc>
        <w:tc>
          <w:tcPr>
            <w:tcW w:w="751" w:type="pct"/>
            <w:vAlign w:val="center"/>
          </w:tcPr>
          <w:p w:rsidR="00660414" w:rsidRDefault="00660414" w:rsidP="007613DE">
            <w:pPr>
              <w:jc w:val="right"/>
              <w:rPr>
                <w:rFonts w:cs="Arial"/>
                <w:color w:val="000000"/>
                <w:sz w:val="22"/>
                <w:szCs w:val="22"/>
              </w:rPr>
            </w:pPr>
            <w:r>
              <w:rPr>
                <w:rFonts w:cs="Arial"/>
                <w:color w:val="000000"/>
                <w:sz w:val="22"/>
                <w:szCs w:val="22"/>
              </w:rPr>
              <w:t>4.7</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18.4</w:t>
            </w:r>
          </w:p>
        </w:tc>
        <w:tc>
          <w:tcPr>
            <w:tcW w:w="752" w:type="pct"/>
            <w:vAlign w:val="center"/>
          </w:tcPr>
          <w:p w:rsidR="00660414" w:rsidRDefault="00660414" w:rsidP="007613DE">
            <w:pPr>
              <w:jc w:val="right"/>
              <w:rPr>
                <w:rFonts w:cs="Arial"/>
                <w:color w:val="000000"/>
                <w:sz w:val="22"/>
                <w:szCs w:val="22"/>
              </w:rPr>
            </w:pPr>
            <w:r>
              <w:rPr>
                <w:rFonts w:cs="Arial"/>
                <w:color w:val="000000"/>
                <w:sz w:val="22"/>
                <w:szCs w:val="22"/>
              </w:rPr>
              <w:t>3.95</w:t>
            </w:r>
          </w:p>
        </w:tc>
        <w:tc>
          <w:tcPr>
            <w:tcW w:w="751" w:type="pct"/>
          </w:tcPr>
          <w:p w:rsidR="00660414" w:rsidRDefault="00660414" w:rsidP="007613DE">
            <w:pPr>
              <w:jc w:val="right"/>
              <w:rPr>
                <w:rFonts w:cs="Arial"/>
                <w:color w:val="000000"/>
                <w:sz w:val="22"/>
                <w:szCs w:val="22"/>
              </w:rPr>
            </w:pPr>
            <w:r>
              <w:rPr>
                <w:rFonts w:cs="Arial"/>
                <w:color w:val="000000"/>
                <w:sz w:val="22"/>
                <w:szCs w:val="22"/>
              </w:rPr>
              <w:t>14.4%</w:t>
            </w:r>
          </w:p>
        </w:tc>
      </w:tr>
      <w:tr w:rsidR="00660414" w:rsidRPr="000A76BD" w:rsidTr="007613DE">
        <w:tc>
          <w:tcPr>
            <w:tcW w:w="799" w:type="pct"/>
          </w:tcPr>
          <w:p w:rsidR="00660414" w:rsidRDefault="00660414" w:rsidP="007613DE">
            <w:pPr>
              <w:spacing w:line="276" w:lineRule="auto"/>
              <w:rPr>
                <w:sz w:val="22"/>
                <w:szCs w:val="22"/>
              </w:rPr>
            </w:pPr>
            <w:r>
              <w:rPr>
                <w:sz w:val="22"/>
                <w:szCs w:val="22"/>
              </w:rPr>
              <w:t>Iasi</w:t>
            </w:r>
          </w:p>
        </w:tc>
        <w:tc>
          <w:tcPr>
            <w:tcW w:w="1195" w:type="pct"/>
          </w:tcPr>
          <w:p w:rsidR="00660414" w:rsidRDefault="00660414" w:rsidP="007613DE">
            <w:pPr>
              <w:spacing w:line="276" w:lineRule="auto"/>
              <w:rPr>
                <w:sz w:val="22"/>
                <w:szCs w:val="22"/>
              </w:rPr>
            </w:pPr>
            <w:r>
              <w:rPr>
                <w:sz w:val="22"/>
                <w:szCs w:val="22"/>
              </w:rPr>
              <w:t>Refurbished Terminal</w:t>
            </w:r>
          </w:p>
        </w:tc>
        <w:tc>
          <w:tcPr>
            <w:tcW w:w="751" w:type="pct"/>
            <w:vAlign w:val="center"/>
          </w:tcPr>
          <w:p w:rsidR="00660414" w:rsidRPr="006B28E8" w:rsidRDefault="00660414" w:rsidP="007613DE">
            <w:pPr>
              <w:jc w:val="right"/>
              <w:rPr>
                <w:rFonts w:cs="Arial"/>
                <w:color w:val="000000"/>
                <w:sz w:val="22"/>
                <w:szCs w:val="22"/>
              </w:rPr>
            </w:pPr>
            <w:r>
              <w:rPr>
                <w:rFonts w:cs="Arial"/>
                <w:color w:val="000000"/>
                <w:sz w:val="22"/>
                <w:szCs w:val="22"/>
              </w:rPr>
              <w:t>3.9</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11.7</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0.81</w:t>
            </w:r>
          </w:p>
        </w:tc>
        <w:tc>
          <w:tcPr>
            <w:tcW w:w="751" w:type="pct"/>
          </w:tcPr>
          <w:p w:rsidR="00660414" w:rsidRDefault="00660414" w:rsidP="007613DE">
            <w:pPr>
              <w:jc w:val="right"/>
              <w:rPr>
                <w:rFonts w:cs="Arial"/>
                <w:color w:val="000000"/>
                <w:sz w:val="22"/>
                <w:szCs w:val="22"/>
              </w:rPr>
            </w:pPr>
            <w:r>
              <w:rPr>
                <w:rFonts w:cs="Arial"/>
                <w:color w:val="000000"/>
                <w:sz w:val="22"/>
                <w:szCs w:val="22"/>
              </w:rPr>
              <w:t>3.9%</w:t>
            </w:r>
          </w:p>
        </w:tc>
      </w:tr>
      <w:tr w:rsidR="00660414" w:rsidRPr="000A76BD" w:rsidTr="007613DE">
        <w:tc>
          <w:tcPr>
            <w:tcW w:w="799" w:type="pct"/>
          </w:tcPr>
          <w:p w:rsidR="00660414" w:rsidRDefault="00660414" w:rsidP="007613DE">
            <w:pPr>
              <w:spacing w:line="276" w:lineRule="auto"/>
              <w:rPr>
                <w:sz w:val="22"/>
                <w:szCs w:val="22"/>
              </w:rPr>
            </w:pPr>
            <w:r>
              <w:rPr>
                <w:sz w:val="22"/>
                <w:szCs w:val="22"/>
              </w:rPr>
              <w:t>Oradea</w:t>
            </w:r>
          </w:p>
        </w:tc>
        <w:tc>
          <w:tcPr>
            <w:tcW w:w="1195" w:type="pct"/>
          </w:tcPr>
          <w:p w:rsidR="00660414" w:rsidRPr="000A76BD" w:rsidRDefault="00660414" w:rsidP="007613DE">
            <w:pPr>
              <w:spacing w:line="276" w:lineRule="auto"/>
              <w:rPr>
                <w:sz w:val="22"/>
                <w:szCs w:val="22"/>
              </w:rPr>
            </w:pPr>
            <w:r>
              <w:rPr>
                <w:sz w:val="22"/>
                <w:szCs w:val="22"/>
              </w:rPr>
              <w:t>Refurbished Terminal</w:t>
            </w:r>
          </w:p>
        </w:tc>
        <w:tc>
          <w:tcPr>
            <w:tcW w:w="751" w:type="pct"/>
            <w:vAlign w:val="center"/>
          </w:tcPr>
          <w:p w:rsidR="00660414" w:rsidRPr="006B28E8" w:rsidRDefault="00660414" w:rsidP="007613DE">
            <w:pPr>
              <w:spacing w:line="276" w:lineRule="auto"/>
              <w:jc w:val="right"/>
              <w:rPr>
                <w:rFonts w:cs="Arial"/>
                <w:sz w:val="22"/>
                <w:szCs w:val="22"/>
              </w:rPr>
            </w:pPr>
            <w:r>
              <w:rPr>
                <w:rFonts w:cs="Arial"/>
                <w:sz w:val="22"/>
                <w:szCs w:val="22"/>
              </w:rPr>
              <w:t>4.7</w:t>
            </w:r>
          </w:p>
        </w:tc>
        <w:tc>
          <w:tcPr>
            <w:tcW w:w="752" w:type="pct"/>
            <w:vAlign w:val="center"/>
          </w:tcPr>
          <w:p w:rsidR="00660414" w:rsidRPr="006B28E8" w:rsidRDefault="00660414" w:rsidP="007613DE">
            <w:pPr>
              <w:spacing w:line="276" w:lineRule="auto"/>
              <w:jc w:val="right"/>
              <w:rPr>
                <w:rFonts w:cs="Arial"/>
                <w:sz w:val="22"/>
                <w:szCs w:val="22"/>
              </w:rPr>
            </w:pPr>
            <w:r>
              <w:rPr>
                <w:rFonts w:cs="Arial"/>
                <w:sz w:val="22"/>
                <w:szCs w:val="22"/>
              </w:rPr>
              <w:t>11.4</w:t>
            </w:r>
          </w:p>
        </w:tc>
        <w:tc>
          <w:tcPr>
            <w:tcW w:w="752" w:type="pct"/>
            <w:vAlign w:val="center"/>
          </w:tcPr>
          <w:p w:rsidR="00660414" w:rsidRPr="006B28E8" w:rsidRDefault="00660414" w:rsidP="007613DE">
            <w:pPr>
              <w:spacing w:line="276" w:lineRule="auto"/>
              <w:jc w:val="right"/>
              <w:rPr>
                <w:rFonts w:cs="Arial"/>
                <w:sz w:val="22"/>
                <w:szCs w:val="22"/>
              </w:rPr>
            </w:pPr>
            <w:r>
              <w:rPr>
                <w:rFonts w:cs="Arial"/>
                <w:sz w:val="22"/>
                <w:szCs w:val="22"/>
              </w:rPr>
              <w:t>2.46</w:t>
            </w:r>
          </w:p>
        </w:tc>
        <w:tc>
          <w:tcPr>
            <w:tcW w:w="751" w:type="pct"/>
          </w:tcPr>
          <w:p w:rsidR="00660414" w:rsidRDefault="00660414" w:rsidP="007613DE">
            <w:pPr>
              <w:spacing w:line="276" w:lineRule="auto"/>
              <w:jc w:val="right"/>
              <w:rPr>
                <w:rFonts w:cs="Arial"/>
                <w:sz w:val="22"/>
                <w:szCs w:val="22"/>
              </w:rPr>
            </w:pPr>
            <w:r>
              <w:rPr>
                <w:rFonts w:cs="Arial"/>
                <w:sz w:val="22"/>
                <w:szCs w:val="22"/>
              </w:rPr>
              <w:t>10.6%</w:t>
            </w:r>
          </w:p>
        </w:tc>
      </w:tr>
      <w:tr w:rsidR="00660414" w:rsidRPr="000A76BD" w:rsidTr="007613DE">
        <w:tc>
          <w:tcPr>
            <w:tcW w:w="799" w:type="pct"/>
          </w:tcPr>
          <w:p w:rsidR="00660414" w:rsidRDefault="00660414" w:rsidP="007613DE">
            <w:pPr>
              <w:spacing w:line="276" w:lineRule="auto"/>
              <w:rPr>
                <w:sz w:val="22"/>
                <w:szCs w:val="22"/>
              </w:rPr>
            </w:pPr>
            <w:r>
              <w:rPr>
                <w:sz w:val="22"/>
                <w:szCs w:val="22"/>
              </w:rPr>
              <w:t>Turdu</w:t>
            </w:r>
          </w:p>
        </w:tc>
        <w:tc>
          <w:tcPr>
            <w:tcW w:w="1195" w:type="pct"/>
          </w:tcPr>
          <w:p w:rsidR="00660414" w:rsidRPr="000A76BD" w:rsidRDefault="00660414" w:rsidP="007613DE">
            <w:pPr>
              <w:spacing w:line="276" w:lineRule="auto"/>
              <w:rPr>
                <w:sz w:val="22"/>
                <w:szCs w:val="22"/>
              </w:rPr>
            </w:pPr>
            <w:r>
              <w:rPr>
                <w:sz w:val="22"/>
                <w:szCs w:val="22"/>
              </w:rPr>
              <w:t>Refurbished Terminal</w:t>
            </w:r>
          </w:p>
        </w:tc>
        <w:tc>
          <w:tcPr>
            <w:tcW w:w="751" w:type="pct"/>
            <w:vAlign w:val="center"/>
          </w:tcPr>
          <w:p w:rsidR="00660414" w:rsidRPr="006B28E8" w:rsidRDefault="00660414" w:rsidP="007613DE">
            <w:pPr>
              <w:jc w:val="right"/>
              <w:rPr>
                <w:rFonts w:cs="Arial"/>
                <w:color w:val="000000"/>
                <w:sz w:val="22"/>
                <w:szCs w:val="22"/>
              </w:rPr>
            </w:pPr>
            <w:r>
              <w:rPr>
                <w:rFonts w:cs="Arial"/>
                <w:color w:val="000000"/>
                <w:sz w:val="22"/>
                <w:szCs w:val="22"/>
              </w:rPr>
              <w:t>4.7</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5.9</w:t>
            </w:r>
          </w:p>
        </w:tc>
        <w:tc>
          <w:tcPr>
            <w:tcW w:w="752" w:type="pct"/>
            <w:vAlign w:val="center"/>
          </w:tcPr>
          <w:p w:rsidR="00660414" w:rsidRPr="006B28E8" w:rsidRDefault="00660414" w:rsidP="007613DE">
            <w:pPr>
              <w:jc w:val="right"/>
              <w:rPr>
                <w:rFonts w:cs="Arial"/>
                <w:color w:val="000000"/>
                <w:sz w:val="22"/>
                <w:szCs w:val="22"/>
              </w:rPr>
            </w:pPr>
            <w:r>
              <w:rPr>
                <w:rFonts w:cs="Arial"/>
                <w:color w:val="000000"/>
                <w:sz w:val="22"/>
                <w:szCs w:val="22"/>
              </w:rPr>
              <w:t>1.26</w:t>
            </w:r>
          </w:p>
        </w:tc>
        <w:tc>
          <w:tcPr>
            <w:tcW w:w="751" w:type="pct"/>
          </w:tcPr>
          <w:p w:rsidR="00660414" w:rsidRDefault="00660414" w:rsidP="007613DE">
            <w:pPr>
              <w:jc w:val="right"/>
              <w:rPr>
                <w:rFonts w:cs="Arial"/>
                <w:color w:val="000000"/>
                <w:sz w:val="22"/>
                <w:szCs w:val="22"/>
              </w:rPr>
            </w:pPr>
            <w:r>
              <w:rPr>
                <w:rFonts w:cs="Arial"/>
                <w:color w:val="000000"/>
                <w:sz w:val="22"/>
                <w:szCs w:val="22"/>
              </w:rPr>
              <w:t>6.6%</w:t>
            </w:r>
          </w:p>
        </w:tc>
      </w:tr>
    </w:tbl>
    <w:p w:rsidR="00660414" w:rsidRPr="000A76BD" w:rsidRDefault="00660414" w:rsidP="00660414">
      <w:pPr>
        <w:rPr>
          <w:sz w:val="22"/>
          <w:szCs w:val="22"/>
        </w:rPr>
      </w:pPr>
    </w:p>
    <w:p w:rsidR="00660414" w:rsidRPr="008C5B1B" w:rsidRDefault="00660414" w:rsidP="00660414">
      <w:pPr>
        <w:rPr>
          <w:sz w:val="22"/>
          <w:szCs w:val="22"/>
        </w:rPr>
      </w:pPr>
    </w:p>
    <w:p w:rsidR="003D7939" w:rsidRDefault="003D7939" w:rsidP="003D7939"/>
    <w:p w:rsidR="00660414" w:rsidRPr="00C8675F" w:rsidRDefault="00660414" w:rsidP="003D7939"/>
    <w:p w:rsidR="0018508A" w:rsidRPr="00C8675F" w:rsidRDefault="0018508A" w:rsidP="0018508A"/>
    <w:p w:rsidR="0018508A" w:rsidRPr="00C8675F" w:rsidRDefault="0018508A" w:rsidP="0018508A">
      <w:pPr>
        <w:sectPr w:rsidR="0018508A" w:rsidRPr="00C8675F" w:rsidSect="00933C17">
          <w:headerReference w:type="default" r:id="rId331"/>
          <w:pgSz w:w="11907" w:h="16840" w:code="9"/>
          <w:pgMar w:top="1418" w:right="709" w:bottom="1418" w:left="907" w:header="357" w:footer="567" w:gutter="0"/>
          <w:cols w:space="187"/>
          <w:docGrid w:linePitch="360"/>
        </w:sectPr>
      </w:pPr>
    </w:p>
    <w:p w:rsidR="0018508A" w:rsidRPr="00C8675F" w:rsidRDefault="0018508A" w:rsidP="0018508A">
      <w:pPr>
        <w:rPr>
          <w:b/>
        </w:rPr>
        <w:sectPr w:rsidR="0018508A" w:rsidRPr="00C8675F">
          <w:headerReference w:type="default" r:id="rId332"/>
          <w:footerReference w:type="default" r:id="rId333"/>
          <w:pgSz w:w="11907" w:h="16840" w:code="9"/>
          <w:pgMar w:top="-3640" w:right="709" w:bottom="1729" w:left="6146" w:header="357" w:footer="567" w:gutter="0"/>
          <w:cols w:space="720"/>
          <w:docGrid w:linePitch="360"/>
        </w:sectPr>
      </w:pPr>
    </w:p>
    <w:p w:rsidR="0018508A" w:rsidRPr="00C8675F" w:rsidRDefault="00417BE7" w:rsidP="0018508A">
      <w:pPr>
        <w:pStyle w:val="SecDivider0"/>
        <w:rPr>
          <w:lang w:val="en-GB"/>
        </w:rPr>
      </w:pPr>
      <w:r>
        <w:rPr>
          <w:lang w:val="en-GB"/>
        </w:rPr>
        <w:t>Funding Analysis</w:t>
      </w:r>
    </w:p>
    <w:p w:rsidR="0018508A" w:rsidRPr="00C8675F" w:rsidRDefault="0018508A" w:rsidP="0018508A"/>
    <w:p w:rsidR="0018508A" w:rsidRPr="00C8675F" w:rsidRDefault="0018508A" w:rsidP="0018508A">
      <w:pPr>
        <w:sectPr w:rsidR="0018508A" w:rsidRPr="00C8675F" w:rsidSect="00E37C9E">
          <w:type w:val="continuous"/>
          <w:pgSz w:w="11907" w:h="16840" w:code="9"/>
          <w:pgMar w:top="-3640" w:right="709" w:bottom="1729" w:left="6146" w:header="357" w:footer="567" w:gutter="0"/>
          <w:cols w:space="720"/>
          <w:docGrid w:linePitch="360"/>
        </w:sectPr>
      </w:pPr>
    </w:p>
    <w:p w:rsidR="0018508A" w:rsidRDefault="00BA6384" w:rsidP="001C6C79">
      <w:pPr>
        <w:pStyle w:val="Hdg1"/>
        <w:framePr w:wrap="notBeside"/>
      </w:pPr>
      <w:bookmarkStart w:id="8157" w:name="_Toc413056078"/>
      <w:r>
        <w:t>Funding Analysis</w:t>
      </w:r>
      <w:bookmarkEnd w:id="8157"/>
    </w:p>
    <w:p w:rsidR="00BA6384" w:rsidRPr="00BA6384" w:rsidRDefault="00BA6384" w:rsidP="00BA6384"/>
    <w:p w:rsidR="0018508A" w:rsidRDefault="00BA6384" w:rsidP="00045287">
      <w:pPr>
        <w:pStyle w:val="Hdg2"/>
      </w:pPr>
      <w:bookmarkStart w:id="8158" w:name="_Toc413056079"/>
      <w:r>
        <w:t>Basic Assumptions</w:t>
      </w:r>
      <w:bookmarkEnd w:id="8158"/>
    </w:p>
    <w:p w:rsidR="00433238" w:rsidRPr="00271876" w:rsidRDefault="00433238" w:rsidP="00433238">
      <w:pPr>
        <w:pStyle w:val="Hdg3"/>
        <w:rPr>
          <w:lang w:val="en-GB"/>
        </w:rPr>
      </w:pPr>
      <w:r w:rsidRPr="00271876">
        <w:rPr>
          <w:lang w:val="en-GB"/>
        </w:rPr>
        <w:t>Context</w:t>
      </w:r>
    </w:p>
    <w:p w:rsidR="00433238" w:rsidRPr="00271876" w:rsidRDefault="00433238" w:rsidP="00A4081F">
      <w:pPr>
        <w:pStyle w:val="NumberedParas"/>
      </w:pPr>
      <w:r w:rsidRPr="00271876">
        <w:t>A key step in the process of drafting the investment plan for 2020 and 2030 is to define the assumptions regarding the funding allocations available for new investments, on all modes of transport.</w:t>
      </w:r>
    </w:p>
    <w:p w:rsidR="00433238" w:rsidRPr="00271876" w:rsidRDefault="00433238" w:rsidP="00A4081F">
      <w:pPr>
        <w:pStyle w:val="NumberedParas"/>
      </w:pPr>
      <w:r w:rsidRPr="00271876">
        <w:t>This will enable the production of a realistic investment plan, as the final result of the process of identifying problems, defining operational objectives and selecting the best interventions to address these objectives.</w:t>
      </w:r>
    </w:p>
    <w:p w:rsidR="00433238" w:rsidRPr="00271876" w:rsidRDefault="00433238" w:rsidP="00A4081F">
      <w:pPr>
        <w:pStyle w:val="NumberedParas"/>
      </w:pPr>
      <w:r w:rsidRPr="00271876">
        <w:t xml:space="preserve">Although the projects’ </w:t>
      </w:r>
      <w:r w:rsidRPr="00271876">
        <w:rPr>
          <w:rFonts w:cs="Arial"/>
        </w:rPr>
        <w:t>deliverability</w:t>
      </w:r>
      <w:r w:rsidRPr="00271876">
        <w:t xml:space="preserve"> (or buildability) is not considered a distinct criterion in the multicriteriate analysis (hence it is not part of the prioritisation), the funding restrictions do represent a key element of the Master Plan process, as the investment needs identified in the Master Plan are far greater than the available financial allocations.</w:t>
      </w:r>
    </w:p>
    <w:p w:rsidR="00433238" w:rsidRPr="00271876" w:rsidRDefault="00433238" w:rsidP="00A4081F">
      <w:pPr>
        <w:pStyle w:val="NumberedParas"/>
      </w:pPr>
      <w:r w:rsidRPr="00271876">
        <w:t>Followi</w:t>
      </w:r>
      <w:r w:rsidR="00E5363A">
        <w:t xml:space="preserve">ng the Master Plan process </w:t>
      </w:r>
      <w:r w:rsidRPr="00271876">
        <w:t>a long list of prioritised potential interventions have been identified; matching these with the financial constraints per mode of transport will lead to a realistic implementation calendar for the periods specified in the Terms of Reference, respectively 2020, 2030 and after 2030.</w:t>
      </w:r>
    </w:p>
    <w:p w:rsidR="00433238" w:rsidRPr="00271876" w:rsidRDefault="00433238" w:rsidP="00433238"/>
    <w:p w:rsidR="00433238" w:rsidRPr="00271876" w:rsidRDefault="00433238" w:rsidP="00433238">
      <w:pPr>
        <w:pStyle w:val="Hdg3"/>
        <w:rPr>
          <w:lang w:val="en-GB"/>
        </w:rPr>
      </w:pPr>
      <w:r w:rsidRPr="00271876">
        <w:rPr>
          <w:lang w:val="en-GB"/>
        </w:rPr>
        <w:t>Approach</w:t>
      </w:r>
    </w:p>
    <w:p w:rsidR="00433238" w:rsidRPr="00271876" w:rsidRDefault="00433238" w:rsidP="00A4081F">
      <w:pPr>
        <w:pStyle w:val="NumberedParas"/>
      </w:pPr>
      <w:r w:rsidRPr="00271876">
        <w:t>A spreadsheet model was produced (Appendix A) to quantify the available funds for Master Plan projects to be implemented by 2020 and 2030. Its key assumptions and the considered methodology are described below.</w:t>
      </w:r>
    </w:p>
    <w:p w:rsidR="00433238" w:rsidRPr="00271876" w:rsidRDefault="00433238" w:rsidP="00A4081F">
      <w:pPr>
        <w:pStyle w:val="NumberedParas"/>
      </w:pPr>
      <w:r w:rsidRPr="00271876">
        <w:t>The European Commission has specified that the Master Plan should be developed based on a hierarchical approach to allocation of funds to expenditure items, with only the remaining funds (after these commitments have been fully funded) being available for new investment and maintenance:</w:t>
      </w:r>
    </w:p>
    <w:p w:rsidR="00433238" w:rsidRPr="00271876" w:rsidRDefault="00433238" w:rsidP="00433238">
      <w:pPr>
        <w:pStyle w:val="Body"/>
        <w:pBdr>
          <w:top w:val="single" w:sz="4" w:space="1" w:color="auto"/>
          <w:left w:val="single" w:sz="4" w:space="4" w:color="auto"/>
          <w:bottom w:val="single" w:sz="4" w:space="1" w:color="auto"/>
          <w:right w:val="single" w:sz="4" w:space="4" w:color="auto"/>
        </w:pBdr>
        <w:spacing w:before="120" w:after="120" w:line="240" w:lineRule="auto"/>
        <w:ind w:left="1134"/>
      </w:pPr>
      <w:r w:rsidRPr="00271876">
        <w:t>The elaboration of the Master Plan</w:t>
      </w:r>
      <w:r w:rsidRPr="00271876">
        <w:rPr>
          <w:rStyle w:val="FootnoteReference"/>
        </w:rPr>
        <w:footnoteReference w:id="38"/>
      </w:r>
      <w:r w:rsidRPr="00271876">
        <w:t xml:space="preserve"> shall be based on a clearly endorsed political assumption on the budgetary effort allocated to the transport sector over the next 20 years, including all direct and indirect costs afferent to the construction and maintenance of infrastructures, while taking into account the potential sources from the application of access fees in particular for the railway sector or the tolling revenues if relevant. A letter by the Minister of Finance with these budgetary assumptions has been requested.</w:t>
      </w:r>
    </w:p>
    <w:p w:rsidR="00433238" w:rsidRPr="00271876" w:rsidRDefault="00433238" w:rsidP="00433238">
      <w:pPr>
        <w:pStyle w:val="Body"/>
        <w:pBdr>
          <w:top w:val="single" w:sz="4" w:space="1" w:color="auto"/>
          <w:left w:val="single" w:sz="4" w:space="4" w:color="auto"/>
          <w:bottom w:val="single" w:sz="4" w:space="1" w:color="auto"/>
          <w:right w:val="single" w:sz="4" w:space="4" w:color="auto"/>
        </w:pBdr>
        <w:spacing w:before="120" w:after="120" w:line="240" w:lineRule="auto"/>
        <w:ind w:left="1134"/>
      </w:pPr>
      <w:r w:rsidRPr="00271876">
        <w:t>This assumption will determine the available budget for new investments. From the total available budget shall be deducted the necessary required routine operation and maintenance costs, calculated through general ratios (EUR/km), based on accepted standards, and obligations stemming from recent and on-going projects. Some potential savings can be generated on the maintenance costs, mostly by planning future reduction of the railway network, including stations.</w:t>
      </w:r>
    </w:p>
    <w:p w:rsidR="00433238" w:rsidRPr="00271876" w:rsidRDefault="00433238" w:rsidP="00A4081F">
      <w:pPr>
        <w:pStyle w:val="NumberedParas"/>
      </w:pPr>
      <w:r w:rsidRPr="00271876">
        <w:t>The mandated expenditures to be allocated as priorities are, as per instructions of DG Regio:</w:t>
      </w:r>
    </w:p>
    <w:p w:rsidR="00433238" w:rsidRPr="00271876" w:rsidRDefault="00433238" w:rsidP="00273D5E">
      <w:pPr>
        <w:pStyle w:val="BulletLevel1"/>
      </w:pPr>
      <w:r w:rsidRPr="00271876">
        <w:t>Maintenance costs for restructured network, based on international standards;</w:t>
      </w:r>
    </w:p>
    <w:p w:rsidR="00433238" w:rsidRPr="00271876" w:rsidRDefault="00433238" w:rsidP="00273D5E">
      <w:pPr>
        <w:pStyle w:val="BulletLevel1"/>
      </w:pPr>
      <w:r w:rsidRPr="00271876">
        <w:t>Liabilities afferent to current investment projects (loans and availability payment instalments);</w:t>
      </w:r>
    </w:p>
    <w:p w:rsidR="00433238" w:rsidRPr="00271876" w:rsidRDefault="00433238" w:rsidP="00273D5E">
      <w:pPr>
        <w:pStyle w:val="BulletLevel1"/>
      </w:pPr>
      <w:r w:rsidRPr="00271876">
        <w:t>Rehabilitation works for the remaining, economically viable railway network, in order to bring it to the expected standard speed; and</w:t>
      </w:r>
    </w:p>
    <w:p w:rsidR="00433238" w:rsidRPr="00271876" w:rsidRDefault="00433238" w:rsidP="00273D5E">
      <w:pPr>
        <w:pStyle w:val="BulletLevel1"/>
      </w:pPr>
      <w:r w:rsidRPr="00271876">
        <w:t>National public support to State owned companies, consistent with State Aid rules</w:t>
      </w:r>
    </w:p>
    <w:p w:rsidR="00433238" w:rsidRPr="00271876" w:rsidRDefault="00433238" w:rsidP="00A4081F">
      <w:pPr>
        <w:pStyle w:val="NumberedParas"/>
      </w:pPr>
      <w:r w:rsidRPr="00271876">
        <w:t>A decision of the Romanian Government was issued in December 2013 on the commitment of 2% of GDP for the transport sector</w:t>
      </w:r>
      <w:r w:rsidRPr="00271876">
        <w:rPr>
          <w:rStyle w:val="FootnoteReference"/>
        </w:rPr>
        <w:footnoteReference w:id="39"/>
      </w:r>
      <w:r w:rsidRPr="00271876">
        <w:t xml:space="preserve">, as an action to fulfilling the ex-ante conditionalities related to the Partnership Agreement and the </w:t>
      </w:r>
      <w:r w:rsidRPr="00893108">
        <w:t>Operational</w:t>
      </w:r>
      <w:r w:rsidRPr="00271876">
        <w:t xml:space="preserve"> Programmes (among, the production of a Transport Master Plan is one key element). It is clearly specified in this commitment that the allocation of 2% of GDP shall be allocated/used only for investments and maintenance works for the transport infrastructure, on all modes of transport.</w:t>
      </w:r>
    </w:p>
    <w:p w:rsidR="00433238" w:rsidRPr="00271876" w:rsidRDefault="00433238" w:rsidP="00A4081F">
      <w:pPr>
        <w:pStyle w:val="NumberedParas"/>
      </w:pPr>
      <w:r w:rsidRPr="00271876">
        <w:t>The Ministry of Transport confirmed that the debt service, availability payments, national subsidies for the public rail service and national public support to state companies are outside this 2% allocation and that the EU allocations are part of this budget</w:t>
      </w:r>
      <w:r w:rsidRPr="00271876">
        <w:rPr>
          <w:rStyle w:val="FootnoteReference"/>
        </w:rPr>
        <w:footnoteReference w:id="40"/>
      </w:r>
      <w:r w:rsidRPr="00271876">
        <w:t>. The inclusion of the EU allocations in the 2% of GDP might have a counter effect on the available remaining budget, as their increase will lead to higher national efforts to cover the necessary co-financing.</w:t>
      </w:r>
    </w:p>
    <w:p w:rsidR="00433238" w:rsidRPr="00271876" w:rsidRDefault="00433238" w:rsidP="00A4081F">
      <w:pPr>
        <w:pStyle w:val="NumberedParas"/>
      </w:pPr>
      <w:r w:rsidRPr="00271876">
        <w:t xml:space="preserve">Following this hierarchical approach, the structure of the financial plan for 2014-2020 and 2021-2030 is described in </w:t>
      </w:r>
      <w:r w:rsidR="00DE7B7A">
        <w:t>Table 9.</w:t>
      </w:r>
      <w:r w:rsidRPr="00271876">
        <w:t>1 attached.</w:t>
      </w:r>
    </w:p>
    <w:p w:rsidR="00433238" w:rsidRPr="00271876" w:rsidRDefault="00433238" w:rsidP="00433238"/>
    <w:p w:rsidR="00433238" w:rsidRPr="00271876" w:rsidRDefault="00433238" w:rsidP="00433238"/>
    <w:p w:rsidR="00433238" w:rsidRPr="00271876" w:rsidRDefault="00433238" w:rsidP="00433238">
      <w:pPr>
        <w:rPr>
          <w:sz w:val="22"/>
          <w:szCs w:val="22"/>
        </w:rPr>
      </w:pPr>
      <w:r w:rsidRPr="00271876">
        <w:br w:type="page"/>
      </w:r>
    </w:p>
    <w:p w:rsidR="00433238" w:rsidRPr="00271876" w:rsidRDefault="00DE7B7A" w:rsidP="00433238">
      <w:pPr>
        <w:spacing w:before="120" w:after="120" w:line="276" w:lineRule="auto"/>
        <w:ind w:left="567"/>
        <w:jc w:val="both"/>
        <w:rPr>
          <w:rFonts w:cs="Arial"/>
          <w:b/>
          <w:sz w:val="22"/>
        </w:rPr>
      </w:pPr>
      <w:r>
        <w:rPr>
          <w:rFonts w:cs="Arial"/>
          <w:b/>
          <w:sz w:val="22"/>
        </w:rPr>
        <w:t>Table 9.</w:t>
      </w:r>
      <w:r w:rsidR="00433238" w:rsidRPr="00271876">
        <w:rPr>
          <w:rFonts w:cs="Arial"/>
          <w:b/>
          <w:sz w:val="22"/>
        </w:rPr>
        <w:t>1. Structure of GTMP Financial Plan 2014-2030</w:t>
      </w:r>
    </w:p>
    <w:tbl>
      <w:tblPr>
        <w:tblW w:w="4476" w:type="pct"/>
        <w:tblInd w:w="1101" w:type="dxa"/>
        <w:tblBorders>
          <w:top w:val="double" w:sz="4" w:space="0" w:color="auto"/>
          <w:left w:val="double" w:sz="4" w:space="0" w:color="auto"/>
          <w:bottom w:val="double" w:sz="4" w:space="0" w:color="auto"/>
          <w:right w:val="double" w:sz="4" w:space="0" w:color="auto"/>
          <w:insideH w:val="dotted" w:sz="4" w:space="0" w:color="auto"/>
        </w:tblBorders>
        <w:tblLook w:val="04A0" w:firstRow="1" w:lastRow="0" w:firstColumn="1" w:lastColumn="0" w:noHBand="0" w:noVBand="1"/>
      </w:tblPr>
      <w:tblGrid>
        <w:gridCol w:w="2695"/>
        <w:gridCol w:w="991"/>
        <w:gridCol w:w="1134"/>
        <w:gridCol w:w="4586"/>
      </w:tblGrid>
      <w:tr w:rsidR="00433238" w:rsidRPr="00271876" w:rsidTr="0018268E">
        <w:trPr>
          <w:trHeight w:val="397"/>
        </w:trPr>
        <w:tc>
          <w:tcPr>
            <w:tcW w:w="1432" w:type="pct"/>
            <w:shd w:val="clear" w:color="auto" w:fill="DBE5F1"/>
            <w:vAlign w:val="center"/>
            <w:hideMark/>
          </w:tcPr>
          <w:p w:rsidR="00433238" w:rsidRPr="00271876" w:rsidRDefault="007C5361" w:rsidP="0018268E">
            <w:pPr>
              <w:rPr>
                <w:rFonts w:cs="Arial"/>
                <w:b/>
                <w:bCs/>
                <w:color w:val="000000"/>
                <w:sz w:val="20"/>
                <w:szCs w:val="20"/>
              </w:rPr>
            </w:pPr>
            <w:r>
              <w:rPr>
                <w:rFonts w:cs="Arial"/>
                <w:b/>
                <w:bCs/>
                <w:noProof/>
                <w:color w:val="000000"/>
                <w:sz w:val="20"/>
                <w:szCs w:val="20"/>
                <w:lang w:val="ro-RO" w:eastAsia="ro-RO"/>
              </w:rPr>
              <mc:AlternateContent>
                <mc:Choice Requires="wps">
                  <w:drawing>
                    <wp:anchor distT="0" distB="0" distL="114300" distR="114300" simplePos="0" relativeHeight="251673600" behindDoc="0" locked="0" layoutInCell="1" allowOverlap="1" wp14:anchorId="37E997CE" wp14:editId="17717ACD">
                      <wp:simplePos x="0" y="0"/>
                      <wp:positionH relativeFrom="column">
                        <wp:posOffset>-505460</wp:posOffset>
                      </wp:positionH>
                      <wp:positionV relativeFrom="paragraph">
                        <wp:posOffset>47625</wp:posOffset>
                      </wp:positionV>
                      <wp:extent cx="332740" cy="7328535"/>
                      <wp:effectExtent l="57150" t="38100" r="0" b="100965"/>
                      <wp:wrapNone/>
                      <wp:docPr id="197" name="Down Arrow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740" cy="7328535"/>
                              </a:xfrm>
                              <a:prstGeom prst="downArrow">
                                <a:avLst/>
                              </a:prstGeom>
                              <a:ln>
                                <a:solidFill>
                                  <a:srgbClr val="002060"/>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377150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 o:spid="_x0000_s1026" type="#_x0000_t67" style="position:absolute;margin-left:-39.8pt;margin-top:3.75pt;width:26.2pt;height:57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" adj="21110" fillcolor="#a5d5e2 [1624]" strokecolor="#002060">
                      <v:fill color2="#e4f2f6 [504]" rotate="t" angle="180" colors="0 #9eeaff;22938f #bbefff;1 #e4f9ff" focus="100%" type="gradient"/>
                      <v:shadow on="t" color="black" opacity="24903f" origin=",.5" offset="0,.55556mm"/>
                      <v:path arrowok="t"/>
                    </v:shape>
                  </w:pict>
                </mc:Fallback>
              </mc:AlternateContent>
            </w:r>
            <w:r w:rsidR="00433238" w:rsidRPr="00271876">
              <w:rPr>
                <w:rFonts w:cs="Arial"/>
                <w:b/>
                <w:bCs/>
                <w:color w:val="000000"/>
                <w:sz w:val="20"/>
                <w:szCs w:val="20"/>
              </w:rPr>
              <w:t>2% from GDP available for the transport sector</w:t>
            </w:r>
          </w:p>
        </w:tc>
        <w:tc>
          <w:tcPr>
            <w:tcW w:w="527"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A</w:t>
            </w:r>
          </w:p>
        </w:tc>
        <w:tc>
          <w:tcPr>
            <w:tcW w:w="603" w:type="pct"/>
            <w:shd w:val="clear" w:color="auto" w:fill="DBE5F1"/>
            <w:vAlign w:val="center"/>
            <w:hideMark/>
          </w:tcPr>
          <w:p w:rsidR="00433238" w:rsidRPr="00271876" w:rsidRDefault="00433238" w:rsidP="0018268E">
            <w:pPr>
              <w:jc w:val="center"/>
              <w:rPr>
                <w:rFonts w:cs="Arial"/>
                <w:b/>
                <w:bCs/>
                <w:color w:val="000000"/>
                <w:sz w:val="20"/>
                <w:szCs w:val="20"/>
              </w:rPr>
            </w:pPr>
          </w:p>
        </w:tc>
        <w:tc>
          <w:tcPr>
            <w:tcW w:w="2438" w:type="pct"/>
            <w:shd w:val="clear" w:color="auto" w:fill="DBE5F1"/>
            <w:vAlign w:val="center"/>
          </w:tcPr>
          <w:p w:rsidR="00433238" w:rsidRPr="00271876" w:rsidRDefault="00433238" w:rsidP="0018268E">
            <w:pPr>
              <w:rPr>
                <w:rFonts w:cs="Arial"/>
                <w:b/>
                <w:bCs/>
                <w:color w:val="000000"/>
                <w:sz w:val="20"/>
                <w:szCs w:val="20"/>
              </w:rPr>
            </w:pPr>
            <w:r w:rsidRPr="00271876">
              <w:rPr>
                <w:sz w:val="20"/>
                <w:szCs w:val="20"/>
              </w:rPr>
              <w:t>2% of GDP over the 2014-2030 period, in real terms</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Maintenance and renewal costs</w:t>
            </w:r>
          </w:p>
        </w:tc>
        <w:tc>
          <w:tcPr>
            <w:tcW w:w="527" w:type="pct"/>
            <w:shd w:val="clear" w:color="auto" w:fill="auto"/>
            <w:vAlign w:val="center"/>
            <w:hideMark/>
          </w:tcPr>
          <w:p w:rsidR="00433238" w:rsidRPr="00271876" w:rsidRDefault="00433238" w:rsidP="0018268E">
            <w:pPr>
              <w:jc w:val="center"/>
              <w:rPr>
                <w:rFonts w:cs="Arial"/>
                <w:color w:val="000000"/>
                <w:sz w:val="20"/>
                <w:szCs w:val="20"/>
              </w:rPr>
            </w:pPr>
            <w:r w:rsidRPr="00271876">
              <w:rPr>
                <w:rFonts w:cs="Arial"/>
                <w:color w:val="000000"/>
                <w:sz w:val="20"/>
                <w:szCs w:val="20"/>
              </w:rPr>
              <w:t>B</w:t>
            </w:r>
            <w:r w:rsidRPr="00271876">
              <w:rPr>
                <w:rFonts w:cs="Arial"/>
                <w:color w:val="000000"/>
                <w:sz w:val="20"/>
                <w:szCs w:val="20"/>
                <w:vertAlign w:val="subscript"/>
              </w:rPr>
              <w:t>1</w:t>
            </w:r>
          </w:p>
        </w:tc>
        <w:tc>
          <w:tcPr>
            <w:tcW w:w="603" w:type="pct"/>
            <w:shd w:val="clear" w:color="auto" w:fill="auto"/>
            <w:vAlign w:val="center"/>
            <w:hideMark/>
          </w:tcPr>
          <w:p w:rsidR="00433238" w:rsidRPr="00271876" w:rsidRDefault="00433238" w:rsidP="0018268E">
            <w:pPr>
              <w:jc w:val="center"/>
              <w:rPr>
                <w:rFonts w:cs="Arial"/>
                <w:color w:val="000000"/>
                <w:sz w:val="20"/>
                <w:szCs w:val="20"/>
              </w:rPr>
            </w:pPr>
          </w:p>
        </w:tc>
        <w:tc>
          <w:tcPr>
            <w:tcW w:w="2438" w:type="pct"/>
            <w:vAlign w:val="center"/>
          </w:tcPr>
          <w:p w:rsidR="00433238" w:rsidRPr="00271876" w:rsidRDefault="00433238" w:rsidP="0018268E">
            <w:pPr>
              <w:rPr>
                <w:rFonts w:cs="Arial"/>
                <w:color w:val="000000"/>
                <w:sz w:val="20"/>
                <w:szCs w:val="20"/>
              </w:rPr>
            </w:pPr>
            <w:r w:rsidRPr="00271876">
              <w:rPr>
                <w:sz w:val="20"/>
                <w:szCs w:val="20"/>
              </w:rPr>
              <w:t>Considers a gradual increase in maintenance for the road, rail and waterways networks</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Rehabilitation works for the viable road network</w:t>
            </w:r>
          </w:p>
        </w:tc>
        <w:tc>
          <w:tcPr>
            <w:tcW w:w="527" w:type="pct"/>
            <w:shd w:val="clear" w:color="auto" w:fill="auto"/>
            <w:vAlign w:val="center"/>
            <w:hideMark/>
          </w:tcPr>
          <w:p w:rsidR="00433238" w:rsidRPr="00271876" w:rsidRDefault="00433238" w:rsidP="0018268E">
            <w:pPr>
              <w:jc w:val="center"/>
              <w:rPr>
                <w:rFonts w:cs="Arial"/>
                <w:color w:val="000000"/>
                <w:sz w:val="20"/>
                <w:szCs w:val="20"/>
              </w:rPr>
            </w:pPr>
            <w:r w:rsidRPr="00271876">
              <w:rPr>
                <w:rFonts w:cs="Arial"/>
                <w:color w:val="000000"/>
                <w:sz w:val="20"/>
                <w:szCs w:val="20"/>
              </w:rPr>
              <w:t>B</w:t>
            </w:r>
            <w:r w:rsidRPr="00271876">
              <w:rPr>
                <w:rFonts w:cs="Arial"/>
                <w:color w:val="000000"/>
                <w:sz w:val="20"/>
                <w:szCs w:val="20"/>
                <w:vertAlign w:val="subscript"/>
              </w:rPr>
              <w:t>2</w:t>
            </w:r>
          </w:p>
        </w:tc>
        <w:tc>
          <w:tcPr>
            <w:tcW w:w="603" w:type="pct"/>
            <w:shd w:val="clear" w:color="auto" w:fill="auto"/>
            <w:vAlign w:val="center"/>
            <w:hideMark/>
          </w:tcPr>
          <w:p w:rsidR="00433238" w:rsidRPr="00271876" w:rsidRDefault="00433238" w:rsidP="0018268E">
            <w:pPr>
              <w:jc w:val="center"/>
              <w:rPr>
                <w:rFonts w:cs="Arial"/>
                <w:color w:val="000000"/>
                <w:sz w:val="20"/>
                <w:szCs w:val="20"/>
              </w:rPr>
            </w:pPr>
          </w:p>
        </w:tc>
        <w:tc>
          <w:tcPr>
            <w:tcW w:w="2438" w:type="pct"/>
            <w:vAlign w:val="center"/>
          </w:tcPr>
          <w:p w:rsidR="00433238" w:rsidRPr="00271876" w:rsidRDefault="00433238" w:rsidP="0018268E">
            <w:pPr>
              <w:rPr>
                <w:rFonts w:cs="Arial"/>
                <w:color w:val="000000"/>
                <w:sz w:val="20"/>
                <w:szCs w:val="20"/>
              </w:rPr>
            </w:pPr>
            <w:r w:rsidRPr="00271876">
              <w:rPr>
                <w:sz w:val="20"/>
                <w:szCs w:val="20"/>
              </w:rPr>
              <w:t>Includes the treatment of backlog road rehabilitation works</w:t>
            </w:r>
          </w:p>
        </w:tc>
      </w:tr>
      <w:tr w:rsidR="00433238" w:rsidRPr="00271876" w:rsidTr="0018268E">
        <w:trPr>
          <w:trHeight w:val="397"/>
        </w:trPr>
        <w:tc>
          <w:tcPr>
            <w:tcW w:w="1432" w:type="pct"/>
            <w:shd w:val="clear" w:color="auto" w:fill="DBE5F1"/>
            <w:vAlign w:val="center"/>
            <w:hideMark/>
          </w:tcPr>
          <w:p w:rsidR="00433238" w:rsidRPr="00271876" w:rsidRDefault="00433238" w:rsidP="0018268E">
            <w:pPr>
              <w:rPr>
                <w:rFonts w:cs="Arial"/>
                <w:b/>
                <w:bCs/>
                <w:color w:val="000000"/>
                <w:sz w:val="20"/>
                <w:szCs w:val="20"/>
              </w:rPr>
            </w:pPr>
            <w:r w:rsidRPr="00271876">
              <w:rPr>
                <w:rFonts w:cs="Arial"/>
                <w:b/>
                <w:bCs/>
                <w:color w:val="000000"/>
                <w:sz w:val="20"/>
                <w:szCs w:val="20"/>
              </w:rPr>
              <w:t>Available Public Funds for new investments, from which</w:t>
            </w:r>
          </w:p>
        </w:tc>
        <w:tc>
          <w:tcPr>
            <w:tcW w:w="527"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C</w:t>
            </w:r>
          </w:p>
        </w:tc>
        <w:tc>
          <w:tcPr>
            <w:tcW w:w="603"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=A-B</w:t>
            </w:r>
            <w:r w:rsidRPr="00271876">
              <w:rPr>
                <w:rFonts w:cs="Arial"/>
                <w:b/>
                <w:bCs/>
                <w:color w:val="000000"/>
                <w:sz w:val="20"/>
                <w:szCs w:val="20"/>
                <w:vertAlign w:val="subscript"/>
              </w:rPr>
              <w:t>1</w:t>
            </w:r>
            <w:r w:rsidRPr="00271876">
              <w:rPr>
                <w:rFonts w:cs="Arial"/>
                <w:b/>
                <w:bCs/>
                <w:color w:val="000000"/>
                <w:sz w:val="20"/>
                <w:szCs w:val="20"/>
              </w:rPr>
              <w:t>-B</w:t>
            </w:r>
            <w:r w:rsidRPr="00271876">
              <w:rPr>
                <w:rFonts w:cs="Arial"/>
                <w:b/>
                <w:bCs/>
                <w:color w:val="000000"/>
                <w:sz w:val="20"/>
                <w:szCs w:val="20"/>
                <w:vertAlign w:val="subscript"/>
              </w:rPr>
              <w:t>2</w:t>
            </w:r>
          </w:p>
        </w:tc>
        <w:tc>
          <w:tcPr>
            <w:tcW w:w="2438" w:type="pct"/>
            <w:shd w:val="clear" w:color="auto" w:fill="DBE5F1"/>
            <w:vAlign w:val="center"/>
          </w:tcPr>
          <w:p w:rsidR="00433238" w:rsidRPr="00271876" w:rsidRDefault="00433238" w:rsidP="0018268E">
            <w:pPr>
              <w:rPr>
                <w:rFonts w:cs="Arial"/>
                <w:b/>
                <w:bCs/>
                <w:color w:val="000000"/>
                <w:sz w:val="20"/>
                <w:szCs w:val="20"/>
              </w:rPr>
            </w:pPr>
            <w:r w:rsidRPr="00271876">
              <w:rPr>
                <w:sz w:val="20"/>
                <w:szCs w:val="20"/>
              </w:rPr>
              <w:t>Represents the available funds after the deduction of the mandatory financial allocations related to maintenance, renewals and rehabilitation</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EU Contribution</w:t>
            </w:r>
          </w:p>
        </w:tc>
        <w:tc>
          <w:tcPr>
            <w:tcW w:w="527" w:type="pct"/>
            <w:shd w:val="clear" w:color="auto" w:fill="auto"/>
            <w:vAlign w:val="center"/>
            <w:hideMark/>
          </w:tcPr>
          <w:p w:rsidR="00433238" w:rsidRPr="00271876" w:rsidRDefault="00433238" w:rsidP="0018268E">
            <w:pPr>
              <w:jc w:val="center"/>
              <w:rPr>
                <w:rFonts w:cs="Arial"/>
                <w:color w:val="000000"/>
                <w:sz w:val="20"/>
                <w:szCs w:val="20"/>
              </w:rPr>
            </w:pPr>
            <w:r w:rsidRPr="00271876">
              <w:rPr>
                <w:rFonts w:cs="Arial"/>
                <w:color w:val="000000"/>
                <w:sz w:val="20"/>
                <w:szCs w:val="20"/>
              </w:rPr>
              <w:t>C</w:t>
            </w:r>
            <w:r w:rsidRPr="00271876">
              <w:rPr>
                <w:rFonts w:cs="Arial"/>
                <w:color w:val="000000"/>
                <w:sz w:val="20"/>
                <w:szCs w:val="20"/>
                <w:vertAlign w:val="subscript"/>
              </w:rPr>
              <w:t>1</w:t>
            </w:r>
          </w:p>
        </w:tc>
        <w:tc>
          <w:tcPr>
            <w:tcW w:w="603" w:type="pct"/>
            <w:shd w:val="clear" w:color="auto" w:fill="auto"/>
            <w:vAlign w:val="center"/>
            <w:hideMark/>
          </w:tcPr>
          <w:p w:rsidR="00433238" w:rsidRPr="00271876" w:rsidRDefault="00433238" w:rsidP="0018268E">
            <w:pPr>
              <w:jc w:val="center"/>
              <w:rPr>
                <w:rFonts w:cs="Arial"/>
                <w:color w:val="000000"/>
                <w:sz w:val="20"/>
                <w:szCs w:val="20"/>
              </w:rPr>
            </w:pPr>
          </w:p>
        </w:tc>
        <w:tc>
          <w:tcPr>
            <w:tcW w:w="2438" w:type="pct"/>
            <w:vAlign w:val="center"/>
          </w:tcPr>
          <w:p w:rsidR="00433238" w:rsidRPr="00271876" w:rsidRDefault="00433238" w:rsidP="0018268E">
            <w:pPr>
              <w:rPr>
                <w:rFonts w:cs="Arial"/>
                <w:color w:val="000000"/>
                <w:sz w:val="20"/>
                <w:szCs w:val="20"/>
              </w:rPr>
            </w:pPr>
            <w:r w:rsidRPr="00271876">
              <w:rPr>
                <w:rFonts w:cs="Arial"/>
                <w:color w:val="000000"/>
                <w:sz w:val="20"/>
                <w:szCs w:val="20"/>
              </w:rPr>
              <w:t>Estimated total funds are: CF: 3.404 bn EUR, ERDF: 1.728 bn EUR, CEF: 1.200 bn EU (source: MT, according to provisions in 2014-2020 POIM)</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National Co-financing</w:t>
            </w:r>
            <w:r w:rsidRPr="00271876">
              <w:rPr>
                <w:rStyle w:val="FootnoteReference"/>
                <w:rFonts w:cs="Arial"/>
                <w:bCs/>
                <w:color w:val="000000"/>
                <w:sz w:val="20"/>
                <w:szCs w:val="20"/>
              </w:rPr>
              <w:footnoteReference w:id="41"/>
            </w:r>
          </w:p>
        </w:tc>
        <w:tc>
          <w:tcPr>
            <w:tcW w:w="527" w:type="pct"/>
            <w:shd w:val="clear" w:color="auto" w:fill="auto"/>
            <w:vAlign w:val="center"/>
            <w:hideMark/>
          </w:tcPr>
          <w:p w:rsidR="00433238" w:rsidRPr="00271876" w:rsidRDefault="00433238" w:rsidP="0018268E">
            <w:pPr>
              <w:jc w:val="center"/>
              <w:rPr>
                <w:rFonts w:cs="Arial"/>
                <w:color w:val="000000"/>
                <w:sz w:val="20"/>
                <w:szCs w:val="20"/>
              </w:rPr>
            </w:pPr>
            <w:r w:rsidRPr="00271876">
              <w:rPr>
                <w:rFonts w:cs="Arial"/>
                <w:color w:val="000000"/>
                <w:sz w:val="20"/>
                <w:szCs w:val="20"/>
              </w:rPr>
              <w:t>C</w:t>
            </w:r>
            <w:r w:rsidRPr="00271876">
              <w:rPr>
                <w:rFonts w:cs="Arial"/>
                <w:color w:val="000000"/>
                <w:sz w:val="20"/>
                <w:szCs w:val="20"/>
                <w:vertAlign w:val="subscript"/>
              </w:rPr>
              <w:t>2</w:t>
            </w:r>
          </w:p>
        </w:tc>
        <w:tc>
          <w:tcPr>
            <w:tcW w:w="603" w:type="pct"/>
            <w:shd w:val="clear" w:color="auto" w:fill="auto"/>
            <w:vAlign w:val="center"/>
            <w:hideMark/>
          </w:tcPr>
          <w:p w:rsidR="00433238" w:rsidRPr="00271876" w:rsidRDefault="00433238" w:rsidP="0018268E">
            <w:pPr>
              <w:jc w:val="center"/>
              <w:rPr>
                <w:rFonts w:cs="Arial"/>
                <w:color w:val="000000"/>
                <w:sz w:val="20"/>
                <w:szCs w:val="20"/>
              </w:rPr>
            </w:pPr>
          </w:p>
        </w:tc>
        <w:tc>
          <w:tcPr>
            <w:tcW w:w="2438" w:type="pct"/>
            <w:vAlign w:val="center"/>
          </w:tcPr>
          <w:p w:rsidR="00433238" w:rsidRPr="00271876" w:rsidRDefault="00433238" w:rsidP="0018268E">
            <w:pPr>
              <w:rPr>
                <w:rFonts w:cs="Arial"/>
                <w:color w:val="000000"/>
                <w:sz w:val="20"/>
                <w:szCs w:val="20"/>
              </w:rPr>
            </w:pPr>
            <w:r w:rsidRPr="00271876">
              <w:rPr>
                <w:rFonts w:cs="Arial"/>
                <w:color w:val="000000"/>
                <w:sz w:val="20"/>
                <w:szCs w:val="20"/>
              </w:rPr>
              <w:t>25% from total eligible costs for projects funded by CF and ERDF</w:t>
            </w:r>
            <w:r w:rsidRPr="00271876">
              <w:rPr>
                <w:rFonts w:cs="Arial"/>
                <w:color w:val="000000"/>
                <w:sz w:val="20"/>
                <w:szCs w:val="20"/>
              </w:rPr>
              <w:br/>
              <w:t>15% from total eligible costs for projects funded by CEF</w:t>
            </w:r>
          </w:p>
        </w:tc>
      </w:tr>
      <w:tr w:rsidR="00433238" w:rsidRPr="00271876" w:rsidTr="0018268E">
        <w:trPr>
          <w:trHeight w:val="397"/>
        </w:trPr>
        <w:tc>
          <w:tcPr>
            <w:tcW w:w="1432" w:type="pct"/>
            <w:shd w:val="clear" w:color="auto" w:fill="DBE5F1"/>
            <w:vAlign w:val="center"/>
            <w:hideMark/>
          </w:tcPr>
          <w:p w:rsidR="00433238" w:rsidRPr="00271876" w:rsidRDefault="00433238" w:rsidP="0018268E">
            <w:pPr>
              <w:rPr>
                <w:rFonts w:cs="Arial"/>
                <w:b/>
                <w:bCs/>
                <w:color w:val="000000"/>
                <w:sz w:val="20"/>
                <w:szCs w:val="20"/>
              </w:rPr>
            </w:pPr>
            <w:r w:rsidRPr="00271876">
              <w:rPr>
                <w:rFonts w:cs="Arial"/>
                <w:b/>
                <w:bCs/>
                <w:color w:val="000000"/>
                <w:sz w:val="20"/>
                <w:szCs w:val="20"/>
              </w:rPr>
              <w:t>Sustainability indicator/Net National Funds</w:t>
            </w:r>
          </w:p>
        </w:tc>
        <w:tc>
          <w:tcPr>
            <w:tcW w:w="527"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D</w:t>
            </w:r>
          </w:p>
        </w:tc>
        <w:tc>
          <w:tcPr>
            <w:tcW w:w="603"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=C-C</w:t>
            </w:r>
            <w:r w:rsidRPr="00271876">
              <w:rPr>
                <w:rFonts w:cs="Arial"/>
                <w:b/>
                <w:bCs/>
                <w:color w:val="000000"/>
                <w:sz w:val="20"/>
                <w:szCs w:val="20"/>
                <w:vertAlign w:val="subscript"/>
              </w:rPr>
              <w:t>1</w:t>
            </w:r>
            <w:r w:rsidRPr="00271876">
              <w:rPr>
                <w:rFonts w:cs="Arial"/>
                <w:b/>
                <w:bCs/>
                <w:color w:val="000000"/>
                <w:sz w:val="20"/>
                <w:szCs w:val="20"/>
              </w:rPr>
              <w:t>-C</w:t>
            </w:r>
            <w:r w:rsidRPr="00271876">
              <w:rPr>
                <w:rFonts w:cs="Arial"/>
                <w:b/>
                <w:bCs/>
                <w:color w:val="000000"/>
                <w:sz w:val="20"/>
                <w:szCs w:val="20"/>
                <w:vertAlign w:val="subscript"/>
              </w:rPr>
              <w:t>2</w:t>
            </w:r>
          </w:p>
        </w:tc>
        <w:tc>
          <w:tcPr>
            <w:tcW w:w="2438" w:type="pct"/>
            <w:shd w:val="clear" w:color="auto" w:fill="DBE5F1"/>
            <w:vAlign w:val="center"/>
          </w:tcPr>
          <w:p w:rsidR="00433238" w:rsidRPr="00271876" w:rsidRDefault="00433238" w:rsidP="0018268E">
            <w:pPr>
              <w:rPr>
                <w:rFonts w:cs="Arial"/>
                <w:b/>
                <w:bCs/>
                <w:color w:val="000000"/>
                <w:sz w:val="20"/>
                <w:szCs w:val="20"/>
              </w:rPr>
            </w:pPr>
            <w:r w:rsidRPr="00271876">
              <w:rPr>
                <w:sz w:val="20"/>
                <w:szCs w:val="20"/>
              </w:rPr>
              <w:t xml:space="preserve">Represents one of the key figures in the financial plan. It shows the available net national funds after the deduction from </w:t>
            </w:r>
            <w:r w:rsidRPr="00271876">
              <w:rPr>
                <w:b/>
                <w:sz w:val="20"/>
                <w:szCs w:val="20"/>
              </w:rPr>
              <w:t>C</w:t>
            </w:r>
            <w:r w:rsidRPr="00271876">
              <w:rPr>
                <w:sz w:val="20"/>
                <w:szCs w:val="20"/>
              </w:rPr>
              <w:t xml:space="preserve"> of the EU funds (</w:t>
            </w:r>
            <w:r w:rsidRPr="00271876">
              <w:rPr>
                <w:b/>
                <w:sz w:val="20"/>
                <w:szCs w:val="20"/>
              </w:rPr>
              <w:t>C</w:t>
            </w:r>
            <w:r w:rsidRPr="00271876">
              <w:rPr>
                <w:b/>
                <w:sz w:val="20"/>
                <w:szCs w:val="20"/>
                <w:vertAlign w:val="subscript"/>
              </w:rPr>
              <w:t>1</w:t>
            </w:r>
            <w:r w:rsidRPr="00271876">
              <w:rPr>
                <w:sz w:val="20"/>
                <w:szCs w:val="20"/>
              </w:rPr>
              <w:t>) and the corresponding national co-financing (</w:t>
            </w:r>
            <w:r w:rsidRPr="00271876">
              <w:rPr>
                <w:b/>
                <w:sz w:val="20"/>
                <w:szCs w:val="20"/>
              </w:rPr>
              <w:t>C</w:t>
            </w:r>
            <w:r w:rsidRPr="00271876">
              <w:rPr>
                <w:b/>
                <w:sz w:val="20"/>
                <w:szCs w:val="20"/>
                <w:vertAlign w:val="subscript"/>
              </w:rPr>
              <w:t>2</w:t>
            </w:r>
            <w:r w:rsidRPr="00271876">
              <w:rPr>
                <w:sz w:val="20"/>
                <w:szCs w:val="20"/>
              </w:rPr>
              <w:t xml:space="preserve">). If </w:t>
            </w:r>
            <w:r w:rsidRPr="00271876">
              <w:rPr>
                <w:b/>
                <w:sz w:val="20"/>
                <w:szCs w:val="20"/>
              </w:rPr>
              <w:t>D</w:t>
            </w:r>
            <w:r w:rsidRPr="00271876">
              <w:rPr>
                <w:sz w:val="20"/>
                <w:szCs w:val="20"/>
              </w:rPr>
              <w:t xml:space="preserve"> &gt; 0 then the financial plan is sustainable – this means that the EU funded projects can be supported from the National Budget (the 2% of GDP) considering in advance the mandated expenditures included in </w:t>
            </w:r>
            <w:r w:rsidRPr="00271876">
              <w:rPr>
                <w:b/>
                <w:sz w:val="20"/>
                <w:szCs w:val="20"/>
              </w:rPr>
              <w:t>B</w:t>
            </w:r>
            <w:r w:rsidRPr="00271876">
              <w:rPr>
                <w:b/>
                <w:sz w:val="20"/>
                <w:szCs w:val="20"/>
                <w:vertAlign w:val="subscript"/>
              </w:rPr>
              <w:t>1</w:t>
            </w:r>
            <w:r w:rsidRPr="00271876">
              <w:rPr>
                <w:sz w:val="20"/>
                <w:szCs w:val="20"/>
              </w:rPr>
              <w:t xml:space="preserve"> and </w:t>
            </w:r>
            <w:r w:rsidRPr="00271876">
              <w:rPr>
                <w:b/>
                <w:sz w:val="20"/>
                <w:szCs w:val="20"/>
              </w:rPr>
              <w:t>B</w:t>
            </w:r>
            <w:r w:rsidRPr="00271876">
              <w:rPr>
                <w:b/>
                <w:sz w:val="20"/>
                <w:szCs w:val="20"/>
                <w:vertAlign w:val="subscript"/>
              </w:rPr>
              <w:t>2</w:t>
            </w:r>
            <w:r w:rsidRPr="00271876">
              <w:rPr>
                <w:sz w:val="20"/>
                <w:szCs w:val="20"/>
              </w:rPr>
              <w:t>.</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Phased projects and Bucharest Metro</w:t>
            </w:r>
          </w:p>
        </w:tc>
        <w:tc>
          <w:tcPr>
            <w:tcW w:w="527" w:type="pct"/>
            <w:shd w:val="clear" w:color="auto" w:fill="auto"/>
            <w:vAlign w:val="center"/>
            <w:hideMark/>
          </w:tcPr>
          <w:p w:rsidR="00433238" w:rsidRPr="00271876" w:rsidRDefault="00433238" w:rsidP="0018268E">
            <w:pPr>
              <w:jc w:val="center"/>
              <w:rPr>
                <w:rFonts w:cs="Arial"/>
                <w:color w:val="000000"/>
                <w:sz w:val="20"/>
                <w:szCs w:val="20"/>
              </w:rPr>
            </w:pPr>
            <w:r w:rsidRPr="00271876">
              <w:rPr>
                <w:rFonts w:cs="Arial"/>
                <w:color w:val="000000"/>
                <w:sz w:val="20"/>
                <w:szCs w:val="20"/>
              </w:rPr>
              <w:t>E</w:t>
            </w:r>
          </w:p>
        </w:tc>
        <w:tc>
          <w:tcPr>
            <w:tcW w:w="603" w:type="pct"/>
            <w:shd w:val="clear" w:color="auto" w:fill="auto"/>
            <w:vAlign w:val="center"/>
            <w:hideMark/>
          </w:tcPr>
          <w:p w:rsidR="00433238" w:rsidRPr="00271876" w:rsidRDefault="00433238" w:rsidP="0018268E">
            <w:pPr>
              <w:jc w:val="center"/>
              <w:rPr>
                <w:rFonts w:cs="Arial"/>
                <w:color w:val="000000"/>
                <w:sz w:val="20"/>
                <w:szCs w:val="20"/>
              </w:rPr>
            </w:pPr>
          </w:p>
        </w:tc>
        <w:tc>
          <w:tcPr>
            <w:tcW w:w="2438" w:type="pct"/>
            <w:vAlign w:val="center"/>
          </w:tcPr>
          <w:p w:rsidR="00433238" w:rsidRPr="00271876" w:rsidRDefault="00433238" w:rsidP="00CD62A3">
            <w:pPr>
              <w:rPr>
                <w:rFonts w:cs="Arial"/>
                <w:color w:val="000000"/>
                <w:sz w:val="20"/>
                <w:szCs w:val="20"/>
              </w:rPr>
            </w:pPr>
            <w:r w:rsidRPr="00271876">
              <w:rPr>
                <w:sz w:val="20"/>
                <w:szCs w:val="20"/>
              </w:rPr>
              <w:t>Includes the investment backlog for projects started in the 2007-2013 operational programme that will continue after 2</w:t>
            </w:r>
            <w:r w:rsidR="00CD62A3">
              <w:rPr>
                <w:sz w:val="20"/>
                <w:szCs w:val="20"/>
              </w:rPr>
              <w:t>014 (total estimated budget is 1</w:t>
            </w:r>
            <w:r w:rsidRPr="00271876">
              <w:rPr>
                <w:sz w:val="20"/>
                <w:szCs w:val="20"/>
              </w:rPr>
              <w:t>.</w:t>
            </w:r>
            <w:r w:rsidR="00CD62A3">
              <w:rPr>
                <w:sz w:val="20"/>
                <w:szCs w:val="20"/>
              </w:rPr>
              <w:t>185</w:t>
            </w:r>
            <w:r w:rsidRPr="00271876">
              <w:rPr>
                <w:sz w:val="20"/>
                <w:szCs w:val="20"/>
              </w:rPr>
              <w:t xml:space="preserve"> bn EUR) </w:t>
            </w:r>
            <w:r w:rsidR="00CD62A3">
              <w:rPr>
                <w:sz w:val="20"/>
                <w:szCs w:val="20"/>
              </w:rPr>
              <w:t>i</w:t>
            </w:r>
            <w:r w:rsidRPr="00271876">
              <w:rPr>
                <w:sz w:val="20"/>
                <w:szCs w:val="20"/>
              </w:rPr>
              <w:t>n addition to the allocations for metro projects (estimated budget of 0.727 bn EUR). Source of the data is MT.</w:t>
            </w:r>
          </w:p>
        </w:tc>
      </w:tr>
      <w:tr w:rsidR="00433238" w:rsidRPr="00271876" w:rsidTr="0018268E">
        <w:trPr>
          <w:trHeight w:val="397"/>
        </w:trPr>
        <w:tc>
          <w:tcPr>
            <w:tcW w:w="1432" w:type="pct"/>
            <w:shd w:val="clear" w:color="auto" w:fill="DBE5F1"/>
            <w:vAlign w:val="center"/>
            <w:hideMark/>
          </w:tcPr>
          <w:p w:rsidR="00433238" w:rsidRPr="00271876" w:rsidRDefault="00433238" w:rsidP="0018268E">
            <w:pPr>
              <w:rPr>
                <w:rFonts w:cs="Arial"/>
                <w:b/>
                <w:bCs/>
                <w:color w:val="000000"/>
                <w:sz w:val="20"/>
                <w:szCs w:val="20"/>
              </w:rPr>
            </w:pPr>
            <w:r w:rsidRPr="00271876">
              <w:rPr>
                <w:rFonts w:cs="Arial"/>
                <w:b/>
                <w:bCs/>
                <w:color w:val="000000"/>
                <w:sz w:val="20"/>
                <w:szCs w:val="20"/>
              </w:rPr>
              <w:t>Available for GTMP projects (total incl. EU + national)</w:t>
            </w:r>
          </w:p>
        </w:tc>
        <w:tc>
          <w:tcPr>
            <w:tcW w:w="527"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F</w:t>
            </w:r>
          </w:p>
        </w:tc>
        <w:tc>
          <w:tcPr>
            <w:tcW w:w="603"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=C-E</w:t>
            </w:r>
          </w:p>
        </w:tc>
        <w:tc>
          <w:tcPr>
            <w:tcW w:w="2438" w:type="pct"/>
            <w:shd w:val="clear" w:color="auto" w:fill="DBE5F1"/>
            <w:vAlign w:val="center"/>
          </w:tcPr>
          <w:p w:rsidR="00433238" w:rsidRPr="00271876" w:rsidRDefault="00433238" w:rsidP="0018268E">
            <w:pPr>
              <w:rPr>
                <w:rFonts w:cs="Arial"/>
                <w:b/>
                <w:bCs/>
                <w:color w:val="000000"/>
                <w:sz w:val="20"/>
                <w:szCs w:val="20"/>
              </w:rPr>
            </w:pPr>
            <w:r w:rsidRPr="00271876">
              <w:rPr>
                <w:sz w:val="20"/>
                <w:szCs w:val="20"/>
              </w:rPr>
              <w:t xml:space="preserve">Represents the available funds for transport investments. Taking in consideration the potential financial corrections and the national overcommitment estimated at 30% the total available funds are equal to </w:t>
            </w:r>
            <w:r w:rsidRPr="00271876">
              <w:rPr>
                <w:b/>
                <w:sz w:val="20"/>
                <w:szCs w:val="20"/>
              </w:rPr>
              <w:t>G</w:t>
            </w:r>
            <w:r w:rsidRPr="00271876">
              <w:rPr>
                <w:sz w:val="20"/>
                <w:szCs w:val="20"/>
              </w:rPr>
              <w:t>.</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+ 30% Overcommitment</w:t>
            </w:r>
          </w:p>
        </w:tc>
        <w:tc>
          <w:tcPr>
            <w:tcW w:w="527" w:type="pct"/>
            <w:shd w:val="clear" w:color="auto" w:fill="auto"/>
            <w:vAlign w:val="center"/>
            <w:hideMark/>
          </w:tcPr>
          <w:p w:rsidR="00433238" w:rsidRPr="00271876" w:rsidRDefault="00433238" w:rsidP="0018268E">
            <w:pPr>
              <w:jc w:val="center"/>
              <w:rPr>
                <w:rFonts w:cs="Arial"/>
                <w:b/>
                <w:color w:val="000000"/>
                <w:sz w:val="20"/>
                <w:szCs w:val="20"/>
              </w:rPr>
            </w:pPr>
            <w:r w:rsidRPr="00271876">
              <w:rPr>
                <w:rFonts w:cs="Arial"/>
                <w:b/>
                <w:color w:val="000000"/>
                <w:sz w:val="20"/>
                <w:szCs w:val="20"/>
              </w:rPr>
              <w:t>G</w:t>
            </w:r>
          </w:p>
        </w:tc>
        <w:tc>
          <w:tcPr>
            <w:tcW w:w="603" w:type="pct"/>
            <w:shd w:val="clear" w:color="auto" w:fill="auto"/>
            <w:vAlign w:val="center"/>
            <w:hideMark/>
          </w:tcPr>
          <w:p w:rsidR="00433238" w:rsidRPr="00271876" w:rsidRDefault="00433238" w:rsidP="0018268E">
            <w:pPr>
              <w:jc w:val="center"/>
              <w:rPr>
                <w:rFonts w:cs="Arial"/>
                <w:b/>
                <w:color w:val="000000"/>
                <w:sz w:val="20"/>
                <w:szCs w:val="20"/>
              </w:rPr>
            </w:pPr>
            <w:r w:rsidRPr="00271876">
              <w:rPr>
                <w:rFonts w:cs="Arial"/>
                <w:b/>
                <w:color w:val="000000"/>
                <w:sz w:val="20"/>
                <w:szCs w:val="20"/>
              </w:rPr>
              <w:t>=F*1.3</w:t>
            </w:r>
          </w:p>
        </w:tc>
        <w:tc>
          <w:tcPr>
            <w:tcW w:w="2438" w:type="pct"/>
            <w:vAlign w:val="center"/>
          </w:tcPr>
          <w:p w:rsidR="00433238" w:rsidRPr="00271876" w:rsidRDefault="00433238" w:rsidP="0018268E">
            <w:pPr>
              <w:rPr>
                <w:sz w:val="20"/>
                <w:szCs w:val="20"/>
              </w:rPr>
            </w:pPr>
            <w:r w:rsidRPr="00271876">
              <w:rPr>
                <w:sz w:val="20"/>
                <w:szCs w:val="20"/>
              </w:rPr>
              <w:t>Includes the financial corrections and potential projects contracted over the initial budget allocations</w:t>
            </w:r>
          </w:p>
        </w:tc>
      </w:tr>
      <w:tr w:rsidR="00433238" w:rsidRPr="00271876" w:rsidTr="0018268E">
        <w:trPr>
          <w:trHeight w:val="397"/>
        </w:trPr>
        <w:tc>
          <w:tcPr>
            <w:tcW w:w="1432" w:type="pct"/>
            <w:shd w:val="clear" w:color="auto" w:fill="auto"/>
            <w:vAlign w:val="center"/>
            <w:hideMark/>
          </w:tcPr>
          <w:p w:rsidR="00433238" w:rsidRPr="00271876" w:rsidRDefault="00433238" w:rsidP="0018268E">
            <w:pPr>
              <w:rPr>
                <w:rFonts w:cs="Arial"/>
                <w:bCs/>
                <w:color w:val="000000"/>
                <w:sz w:val="20"/>
                <w:szCs w:val="20"/>
              </w:rPr>
            </w:pPr>
            <w:r w:rsidRPr="00271876">
              <w:rPr>
                <w:rFonts w:cs="Arial"/>
                <w:bCs/>
                <w:color w:val="000000"/>
                <w:sz w:val="20"/>
                <w:szCs w:val="20"/>
              </w:rPr>
              <w:t>Rail rehabilitation backlog</w:t>
            </w:r>
          </w:p>
        </w:tc>
        <w:tc>
          <w:tcPr>
            <w:tcW w:w="527" w:type="pct"/>
            <w:shd w:val="clear" w:color="auto" w:fill="auto"/>
            <w:vAlign w:val="center"/>
            <w:hideMark/>
          </w:tcPr>
          <w:p w:rsidR="00433238" w:rsidRPr="00271876" w:rsidRDefault="00433238" w:rsidP="0018268E">
            <w:pPr>
              <w:jc w:val="center"/>
              <w:rPr>
                <w:rFonts w:cs="Arial"/>
                <w:b/>
                <w:color w:val="000000"/>
                <w:sz w:val="20"/>
                <w:szCs w:val="20"/>
              </w:rPr>
            </w:pPr>
            <w:r w:rsidRPr="00271876">
              <w:rPr>
                <w:rFonts w:cs="Arial"/>
                <w:b/>
                <w:color w:val="000000"/>
                <w:sz w:val="20"/>
                <w:szCs w:val="20"/>
              </w:rPr>
              <w:t>H</w:t>
            </w:r>
          </w:p>
        </w:tc>
        <w:tc>
          <w:tcPr>
            <w:tcW w:w="603" w:type="pct"/>
            <w:shd w:val="clear" w:color="auto" w:fill="auto"/>
            <w:vAlign w:val="center"/>
            <w:hideMark/>
          </w:tcPr>
          <w:p w:rsidR="00433238" w:rsidRPr="00271876" w:rsidRDefault="00433238" w:rsidP="0018268E">
            <w:pPr>
              <w:jc w:val="center"/>
              <w:rPr>
                <w:rFonts w:cs="Arial"/>
                <w:b/>
                <w:color w:val="000000"/>
                <w:sz w:val="20"/>
                <w:szCs w:val="20"/>
              </w:rPr>
            </w:pPr>
          </w:p>
        </w:tc>
        <w:tc>
          <w:tcPr>
            <w:tcW w:w="2438" w:type="pct"/>
            <w:vAlign w:val="center"/>
          </w:tcPr>
          <w:p w:rsidR="00433238" w:rsidRPr="00271876" w:rsidRDefault="00433238" w:rsidP="0018268E">
            <w:pPr>
              <w:rPr>
                <w:rFonts w:cs="Arial"/>
                <w:b/>
                <w:color w:val="000000"/>
                <w:sz w:val="20"/>
                <w:szCs w:val="20"/>
              </w:rPr>
            </w:pPr>
            <w:r w:rsidRPr="00271876">
              <w:rPr>
                <w:sz w:val="20"/>
                <w:szCs w:val="20"/>
              </w:rPr>
              <w:t>Not included, as treatment of rail rehabilitation backlog is one of the key requirements identified as part of the Master Plan process. Rail rehabilitation costs are being prioritised and determined as part of the Master Plan and will therefore being funded out of the remaining available budget</w:t>
            </w:r>
          </w:p>
        </w:tc>
      </w:tr>
      <w:tr w:rsidR="00433238" w:rsidRPr="00271876" w:rsidTr="0018268E">
        <w:trPr>
          <w:trHeight w:val="397"/>
        </w:trPr>
        <w:tc>
          <w:tcPr>
            <w:tcW w:w="1432" w:type="pct"/>
            <w:shd w:val="clear" w:color="auto" w:fill="DBE5F1"/>
            <w:vAlign w:val="center"/>
            <w:hideMark/>
          </w:tcPr>
          <w:p w:rsidR="00433238" w:rsidRPr="00271876" w:rsidRDefault="00433238" w:rsidP="0018268E">
            <w:pPr>
              <w:rPr>
                <w:rFonts w:cs="Arial"/>
                <w:b/>
                <w:bCs/>
                <w:color w:val="000000"/>
                <w:sz w:val="20"/>
                <w:szCs w:val="20"/>
              </w:rPr>
            </w:pPr>
            <w:r w:rsidRPr="00271876">
              <w:rPr>
                <w:rFonts w:cs="Arial"/>
                <w:b/>
                <w:bCs/>
                <w:color w:val="000000"/>
                <w:sz w:val="20"/>
                <w:szCs w:val="20"/>
              </w:rPr>
              <w:t>Available for GTMP projects excluding rail rehabilitation backlog</w:t>
            </w:r>
          </w:p>
        </w:tc>
        <w:tc>
          <w:tcPr>
            <w:tcW w:w="527"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I</w:t>
            </w:r>
          </w:p>
        </w:tc>
        <w:tc>
          <w:tcPr>
            <w:tcW w:w="603" w:type="pct"/>
            <w:shd w:val="clear" w:color="auto" w:fill="DBE5F1"/>
            <w:vAlign w:val="center"/>
            <w:hideMark/>
          </w:tcPr>
          <w:p w:rsidR="00433238" w:rsidRPr="00271876" w:rsidRDefault="00433238" w:rsidP="0018268E">
            <w:pPr>
              <w:jc w:val="center"/>
              <w:rPr>
                <w:rFonts w:cs="Arial"/>
                <w:b/>
                <w:bCs/>
                <w:color w:val="000000"/>
                <w:sz w:val="20"/>
                <w:szCs w:val="20"/>
              </w:rPr>
            </w:pPr>
            <w:r w:rsidRPr="00271876">
              <w:rPr>
                <w:rFonts w:cs="Arial"/>
                <w:b/>
                <w:bCs/>
                <w:color w:val="000000"/>
                <w:sz w:val="20"/>
                <w:szCs w:val="20"/>
              </w:rPr>
              <w:t>=G-H</w:t>
            </w:r>
          </w:p>
        </w:tc>
        <w:tc>
          <w:tcPr>
            <w:tcW w:w="2438" w:type="pct"/>
            <w:shd w:val="clear" w:color="auto" w:fill="DBE5F1"/>
            <w:vAlign w:val="center"/>
          </w:tcPr>
          <w:p w:rsidR="00433238" w:rsidRPr="00271876" w:rsidRDefault="00433238" w:rsidP="0018268E">
            <w:pPr>
              <w:rPr>
                <w:rFonts w:cs="Arial"/>
                <w:b/>
                <w:bCs/>
                <w:color w:val="000000"/>
                <w:sz w:val="20"/>
                <w:szCs w:val="20"/>
              </w:rPr>
            </w:pPr>
            <w:r w:rsidRPr="00271876">
              <w:rPr>
                <w:sz w:val="20"/>
                <w:szCs w:val="20"/>
              </w:rPr>
              <w:t>Represents the available estimated budget for Master Plan projects following the treatment of rail rehabilitation backlog</w:t>
            </w:r>
          </w:p>
        </w:tc>
      </w:tr>
    </w:tbl>
    <w:p w:rsidR="00433238" w:rsidRPr="00271876" w:rsidRDefault="00433238" w:rsidP="00433238">
      <w:pPr>
        <w:ind w:left="1134"/>
        <w:rPr>
          <w:i/>
        </w:rPr>
      </w:pPr>
      <w:r w:rsidRPr="00271876">
        <w:rPr>
          <w:i/>
        </w:rPr>
        <w:t>Source: AECOM, MT</w:t>
      </w:r>
    </w:p>
    <w:p w:rsidR="00433238" w:rsidRPr="00271876" w:rsidRDefault="00433238" w:rsidP="00433238">
      <w:pPr>
        <w:rPr>
          <w:rFonts w:cs="Arial"/>
          <w:sz w:val="22"/>
        </w:rPr>
      </w:pPr>
    </w:p>
    <w:p w:rsidR="00433238" w:rsidRPr="00271876" w:rsidRDefault="00433238" w:rsidP="00433238">
      <w:pPr>
        <w:rPr>
          <w:rFonts w:cs="Arial"/>
          <w:sz w:val="22"/>
        </w:rPr>
      </w:pPr>
      <w:r w:rsidRPr="00271876">
        <w:rPr>
          <w:rFonts w:cs="Arial"/>
          <w:sz w:val="22"/>
        </w:rPr>
        <w:br w:type="page"/>
      </w:r>
    </w:p>
    <w:p w:rsidR="00433238" w:rsidRPr="00271876" w:rsidRDefault="00433238" w:rsidP="00433238">
      <w:pPr>
        <w:pStyle w:val="Hdg3"/>
        <w:rPr>
          <w:lang w:val="en-GB"/>
        </w:rPr>
      </w:pPr>
      <w:r w:rsidRPr="00271876">
        <w:rPr>
          <w:lang w:val="en-GB"/>
        </w:rPr>
        <w:t>Historical Context</w:t>
      </w:r>
    </w:p>
    <w:p w:rsidR="00433238" w:rsidRPr="00271876" w:rsidRDefault="00433238" w:rsidP="00A4081F">
      <w:pPr>
        <w:pStyle w:val="NumberedParas"/>
      </w:pPr>
      <w:r w:rsidRPr="00271876">
        <w:t>As part of the process of identifying the investment needs for the transport sector, MT produced in June 2013 an analysis on the past expenditures for transport</w:t>
      </w:r>
      <w:r w:rsidRPr="00271876">
        <w:rPr>
          <w:rStyle w:val="FootnoteReference"/>
        </w:rPr>
        <w:footnoteReference w:id="42"/>
      </w:r>
      <w:r w:rsidRPr="00271876">
        <w:t>. This analysis included the real historical costs for each transport mode, during 2007-2012 and estimations for year 2013.</w:t>
      </w:r>
    </w:p>
    <w:p w:rsidR="00433238" w:rsidRPr="00271876" w:rsidRDefault="00DE7B7A" w:rsidP="00433238">
      <w:pPr>
        <w:spacing w:before="120" w:after="120" w:line="276" w:lineRule="auto"/>
        <w:ind w:left="567"/>
        <w:jc w:val="both"/>
        <w:rPr>
          <w:rFonts w:cs="Arial"/>
          <w:b/>
          <w:sz w:val="22"/>
        </w:rPr>
      </w:pPr>
      <w:r>
        <w:rPr>
          <w:rFonts w:cs="Arial"/>
          <w:b/>
          <w:sz w:val="22"/>
        </w:rPr>
        <w:t>Table 9.</w:t>
      </w:r>
      <w:r w:rsidR="00433238" w:rsidRPr="00271876">
        <w:rPr>
          <w:rFonts w:cs="Arial"/>
          <w:b/>
          <w:sz w:val="22"/>
        </w:rPr>
        <w:t>2. Total expenditures for transport and percentage from GDP, 2007-2013 (’000 lei)</w:t>
      </w: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60"/>
        <w:gridCol w:w="2107"/>
        <w:gridCol w:w="1745"/>
        <w:gridCol w:w="1672"/>
      </w:tblGrid>
      <w:tr w:rsidR="00433238" w:rsidRPr="00271876" w:rsidTr="0018268E">
        <w:trPr>
          <w:trHeight w:hRule="exact" w:val="811"/>
        </w:trPr>
        <w:tc>
          <w:tcPr>
            <w:tcW w:w="1060" w:type="dxa"/>
            <w:shd w:val="clear" w:color="auto" w:fill="B8CCE4" w:themeFill="accent1" w:themeFillTint="66"/>
            <w:vAlign w:val="center"/>
          </w:tcPr>
          <w:p w:rsidR="00433238" w:rsidRPr="00271876" w:rsidRDefault="00433238" w:rsidP="0018268E">
            <w:pPr>
              <w:jc w:val="center"/>
              <w:rPr>
                <w:rFonts w:eastAsia="Arial" w:cs="Arial"/>
                <w:b/>
                <w:w w:val="101"/>
                <w:sz w:val="22"/>
                <w:szCs w:val="22"/>
              </w:rPr>
            </w:pPr>
            <w:r w:rsidRPr="00271876">
              <w:rPr>
                <w:rFonts w:eastAsia="Arial" w:cs="Arial"/>
                <w:b/>
                <w:w w:val="101"/>
                <w:sz w:val="22"/>
                <w:szCs w:val="22"/>
              </w:rPr>
              <w:t>Year</w:t>
            </w:r>
          </w:p>
        </w:tc>
        <w:tc>
          <w:tcPr>
            <w:tcW w:w="2107" w:type="dxa"/>
            <w:shd w:val="clear" w:color="auto" w:fill="B8CCE4" w:themeFill="accent1" w:themeFillTint="66"/>
            <w:vAlign w:val="center"/>
          </w:tcPr>
          <w:p w:rsidR="00433238" w:rsidRPr="00271876" w:rsidRDefault="00433238" w:rsidP="0018268E">
            <w:pPr>
              <w:jc w:val="center"/>
              <w:rPr>
                <w:rFonts w:eastAsia="Arial" w:cs="Arial"/>
                <w:b/>
                <w:sz w:val="22"/>
                <w:szCs w:val="22"/>
              </w:rPr>
            </w:pPr>
            <w:r w:rsidRPr="00271876">
              <w:rPr>
                <w:rFonts w:eastAsia="Arial" w:cs="Arial"/>
                <w:b/>
                <w:w w:val="103"/>
                <w:sz w:val="22"/>
                <w:szCs w:val="22"/>
              </w:rPr>
              <w:t>Total for</w:t>
            </w:r>
            <w:r w:rsidRPr="00271876">
              <w:rPr>
                <w:rFonts w:eastAsia="Arial" w:cs="Arial"/>
                <w:b/>
                <w:w w:val="103"/>
                <w:sz w:val="22"/>
                <w:szCs w:val="22"/>
              </w:rPr>
              <w:br/>
              <w:t>transport</w:t>
            </w:r>
          </w:p>
        </w:tc>
        <w:tc>
          <w:tcPr>
            <w:tcW w:w="1745" w:type="dxa"/>
            <w:shd w:val="clear" w:color="auto" w:fill="B8CCE4" w:themeFill="accent1" w:themeFillTint="66"/>
            <w:vAlign w:val="center"/>
          </w:tcPr>
          <w:p w:rsidR="00433238" w:rsidRPr="00271876" w:rsidRDefault="00433238" w:rsidP="0018268E">
            <w:pPr>
              <w:jc w:val="center"/>
              <w:rPr>
                <w:rFonts w:eastAsia="Arial" w:cs="Arial"/>
                <w:b/>
                <w:sz w:val="22"/>
                <w:szCs w:val="22"/>
              </w:rPr>
            </w:pPr>
            <w:r w:rsidRPr="00271876">
              <w:rPr>
                <w:rFonts w:eastAsia="Arial" w:cs="Arial"/>
                <w:b/>
                <w:w w:val="103"/>
                <w:sz w:val="22"/>
                <w:szCs w:val="22"/>
              </w:rPr>
              <w:t>GDP</w:t>
            </w:r>
          </w:p>
        </w:tc>
        <w:tc>
          <w:tcPr>
            <w:tcW w:w="1672" w:type="dxa"/>
            <w:shd w:val="clear" w:color="auto" w:fill="B8CCE4" w:themeFill="accent1" w:themeFillTint="66"/>
            <w:vAlign w:val="center"/>
          </w:tcPr>
          <w:p w:rsidR="00433238" w:rsidRPr="00271876" w:rsidRDefault="00433238" w:rsidP="0018268E">
            <w:pPr>
              <w:jc w:val="center"/>
              <w:rPr>
                <w:rFonts w:eastAsia="Arial" w:cs="Arial"/>
                <w:b/>
                <w:sz w:val="22"/>
                <w:szCs w:val="22"/>
              </w:rPr>
            </w:pPr>
            <w:r w:rsidRPr="00271876">
              <w:rPr>
                <w:rFonts w:eastAsia="Arial" w:cs="Arial"/>
                <w:b/>
                <w:w w:val="110"/>
                <w:sz w:val="22"/>
                <w:szCs w:val="22"/>
              </w:rPr>
              <w:t>% of GDP</w:t>
            </w:r>
          </w:p>
        </w:tc>
      </w:tr>
      <w:tr w:rsidR="00433238" w:rsidRPr="00271876" w:rsidTr="0018268E">
        <w:trPr>
          <w:trHeight w:hRule="exact" w:val="407"/>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7"/>
                <w:sz w:val="22"/>
                <w:szCs w:val="22"/>
              </w:rPr>
              <w:t>2007</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spacing w:val="-19"/>
                <w:w w:val="119"/>
                <w:sz w:val="22"/>
                <w:szCs w:val="22"/>
              </w:rPr>
              <w:t>1</w:t>
            </w:r>
            <w:r w:rsidRPr="00271876">
              <w:rPr>
                <w:rFonts w:eastAsia="Arial" w:cs="Arial"/>
                <w:color w:val="2F3131"/>
                <w:spacing w:val="-12"/>
                <w:w w:val="157"/>
                <w:sz w:val="22"/>
                <w:szCs w:val="22"/>
              </w:rPr>
              <w:t>.</w:t>
            </w:r>
            <w:r w:rsidRPr="00271876">
              <w:rPr>
                <w:rFonts w:eastAsia="Arial" w:cs="Arial"/>
                <w:color w:val="161616"/>
                <w:w w:val="109"/>
                <w:sz w:val="22"/>
                <w:szCs w:val="22"/>
              </w:rPr>
              <w:t>61</w:t>
            </w:r>
            <w:r w:rsidRPr="00271876">
              <w:rPr>
                <w:rFonts w:eastAsia="Arial" w:cs="Arial"/>
                <w:color w:val="161616"/>
                <w:spacing w:val="-12"/>
                <w:w w:val="109"/>
                <w:sz w:val="22"/>
                <w:szCs w:val="22"/>
              </w:rPr>
              <w:t>3</w:t>
            </w:r>
            <w:r w:rsidRPr="00271876">
              <w:rPr>
                <w:rFonts w:eastAsia="Arial" w:cs="Arial"/>
                <w:color w:val="2F3131"/>
                <w:spacing w:val="-8"/>
                <w:w w:val="125"/>
                <w:sz w:val="22"/>
                <w:szCs w:val="22"/>
              </w:rPr>
              <w:t>.</w:t>
            </w:r>
            <w:r w:rsidRPr="00271876">
              <w:rPr>
                <w:rFonts w:eastAsia="Arial" w:cs="Arial"/>
                <w:color w:val="161616"/>
                <w:w w:val="107"/>
                <w:sz w:val="22"/>
                <w:szCs w:val="22"/>
              </w:rPr>
              <w:t>269</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8"/>
                <w:sz w:val="22"/>
                <w:szCs w:val="22"/>
              </w:rPr>
              <w:t>41</w:t>
            </w:r>
            <w:r w:rsidRPr="00271876">
              <w:rPr>
                <w:rFonts w:eastAsia="Arial" w:cs="Arial"/>
                <w:color w:val="161616"/>
                <w:spacing w:val="-11"/>
                <w:w w:val="108"/>
                <w:sz w:val="22"/>
                <w:szCs w:val="22"/>
              </w:rPr>
              <w:t>6</w:t>
            </w:r>
            <w:r w:rsidRPr="00271876">
              <w:rPr>
                <w:rFonts w:eastAsia="Arial" w:cs="Arial"/>
                <w:color w:val="2F3131"/>
                <w:spacing w:val="-11"/>
                <w:w w:val="125"/>
                <w:sz w:val="22"/>
                <w:szCs w:val="22"/>
              </w:rPr>
              <w:t>.</w:t>
            </w:r>
            <w:r w:rsidRPr="00271876">
              <w:rPr>
                <w:rFonts w:eastAsia="Arial" w:cs="Arial"/>
                <w:color w:val="161616"/>
                <w:w w:val="108"/>
                <w:sz w:val="22"/>
                <w:szCs w:val="22"/>
              </w:rPr>
              <w:t>00</w:t>
            </w:r>
            <w:r w:rsidRPr="00271876">
              <w:rPr>
                <w:rFonts w:eastAsia="Arial" w:cs="Arial"/>
                <w:color w:val="161616"/>
                <w:spacing w:val="-11"/>
                <w:w w:val="108"/>
                <w:sz w:val="22"/>
                <w:szCs w:val="22"/>
              </w:rPr>
              <w:t>6</w:t>
            </w:r>
            <w:r w:rsidRPr="00271876">
              <w:rPr>
                <w:rFonts w:eastAsia="Arial" w:cs="Arial"/>
                <w:color w:val="2F3131"/>
                <w:spacing w:val="-10"/>
                <w:w w:val="125"/>
                <w:sz w:val="22"/>
                <w:szCs w:val="22"/>
              </w:rPr>
              <w:t>.</w:t>
            </w:r>
            <w:r w:rsidRPr="00271876">
              <w:rPr>
                <w:rFonts w:eastAsia="Arial" w:cs="Arial"/>
                <w:color w:val="161616"/>
                <w:w w:val="110"/>
                <w:sz w:val="22"/>
                <w:szCs w:val="22"/>
              </w:rPr>
              <w:t>800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spacing w:val="-6"/>
                <w:w w:val="110"/>
                <w:sz w:val="22"/>
                <w:szCs w:val="22"/>
              </w:rPr>
              <w:t>0</w:t>
            </w:r>
            <w:r w:rsidRPr="00271876">
              <w:rPr>
                <w:rFonts w:eastAsia="Arial" w:cs="Arial"/>
                <w:color w:val="2F3131"/>
                <w:spacing w:val="-11"/>
                <w:w w:val="121"/>
                <w:sz w:val="22"/>
                <w:szCs w:val="22"/>
              </w:rPr>
              <w:t>,</w:t>
            </w:r>
            <w:r w:rsidRPr="00271876">
              <w:rPr>
                <w:rFonts w:eastAsia="Arial" w:cs="Arial"/>
                <w:w w:val="106"/>
                <w:sz w:val="22"/>
                <w:szCs w:val="22"/>
              </w:rPr>
              <w:t>39</w:t>
            </w:r>
          </w:p>
        </w:tc>
      </w:tr>
      <w:tr w:rsidR="00433238" w:rsidRPr="00271876" w:rsidTr="0018268E">
        <w:trPr>
          <w:trHeight w:hRule="exact" w:val="403"/>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7"/>
                <w:sz w:val="22"/>
                <w:szCs w:val="22"/>
              </w:rPr>
              <w:t>2008</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color w:val="161616"/>
                <w:spacing w:val="-3"/>
                <w:w w:val="107"/>
                <w:sz w:val="22"/>
                <w:szCs w:val="22"/>
              </w:rPr>
              <w:t>3</w:t>
            </w:r>
            <w:r w:rsidRPr="00271876">
              <w:rPr>
                <w:rFonts w:eastAsia="Arial" w:cs="Arial"/>
                <w:color w:val="2F3131"/>
                <w:spacing w:val="-17"/>
                <w:w w:val="125"/>
                <w:sz w:val="22"/>
                <w:szCs w:val="22"/>
              </w:rPr>
              <w:t>.</w:t>
            </w:r>
            <w:r w:rsidRPr="00271876">
              <w:rPr>
                <w:rFonts w:eastAsia="Arial" w:cs="Arial"/>
                <w:color w:val="161616"/>
                <w:w w:val="110"/>
                <w:sz w:val="22"/>
                <w:szCs w:val="22"/>
              </w:rPr>
              <w:t>67</w:t>
            </w:r>
            <w:r w:rsidRPr="00271876">
              <w:rPr>
                <w:rFonts w:eastAsia="Arial" w:cs="Arial"/>
                <w:color w:val="161616"/>
                <w:spacing w:val="-13"/>
                <w:w w:val="110"/>
                <w:sz w:val="22"/>
                <w:szCs w:val="22"/>
              </w:rPr>
              <w:t>0</w:t>
            </w:r>
            <w:r w:rsidRPr="00271876">
              <w:rPr>
                <w:rFonts w:eastAsia="Arial" w:cs="Arial"/>
                <w:color w:val="464949"/>
                <w:spacing w:val="-13"/>
                <w:w w:val="157"/>
                <w:sz w:val="22"/>
                <w:szCs w:val="22"/>
              </w:rPr>
              <w:t>.</w:t>
            </w:r>
            <w:r w:rsidRPr="00271876">
              <w:rPr>
                <w:rFonts w:eastAsia="Arial" w:cs="Arial"/>
                <w:color w:val="161616"/>
                <w:w w:val="108"/>
                <w:sz w:val="22"/>
                <w:szCs w:val="22"/>
              </w:rPr>
              <w:t>717</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6"/>
                <w:sz w:val="22"/>
                <w:szCs w:val="22"/>
              </w:rPr>
              <w:t>51</w:t>
            </w:r>
            <w:r w:rsidRPr="00271876">
              <w:rPr>
                <w:rFonts w:eastAsia="Arial" w:cs="Arial"/>
                <w:color w:val="161616"/>
                <w:spacing w:val="-11"/>
                <w:w w:val="106"/>
                <w:sz w:val="22"/>
                <w:szCs w:val="22"/>
              </w:rPr>
              <w:t>4</w:t>
            </w:r>
            <w:r w:rsidRPr="00271876">
              <w:rPr>
                <w:rFonts w:eastAsia="Arial" w:cs="Arial"/>
                <w:color w:val="464949"/>
                <w:spacing w:val="-12"/>
                <w:w w:val="125"/>
                <w:sz w:val="22"/>
                <w:szCs w:val="22"/>
              </w:rPr>
              <w:t>.</w:t>
            </w:r>
            <w:r w:rsidRPr="00271876">
              <w:rPr>
                <w:rFonts w:eastAsia="Arial" w:cs="Arial"/>
                <w:color w:val="161616"/>
                <w:w w:val="108"/>
                <w:sz w:val="22"/>
                <w:szCs w:val="22"/>
              </w:rPr>
              <w:t>70</w:t>
            </w:r>
            <w:r w:rsidRPr="00271876">
              <w:rPr>
                <w:rFonts w:eastAsia="Arial" w:cs="Arial"/>
                <w:color w:val="161616"/>
                <w:spacing w:val="-11"/>
                <w:w w:val="108"/>
                <w:sz w:val="22"/>
                <w:szCs w:val="22"/>
              </w:rPr>
              <w:t>0</w:t>
            </w:r>
            <w:r w:rsidRPr="00271876">
              <w:rPr>
                <w:rFonts w:eastAsia="Arial" w:cs="Arial"/>
                <w:color w:val="2F3131"/>
                <w:spacing w:val="-4"/>
                <w:w w:val="125"/>
                <w:sz w:val="22"/>
                <w:szCs w:val="22"/>
              </w:rPr>
              <w:t>.</w:t>
            </w:r>
            <w:r w:rsidRPr="00271876">
              <w:rPr>
                <w:rFonts w:eastAsia="Arial" w:cs="Arial"/>
                <w:color w:val="161616"/>
                <w:w w:val="106"/>
                <w:sz w:val="22"/>
                <w:szCs w:val="22"/>
              </w:rPr>
              <w:t>000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w w:val="105"/>
                <w:sz w:val="22"/>
                <w:szCs w:val="22"/>
              </w:rPr>
              <w:t>0,71</w:t>
            </w:r>
          </w:p>
        </w:tc>
      </w:tr>
      <w:tr w:rsidR="00433238" w:rsidRPr="00271876" w:rsidTr="0018268E">
        <w:trPr>
          <w:trHeight w:hRule="exact" w:val="403"/>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7"/>
                <w:sz w:val="22"/>
                <w:szCs w:val="22"/>
              </w:rPr>
              <w:t>2009</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5"/>
                <w:sz w:val="22"/>
                <w:szCs w:val="22"/>
              </w:rPr>
              <w:t>6.428.839</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4"/>
                <w:sz w:val="22"/>
                <w:szCs w:val="22"/>
              </w:rPr>
              <w:t>501.139.400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w w:val="103"/>
                <w:sz w:val="22"/>
                <w:szCs w:val="22"/>
              </w:rPr>
              <w:t>1,28</w:t>
            </w:r>
          </w:p>
        </w:tc>
      </w:tr>
      <w:tr w:rsidR="00433238" w:rsidRPr="00271876" w:rsidTr="0018268E">
        <w:trPr>
          <w:trHeight w:hRule="exact" w:val="400"/>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7"/>
                <w:sz w:val="22"/>
                <w:szCs w:val="22"/>
              </w:rPr>
              <w:t>2010</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color w:val="161616"/>
                <w:spacing w:val="-11"/>
                <w:w w:val="107"/>
                <w:sz w:val="22"/>
                <w:szCs w:val="22"/>
              </w:rPr>
              <w:t>6</w:t>
            </w:r>
            <w:r w:rsidRPr="00271876">
              <w:rPr>
                <w:rFonts w:eastAsia="Arial" w:cs="Arial"/>
                <w:color w:val="2F3131"/>
                <w:spacing w:val="-10"/>
                <w:w w:val="157"/>
                <w:sz w:val="22"/>
                <w:szCs w:val="22"/>
              </w:rPr>
              <w:t>.</w:t>
            </w:r>
            <w:r w:rsidRPr="00271876">
              <w:rPr>
                <w:rFonts w:eastAsia="Arial" w:cs="Arial"/>
                <w:color w:val="161616"/>
                <w:w w:val="108"/>
                <w:sz w:val="22"/>
                <w:szCs w:val="22"/>
              </w:rPr>
              <w:t>50</w:t>
            </w:r>
            <w:r w:rsidRPr="00271876">
              <w:rPr>
                <w:rFonts w:eastAsia="Arial" w:cs="Arial"/>
                <w:color w:val="161616"/>
                <w:spacing w:val="-13"/>
                <w:w w:val="108"/>
                <w:sz w:val="22"/>
                <w:szCs w:val="22"/>
              </w:rPr>
              <w:t>2</w:t>
            </w:r>
            <w:r w:rsidRPr="00271876">
              <w:rPr>
                <w:rFonts w:eastAsia="Arial" w:cs="Arial"/>
                <w:color w:val="464949"/>
                <w:spacing w:val="-10"/>
                <w:w w:val="157"/>
                <w:sz w:val="22"/>
                <w:szCs w:val="22"/>
              </w:rPr>
              <w:t>.</w:t>
            </w:r>
            <w:r w:rsidRPr="00271876">
              <w:rPr>
                <w:rFonts w:eastAsia="Arial" w:cs="Arial"/>
                <w:color w:val="161616"/>
                <w:w w:val="107"/>
                <w:sz w:val="22"/>
                <w:szCs w:val="22"/>
              </w:rPr>
              <w:t>971</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8"/>
                <w:sz w:val="22"/>
                <w:szCs w:val="22"/>
              </w:rPr>
              <w:t>52</w:t>
            </w:r>
            <w:r w:rsidRPr="00271876">
              <w:rPr>
                <w:rFonts w:eastAsia="Arial" w:cs="Arial"/>
                <w:color w:val="161616"/>
                <w:spacing w:val="-10"/>
                <w:w w:val="108"/>
                <w:sz w:val="22"/>
                <w:szCs w:val="22"/>
              </w:rPr>
              <w:t>3</w:t>
            </w:r>
            <w:r w:rsidRPr="00271876">
              <w:rPr>
                <w:rFonts w:eastAsia="Arial" w:cs="Arial"/>
                <w:color w:val="464949"/>
                <w:spacing w:val="-17"/>
                <w:w w:val="125"/>
                <w:sz w:val="22"/>
                <w:szCs w:val="22"/>
              </w:rPr>
              <w:t>.</w:t>
            </w:r>
            <w:r w:rsidRPr="00271876">
              <w:rPr>
                <w:rFonts w:eastAsia="Arial" w:cs="Arial"/>
                <w:color w:val="161616"/>
                <w:w w:val="109"/>
                <w:sz w:val="22"/>
                <w:szCs w:val="22"/>
              </w:rPr>
              <w:t>69</w:t>
            </w:r>
            <w:r w:rsidRPr="00271876">
              <w:rPr>
                <w:rFonts w:eastAsia="Arial" w:cs="Arial"/>
                <w:color w:val="161616"/>
                <w:spacing w:val="-12"/>
                <w:w w:val="109"/>
                <w:sz w:val="22"/>
                <w:szCs w:val="22"/>
              </w:rPr>
              <w:t>3</w:t>
            </w:r>
            <w:r w:rsidRPr="00271876">
              <w:rPr>
                <w:rFonts w:eastAsia="Arial" w:cs="Arial"/>
                <w:color w:val="2F3131"/>
                <w:spacing w:val="-11"/>
                <w:w w:val="125"/>
                <w:sz w:val="22"/>
                <w:szCs w:val="22"/>
              </w:rPr>
              <w:t>.</w:t>
            </w:r>
            <w:r w:rsidRPr="00271876">
              <w:rPr>
                <w:rFonts w:eastAsia="Arial" w:cs="Arial"/>
                <w:color w:val="161616"/>
                <w:w w:val="110"/>
                <w:sz w:val="22"/>
                <w:szCs w:val="22"/>
              </w:rPr>
              <w:t>300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spacing w:val="-10"/>
                <w:w w:val="115"/>
                <w:sz w:val="22"/>
                <w:szCs w:val="22"/>
              </w:rPr>
              <w:t>1</w:t>
            </w:r>
            <w:r w:rsidRPr="00271876">
              <w:rPr>
                <w:rFonts w:eastAsia="Arial" w:cs="Arial"/>
                <w:color w:val="2F3131"/>
                <w:spacing w:val="-2"/>
                <w:w w:val="101"/>
                <w:sz w:val="22"/>
                <w:szCs w:val="22"/>
              </w:rPr>
              <w:t>,</w:t>
            </w:r>
            <w:r w:rsidRPr="00271876">
              <w:rPr>
                <w:rFonts w:eastAsia="Arial" w:cs="Arial"/>
                <w:w w:val="105"/>
                <w:sz w:val="22"/>
                <w:szCs w:val="22"/>
              </w:rPr>
              <w:t>24</w:t>
            </w:r>
          </w:p>
        </w:tc>
      </w:tr>
      <w:tr w:rsidR="00433238" w:rsidRPr="00271876" w:rsidTr="0018268E">
        <w:trPr>
          <w:trHeight w:hRule="exact" w:val="403"/>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8"/>
                <w:sz w:val="22"/>
                <w:szCs w:val="22"/>
              </w:rPr>
              <w:t>2011</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color w:val="161616"/>
                <w:spacing w:val="-13"/>
                <w:w w:val="116"/>
                <w:sz w:val="22"/>
                <w:szCs w:val="22"/>
              </w:rPr>
              <w:t>7</w:t>
            </w:r>
            <w:r w:rsidRPr="00271876">
              <w:rPr>
                <w:rFonts w:eastAsia="Arial" w:cs="Arial"/>
                <w:color w:val="2F3131"/>
                <w:spacing w:val="-11"/>
                <w:w w:val="125"/>
                <w:sz w:val="22"/>
                <w:szCs w:val="22"/>
              </w:rPr>
              <w:t>.</w:t>
            </w:r>
            <w:r w:rsidRPr="00271876">
              <w:rPr>
                <w:rFonts w:eastAsia="Arial" w:cs="Arial"/>
                <w:w w:val="108"/>
                <w:sz w:val="22"/>
                <w:szCs w:val="22"/>
              </w:rPr>
              <w:t>12</w:t>
            </w:r>
            <w:r w:rsidRPr="00271876">
              <w:rPr>
                <w:rFonts w:eastAsia="Arial" w:cs="Arial"/>
                <w:spacing w:val="-12"/>
                <w:w w:val="108"/>
                <w:sz w:val="22"/>
                <w:szCs w:val="22"/>
              </w:rPr>
              <w:t>9</w:t>
            </w:r>
            <w:r w:rsidRPr="00271876">
              <w:rPr>
                <w:rFonts w:eastAsia="Arial" w:cs="Arial"/>
                <w:color w:val="464949"/>
                <w:spacing w:val="-10"/>
                <w:w w:val="125"/>
                <w:sz w:val="22"/>
                <w:szCs w:val="22"/>
              </w:rPr>
              <w:t>.</w:t>
            </w:r>
            <w:r w:rsidRPr="00271876">
              <w:rPr>
                <w:rFonts w:eastAsia="Arial" w:cs="Arial"/>
                <w:color w:val="161616"/>
                <w:w w:val="110"/>
                <w:sz w:val="22"/>
                <w:szCs w:val="22"/>
              </w:rPr>
              <w:t>614</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8"/>
                <w:sz w:val="22"/>
                <w:szCs w:val="22"/>
              </w:rPr>
              <w:t>55</w:t>
            </w:r>
            <w:r w:rsidRPr="00271876">
              <w:rPr>
                <w:rFonts w:eastAsia="Arial" w:cs="Arial"/>
                <w:color w:val="161616"/>
                <w:spacing w:val="-11"/>
                <w:w w:val="108"/>
                <w:sz w:val="22"/>
                <w:szCs w:val="22"/>
              </w:rPr>
              <w:t>6</w:t>
            </w:r>
            <w:r w:rsidRPr="00271876">
              <w:rPr>
                <w:rFonts w:eastAsia="Arial" w:cs="Arial"/>
                <w:color w:val="464949"/>
                <w:spacing w:val="-12"/>
                <w:w w:val="125"/>
                <w:sz w:val="22"/>
                <w:szCs w:val="22"/>
              </w:rPr>
              <w:t>.</w:t>
            </w:r>
            <w:r w:rsidRPr="00271876">
              <w:rPr>
                <w:rFonts w:eastAsia="Arial" w:cs="Arial"/>
                <w:color w:val="161616"/>
                <w:w w:val="106"/>
                <w:sz w:val="22"/>
                <w:szCs w:val="22"/>
              </w:rPr>
              <w:t>708.400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w w:val="103"/>
                <w:sz w:val="22"/>
                <w:szCs w:val="22"/>
              </w:rPr>
              <w:t>1,28</w:t>
            </w:r>
          </w:p>
        </w:tc>
      </w:tr>
      <w:tr w:rsidR="00433238" w:rsidRPr="00271876" w:rsidTr="0018268E">
        <w:trPr>
          <w:trHeight w:hRule="exact" w:val="410"/>
        </w:trPr>
        <w:tc>
          <w:tcPr>
            <w:tcW w:w="1060" w:type="dxa"/>
            <w:vAlign w:val="center"/>
          </w:tcPr>
          <w:p w:rsidR="00433238" w:rsidRPr="00271876" w:rsidRDefault="00433238" w:rsidP="0018268E">
            <w:pPr>
              <w:jc w:val="center"/>
              <w:rPr>
                <w:rFonts w:eastAsia="Arial" w:cs="Arial"/>
                <w:sz w:val="22"/>
                <w:szCs w:val="22"/>
              </w:rPr>
            </w:pPr>
            <w:r w:rsidRPr="00271876">
              <w:rPr>
                <w:rFonts w:eastAsia="Arial" w:cs="Arial"/>
                <w:color w:val="161616"/>
                <w:w w:val="106"/>
                <w:sz w:val="22"/>
                <w:szCs w:val="22"/>
              </w:rPr>
              <w:t>2012</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color w:val="161616"/>
                <w:spacing w:val="-10"/>
                <w:w w:val="107"/>
                <w:sz w:val="22"/>
                <w:szCs w:val="22"/>
              </w:rPr>
              <w:t>8</w:t>
            </w:r>
            <w:r w:rsidRPr="00271876">
              <w:rPr>
                <w:rFonts w:eastAsia="Arial" w:cs="Arial"/>
                <w:color w:val="2F3131"/>
                <w:spacing w:val="-10"/>
                <w:w w:val="157"/>
                <w:sz w:val="22"/>
                <w:szCs w:val="22"/>
              </w:rPr>
              <w:t>.</w:t>
            </w:r>
            <w:r w:rsidRPr="00271876">
              <w:rPr>
                <w:rFonts w:eastAsia="Arial" w:cs="Arial"/>
                <w:w w:val="108"/>
                <w:sz w:val="22"/>
                <w:szCs w:val="22"/>
              </w:rPr>
              <w:t>03</w:t>
            </w:r>
            <w:r w:rsidRPr="00271876">
              <w:rPr>
                <w:rFonts w:eastAsia="Arial" w:cs="Arial"/>
                <w:spacing w:val="-13"/>
                <w:w w:val="108"/>
                <w:sz w:val="22"/>
                <w:szCs w:val="22"/>
              </w:rPr>
              <w:t>6</w:t>
            </w:r>
            <w:r w:rsidRPr="00271876">
              <w:rPr>
                <w:rFonts w:eastAsia="Arial" w:cs="Arial"/>
                <w:color w:val="2F3131"/>
                <w:spacing w:val="-4"/>
                <w:w w:val="125"/>
                <w:sz w:val="22"/>
                <w:szCs w:val="22"/>
              </w:rPr>
              <w:t>.</w:t>
            </w:r>
            <w:r w:rsidRPr="00271876">
              <w:rPr>
                <w:rFonts w:eastAsia="Arial" w:cs="Arial"/>
                <w:w w:val="106"/>
                <w:sz w:val="22"/>
                <w:szCs w:val="22"/>
              </w:rPr>
              <w:t>044</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w w:val="104"/>
                <w:sz w:val="22"/>
                <w:szCs w:val="22"/>
              </w:rPr>
              <w:t>587.46</w:t>
            </w:r>
            <w:r w:rsidRPr="00271876">
              <w:rPr>
                <w:rFonts w:eastAsia="Arial" w:cs="Arial"/>
                <w:spacing w:val="-4"/>
                <w:w w:val="105"/>
                <w:sz w:val="22"/>
                <w:szCs w:val="22"/>
              </w:rPr>
              <w:t>6</w:t>
            </w:r>
            <w:r w:rsidRPr="00271876">
              <w:rPr>
                <w:rFonts w:eastAsia="Arial" w:cs="Arial"/>
                <w:color w:val="2F3131"/>
                <w:spacing w:val="-11"/>
                <w:w w:val="125"/>
                <w:sz w:val="22"/>
                <w:szCs w:val="22"/>
              </w:rPr>
              <w:t>.</w:t>
            </w:r>
            <w:r w:rsidRPr="00271876">
              <w:rPr>
                <w:rFonts w:eastAsia="Arial" w:cs="Arial"/>
                <w:w w:val="108"/>
                <w:sz w:val="22"/>
                <w:szCs w:val="22"/>
              </w:rPr>
              <w:t>400</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w w:val="103"/>
                <w:sz w:val="22"/>
                <w:szCs w:val="22"/>
              </w:rPr>
              <w:t>1,37</w:t>
            </w:r>
          </w:p>
        </w:tc>
      </w:tr>
      <w:tr w:rsidR="00433238" w:rsidRPr="00271876" w:rsidTr="0018268E">
        <w:trPr>
          <w:trHeight w:hRule="exact" w:val="410"/>
        </w:trPr>
        <w:tc>
          <w:tcPr>
            <w:tcW w:w="1060" w:type="dxa"/>
            <w:vAlign w:val="center"/>
          </w:tcPr>
          <w:p w:rsidR="00433238" w:rsidRPr="00271876" w:rsidRDefault="00433238" w:rsidP="0018268E">
            <w:pPr>
              <w:jc w:val="center"/>
              <w:rPr>
                <w:rFonts w:eastAsia="Arial" w:cs="Arial"/>
                <w:color w:val="161616"/>
                <w:w w:val="106"/>
                <w:sz w:val="22"/>
                <w:szCs w:val="22"/>
              </w:rPr>
            </w:pPr>
            <w:r w:rsidRPr="00271876">
              <w:rPr>
                <w:rFonts w:eastAsia="Arial" w:cs="Arial"/>
                <w:color w:val="161616"/>
                <w:w w:val="106"/>
                <w:sz w:val="22"/>
                <w:szCs w:val="22"/>
              </w:rPr>
              <w:t>2013</w:t>
            </w:r>
          </w:p>
        </w:tc>
        <w:tc>
          <w:tcPr>
            <w:tcW w:w="2107" w:type="dxa"/>
            <w:vAlign w:val="center"/>
          </w:tcPr>
          <w:p w:rsidR="00433238" w:rsidRPr="00271876" w:rsidRDefault="00433238" w:rsidP="0018268E">
            <w:pPr>
              <w:jc w:val="center"/>
              <w:rPr>
                <w:rFonts w:eastAsia="Arial" w:cs="Arial"/>
                <w:sz w:val="22"/>
                <w:szCs w:val="22"/>
              </w:rPr>
            </w:pPr>
            <w:r w:rsidRPr="00271876">
              <w:rPr>
                <w:rFonts w:eastAsia="Arial" w:cs="Arial"/>
                <w:sz w:val="22"/>
                <w:szCs w:val="22"/>
              </w:rPr>
              <w:t>10.562.387</w:t>
            </w:r>
          </w:p>
        </w:tc>
        <w:tc>
          <w:tcPr>
            <w:tcW w:w="1745" w:type="dxa"/>
            <w:vAlign w:val="center"/>
          </w:tcPr>
          <w:p w:rsidR="00433238" w:rsidRPr="00271876" w:rsidRDefault="00433238" w:rsidP="0018268E">
            <w:pPr>
              <w:jc w:val="center"/>
              <w:rPr>
                <w:rFonts w:eastAsia="Arial" w:cs="Arial"/>
                <w:sz w:val="22"/>
                <w:szCs w:val="22"/>
              </w:rPr>
            </w:pPr>
            <w:r w:rsidRPr="00271876">
              <w:rPr>
                <w:rFonts w:eastAsia="Arial" w:cs="Arial"/>
                <w:sz w:val="22"/>
                <w:szCs w:val="22"/>
              </w:rPr>
              <w:t>599.215.728</w:t>
            </w:r>
          </w:p>
        </w:tc>
        <w:tc>
          <w:tcPr>
            <w:tcW w:w="1672" w:type="dxa"/>
            <w:vAlign w:val="center"/>
          </w:tcPr>
          <w:p w:rsidR="00433238" w:rsidRPr="00271876" w:rsidRDefault="00433238" w:rsidP="0018268E">
            <w:pPr>
              <w:jc w:val="center"/>
              <w:rPr>
                <w:rFonts w:eastAsia="Arial" w:cs="Arial"/>
                <w:sz w:val="22"/>
                <w:szCs w:val="22"/>
              </w:rPr>
            </w:pPr>
            <w:r w:rsidRPr="00271876">
              <w:rPr>
                <w:rFonts w:eastAsia="Arial" w:cs="Arial"/>
                <w:sz w:val="22"/>
                <w:szCs w:val="22"/>
              </w:rPr>
              <w:t>1,76</w:t>
            </w:r>
          </w:p>
        </w:tc>
      </w:tr>
    </w:tbl>
    <w:p w:rsidR="00433238" w:rsidRPr="00271876" w:rsidRDefault="00433238" w:rsidP="00433238">
      <w:pPr>
        <w:ind w:left="567"/>
        <w:rPr>
          <w:i/>
        </w:rPr>
      </w:pPr>
      <w:r w:rsidRPr="00271876">
        <w:rPr>
          <w:i/>
        </w:rPr>
        <w:t>Source: MT</w:t>
      </w:r>
    </w:p>
    <w:p w:rsidR="00433238" w:rsidRPr="00271876" w:rsidRDefault="00433238" w:rsidP="00A4081F">
      <w:pPr>
        <w:pStyle w:val="NumberedParas"/>
      </w:pPr>
      <w:r w:rsidRPr="00271876">
        <w:t xml:space="preserve">Based on these historical figures and on the assessment of future investment needs, </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2015</w:t>
      </w:r>
      <w:r w:rsidRPr="00271876">
        <w:rPr>
          <w:rFonts w:eastAsia="Arial"/>
          <w:sz w:val="22"/>
          <w:szCs w:val="22"/>
        </w:rPr>
        <w:tab/>
      </w:r>
      <w:r w:rsidRPr="00271876">
        <w:rPr>
          <w:rFonts w:eastAsia="Arial"/>
          <w:sz w:val="22"/>
          <w:szCs w:val="22"/>
        </w:rPr>
        <w:tab/>
        <w:t>2.15%</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2016</w:t>
      </w:r>
      <w:r w:rsidRPr="00271876">
        <w:rPr>
          <w:rFonts w:eastAsia="Arial"/>
          <w:sz w:val="22"/>
          <w:szCs w:val="22"/>
        </w:rPr>
        <w:tab/>
      </w:r>
      <w:r w:rsidRPr="00271876">
        <w:rPr>
          <w:rFonts w:eastAsia="Arial"/>
          <w:sz w:val="22"/>
          <w:szCs w:val="22"/>
        </w:rPr>
        <w:tab/>
        <w:t>2.35%</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2017</w:t>
      </w:r>
      <w:r w:rsidRPr="00271876">
        <w:rPr>
          <w:rFonts w:eastAsia="Arial"/>
          <w:sz w:val="22"/>
          <w:szCs w:val="22"/>
        </w:rPr>
        <w:tab/>
      </w:r>
      <w:r w:rsidRPr="00271876">
        <w:rPr>
          <w:rFonts w:eastAsia="Arial"/>
          <w:sz w:val="22"/>
          <w:szCs w:val="22"/>
        </w:rPr>
        <w:tab/>
        <w:t>2.00%</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2018</w:t>
      </w:r>
      <w:r w:rsidRPr="00271876">
        <w:rPr>
          <w:rFonts w:eastAsia="Arial"/>
          <w:sz w:val="22"/>
          <w:szCs w:val="22"/>
        </w:rPr>
        <w:tab/>
      </w:r>
      <w:r w:rsidRPr="00271876">
        <w:rPr>
          <w:rFonts w:eastAsia="Arial"/>
          <w:sz w:val="22"/>
          <w:szCs w:val="22"/>
        </w:rPr>
        <w:tab/>
        <w:t>2.00%</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2019</w:t>
      </w:r>
      <w:r w:rsidRPr="00271876">
        <w:rPr>
          <w:rFonts w:eastAsia="Arial"/>
          <w:sz w:val="22"/>
          <w:szCs w:val="22"/>
        </w:rPr>
        <w:tab/>
      </w:r>
      <w:r w:rsidRPr="00271876">
        <w:rPr>
          <w:rFonts w:eastAsia="Arial"/>
          <w:sz w:val="22"/>
          <w:szCs w:val="22"/>
        </w:rPr>
        <w:tab/>
        <w:t>2.00%</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2020</w:t>
      </w:r>
      <w:r w:rsidRPr="00271876">
        <w:rPr>
          <w:rFonts w:eastAsia="Arial"/>
          <w:sz w:val="22"/>
          <w:szCs w:val="22"/>
        </w:rPr>
        <w:tab/>
      </w:r>
      <w:r w:rsidRPr="00271876">
        <w:rPr>
          <w:rFonts w:eastAsia="Arial"/>
          <w:sz w:val="22"/>
          <w:szCs w:val="22"/>
        </w:rPr>
        <w:tab/>
        <w:t>2.00%</w:t>
      </w:r>
    </w:p>
    <w:p w:rsidR="00433238" w:rsidRPr="00271876" w:rsidRDefault="00433238" w:rsidP="00433238">
      <w:pPr>
        <w:pStyle w:val="Hdg3"/>
        <w:rPr>
          <w:lang w:val="en-GB"/>
        </w:rPr>
      </w:pPr>
      <w:r w:rsidRPr="00271876">
        <w:rPr>
          <w:lang w:val="en-GB"/>
        </w:rPr>
        <w:t>GDP Forecast Scenario</w:t>
      </w:r>
    </w:p>
    <w:p w:rsidR="00433238" w:rsidRPr="00271876" w:rsidRDefault="00433238" w:rsidP="00A4081F">
      <w:pPr>
        <w:pStyle w:val="NumberedParas"/>
      </w:pPr>
      <w:r w:rsidRPr="00271876">
        <w:t>The assumptions for the GDP forecast scenario were:</w:t>
      </w:r>
    </w:p>
    <w:p w:rsidR="00433238" w:rsidRPr="00271876" w:rsidRDefault="00433238" w:rsidP="00273D5E">
      <w:pPr>
        <w:pStyle w:val="BulletLevel1"/>
      </w:pPr>
      <w:r w:rsidRPr="00271876">
        <w:t>For the period 2014-2017, the source is the latest available GDP forecasts published by the National Committee of Prognosis</w:t>
      </w:r>
      <w:r w:rsidRPr="00271876">
        <w:rPr>
          <w:rStyle w:val="FootnoteReference"/>
        </w:rPr>
        <w:footnoteReference w:id="43"/>
      </w:r>
      <w:r w:rsidRPr="00271876">
        <w:t>. It considers  the following real growth rates:</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2015</w:t>
      </w:r>
      <w:r w:rsidRPr="00271876">
        <w:rPr>
          <w:rFonts w:eastAsia="Arial"/>
          <w:sz w:val="22"/>
          <w:szCs w:val="22"/>
        </w:rPr>
        <w:tab/>
      </w:r>
      <w:r w:rsidRPr="00271876">
        <w:rPr>
          <w:rFonts w:eastAsia="Arial"/>
          <w:sz w:val="22"/>
          <w:szCs w:val="22"/>
        </w:rPr>
        <w:tab/>
        <w:t>2.5%</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2016</w:t>
      </w:r>
      <w:r w:rsidRPr="00271876">
        <w:rPr>
          <w:rFonts w:eastAsia="Arial"/>
          <w:sz w:val="22"/>
          <w:szCs w:val="22"/>
        </w:rPr>
        <w:tab/>
      </w:r>
      <w:r w:rsidRPr="00271876">
        <w:rPr>
          <w:rFonts w:eastAsia="Arial"/>
          <w:sz w:val="22"/>
          <w:szCs w:val="22"/>
        </w:rPr>
        <w:tab/>
        <w:t>3.0%</w:t>
      </w:r>
    </w:p>
    <w:p w:rsidR="00433238" w:rsidRPr="00271876" w:rsidRDefault="00433238" w:rsidP="005E50B3">
      <w:pPr>
        <w:pStyle w:val="ListParagraph"/>
        <w:numPr>
          <w:ilvl w:val="2"/>
          <w:numId w:val="19"/>
        </w:numPr>
        <w:spacing w:line="276" w:lineRule="auto"/>
        <w:rPr>
          <w:rFonts w:eastAsia="Arial"/>
          <w:sz w:val="22"/>
          <w:szCs w:val="22"/>
        </w:rPr>
      </w:pPr>
      <w:r w:rsidRPr="00271876">
        <w:rPr>
          <w:rFonts w:eastAsia="Arial"/>
          <w:sz w:val="22"/>
          <w:szCs w:val="22"/>
        </w:rPr>
        <w:t>2017</w:t>
      </w:r>
      <w:r w:rsidRPr="00271876">
        <w:rPr>
          <w:rFonts w:eastAsia="Arial"/>
          <w:sz w:val="22"/>
          <w:szCs w:val="22"/>
        </w:rPr>
        <w:tab/>
      </w:r>
      <w:r w:rsidRPr="00271876">
        <w:rPr>
          <w:rFonts w:eastAsia="Arial"/>
          <w:sz w:val="22"/>
          <w:szCs w:val="22"/>
        </w:rPr>
        <w:tab/>
        <w:t>3.3%</w:t>
      </w:r>
    </w:p>
    <w:p w:rsidR="00433238" w:rsidRPr="00271876" w:rsidRDefault="00433238" w:rsidP="00273D5E">
      <w:pPr>
        <w:pStyle w:val="BulletLevel1"/>
      </w:pPr>
      <w:r w:rsidRPr="00271876">
        <w:t>After year 2017, the National Transport Model central forecasts were used (a real increase of 3.5% p.a.)</w:t>
      </w:r>
    </w:p>
    <w:p w:rsidR="00433238" w:rsidRPr="00271876" w:rsidRDefault="00433238" w:rsidP="00A4081F">
      <w:pPr>
        <w:pStyle w:val="NumberedParas"/>
      </w:pPr>
      <w:r w:rsidRPr="00271876">
        <w:t>The estimated GDP for year 2014, according to CNP, is 664.4 bn Lei, representing a real increase of 2.3% compared to 2013.</w:t>
      </w:r>
    </w:p>
    <w:p w:rsidR="00433238" w:rsidRPr="00271876" w:rsidRDefault="00433238" w:rsidP="00045287">
      <w:pPr>
        <w:pStyle w:val="Hdg2"/>
      </w:pPr>
      <w:bookmarkStart w:id="8159" w:name="_Toc413056080"/>
      <w:r w:rsidRPr="00271876">
        <w:t>Mandated Expenditure for Maintenance and Renewals</w:t>
      </w:r>
      <w:bookmarkEnd w:id="8159"/>
    </w:p>
    <w:p w:rsidR="00433238" w:rsidRPr="00271876" w:rsidRDefault="00433238" w:rsidP="00A4081F">
      <w:pPr>
        <w:pStyle w:val="NumberedParas"/>
      </w:pPr>
      <w:r w:rsidRPr="00271876">
        <w:t>As stated in section 11.1, the available funds for new investments will be determined after the deduction of the necessary expenditures for maintenance and renewals.</w:t>
      </w:r>
    </w:p>
    <w:p w:rsidR="00433238" w:rsidRPr="00CC0BF1" w:rsidRDefault="00433238" w:rsidP="00273D5E">
      <w:pPr>
        <w:pStyle w:val="BulletLevel1"/>
      </w:pPr>
      <w:r w:rsidRPr="00271876">
        <w:t>(</w:t>
      </w:r>
      <w:r w:rsidRPr="00271876">
        <w:rPr>
          <w:b/>
        </w:rPr>
        <w:t>B</w:t>
      </w:r>
      <w:r w:rsidRPr="00271876">
        <w:rPr>
          <w:b/>
          <w:vertAlign w:val="subscript"/>
        </w:rPr>
        <w:t>1</w:t>
      </w:r>
      <w:r w:rsidRPr="00271876">
        <w:t>)</w:t>
      </w:r>
      <w:r w:rsidRPr="00271876">
        <w:tab/>
        <w:t xml:space="preserve">Rail maintenance was determined as per AECOM analysis of spend required to cover maintenance and repairs on rail network which retains 55% of entire current network including lines within stations and sidings and 99% of passenger/freight tonne kms Rail network; it comprises a gradual increase from the current expenditure of 324 mill EUR to the </w:t>
      </w:r>
      <w:r w:rsidRPr="00CC0BF1">
        <w:t>desired level of 532 mill EUR, over a period of 6 years (see Section 6.5).</w:t>
      </w:r>
    </w:p>
    <w:p w:rsidR="00433238" w:rsidRPr="00CC0BF1" w:rsidRDefault="00433238" w:rsidP="00273D5E">
      <w:pPr>
        <w:pStyle w:val="BulletLevel1"/>
      </w:pPr>
      <w:r w:rsidRPr="00CC0BF1">
        <w:t>(</w:t>
      </w:r>
      <w:r w:rsidRPr="00CC0BF1">
        <w:rPr>
          <w:b/>
        </w:rPr>
        <w:t>B</w:t>
      </w:r>
      <w:r w:rsidRPr="00CC0BF1">
        <w:rPr>
          <w:b/>
          <w:vertAlign w:val="subscript"/>
        </w:rPr>
        <w:t>1</w:t>
      </w:r>
      <w:r w:rsidRPr="00CC0BF1">
        <w:t>)</w:t>
      </w:r>
      <w:r w:rsidRPr="00CC0BF1">
        <w:tab/>
        <w:t>Road maintenance considers an estimate of Maintenance and Renewal Costs based on World Bank Cost Recovery Model; it comprises a gradual increase from the current expenditure of 191 mill EUR to the desired level of 679 mill EUR, over a period of 6 years (see Section 5.6);</w:t>
      </w:r>
    </w:p>
    <w:p w:rsidR="00433238" w:rsidRPr="00CC0BF1" w:rsidRDefault="00433238" w:rsidP="00273D5E">
      <w:pPr>
        <w:pStyle w:val="BulletLevel1"/>
      </w:pPr>
      <w:r w:rsidRPr="00CC0BF1">
        <w:t>(</w:t>
      </w:r>
      <w:r w:rsidRPr="00CC0BF1">
        <w:rPr>
          <w:b/>
        </w:rPr>
        <w:t>B</w:t>
      </w:r>
      <w:r w:rsidRPr="00CC0BF1">
        <w:rPr>
          <w:b/>
          <w:vertAlign w:val="subscript"/>
        </w:rPr>
        <w:t>1</w:t>
      </w:r>
      <w:r w:rsidRPr="00CC0BF1">
        <w:t>)</w:t>
      </w:r>
      <w:r w:rsidRPr="00CC0BF1">
        <w:tab/>
        <w:t xml:space="preserve">For the Danube fairway maintenance works, a significant increase was considered (up to 25 million EUR per year, according to the needs assessment, based on the analysis of the existing conditions). See Section </w:t>
      </w:r>
      <w:r w:rsidR="00CC0BF1" w:rsidRPr="00CC0BF1">
        <w:t>8</w:t>
      </w:r>
      <w:r w:rsidRPr="00CC0BF1">
        <w:t xml:space="preserve"> for additional details. </w:t>
      </w:r>
    </w:p>
    <w:p w:rsidR="00433238" w:rsidRPr="00CC0BF1" w:rsidRDefault="00433238" w:rsidP="00273D5E">
      <w:pPr>
        <w:pStyle w:val="BulletLevel1"/>
      </w:pPr>
      <w:r w:rsidRPr="00CC0BF1">
        <w:t>(</w:t>
      </w:r>
      <w:r w:rsidRPr="00CC0BF1">
        <w:rPr>
          <w:b/>
        </w:rPr>
        <w:t>B</w:t>
      </w:r>
      <w:r w:rsidRPr="00CC0BF1">
        <w:rPr>
          <w:b/>
          <w:vertAlign w:val="subscript"/>
        </w:rPr>
        <w:t>2</w:t>
      </w:r>
      <w:r w:rsidRPr="00CC0BF1">
        <w:t>)</w:t>
      </w:r>
      <w:r w:rsidRPr="00CC0BF1">
        <w:tab/>
        <w:t>Road rehabilitation backlog was calculated based on AECOM estimates of Rehabilitation Costs (Lifecycle) using World Bank Cost Recovery Financial Model, with current status of pavement based on information provided by CNANDR. It was assumed that rehabilitation/removal of backlog will be completed in 2020, considering a gradual increase over the first 6 years period, with road lifecycle costs post 2020 coming under standard renewals (see Section 5.6). The total estimated corresponding budget is 4.578 bn EUR over the 2014-2020 period, equivalent to 654 mill EUR per annum.</w:t>
      </w:r>
    </w:p>
    <w:p w:rsidR="00433238" w:rsidRPr="00CC0BF1" w:rsidRDefault="00433238" w:rsidP="00273D5E">
      <w:pPr>
        <w:pStyle w:val="BulletLevel1"/>
      </w:pPr>
      <w:r w:rsidRPr="00CC0BF1">
        <w:t>Rail rehabilitation backlog will be treated part of the Master Plan process of identifying and prioritising interventions. See Section 6.5 for further details.</w:t>
      </w:r>
    </w:p>
    <w:p w:rsidR="00433238" w:rsidRPr="00CC0BF1" w:rsidRDefault="00433238" w:rsidP="00045287">
      <w:pPr>
        <w:pStyle w:val="Hdg2"/>
      </w:pPr>
      <w:bookmarkStart w:id="8160" w:name="_Toc413056081"/>
      <w:r w:rsidRPr="00CC0BF1">
        <w:t>Available Expenditure for Investment</w:t>
      </w:r>
      <w:bookmarkEnd w:id="8160"/>
    </w:p>
    <w:p w:rsidR="00433238" w:rsidRPr="00271876" w:rsidRDefault="00433238" w:rsidP="00A4081F">
      <w:pPr>
        <w:pStyle w:val="NumberedParas"/>
      </w:pPr>
      <w:r w:rsidRPr="00271876">
        <w:t>Based on the methodology described in section 11.1 and on the committed expenditures estimated in section 11.2, the total available budget for investments in the transport sector is estimated, for the timelines 2020 and 2030.</w:t>
      </w:r>
    </w:p>
    <w:p w:rsidR="00433238" w:rsidRPr="00271876" w:rsidRDefault="00433238" w:rsidP="00A4081F">
      <w:pPr>
        <w:pStyle w:val="NumberedParas"/>
      </w:pPr>
      <w:r w:rsidRPr="00271876">
        <w:t>Following consultations with MT, an assumed distribution on modes was established, considering the provisions of the 2014-2020 Operational Programme for Transport. These were extrapolate</w:t>
      </w:r>
      <w:r>
        <w:t>d</w:t>
      </w:r>
      <w:r w:rsidRPr="00271876">
        <w:t xml:space="preserve"> further to the 2021-2030 period. The assumed distribution on modes and specific investments for year 2020 is:</w:t>
      </w:r>
    </w:p>
    <w:p w:rsidR="00433238" w:rsidRPr="00271876" w:rsidRDefault="00433238" w:rsidP="00273D5E">
      <w:pPr>
        <w:pStyle w:val="BulletLevel1"/>
      </w:pPr>
      <w:r w:rsidRPr="00271876">
        <w:t>51% - road transport</w:t>
      </w:r>
    </w:p>
    <w:p w:rsidR="00433238" w:rsidRPr="00271876" w:rsidRDefault="00433238" w:rsidP="005E50B3">
      <w:pPr>
        <w:pStyle w:val="ListParagraph"/>
        <w:numPr>
          <w:ilvl w:val="1"/>
          <w:numId w:val="19"/>
        </w:numPr>
        <w:ind w:left="1931"/>
        <w:rPr>
          <w:rFonts w:eastAsia="Arial"/>
          <w:sz w:val="22"/>
          <w:szCs w:val="22"/>
        </w:rPr>
      </w:pPr>
      <w:r w:rsidRPr="00271876">
        <w:rPr>
          <w:rFonts w:eastAsia="Arial"/>
          <w:sz w:val="22"/>
          <w:szCs w:val="22"/>
        </w:rPr>
        <w:t>90% -  construction of new motorways and expressways</w:t>
      </w:r>
    </w:p>
    <w:p w:rsidR="00433238" w:rsidRPr="00271876" w:rsidRDefault="00433238" w:rsidP="005E50B3">
      <w:pPr>
        <w:pStyle w:val="ListParagraph"/>
        <w:numPr>
          <w:ilvl w:val="1"/>
          <w:numId w:val="19"/>
        </w:numPr>
        <w:ind w:left="1931"/>
        <w:rPr>
          <w:rFonts w:eastAsia="Arial"/>
          <w:sz w:val="22"/>
          <w:szCs w:val="22"/>
        </w:rPr>
      </w:pPr>
      <w:r w:rsidRPr="00271876">
        <w:rPr>
          <w:rFonts w:eastAsia="Arial"/>
          <w:sz w:val="22"/>
          <w:szCs w:val="22"/>
        </w:rPr>
        <w:t>2% - safety interventions</w:t>
      </w:r>
    </w:p>
    <w:p w:rsidR="00433238" w:rsidRPr="00271876" w:rsidRDefault="00433238" w:rsidP="005E50B3">
      <w:pPr>
        <w:pStyle w:val="ListParagraph"/>
        <w:numPr>
          <w:ilvl w:val="1"/>
          <w:numId w:val="19"/>
        </w:numPr>
        <w:ind w:left="1931"/>
        <w:rPr>
          <w:rFonts w:eastAsia="Arial"/>
          <w:sz w:val="22"/>
          <w:szCs w:val="22"/>
        </w:rPr>
      </w:pPr>
      <w:r w:rsidRPr="00271876">
        <w:rPr>
          <w:rFonts w:eastAsia="Arial"/>
          <w:sz w:val="22"/>
          <w:szCs w:val="22"/>
        </w:rPr>
        <w:t>3% - construction of bypasses</w:t>
      </w:r>
    </w:p>
    <w:p w:rsidR="00433238" w:rsidRPr="00271876" w:rsidRDefault="00433238" w:rsidP="005E50B3">
      <w:pPr>
        <w:pStyle w:val="ListParagraph"/>
        <w:numPr>
          <w:ilvl w:val="1"/>
          <w:numId w:val="19"/>
        </w:numPr>
        <w:ind w:left="1931"/>
        <w:rPr>
          <w:rFonts w:eastAsia="Arial"/>
          <w:sz w:val="22"/>
          <w:szCs w:val="22"/>
        </w:rPr>
      </w:pPr>
      <w:r w:rsidRPr="00271876">
        <w:rPr>
          <w:rFonts w:eastAsia="Arial"/>
          <w:sz w:val="22"/>
          <w:szCs w:val="22"/>
        </w:rPr>
        <w:t>5% - modernisation of national roads</w:t>
      </w:r>
    </w:p>
    <w:p w:rsidR="00433238" w:rsidRPr="00271876" w:rsidRDefault="00433238" w:rsidP="00273D5E">
      <w:pPr>
        <w:pStyle w:val="BulletLevel1"/>
      </w:pPr>
      <w:r w:rsidRPr="00271876">
        <w:t xml:space="preserve">44% - </w:t>
      </w:r>
      <w:r w:rsidRPr="004E2855">
        <w:t>rail</w:t>
      </w:r>
      <w:r w:rsidRPr="00271876">
        <w:t xml:space="preserve"> transport</w:t>
      </w:r>
    </w:p>
    <w:p w:rsidR="00433238" w:rsidRPr="00271876" w:rsidRDefault="00433238" w:rsidP="00273D5E">
      <w:pPr>
        <w:pStyle w:val="BulletLevel1"/>
      </w:pPr>
      <w:r w:rsidRPr="00271876">
        <w:t>5% - investments in ports and waterways, aviation and intermodal, out of which:</w:t>
      </w:r>
    </w:p>
    <w:p w:rsidR="00433238" w:rsidRPr="00271876" w:rsidRDefault="00433238" w:rsidP="005E50B3">
      <w:pPr>
        <w:pStyle w:val="ListParagraph"/>
        <w:numPr>
          <w:ilvl w:val="0"/>
          <w:numId w:val="18"/>
        </w:numPr>
        <w:rPr>
          <w:rFonts w:eastAsia="Arial"/>
          <w:sz w:val="22"/>
          <w:szCs w:val="22"/>
        </w:rPr>
      </w:pPr>
      <w:r w:rsidRPr="00271876">
        <w:rPr>
          <w:rFonts w:eastAsia="Arial"/>
          <w:sz w:val="22"/>
          <w:szCs w:val="22"/>
        </w:rPr>
        <w:t>66% - ports and waterways</w:t>
      </w:r>
    </w:p>
    <w:p w:rsidR="00433238" w:rsidRPr="00271876" w:rsidRDefault="00433238" w:rsidP="005E50B3">
      <w:pPr>
        <w:pStyle w:val="ListParagraph"/>
        <w:numPr>
          <w:ilvl w:val="0"/>
          <w:numId w:val="18"/>
        </w:numPr>
        <w:rPr>
          <w:rFonts w:eastAsia="Arial"/>
          <w:sz w:val="22"/>
          <w:szCs w:val="22"/>
        </w:rPr>
      </w:pPr>
      <w:r w:rsidRPr="00271876">
        <w:rPr>
          <w:rFonts w:eastAsia="Arial"/>
          <w:sz w:val="22"/>
          <w:szCs w:val="22"/>
        </w:rPr>
        <w:t>21% - aviation</w:t>
      </w:r>
    </w:p>
    <w:p w:rsidR="00433238" w:rsidRPr="00271876" w:rsidRDefault="00433238" w:rsidP="005E50B3">
      <w:pPr>
        <w:pStyle w:val="ListParagraph"/>
        <w:numPr>
          <w:ilvl w:val="0"/>
          <w:numId w:val="18"/>
        </w:numPr>
        <w:rPr>
          <w:sz w:val="22"/>
          <w:szCs w:val="22"/>
        </w:rPr>
      </w:pPr>
      <w:r w:rsidRPr="00271876">
        <w:rPr>
          <w:rFonts w:eastAsia="Arial"/>
          <w:sz w:val="22"/>
          <w:szCs w:val="22"/>
        </w:rPr>
        <w:t>13% - intermodal transport</w:t>
      </w:r>
    </w:p>
    <w:p w:rsidR="00433238" w:rsidRPr="00271876" w:rsidRDefault="00433238" w:rsidP="00A4081F">
      <w:pPr>
        <w:pStyle w:val="NumberedParas"/>
      </w:pPr>
      <w:r w:rsidRPr="00271876">
        <w:t xml:space="preserve">The headline figures of the financial plan are presented in </w:t>
      </w:r>
      <w:r w:rsidR="00DE7B7A">
        <w:t>Table 9.</w:t>
      </w:r>
      <w:r w:rsidRPr="00271876">
        <w:t xml:space="preserve">3 and illustrated in </w:t>
      </w:r>
      <w:r w:rsidR="00DE7B7A">
        <w:t>Figure 9.</w:t>
      </w:r>
      <w:r w:rsidRPr="00271876">
        <w:t>1.</w:t>
      </w:r>
    </w:p>
    <w:p w:rsidR="00F923DC" w:rsidRDefault="00F923DC">
      <w:pPr>
        <w:rPr>
          <w:rFonts w:cs="Arial"/>
          <w:b/>
          <w:sz w:val="22"/>
        </w:rPr>
        <w:sectPr w:rsidR="00F923DC" w:rsidSect="00933C17">
          <w:headerReference w:type="default" r:id="rId334"/>
          <w:pgSz w:w="11907" w:h="16840" w:code="9"/>
          <w:pgMar w:top="1418" w:right="709" w:bottom="1418" w:left="907" w:header="357" w:footer="567" w:gutter="0"/>
          <w:cols w:space="187"/>
          <w:docGrid w:linePitch="360"/>
        </w:sectPr>
      </w:pPr>
    </w:p>
    <w:p w:rsidR="005C5E52" w:rsidRDefault="00DE7B7A" w:rsidP="00F923DC">
      <w:pPr>
        <w:spacing w:before="120" w:after="120" w:line="276" w:lineRule="auto"/>
        <w:rPr>
          <w:rFonts w:cs="Arial"/>
          <w:b/>
          <w:sz w:val="22"/>
        </w:rPr>
      </w:pPr>
      <w:r>
        <w:rPr>
          <w:rFonts w:cs="Arial"/>
          <w:b/>
          <w:sz w:val="22"/>
        </w:rPr>
        <w:t>Table 9.</w:t>
      </w:r>
      <w:r w:rsidR="00433238" w:rsidRPr="00271876">
        <w:rPr>
          <w:rFonts w:cs="Arial"/>
          <w:b/>
          <w:sz w:val="22"/>
        </w:rPr>
        <w:t>3 Distribution of expenditures in the transport sector for 2014-2020 and 2021-2030</w:t>
      </w:r>
      <w:r w:rsidR="00F923DC">
        <w:rPr>
          <w:rFonts w:cs="Arial"/>
          <w:b/>
          <w:sz w:val="22"/>
        </w:rPr>
        <w:t xml:space="preserve"> </w:t>
      </w:r>
      <w:r w:rsidR="00433238" w:rsidRPr="00271876">
        <w:rPr>
          <w:rFonts w:cs="Arial"/>
          <w:b/>
          <w:sz w:val="22"/>
        </w:rPr>
        <w:t>(</w:t>
      </w:r>
      <w:r w:rsidR="00F923DC">
        <w:rPr>
          <w:rFonts w:cs="Arial"/>
          <w:b/>
          <w:sz w:val="22"/>
        </w:rPr>
        <w:t>mill</w:t>
      </w:r>
      <w:r w:rsidR="00433238" w:rsidRPr="00271876">
        <w:rPr>
          <w:rFonts w:cs="Arial"/>
          <w:b/>
          <w:sz w:val="22"/>
        </w:rPr>
        <w:t xml:space="preserve"> EUR, 2014 fixed prices)</w:t>
      </w:r>
    </w:p>
    <w:tbl>
      <w:tblPr>
        <w:tblW w:w="5000" w:type="pct"/>
        <w:tblLook w:val="04A0" w:firstRow="1" w:lastRow="0" w:firstColumn="1" w:lastColumn="0" w:noHBand="0" w:noVBand="1"/>
      </w:tblPr>
      <w:tblGrid>
        <w:gridCol w:w="5460"/>
        <w:gridCol w:w="970"/>
        <w:gridCol w:w="1382"/>
        <w:gridCol w:w="279"/>
        <w:gridCol w:w="978"/>
        <w:gridCol w:w="882"/>
        <w:gridCol w:w="279"/>
        <w:gridCol w:w="978"/>
        <w:gridCol w:w="882"/>
        <w:gridCol w:w="279"/>
        <w:gridCol w:w="978"/>
        <w:gridCol w:w="873"/>
      </w:tblGrid>
      <w:tr w:rsidR="005C5E52" w:rsidRPr="0076579A" w:rsidTr="000A6CA6">
        <w:trPr>
          <w:trHeight w:hRule="exact" w:val="397"/>
        </w:trPr>
        <w:tc>
          <w:tcPr>
            <w:tcW w:w="1920"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341"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486"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654"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5C5E52" w:rsidRPr="0076579A" w:rsidRDefault="005C5E52" w:rsidP="000A6CA6">
            <w:pPr>
              <w:jc w:val="center"/>
              <w:rPr>
                <w:rFonts w:cs="Arial"/>
                <w:b/>
                <w:bCs/>
                <w:sz w:val="22"/>
                <w:szCs w:val="22"/>
                <w:lang w:val="ro-RO"/>
              </w:rPr>
            </w:pPr>
            <w:r w:rsidRPr="0076579A">
              <w:rPr>
                <w:rFonts w:cs="Arial"/>
                <w:b/>
                <w:bCs/>
                <w:sz w:val="22"/>
                <w:szCs w:val="22"/>
                <w:lang w:val="ro-RO"/>
              </w:rPr>
              <w:t>2014-2020</w:t>
            </w:r>
          </w:p>
        </w:tc>
        <w:tc>
          <w:tcPr>
            <w:tcW w:w="98"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654"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5C5E52" w:rsidRPr="0076579A" w:rsidRDefault="005C5E52" w:rsidP="000A6CA6">
            <w:pPr>
              <w:jc w:val="center"/>
              <w:rPr>
                <w:rFonts w:cs="Arial"/>
                <w:b/>
                <w:bCs/>
                <w:sz w:val="22"/>
                <w:szCs w:val="22"/>
                <w:lang w:val="ro-RO"/>
              </w:rPr>
            </w:pPr>
            <w:r w:rsidRPr="0076579A">
              <w:rPr>
                <w:rFonts w:cs="Arial"/>
                <w:b/>
                <w:bCs/>
                <w:sz w:val="22"/>
                <w:szCs w:val="22"/>
                <w:lang w:val="ro-RO"/>
              </w:rPr>
              <w:t>2021-2030</w:t>
            </w:r>
          </w:p>
        </w:tc>
        <w:tc>
          <w:tcPr>
            <w:tcW w:w="98" w:type="pct"/>
            <w:tcBorders>
              <w:top w:val="nil"/>
              <w:left w:val="nil"/>
              <w:bottom w:val="nil"/>
              <w:right w:val="nil"/>
            </w:tcBorders>
            <w:shd w:val="clear" w:color="000000" w:fill="FFFFFF"/>
            <w:noWrap/>
            <w:vAlign w:val="center"/>
            <w:hideMark/>
          </w:tcPr>
          <w:p w:rsidR="005C5E52" w:rsidRPr="0076579A" w:rsidRDefault="005C5E52" w:rsidP="000A6CA6">
            <w:pPr>
              <w:rPr>
                <w:rFonts w:cs="Arial"/>
                <w:color w:val="000000"/>
                <w:sz w:val="22"/>
                <w:szCs w:val="22"/>
                <w:lang w:val="ro-RO"/>
              </w:rPr>
            </w:pPr>
            <w:r w:rsidRPr="0076579A">
              <w:rPr>
                <w:rFonts w:cs="Arial"/>
                <w:color w:val="000000"/>
                <w:sz w:val="22"/>
                <w:szCs w:val="22"/>
                <w:lang w:val="ro-RO"/>
              </w:rPr>
              <w:t> </w:t>
            </w:r>
          </w:p>
        </w:tc>
        <w:tc>
          <w:tcPr>
            <w:tcW w:w="651"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5C5E52" w:rsidRPr="0076579A" w:rsidRDefault="005C5E52" w:rsidP="000A6CA6">
            <w:pPr>
              <w:jc w:val="center"/>
              <w:rPr>
                <w:rFonts w:cs="Arial"/>
                <w:b/>
                <w:bCs/>
                <w:sz w:val="22"/>
                <w:szCs w:val="22"/>
                <w:lang w:val="ro-RO"/>
              </w:rPr>
            </w:pPr>
            <w:r w:rsidRPr="0076579A">
              <w:rPr>
                <w:rFonts w:cs="Arial"/>
                <w:b/>
                <w:bCs/>
                <w:sz w:val="22"/>
                <w:szCs w:val="22"/>
                <w:lang w:val="ro-RO"/>
              </w:rPr>
              <w:t>2014-2030</w:t>
            </w:r>
          </w:p>
        </w:tc>
      </w:tr>
      <w:tr w:rsidR="00CD62A3" w:rsidRPr="0076579A" w:rsidTr="000A6CA6">
        <w:trPr>
          <w:trHeight w:hRule="exact" w:val="397"/>
        </w:trPr>
        <w:tc>
          <w:tcPr>
            <w:tcW w:w="1920" w:type="pct"/>
            <w:tcBorders>
              <w:top w:val="single" w:sz="8" w:space="0" w:color="auto"/>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2% from GDP available for the transport sector</w:t>
            </w:r>
          </w:p>
        </w:tc>
        <w:tc>
          <w:tcPr>
            <w:tcW w:w="341" w:type="pct"/>
            <w:tcBorders>
              <w:top w:val="single" w:sz="8" w:space="0" w:color="auto"/>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A</w:t>
            </w:r>
          </w:p>
        </w:tc>
        <w:tc>
          <w:tcPr>
            <w:tcW w:w="486" w:type="pct"/>
            <w:tcBorders>
              <w:top w:val="single" w:sz="8" w:space="0" w:color="auto"/>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22,599</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43,216</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65,815</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color w:val="000000"/>
                <w:sz w:val="22"/>
                <w:szCs w:val="22"/>
                <w:lang w:val="ro-RO"/>
              </w:rPr>
            </w:pPr>
            <w:r w:rsidRPr="00F923DC">
              <w:rPr>
                <w:rFonts w:cs="Arial"/>
                <w:color w:val="000000"/>
                <w:sz w:val="22"/>
                <w:szCs w:val="22"/>
                <w:lang w:val="en-US"/>
              </w:rPr>
              <w:t>Maintenance and lifecycle costs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B1</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7,260</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32.1%</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20,650</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47.8%</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27,910</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42.4%</w:t>
            </w:r>
          </w:p>
        </w:tc>
      </w:tr>
      <w:tr w:rsidR="00CD62A3" w:rsidRPr="0076579A" w:rsidTr="000A6CA6">
        <w:trPr>
          <w:trHeight w:hRule="exact" w:val="450"/>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color w:val="000000"/>
                <w:sz w:val="22"/>
                <w:szCs w:val="22"/>
                <w:lang w:val="ro-RO"/>
              </w:rPr>
            </w:pPr>
            <w:r w:rsidRPr="00F923DC">
              <w:rPr>
                <w:rFonts w:cs="Arial"/>
                <w:color w:val="000000"/>
                <w:sz w:val="22"/>
                <w:szCs w:val="22"/>
                <w:lang w:val="en-US"/>
              </w:rPr>
              <w:t>Rehabilitation works for the viable road network</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B2</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4,578</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20.3%</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0</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0.0%</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4,578</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7.0%</w:t>
            </w:r>
          </w:p>
        </w:tc>
      </w:tr>
      <w:tr w:rsidR="00CD62A3" w:rsidRPr="0076579A" w:rsidTr="000A6CA6">
        <w:trPr>
          <w:trHeight w:hRule="exact" w:val="612"/>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Available Public Funds for investments, including EU and National Contribution, from which</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C</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=A-B1-B2</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10,761</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47.6%</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22,566</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52.2%</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33,327</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50.6%</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color w:val="000000"/>
                <w:sz w:val="22"/>
                <w:szCs w:val="22"/>
                <w:lang w:val="ro-RO"/>
              </w:rPr>
            </w:pPr>
            <w:r w:rsidRPr="00F923DC">
              <w:rPr>
                <w:rFonts w:cs="Arial"/>
                <w:color w:val="000000"/>
                <w:sz w:val="22"/>
                <w:szCs w:val="22"/>
                <w:lang w:val="en-US"/>
              </w:rPr>
              <w:t>EU Contribution</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C1</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6,332</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9,046</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15,379</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color w:val="000000"/>
                <w:sz w:val="22"/>
                <w:szCs w:val="22"/>
                <w:lang w:val="ro-RO"/>
              </w:rPr>
            </w:pPr>
            <w:r w:rsidRPr="00F923DC">
              <w:rPr>
                <w:rFonts w:cs="Arial"/>
                <w:color w:val="000000"/>
                <w:sz w:val="22"/>
                <w:szCs w:val="22"/>
                <w:lang w:val="en-US"/>
              </w:rPr>
              <w:t>National Co-financing</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C2</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1,923</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2,747</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4,669</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r>
      <w:tr w:rsidR="00CD62A3" w:rsidRPr="0076579A" w:rsidTr="000A6CA6">
        <w:trPr>
          <w:trHeight w:hRule="exact" w:val="57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Sustainability indicator/Net National Funds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D</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=C-C1-C2</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2,506</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10,773</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13,279</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color w:val="000000"/>
                <w:sz w:val="22"/>
                <w:szCs w:val="22"/>
                <w:lang w:val="ro-RO"/>
              </w:rPr>
            </w:pPr>
            <w:r w:rsidRPr="00F923DC">
              <w:rPr>
                <w:rFonts w:cs="Arial"/>
                <w:color w:val="000000"/>
                <w:sz w:val="22"/>
                <w:szCs w:val="22"/>
                <w:lang w:val="en-US"/>
              </w:rPr>
              <w:t>Phased projects and Bucharest Metro</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E</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color w:val="000000"/>
                <w:sz w:val="22"/>
                <w:szCs w:val="22"/>
                <w:lang w:val="ro-RO"/>
              </w:rPr>
            </w:pPr>
            <w:r w:rsidRPr="0076579A">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1,911</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3,200</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5,111</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r>
      <w:tr w:rsidR="00CD62A3" w:rsidRPr="0076579A" w:rsidTr="000A6CA6">
        <w:trPr>
          <w:trHeight w:hRule="exact" w:val="545"/>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Available for GTMP projects (total inc. EU + national)</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F</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=C-E</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8,850</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39.2%</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19,366</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44.8%</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28,216</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42.9%</w:t>
            </w:r>
          </w:p>
        </w:tc>
      </w:tr>
      <w:tr w:rsidR="00CD62A3" w:rsidRPr="0076579A" w:rsidTr="000A6CA6">
        <w:trPr>
          <w:trHeight w:hRule="exact" w:val="397"/>
        </w:trPr>
        <w:tc>
          <w:tcPr>
            <w:tcW w:w="1920" w:type="pct"/>
            <w:tcBorders>
              <w:top w:val="nil"/>
              <w:left w:val="single" w:sz="8" w:space="0" w:color="auto"/>
              <w:bottom w:val="single" w:sz="8"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+ 30% Overcommitment</w:t>
            </w:r>
          </w:p>
        </w:tc>
        <w:tc>
          <w:tcPr>
            <w:tcW w:w="341" w:type="pct"/>
            <w:tcBorders>
              <w:top w:val="nil"/>
              <w:left w:val="nil"/>
              <w:bottom w:val="single" w:sz="8"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G</w:t>
            </w:r>
          </w:p>
        </w:tc>
        <w:tc>
          <w:tcPr>
            <w:tcW w:w="486" w:type="pct"/>
            <w:tcBorders>
              <w:top w:val="nil"/>
              <w:left w:val="nil"/>
              <w:bottom w:val="single" w:sz="8"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=F*1.3</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11,505</w:t>
            </w:r>
          </w:p>
        </w:tc>
        <w:tc>
          <w:tcPr>
            <w:tcW w:w="310"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25,176</w:t>
            </w:r>
          </w:p>
        </w:tc>
        <w:tc>
          <w:tcPr>
            <w:tcW w:w="310"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36,680</w:t>
            </w:r>
          </w:p>
        </w:tc>
        <w:tc>
          <w:tcPr>
            <w:tcW w:w="307"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r>
      <w:tr w:rsidR="00CD62A3" w:rsidRPr="0076579A" w:rsidTr="000A6CA6">
        <w:trPr>
          <w:trHeight w:hRule="exact" w:val="397"/>
        </w:trPr>
        <w:tc>
          <w:tcPr>
            <w:tcW w:w="1920" w:type="pct"/>
            <w:tcBorders>
              <w:top w:val="nil"/>
              <w:left w:val="nil"/>
              <w:bottom w:val="nil"/>
              <w:right w:val="nil"/>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 </w:t>
            </w:r>
          </w:p>
        </w:tc>
        <w:tc>
          <w:tcPr>
            <w:tcW w:w="341" w:type="pct"/>
            <w:tcBorders>
              <w:top w:val="nil"/>
              <w:left w:val="nil"/>
              <w:bottom w:val="nil"/>
              <w:right w:val="nil"/>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nil"/>
              <w:right w:val="nil"/>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nil"/>
              <w:bottom w:val="nil"/>
              <w:right w:val="nil"/>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310" w:type="pct"/>
            <w:tcBorders>
              <w:top w:val="nil"/>
              <w:left w:val="nil"/>
              <w:bottom w:val="nil"/>
              <w:right w:val="nil"/>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nil"/>
              <w:bottom w:val="nil"/>
              <w:right w:val="nil"/>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310" w:type="pct"/>
            <w:tcBorders>
              <w:top w:val="nil"/>
              <w:left w:val="nil"/>
              <w:bottom w:val="nil"/>
              <w:right w:val="nil"/>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nil"/>
              <w:bottom w:val="nil"/>
              <w:right w:val="nil"/>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 </w:t>
            </w:r>
          </w:p>
        </w:tc>
        <w:tc>
          <w:tcPr>
            <w:tcW w:w="307" w:type="pct"/>
            <w:tcBorders>
              <w:top w:val="nil"/>
              <w:left w:val="nil"/>
              <w:bottom w:val="nil"/>
              <w:right w:val="nil"/>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 </w:t>
            </w:r>
          </w:p>
        </w:tc>
      </w:tr>
      <w:tr w:rsidR="00CD62A3" w:rsidRPr="0076579A" w:rsidTr="000A6CA6">
        <w:trPr>
          <w:trHeight w:hRule="exact" w:val="397"/>
        </w:trPr>
        <w:tc>
          <w:tcPr>
            <w:tcW w:w="1920" w:type="pct"/>
            <w:tcBorders>
              <w:top w:val="single" w:sz="8" w:space="0" w:color="auto"/>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Roads</w:t>
            </w:r>
          </w:p>
        </w:tc>
        <w:tc>
          <w:tcPr>
            <w:tcW w:w="341" w:type="pct"/>
            <w:tcBorders>
              <w:top w:val="single" w:sz="8" w:space="0" w:color="auto"/>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single" w:sz="8" w:space="0" w:color="auto"/>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5,867</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51%</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12,840</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51%</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18,707</w:t>
            </w:r>
          </w:p>
        </w:tc>
        <w:tc>
          <w:tcPr>
            <w:tcW w:w="307" w:type="pct"/>
            <w:tcBorders>
              <w:top w:val="single" w:sz="8" w:space="0" w:color="auto"/>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51%</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auto" w:fill="auto"/>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Construction of Motorways and Expressways</w:t>
            </w:r>
          </w:p>
        </w:tc>
        <w:tc>
          <w:tcPr>
            <w:tcW w:w="341" w:type="pct"/>
            <w:tcBorders>
              <w:top w:val="nil"/>
              <w:left w:val="nil"/>
              <w:bottom w:val="single" w:sz="4" w:space="0" w:color="auto"/>
              <w:right w:val="single" w:sz="4" w:space="0" w:color="auto"/>
            </w:tcBorders>
            <w:shd w:val="clear" w:color="auto" w:fill="auto"/>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auto" w:fill="auto"/>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auto" w:fill="auto"/>
            <w:noWrap/>
            <w:vAlign w:val="center"/>
            <w:hideMark/>
          </w:tcPr>
          <w:p w:rsidR="00CD62A3" w:rsidRPr="0076579A" w:rsidRDefault="00CD62A3" w:rsidP="000A6CA6">
            <w:pPr>
              <w:rPr>
                <w:rFonts w:cs="Arial"/>
                <w:color w:val="000000"/>
                <w:sz w:val="22"/>
                <w:szCs w:val="22"/>
                <w:lang w:val="ro-RO"/>
              </w:rPr>
            </w:pPr>
          </w:p>
        </w:tc>
        <w:tc>
          <w:tcPr>
            <w:tcW w:w="344" w:type="pct"/>
            <w:tcBorders>
              <w:top w:val="nil"/>
              <w:left w:val="single" w:sz="8" w:space="0" w:color="auto"/>
              <w:bottom w:val="single" w:sz="4" w:space="0" w:color="auto"/>
              <w:right w:val="single" w:sz="4" w:space="0" w:color="auto"/>
            </w:tcBorders>
            <w:shd w:val="clear" w:color="auto" w:fill="auto"/>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5,281</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90%</w:t>
            </w:r>
          </w:p>
        </w:tc>
        <w:tc>
          <w:tcPr>
            <w:tcW w:w="98" w:type="pct"/>
            <w:tcBorders>
              <w:top w:val="nil"/>
              <w:left w:val="nil"/>
              <w:bottom w:val="nil"/>
              <w:right w:val="nil"/>
            </w:tcBorders>
            <w:shd w:val="clear" w:color="auto" w:fill="auto"/>
            <w:noWrap/>
            <w:vAlign w:val="center"/>
            <w:hideMark/>
          </w:tcPr>
          <w:p w:rsidR="00CD62A3" w:rsidRPr="00CD62A3" w:rsidRDefault="00CD62A3">
            <w:pPr>
              <w:rPr>
                <w:rFonts w:cs="Arial"/>
                <w:color w:val="000000"/>
                <w:sz w:val="22"/>
                <w:szCs w:val="22"/>
              </w:rPr>
            </w:pPr>
          </w:p>
        </w:tc>
        <w:tc>
          <w:tcPr>
            <w:tcW w:w="344" w:type="pct"/>
            <w:tcBorders>
              <w:top w:val="nil"/>
              <w:left w:val="single" w:sz="8" w:space="0" w:color="auto"/>
              <w:bottom w:val="single" w:sz="4" w:space="0" w:color="auto"/>
              <w:right w:val="single" w:sz="4" w:space="0" w:color="auto"/>
            </w:tcBorders>
            <w:shd w:val="clear" w:color="auto" w:fill="auto"/>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11,556</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90%</w:t>
            </w:r>
          </w:p>
        </w:tc>
        <w:tc>
          <w:tcPr>
            <w:tcW w:w="98" w:type="pct"/>
            <w:tcBorders>
              <w:top w:val="nil"/>
              <w:left w:val="nil"/>
              <w:bottom w:val="nil"/>
              <w:right w:val="nil"/>
            </w:tcBorders>
            <w:shd w:val="clear" w:color="auto" w:fill="auto"/>
            <w:noWrap/>
            <w:vAlign w:val="center"/>
            <w:hideMark/>
          </w:tcPr>
          <w:p w:rsidR="00CD62A3" w:rsidRPr="00CD62A3" w:rsidRDefault="00CD62A3">
            <w:pPr>
              <w:rPr>
                <w:rFonts w:cs="Arial"/>
                <w:color w:val="000000"/>
                <w:sz w:val="22"/>
                <w:szCs w:val="22"/>
              </w:rPr>
            </w:pP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16,836</w:t>
            </w:r>
          </w:p>
        </w:tc>
        <w:tc>
          <w:tcPr>
            <w:tcW w:w="307"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90%</w:t>
            </w:r>
          </w:p>
        </w:tc>
      </w:tr>
      <w:tr w:rsidR="00CD62A3" w:rsidRPr="0076579A" w:rsidTr="000A6CA6">
        <w:trPr>
          <w:trHeight w:hRule="exact" w:val="419"/>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Safety Interventions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100</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50</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0%</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150</w:t>
            </w:r>
          </w:p>
        </w:tc>
        <w:tc>
          <w:tcPr>
            <w:tcW w:w="307"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Construction of Bypasses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232</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834</w:t>
            </w:r>
          </w:p>
        </w:tc>
        <w:tc>
          <w:tcPr>
            <w:tcW w:w="310"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6%</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1,066</w:t>
            </w:r>
          </w:p>
        </w:tc>
        <w:tc>
          <w:tcPr>
            <w:tcW w:w="307" w:type="pct"/>
            <w:tcBorders>
              <w:top w:val="nil"/>
              <w:left w:val="nil"/>
              <w:bottom w:val="single" w:sz="4"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6%</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Modernisation of National Roads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255</w:t>
            </w:r>
          </w:p>
        </w:tc>
        <w:tc>
          <w:tcPr>
            <w:tcW w:w="310" w:type="pct"/>
            <w:tcBorders>
              <w:top w:val="nil"/>
              <w:left w:val="nil"/>
              <w:bottom w:val="single" w:sz="8" w:space="0" w:color="auto"/>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400</w:t>
            </w:r>
          </w:p>
        </w:tc>
        <w:tc>
          <w:tcPr>
            <w:tcW w:w="310" w:type="pct"/>
            <w:tcBorders>
              <w:top w:val="nil"/>
              <w:left w:val="nil"/>
              <w:bottom w:val="nil"/>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3%</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655</w:t>
            </w:r>
          </w:p>
        </w:tc>
        <w:tc>
          <w:tcPr>
            <w:tcW w:w="307" w:type="pct"/>
            <w:tcBorders>
              <w:top w:val="nil"/>
              <w:left w:val="nil"/>
              <w:bottom w:val="nil"/>
              <w:right w:val="single" w:sz="8" w:space="0" w:color="auto"/>
            </w:tcBorders>
            <w:shd w:val="clear" w:color="auto" w:fill="auto"/>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4%</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Rail</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5,062</w:t>
            </w:r>
          </w:p>
        </w:tc>
        <w:tc>
          <w:tcPr>
            <w:tcW w:w="310" w:type="pct"/>
            <w:tcBorders>
              <w:top w:val="nil"/>
              <w:left w:val="nil"/>
              <w:bottom w:val="nil"/>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44%</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11,077</w:t>
            </w:r>
          </w:p>
        </w:tc>
        <w:tc>
          <w:tcPr>
            <w:tcW w:w="310" w:type="pct"/>
            <w:tcBorders>
              <w:top w:val="single" w:sz="8" w:space="0" w:color="auto"/>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44%</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16,139</w:t>
            </w:r>
          </w:p>
        </w:tc>
        <w:tc>
          <w:tcPr>
            <w:tcW w:w="307" w:type="pct"/>
            <w:tcBorders>
              <w:top w:val="single" w:sz="8" w:space="0" w:color="auto"/>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44%</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rPr>
                <w:rFonts w:cs="Arial"/>
                <w:b/>
                <w:bCs/>
                <w:color w:val="000000"/>
                <w:sz w:val="22"/>
                <w:szCs w:val="22"/>
                <w:lang w:val="ro-RO"/>
              </w:rPr>
            </w:pPr>
            <w:r w:rsidRPr="00F923DC">
              <w:rPr>
                <w:rFonts w:cs="Arial"/>
                <w:b/>
                <w:bCs/>
                <w:color w:val="000000"/>
                <w:sz w:val="22"/>
                <w:szCs w:val="22"/>
                <w:lang w:val="en-US"/>
              </w:rPr>
              <w:t>IWT, Aviation, Intermodals</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575</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1,259</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1,834</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b/>
                <w:bCs/>
                <w:i/>
                <w:iCs/>
                <w:color w:val="000000"/>
                <w:sz w:val="22"/>
                <w:szCs w:val="22"/>
              </w:rPr>
            </w:pPr>
            <w:r w:rsidRPr="00CD62A3">
              <w:rPr>
                <w:rFonts w:cs="Arial"/>
                <w:b/>
                <w:bCs/>
                <w:i/>
                <w:iCs/>
                <w:color w:val="000000"/>
                <w:sz w:val="22"/>
                <w:szCs w:val="22"/>
              </w:rPr>
              <w:t>5%</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Ports, IWT</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324</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56%</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732</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66%</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1,056</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58%</w:t>
            </w:r>
          </w:p>
        </w:tc>
      </w:tr>
      <w:tr w:rsidR="00CD62A3" w:rsidRPr="0076579A" w:rsidTr="000A6CA6">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Aviation</w:t>
            </w:r>
          </w:p>
        </w:tc>
        <w:tc>
          <w:tcPr>
            <w:tcW w:w="341" w:type="pct"/>
            <w:tcBorders>
              <w:top w:val="nil"/>
              <w:left w:val="nil"/>
              <w:bottom w:val="single" w:sz="4"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188</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33%</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357</w:t>
            </w:r>
          </w:p>
        </w:tc>
        <w:tc>
          <w:tcPr>
            <w:tcW w:w="310"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28%</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545</w:t>
            </w:r>
          </w:p>
        </w:tc>
        <w:tc>
          <w:tcPr>
            <w:tcW w:w="307" w:type="pct"/>
            <w:tcBorders>
              <w:top w:val="nil"/>
              <w:left w:val="nil"/>
              <w:bottom w:val="single" w:sz="4"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30%</w:t>
            </w:r>
          </w:p>
        </w:tc>
      </w:tr>
      <w:tr w:rsidR="00CD62A3" w:rsidRPr="0076579A" w:rsidTr="000A6CA6">
        <w:trPr>
          <w:trHeight w:hRule="exact" w:val="397"/>
        </w:trPr>
        <w:tc>
          <w:tcPr>
            <w:tcW w:w="1920" w:type="pct"/>
            <w:tcBorders>
              <w:top w:val="nil"/>
              <w:left w:val="single" w:sz="8" w:space="0" w:color="auto"/>
              <w:bottom w:val="single" w:sz="8" w:space="0" w:color="auto"/>
              <w:right w:val="single" w:sz="4" w:space="0" w:color="auto"/>
            </w:tcBorders>
            <w:shd w:val="clear" w:color="000000" w:fill="FFFFFF"/>
            <w:vAlign w:val="center"/>
            <w:hideMark/>
          </w:tcPr>
          <w:p w:rsidR="00CD62A3" w:rsidRPr="0076579A" w:rsidRDefault="00CD62A3" w:rsidP="000A6CA6">
            <w:pPr>
              <w:jc w:val="right"/>
              <w:rPr>
                <w:rFonts w:cs="Arial"/>
                <w:color w:val="000000"/>
                <w:sz w:val="22"/>
                <w:szCs w:val="22"/>
                <w:lang w:val="ro-RO"/>
              </w:rPr>
            </w:pPr>
            <w:r w:rsidRPr="00F923DC">
              <w:rPr>
                <w:rFonts w:cs="Arial"/>
                <w:color w:val="000000"/>
                <w:sz w:val="22"/>
                <w:szCs w:val="22"/>
                <w:lang w:val="en-US"/>
              </w:rPr>
              <w:t>Intermodal</w:t>
            </w:r>
          </w:p>
        </w:tc>
        <w:tc>
          <w:tcPr>
            <w:tcW w:w="341" w:type="pct"/>
            <w:tcBorders>
              <w:top w:val="nil"/>
              <w:left w:val="nil"/>
              <w:bottom w:val="single" w:sz="8" w:space="0" w:color="auto"/>
              <w:right w:val="single" w:sz="4"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486" w:type="pct"/>
            <w:tcBorders>
              <w:top w:val="nil"/>
              <w:left w:val="nil"/>
              <w:bottom w:val="single" w:sz="8" w:space="0" w:color="auto"/>
              <w:right w:val="single" w:sz="8" w:space="0" w:color="auto"/>
            </w:tcBorders>
            <w:shd w:val="clear" w:color="000000" w:fill="FFFFFF"/>
            <w:vAlign w:val="center"/>
            <w:hideMark/>
          </w:tcPr>
          <w:p w:rsidR="00CD62A3" w:rsidRPr="0076579A" w:rsidRDefault="00CD62A3" w:rsidP="000A6CA6">
            <w:pPr>
              <w:jc w:val="center"/>
              <w:rPr>
                <w:rFonts w:cs="Arial"/>
                <w:b/>
                <w:bCs/>
                <w:color w:val="000000"/>
                <w:sz w:val="22"/>
                <w:szCs w:val="22"/>
                <w:lang w:val="ro-RO"/>
              </w:rPr>
            </w:pPr>
            <w:r w:rsidRPr="0076579A">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CD62A3" w:rsidRPr="0076579A" w:rsidRDefault="00CD62A3" w:rsidP="000A6CA6">
            <w:pPr>
              <w:rPr>
                <w:rFonts w:cs="Arial"/>
                <w:color w:val="000000"/>
                <w:sz w:val="22"/>
                <w:szCs w:val="22"/>
                <w:lang w:val="ro-RO"/>
              </w:rPr>
            </w:pPr>
            <w:r w:rsidRPr="0076579A">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63</w:t>
            </w:r>
          </w:p>
        </w:tc>
        <w:tc>
          <w:tcPr>
            <w:tcW w:w="310"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11%</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170</w:t>
            </w:r>
          </w:p>
        </w:tc>
        <w:tc>
          <w:tcPr>
            <w:tcW w:w="310"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14%</w:t>
            </w:r>
          </w:p>
        </w:tc>
        <w:tc>
          <w:tcPr>
            <w:tcW w:w="98" w:type="pct"/>
            <w:tcBorders>
              <w:top w:val="nil"/>
              <w:left w:val="nil"/>
              <w:bottom w:val="nil"/>
              <w:right w:val="nil"/>
            </w:tcBorders>
            <w:shd w:val="clear" w:color="000000" w:fill="FFFFFF"/>
            <w:noWrap/>
            <w:vAlign w:val="center"/>
            <w:hideMark/>
          </w:tcPr>
          <w:p w:rsidR="00CD62A3" w:rsidRPr="00CD62A3" w:rsidRDefault="00CD62A3">
            <w:pPr>
              <w:rPr>
                <w:rFonts w:cs="Arial"/>
                <w:color w:val="000000"/>
                <w:sz w:val="22"/>
                <w:szCs w:val="22"/>
              </w:rPr>
            </w:pPr>
            <w:r w:rsidRPr="00CD62A3">
              <w:rPr>
                <w:rFonts w:cs="Arial"/>
                <w:color w:val="000000"/>
                <w:sz w:val="22"/>
                <w:szCs w:val="22"/>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CD62A3" w:rsidRPr="00CD62A3" w:rsidRDefault="00CD62A3">
            <w:pPr>
              <w:jc w:val="center"/>
              <w:rPr>
                <w:rFonts w:cs="Arial"/>
                <w:b/>
                <w:bCs/>
                <w:color w:val="000000"/>
                <w:sz w:val="22"/>
                <w:szCs w:val="22"/>
              </w:rPr>
            </w:pPr>
            <w:r w:rsidRPr="00CD62A3">
              <w:rPr>
                <w:rFonts w:cs="Arial"/>
                <w:b/>
                <w:bCs/>
                <w:color w:val="000000"/>
                <w:sz w:val="22"/>
                <w:szCs w:val="22"/>
              </w:rPr>
              <w:t>233</w:t>
            </w:r>
          </w:p>
        </w:tc>
        <w:tc>
          <w:tcPr>
            <w:tcW w:w="307" w:type="pct"/>
            <w:tcBorders>
              <w:top w:val="nil"/>
              <w:left w:val="nil"/>
              <w:bottom w:val="single" w:sz="8" w:space="0" w:color="auto"/>
              <w:right w:val="single" w:sz="8" w:space="0" w:color="auto"/>
            </w:tcBorders>
            <w:shd w:val="clear" w:color="000000" w:fill="FFFFFF"/>
            <w:noWrap/>
            <w:vAlign w:val="center"/>
            <w:hideMark/>
          </w:tcPr>
          <w:p w:rsidR="00CD62A3" w:rsidRPr="00CD62A3" w:rsidRDefault="00CD62A3">
            <w:pPr>
              <w:jc w:val="center"/>
              <w:rPr>
                <w:rFonts w:cs="Arial"/>
                <w:color w:val="000000"/>
                <w:sz w:val="22"/>
                <w:szCs w:val="22"/>
              </w:rPr>
            </w:pPr>
            <w:r w:rsidRPr="00CD62A3">
              <w:rPr>
                <w:rFonts w:cs="Arial"/>
                <w:color w:val="000000"/>
                <w:sz w:val="22"/>
                <w:szCs w:val="22"/>
              </w:rPr>
              <w:t>13%</w:t>
            </w:r>
          </w:p>
        </w:tc>
      </w:tr>
    </w:tbl>
    <w:p w:rsidR="00433238" w:rsidRPr="00271876" w:rsidRDefault="00433238" w:rsidP="00433238">
      <w:pPr>
        <w:rPr>
          <w:i/>
        </w:rPr>
      </w:pPr>
      <w:r w:rsidRPr="00271876">
        <w:rPr>
          <w:i/>
        </w:rPr>
        <w:t>Source: AECOM GTMP Financial Plan</w:t>
      </w:r>
    </w:p>
    <w:p w:rsidR="00F923DC" w:rsidRDefault="00F923DC" w:rsidP="00433238">
      <w:pPr>
        <w:rPr>
          <w:rFonts w:cs="Arial"/>
          <w:b/>
          <w:sz w:val="22"/>
        </w:rPr>
        <w:sectPr w:rsidR="00F923DC" w:rsidSect="00F923DC">
          <w:pgSz w:w="16840" w:h="11907" w:orient="landscape" w:code="9"/>
          <w:pgMar w:top="907" w:right="1418" w:bottom="709" w:left="1418" w:header="357" w:footer="567" w:gutter="0"/>
          <w:cols w:space="187"/>
          <w:docGrid w:linePitch="360"/>
        </w:sectPr>
      </w:pPr>
    </w:p>
    <w:p w:rsidR="00433238" w:rsidRPr="00271876" w:rsidRDefault="00DE7B7A" w:rsidP="00433238">
      <w:pPr>
        <w:spacing w:before="120" w:after="120" w:line="276" w:lineRule="auto"/>
        <w:jc w:val="both"/>
        <w:rPr>
          <w:rFonts w:cs="Arial"/>
          <w:b/>
          <w:sz w:val="22"/>
        </w:rPr>
      </w:pPr>
      <w:r>
        <w:rPr>
          <w:rFonts w:cs="Arial"/>
          <w:b/>
          <w:sz w:val="22"/>
        </w:rPr>
        <w:t>Figure 9.</w:t>
      </w:r>
      <w:r w:rsidR="00433238" w:rsidRPr="00271876">
        <w:rPr>
          <w:rFonts w:cs="Arial"/>
          <w:b/>
          <w:sz w:val="22"/>
        </w:rPr>
        <w:t>1. Distribution of funds on expenditure categories and modes (billion EUR, 2014 fixed prices)</w:t>
      </w:r>
    </w:p>
    <w:p w:rsidR="00433238" w:rsidRPr="00271876" w:rsidRDefault="00CD62A3" w:rsidP="00433238">
      <w:r>
        <w:rPr>
          <w:noProof/>
          <w:lang w:val="ro-RO" w:eastAsia="ro-RO"/>
        </w:rPr>
        <w:drawing>
          <wp:inline distT="0" distB="0" distL="0" distR="0" wp14:anchorId="4D61CB5C" wp14:editId="3BC3730C">
            <wp:extent cx="6463862" cy="3310758"/>
            <wp:effectExtent l="0" t="0" r="13335" b="2349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p w:rsidR="00433238" w:rsidRPr="00271876" w:rsidRDefault="00433238" w:rsidP="00433238">
      <w:pPr>
        <w:rPr>
          <w:i/>
        </w:rPr>
      </w:pPr>
      <w:r w:rsidRPr="00271876">
        <w:rPr>
          <w:i/>
        </w:rPr>
        <w:t>Source: AECOM GTMP Financial Plan</w:t>
      </w:r>
    </w:p>
    <w:p w:rsidR="00433238" w:rsidRPr="00271876" w:rsidRDefault="00433238" w:rsidP="00433238"/>
    <w:p w:rsidR="00433238" w:rsidRPr="00271876" w:rsidRDefault="00433238" w:rsidP="00A4081F">
      <w:pPr>
        <w:pStyle w:val="NumberedParas"/>
      </w:pPr>
      <w:r w:rsidRPr="00271876">
        <w:t>Some key conclusions are included below:</w:t>
      </w:r>
    </w:p>
    <w:p w:rsidR="00433238" w:rsidRPr="00271876" w:rsidRDefault="00433238" w:rsidP="00273D5E">
      <w:pPr>
        <w:pStyle w:val="BulletLevel1"/>
      </w:pPr>
      <w:r w:rsidRPr="00271876">
        <w:t>Between 2014-2030, the committed expenditures for maintenance and treatment of rehabilitation backlog amount to more than 50% of the total available budget. This would require a firm commitment from the Romanian Government to assure the needed financial resources to cover these allocations. This is a critical factor in the development of a sustainable transport sector.</w:t>
      </w:r>
    </w:p>
    <w:p w:rsidR="00433238" w:rsidRPr="00271876" w:rsidRDefault="00433238" w:rsidP="00273D5E">
      <w:pPr>
        <w:pStyle w:val="BulletLevel1"/>
      </w:pPr>
      <w:r w:rsidRPr="00271876">
        <w:t>2% of GDP represents a significant increase from historic average of 1.15% for 2007-2013 (</w:t>
      </w:r>
      <w:r w:rsidR="00DE7B7A">
        <w:t>Table 9.</w:t>
      </w:r>
      <w:r w:rsidRPr="00271876">
        <w:t>2).</w:t>
      </w:r>
    </w:p>
    <w:p w:rsidR="00433238" w:rsidRPr="00271876" w:rsidRDefault="00433238" w:rsidP="00273D5E">
      <w:pPr>
        <w:pStyle w:val="BulletLevel1"/>
      </w:pPr>
      <w:r w:rsidRPr="00271876">
        <w:t>There is a significant increase in the available average budget per annum, from 1.</w:t>
      </w:r>
      <w:r w:rsidR="00CD62A3">
        <w:t>264</w:t>
      </w:r>
      <w:r w:rsidRPr="00271876">
        <w:t xml:space="preserve"> bn EUR (2014-2020) to 1.937 bn EUR (2021-2030). This is due to the assumed real increase in GDP.</w:t>
      </w:r>
    </w:p>
    <w:p w:rsidR="00433238" w:rsidRPr="00271876" w:rsidRDefault="00433238" w:rsidP="00273D5E">
      <w:pPr>
        <w:pStyle w:val="BulletLevel1"/>
      </w:pPr>
      <w:r w:rsidRPr="00271876">
        <w:t>After 2020, treatment of road rehabilitation backlog is included in the maintenance costs.</w:t>
      </w:r>
    </w:p>
    <w:p w:rsidR="00433238" w:rsidRPr="00271876" w:rsidRDefault="00433238" w:rsidP="00A4081F">
      <w:pPr>
        <w:pStyle w:val="NumberedParas"/>
      </w:pPr>
      <w:r w:rsidRPr="00271876">
        <w:t>The funding allocations by sector are then used in the development of the prioritised Investment Plan, discussed in Section 12.</w:t>
      </w:r>
    </w:p>
    <w:p w:rsidR="00433238" w:rsidRPr="00271876" w:rsidRDefault="00433238" w:rsidP="00433238"/>
    <w:p w:rsidR="00A47B5D" w:rsidRDefault="00A47B5D" w:rsidP="006D03BB"/>
    <w:p w:rsidR="00A47B5D" w:rsidRDefault="00A47B5D" w:rsidP="006D03BB"/>
    <w:p w:rsidR="00A47B5D" w:rsidRPr="00C8675F" w:rsidRDefault="00A47B5D" w:rsidP="006D03BB">
      <w:pPr>
        <w:sectPr w:rsidR="00A47B5D" w:rsidRPr="00C8675F" w:rsidSect="00933C17">
          <w:pgSz w:w="11907" w:h="16840" w:code="9"/>
          <w:pgMar w:top="1418" w:right="709" w:bottom="1418" w:left="907" w:header="357" w:footer="567" w:gutter="0"/>
          <w:cols w:space="187"/>
          <w:docGrid w:linePitch="360"/>
        </w:sectPr>
      </w:pPr>
    </w:p>
    <w:p w:rsidR="006D03BB" w:rsidRPr="00C8675F" w:rsidRDefault="006D03BB" w:rsidP="006D03BB">
      <w:pPr>
        <w:rPr>
          <w:b/>
        </w:rPr>
        <w:sectPr w:rsidR="006D03BB" w:rsidRPr="00C8675F">
          <w:headerReference w:type="default" r:id="rId336"/>
          <w:footerReference w:type="default" r:id="rId337"/>
          <w:pgSz w:w="11907" w:h="16840" w:code="9"/>
          <w:pgMar w:top="-3640" w:right="709" w:bottom="1729" w:left="6146" w:header="357" w:footer="567" w:gutter="0"/>
          <w:cols w:space="720"/>
          <w:docGrid w:linePitch="360"/>
        </w:sectPr>
      </w:pPr>
    </w:p>
    <w:p w:rsidR="006D03BB" w:rsidRPr="00C8675F" w:rsidRDefault="003D7939" w:rsidP="006D03BB">
      <w:pPr>
        <w:pStyle w:val="SecDivider0"/>
        <w:rPr>
          <w:lang w:val="en-GB"/>
        </w:rPr>
      </w:pPr>
      <w:r>
        <w:rPr>
          <w:lang w:val="en-GB"/>
        </w:rPr>
        <w:t>Overall Strategy, 2020 and 2030</w:t>
      </w:r>
    </w:p>
    <w:p w:rsidR="006D03BB" w:rsidRPr="00C8675F" w:rsidRDefault="006D03BB" w:rsidP="006D03BB"/>
    <w:p w:rsidR="006D03BB" w:rsidRPr="00C8675F" w:rsidRDefault="006D03BB" w:rsidP="006D03BB">
      <w:pPr>
        <w:sectPr w:rsidR="006D03BB" w:rsidRPr="00C8675F" w:rsidSect="00E37C9E">
          <w:type w:val="continuous"/>
          <w:pgSz w:w="11907" w:h="16840" w:code="9"/>
          <w:pgMar w:top="-3640" w:right="709" w:bottom="1729" w:left="6146" w:header="357" w:footer="567" w:gutter="0"/>
          <w:cols w:space="720"/>
          <w:docGrid w:linePitch="360"/>
        </w:sectPr>
      </w:pPr>
    </w:p>
    <w:p w:rsidR="006D03BB" w:rsidRPr="006F17A0" w:rsidRDefault="003D7939" w:rsidP="001C6C79">
      <w:pPr>
        <w:pStyle w:val="Hdg1"/>
        <w:framePr w:wrap="notBeside"/>
      </w:pPr>
      <w:bookmarkStart w:id="8161" w:name="_Toc413056082"/>
      <w:r>
        <w:t>Overall Strategy, 2020 and 2030</w:t>
      </w:r>
      <w:bookmarkEnd w:id="8161"/>
    </w:p>
    <w:p w:rsidR="00E333C8" w:rsidRPr="008E03B0" w:rsidRDefault="00E333C8" w:rsidP="00045287">
      <w:pPr>
        <w:pStyle w:val="Hdg2"/>
      </w:pPr>
      <w:bookmarkStart w:id="8162" w:name="_Toc413056083"/>
      <w:r>
        <w:t>Introduction</w:t>
      </w:r>
      <w:bookmarkEnd w:id="8162"/>
    </w:p>
    <w:p w:rsidR="00725A00" w:rsidRDefault="00725A00" w:rsidP="00A4081F">
      <w:pPr>
        <w:pStyle w:val="NumberedParas"/>
      </w:pPr>
      <w:r>
        <w:t>The</w:t>
      </w:r>
      <w:r w:rsidRPr="00AF7F29">
        <w:t xml:space="preserve"> General Transport Master</w:t>
      </w:r>
      <w:r>
        <w:t xml:space="preserve"> Plan (</w:t>
      </w:r>
      <w:r w:rsidRPr="00AF7F29">
        <w:t xml:space="preserve">GTMP) represents a unique opportunity for Romania.  </w:t>
      </w:r>
      <w:r>
        <w:t xml:space="preserve">For the first time Romania </w:t>
      </w:r>
      <w:r w:rsidRPr="00C80EC9">
        <w:t>will</w:t>
      </w:r>
      <w:r>
        <w:t xml:space="preserve"> have a soundly-based, comprehensive plan </w:t>
      </w:r>
      <w:r w:rsidRPr="00AF7F29">
        <w:t xml:space="preserve">for all the major modes of transport, </w:t>
      </w:r>
      <w:r>
        <w:t xml:space="preserve">for </w:t>
      </w:r>
      <w:r w:rsidRPr="00E333C8">
        <w:t>the</w:t>
      </w:r>
      <w:r>
        <w:t xml:space="preserve"> period up to 2030.  It provides a staged programme of interventions which encompass not only proposals to improve the transport infrastructure, but also dealing with maintenance, management and operations, and safety.</w:t>
      </w:r>
    </w:p>
    <w:p w:rsidR="004D05C0" w:rsidRDefault="004D05C0" w:rsidP="00A4081F">
      <w:pPr>
        <w:pStyle w:val="NumberedParas"/>
      </w:pPr>
      <w:r>
        <w:t>The Master Plan also provides the justification for projects to be included in the Sectoral Operational Programme for Transport (SOPT) for the period 2014 – 2020 in detail, and for projects promoted under the Connecting Europe Facility (CEF).  It will also provide the basis for projects to be financed in the period beyond 2020, although the precise nature of the successor programmes to the SOPT have yet to be decided.</w:t>
      </w:r>
    </w:p>
    <w:p w:rsidR="004D05C0" w:rsidRDefault="004D05C0" w:rsidP="00A4081F">
      <w:pPr>
        <w:pStyle w:val="NumberedParas"/>
      </w:pPr>
      <w:r>
        <w:t xml:space="preserve">The Master Plan will only succeed in its objectives if there is continuous, whole-hearted support for its programme over the medium and long term.  </w:t>
      </w:r>
      <w:r w:rsidR="004765B3">
        <w:t xml:space="preserve">Major transport investments take 6-10 tears to plan, two – four years to build, and have an economic life of 30-50 years.  </w:t>
      </w:r>
      <w:r>
        <w:t xml:space="preserve">This applies </w:t>
      </w:r>
      <w:r w:rsidR="004765B3">
        <w:t>not only to the organisations who are responsible for implementation of the projects and policies, but also to the successive</w:t>
      </w:r>
      <w:r w:rsidR="0071741F">
        <w:t xml:space="preserve"> Governments and key Ministries such as Transport, European Funds, and Finance.</w:t>
      </w:r>
    </w:p>
    <w:p w:rsidR="00725A00" w:rsidRPr="0036401A" w:rsidRDefault="00725A00" w:rsidP="00A4081F">
      <w:pPr>
        <w:pStyle w:val="NumberedParas"/>
      </w:pPr>
      <w:r>
        <w:t xml:space="preserve">Providing good-quality transport is not an end in itself.  </w:t>
      </w:r>
      <w:r w:rsidRPr="00593AC4">
        <w:rPr>
          <w:shd w:val="clear" w:color="auto" w:fill="FFFFFF"/>
          <w:lang w:val="en-US"/>
        </w:rPr>
        <w:t xml:space="preserve">Efficient transport is a critical component of economic development, globally and nationally. </w:t>
      </w:r>
      <w:r>
        <w:rPr>
          <w:shd w:val="clear" w:color="auto" w:fill="FFFFFF"/>
          <w:lang w:val="en-US"/>
        </w:rPr>
        <w:t xml:space="preserve"> </w:t>
      </w:r>
      <w:r w:rsidRPr="00593AC4">
        <w:rPr>
          <w:shd w:val="clear" w:color="auto" w:fill="FFFFFF"/>
          <w:lang w:val="en-US"/>
        </w:rPr>
        <w:t>Transport availability affects global development patterns and can be a boost or a barrier to economic growth within individual nations.</w:t>
      </w:r>
      <w:r>
        <w:rPr>
          <w:shd w:val="clear" w:color="auto" w:fill="FFFFFF"/>
          <w:lang w:val="en-US"/>
        </w:rPr>
        <w:t xml:space="preserve"> </w:t>
      </w:r>
      <w:r w:rsidRPr="00593AC4">
        <w:rPr>
          <w:shd w:val="clear" w:color="auto" w:fill="FFFFFF"/>
          <w:lang w:val="en-US"/>
        </w:rPr>
        <w:t>Transportation investments link factors of production together in a web of relationships between producers and consumers to create a more efficient division of production, leverage geographical comparative advantage, and provide the means to expand economies of scale and scope.</w:t>
      </w:r>
    </w:p>
    <w:p w:rsidR="00DB4015" w:rsidRPr="0036401A" w:rsidRDefault="00DB4015" w:rsidP="00A4081F">
      <w:pPr>
        <w:pStyle w:val="NumberedParas"/>
      </w:pPr>
      <w:r>
        <w:rPr>
          <w:shd w:val="clear" w:color="auto" w:fill="FFFFFF"/>
          <w:lang w:val="en-US"/>
        </w:rPr>
        <w:t>The overall process for creating the Master Plan is shown on Figure 10.1.  The process has three main elements</w:t>
      </w:r>
    </w:p>
    <w:p w:rsidR="00DB4015" w:rsidRDefault="00DB4015" w:rsidP="00273D5E">
      <w:pPr>
        <w:pStyle w:val="BulletLevel1"/>
      </w:pPr>
      <w:r>
        <w:t xml:space="preserve">a Policy input which </w:t>
      </w:r>
      <w:r w:rsidRPr="00CD62A3">
        <w:t>determines</w:t>
      </w:r>
      <w:r>
        <w:t xml:space="preserve"> the overall objectives, the funds available </w:t>
      </w:r>
      <w:r w:rsidR="00104AB1">
        <w:t>to implement the Master Plan; the Strategic Environmental Assessment (SEA), and feedback from Public Consultation;</w:t>
      </w:r>
    </w:p>
    <w:p w:rsidR="00104AB1" w:rsidRDefault="00104AB1" w:rsidP="00273D5E">
      <w:pPr>
        <w:pStyle w:val="BulletLevel1"/>
      </w:pPr>
      <w:r>
        <w:t>the Appraisal Process, which determines how projects are selected, tested, and the criteria for inclusion in the Master Plan and Implementation Strategy; and</w:t>
      </w:r>
    </w:p>
    <w:p w:rsidR="00104AB1" w:rsidRDefault="00104AB1" w:rsidP="00273D5E">
      <w:pPr>
        <w:pStyle w:val="BulletLevel1"/>
      </w:pPr>
      <w:r>
        <w:t>the Analytical Tools for testing and quantifying the impact of projects.  The most important are the National Transport Model (NTM) and the Cost-Benefit Analysis (CBA) Tool.</w:t>
      </w:r>
    </w:p>
    <w:p w:rsidR="00104AB1" w:rsidRDefault="00104AB1" w:rsidP="00A4081F">
      <w:pPr>
        <w:pStyle w:val="NumberedParas"/>
      </w:pPr>
      <w:r>
        <w:t>At various stages in the Project key Reports were produced which describe the important processes in more detail.  These are shown on Figure 10.1.</w:t>
      </w:r>
    </w:p>
    <w:p w:rsidR="00CD62A3" w:rsidRDefault="00CD62A3">
      <w:pPr>
        <w:rPr>
          <w:b/>
          <w:sz w:val="22"/>
          <w:szCs w:val="22"/>
        </w:rPr>
      </w:pPr>
      <w:r>
        <w:rPr>
          <w:b/>
        </w:rPr>
        <w:br w:type="page"/>
      </w:r>
    </w:p>
    <w:p w:rsidR="000012E9" w:rsidRPr="00D048FA" w:rsidRDefault="000012E9" w:rsidP="00A4081F">
      <w:pPr>
        <w:pStyle w:val="NumberedParas"/>
        <w:numPr>
          <w:ilvl w:val="0"/>
          <w:numId w:val="0"/>
        </w:numPr>
        <w:ind w:left="851"/>
        <w:rPr>
          <w:b/>
        </w:rPr>
      </w:pPr>
      <w:r w:rsidRPr="00D048FA">
        <w:rPr>
          <w:b/>
        </w:rPr>
        <w:t>Figure 10.1  Master Plan Processes</w:t>
      </w:r>
    </w:p>
    <w:p w:rsidR="000012E9" w:rsidRDefault="00CD62A3" w:rsidP="00045287">
      <w:r>
        <w:rPr>
          <w:noProof/>
          <w:lang w:val="ro-RO" w:eastAsia="ro-RO"/>
        </w:rPr>
        <mc:AlternateContent>
          <mc:Choice Requires="wpg">
            <w:drawing>
              <wp:anchor distT="0" distB="0" distL="114300" distR="114300" simplePos="0" relativeHeight="251677696" behindDoc="0" locked="0" layoutInCell="1" allowOverlap="1" wp14:anchorId="23501389" wp14:editId="520A3C52">
                <wp:simplePos x="0" y="0"/>
                <wp:positionH relativeFrom="column">
                  <wp:posOffset>401320</wp:posOffset>
                </wp:positionH>
                <wp:positionV relativeFrom="paragraph">
                  <wp:posOffset>52070</wp:posOffset>
                </wp:positionV>
                <wp:extent cx="5643880" cy="7835265"/>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5643880" cy="7835265"/>
                          <a:chOff x="0" y="0"/>
                          <a:chExt cx="5219700" cy="7448550"/>
                        </a:xfrm>
                      </wpg:grpSpPr>
                      <pic:pic xmlns:pic="http://schemas.openxmlformats.org/drawingml/2006/picture">
                        <pic:nvPicPr>
                          <pic:cNvPr id="3" name="Picture 3"/>
                          <pic:cNvPicPr>
                            <a:picLocks noChangeAspect="1"/>
                          </pic:cNvPicPr>
                        </pic:nvPicPr>
                        <pic:blipFill>
                          <a:blip r:embed="rId338">
                            <a:extLst>
                              <a:ext uri="{28A0092B-C50C-407E-A947-70E740481C1C}">
                                <a14:useLocalDpi xmlns:a14="http://schemas.microsoft.com/office/drawing/2010/main"/>
                              </a:ext>
                            </a:extLst>
                          </a:blip>
                          <a:srcRect/>
                          <a:stretch>
                            <a:fillRect/>
                          </a:stretch>
                        </pic:blipFill>
                        <pic:spPr bwMode="auto">
                          <a:xfrm>
                            <a:off x="0" y="0"/>
                            <a:ext cx="4343400" cy="4533900"/>
                          </a:xfrm>
                          <a:prstGeom prst="rect">
                            <a:avLst/>
                          </a:prstGeom>
                          <a:noFill/>
                          <a:ln>
                            <a:noFill/>
                          </a:ln>
                        </pic:spPr>
                      </pic:pic>
                      <pic:pic xmlns:pic="http://schemas.openxmlformats.org/drawingml/2006/picture">
                        <pic:nvPicPr>
                          <pic:cNvPr id="4" name="Picture 4"/>
                          <pic:cNvPicPr>
                            <a:picLocks noChangeAspect="1"/>
                          </pic:cNvPicPr>
                        </pic:nvPicPr>
                        <pic:blipFill>
                          <a:blip r:embed="rId339">
                            <a:extLst>
                              <a:ext uri="{28A0092B-C50C-407E-A947-70E740481C1C}">
                                <a14:useLocalDpi xmlns:a14="http://schemas.microsoft.com/office/drawing/2010/main"/>
                              </a:ext>
                            </a:extLst>
                          </a:blip>
                          <a:srcRect/>
                          <a:stretch>
                            <a:fillRect/>
                          </a:stretch>
                        </pic:blipFill>
                        <pic:spPr bwMode="auto">
                          <a:xfrm>
                            <a:off x="57150" y="4552950"/>
                            <a:ext cx="5162550" cy="28956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51040F9" id="Group 1" o:spid="_x0000_s1026" style="position:absolute;margin-left:31.6pt;margin-top:4.1pt;width:444.4pt;height:616.95pt;z-index:251677696;mso-width-relative:margin;mso-height-relative:margin" coordsize="52197,74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">
                <v:shape id="Picture 3" o:spid="_x0000_s1027" type="#_x0000_t75" style="position:absolute;width:43434;height:45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2cEjCAAAA2gAAAA8AAABkcnMvZG93bnJldi54bWxEj0GLwjAUhO/C/ofwhL1pqhZZqlFcRehB&#10;D9bu/dE822LzUpusdv/9RhA8DjPzDbNc96YRd+pcbVnBZByBIC6srrlUkJ/3oy8QziNrbCyTgj9y&#10;sF59DJaYaPvgE90zX4oAYZeggsr7NpHSFRUZdGPbEgfvYjuDPsiulLrDR4CbRk6jaC4N1hwWKmxp&#10;W1FxzX6Ngl28m+95dozTwy1Lt/n3D8WbiVKfw36zAOGp9+/wq51qBTN4Xgk3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NnBIwgAAANoAAAAPAAAAAAAAAAAAAAAAAJ8C&#10;AABkcnMvZG93bnJldi54bWxQSwUGAAAAAAQABAD3AAAAjgMAAAAA&#10;">
                  <v:imagedata r:id="rId340" o:title=""/>
                  <v:path arrowok="t"/>
                </v:shape>
                <v:shape id="Picture 4" o:spid="_x0000_s1028" type="#_x0000_t75" style="position:absolute;left:571;top:45529;width:51626;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t+qbCAAAA2gAAAA8AAABkcnMvZG93bnJldi54bWxEj0uLAjEQhO+C/yH0wt6czC6r6KxRRFbw&#10;IuID9NhMeh7spDMkUcd/bwTBY1FVX1HTeWcacSXna8sKvpIUBHFudc2lguNhNRiD8AFZY2OZFNzJ&#10;w3zW700x0/bGO7ruQykihH2GCqoQ2kxKn1dk0Ce2JY5eYZ3BEKUrpXZ4i3DTyO80HUmDNceFClta&#10;VpT/7y9GQThNNidmnKzleLT8K4fFxp23Sn1+dItfEIG68A6/2mut4AeeV+IN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7fqmwgAAANoAAAAPAAAAAAAAAAAAAAAAAJ8C&#10;AABkcnMvZG93bnJldi54bWxQSwUGAAAAAAQABAD3AAAAjgMAAAAA&#10;">
                  <v:imagedata r:id="rId341" o:title=""/>
                  <v:path arrowok="t"/>
                </v:shape>
                <w10:wrap type="square"/>
              </v:group>
            </w:pict>
          </mc:Fallback>
        </mc:AlternateContent>
      </w:r>
    </w:p>
    <w:p w:rsidR="00CD62A3" w:rsidRDefault="00CD62A3" w:rsidP="00045287"/>
    <w:p w:rsidR="00725A00" w:rsidRPr="00F11D48" w:rsidRDefault="00725A00" w:rsidP="00045287">
      <w:pPr>
        <w:pStyle w:val="Hdg2"/>
      </w:pPr>
      <w:bookmarkStart w:id="8163" w:name="_Toc413056084"/>
      <w:r w:rsidRPr="00F11D48">
        <w:t>Existing Situation</w:t>
      </w:r>
      <w:bookmarkEnd w:id="8163"/>
      <w:r w:rsidR="003E7F6D">
        <w:t xml:space="preserve"> </w:t>
      </w:r>
    </w:p>
    <w:p w:rsidR="00725A00" w:rsidRDefault="00725A00" w:rsidP="00A4081F">
      <w:pPr>
        <w:pStyle w:val="NumberedParas"/>
      </w:pPr>
      <w:r>
        <w:t>The Plan involved a thorough investigation of the existing conditions, problems and their underlying causes.  Across all modes, four common themes emerged:</w:t>
      </w:r>
    </w:p>
    <w:p w:rsidR="00725A00" w:rsidRPr="00D144E2" w:rsidRDefault="00725A00" w:rsidP="00273D5E">
      <w:pPr>
        <w:pStyle w:val="BulletLevel1"/>
      </w:pPr>
      <w:r w:rsidRPr="00D144E2">
        <w:t xml:space="preserve">Romania has a serious </w:t>
      </w:r>
      <w:r w:rsidRPr="00D144E2">
        <w:rPr>
          <w:b/>
        </w:rPr>
        <w:t>infrastructure deficit</w:t>
      </w:r>
      <w:r w:rsidRPr="00D144E2">
        <w:t xml:space="preserve">, in terms of </w:t>
      </w:r>
      <w:r>
        <w:t xml:space="preserve">its </w:t>
      </w:r>
      <w:r w:rsidRPr="00D144E2">
        <w:t>quality: coverage</w:t>
      </w:r>
      <w:r>
        <w:t xml:space="preserve"> of the transport networks</w:t>
      </w:r>
      <w:r w:rsidRPr="00D144E2">
        <w:t xml:space="preserve"> is generally good</w:t>
      </w:r>
      <w:r>
        <w:t>.</w:t>
      </w:r>
    </w:p>
    <w:p w:rsidR="00725A00" w:rsidRPr="00D144E2" w:rsidRDefault="00725A00" w:rsidP="00273D5E">
      <w:pPr>
        <w:pStyle w:val="BulletLevel1"/>
      </w:pPr>
      <w:r w:rsidRPr="00D144E2">
        <w:rPr>
          <w:b/>
        </w:rPr>
        <w:t>Inadequate Maintenance and Renewals,</w:t>
      </w:r>
      <w:r w:rsidRPr="00D144E2">
        <w:t xml:space="preserve"> particularly of the rail networks has been inadequate leading to a decline in level of service and reliability, and contributing to a decline in passenger volumes especially, and to a lesser extent, freight volumes. </w:t>
      </w:r>
    </w:p>
    <w:p w:rsidR="00725A00" w:rsidRDefault="00725A00" w:rsidP="00273D5E">
      <w:pPr>
        <w:pStyle w:val="BulletLevel1"/>
      </w:pPr>
      <w:r w:rsidRPr="00D144E2">
        <w:t>This situation is largely a result of inadequate finance</w:t>
      </w:r>
      <w:r>
        <w:t xml:space="preserve"> over a long period of time</w:t>
      </w:r>
      <w:r w:rsidRPr="00D144E2">
        <w:t xml:space="preserve">, but it is exacerbated by </w:t>
      </w:r>
      <w:r w:rsidRPr="00D144E2">
        <w:rPr>
          <w:b/>
        </w:rPr>
        <w:t>Management and Operating practices</w:t>
      </w:r>
      <w:r>
        <w:t>, which affect</w:t>
      </w:r>
      <w:r w:rsidRPr="00D144E2">
        <w:t xml:space="preserve"> rail, road and water transport, but again rail is particularly adversely affected</w:t>
      </w:r>
      <w:r>
        <w:t>.</w:t>
      </w:r>
    </w:p>
    <w:p w:rsidR="00725A00" w:rsidRDefault="00725A00" w:rsidP="00273D5E">
      <w:pPr>
        <w:pStyle w:val="BulletLevel1"/>
      </w:pPr>
      <w:r w:rsidRPr="00D144E2">
        <w:rPr>
          <w:b/>
        </w:rPr>
        <w:t>Safety</w:t>
      </w:r>
      <w:r>
        <w:t xml:space="preserve"> is a concern, particularly on the road network where Romania has the worst safety record in Europe.</w:t>
      </w:r>
    </w:p>
    <w:p w:rsidR="00EC1118" w:rsidRDefault="000234AE" w:rsidP="00A4081F">
      <w:pPr>
        <w:pStyle w:val="NumberedParas"/>
      </w:pPr>
      <w:r>
        <w:t xml:space="preserve">In the following paragraphs we give an overview of the current status of each mode of transport, the most serious issues to be addressed, and a summary of the Master Plan approach in addressing these problems.  There is a discussion in detail in each of the modal chapters in this Report (Chapters 4-8), and a detailed analysis of the problems </w:t>
      </w:r>
      <w:r w:rsidR="00595761">
        <w:t>of each mode in the Problem Definition Report (available on the Ministry of Transport’s website).  The connection between Problems, Objectives and Interventions is described in a series of Technical Notes.</w:t>
      </w:r>
    </w:p>
    <w:p w:rsidR="00595761" w:rsidRDefault="00595761" w:rsidP="00A4081F">
      <w:pPr>
        <w:pStyle w:val="NumberedParas"/>
      </w:pPr>
      <w:r>
        <w:t>The availability of funds constrains investment in transport in Romania, as it does in all European countries.  Therefore, the Master Plan cannot contain solutions for all the identified problems and still remain a realistic plan.  Therefore, the final list of interventions is a list of priorities for public sector investment for the foreseeable future.</w:t>
      </w:r>
    </w:p>
    <w:p w:rsidR="00525E09" w:rsidRPr="003C146A" w:rsidRDefault="00525E09" w:rsidP="0036401A">
      <w:pPr>
        <w:pStyle w:val="Hdg3"/>
      </w:pPr>
      <w:r w:rsidRPr="003C146A">
        <w:t>Rail Transport</w:t>
      </w:r>
    </w:p>
    <w:p w:rsidR="00725A00" w:rsidRDefault="00725A00" w:rsidP="00A4081F">
      <w:pPr>
        <w:pStyle w:val="NumberedParas"/>
      </w:pPr>
      <w:r>
        <w:t>In our opinion, it is no exaggeration to say that Romanian Railways are in a crisis situation.  Several steps are required.  These include:</w:t>
      </w:r>
    </w:p>
    <w:p w:rsidR="00725A00" w:rsidRDefault="00725A00" w:rsidP="00273D5E">
      <w:pPr>
        <w:pStyle w:val="BulletLevel1"/>
      </w:pPr>
      <w:r>
        <w:t xml:space="preserve">serious reforms to the structure of the railway and the PSC, </w:t>
      </w:r>
    </w:p>
    <w:p w:rsidR="00725A00" w:rsidRDefault="00725A00" w:rsidP="00273D5E">
      <w:pPr>
        <w:pStyle w:val="BulletLevel1"/>
      </w:pPr>
      <w:r>
        <w:t xml:space="preserve">substantially increased spending on maintenance and renewals to prevent further deterioration, </w:t>
      </w:r>
    </w:p>
    <w:p w:rsidR="00725A00" w:rsidRDefault="00725A00" w:rsidP="00273D5E">
      <w:pPr>
        <w:pStyle w:val="BulletLevel1"/>
      </w:pPr>
      <w:r>
        <w:t xml:space="preserve">increased investment in rehabilitation to current design speeds, and </w:t>
      </w:r>
    </w:p>
    <w:p w:rsidR="00725A00" w:rsidRDefault="00725A00" w:rsidP="00273D5E">
      <w:pPr>
        <w:pStyle w:val="BulletLevel1"/>
      </w:pPr>
      <w:r>
        <w:t xml:space="preserve">the introduction of regular interval timetable, convenient for passenger needs.  </w:t>
      </w:r>
    </w:p>
    <w:p w:rsidR="00725A00" w:rsidRDefault="00725A00" w:rsidP="00A21ADD">
      <w:pPr>
        <w:pStyle w:val="NumberedParas"/>
      </w:pPr>
      <w:r>
        <w:t xml:space="preserve">Unless these steps are taken, </w:t>
      </w:r>
      <w:r w:rsidR="00525E09">
        <w:t xml:space="preserve">it is our view that </w:t>
      </w:r>
      <w:r>
        <w:t xml:space="preserve">within 10 years the railway will cease to play a national role in Romania.  </w:t>
      </w:r>
    </w:p>
    <w:p w:rsidR="00725A00" w:rsidRDefault="00725A00" w:rsidP="00A4081F">
      <w:pPr>
        <w:pStyle w:val="NumberedParas"/>
        <w:rPr>
          <w:rFonts w:cs="Calibri"/>
          <w:color w:val="000000"/>
        </w:rPr>
      </w:pPr>
      <w:r>
        <w:t xml:space="preserve">Since 1990 passenger kilometres have fallen by 90%, and freight kilometres by 70%, although the position with rail freight has stabilised.  Average speeds for passenger trains have fallen to 45kph in 2012 from 60kph in 1990, and the average speed of freight trains is a mere 23kph.  Between 60-80% of the track-related assets are life expired, there were 1,800 temporary speed restrictions in 2012, and we estimate that current speeds are 20-30% below the design speed of the track.  </w:t>
      </w:r>
      <w:r w:rsidRPr="00052B80">
        <w:t xml:space="preserve">The track and other fixed assets are under-utilised: about 90% of traffic (both passengers and freight) is transported on 54% of the routes (63% of track-km), whilst about 20% of the routes (14% of track-km) carry only 1% of the traffic.  </w:t>
      </w:r>
      <w:r w:rsidRPr="00052B80">
        <w:rPr>
          <w:rFonts w:cs="Calibri"/>
          <w:color w:val="000000"/>
        </w:rPr>
        <w:t xml:space="preserve">1,000 stations generate less than 50 trips per day and 533 stations have less than 10 passengers per day.  </w:t>
      </w:r>
    </w:p>
    <w:p w:rsidR="00725A00" w:rsidRPr="00052B80" w:rsidRDefault="00725A00" w:rsidP="00A4081F">
      <w:pPr>
        <w:pStyle w:val="NumberedParas"/>
      </w:pPr>
      <w:r>
        <w:t>A trend-based forecast suggests that passenger kilometres would decline by a further 75% by 2030, while the NTM analysis suggests a decline of 2</w:t>
      </w:r>
      <w:r w:rsidR="00525E09">
        <w:t>2</w:t>
      </w:r>
      <w:r>
        <w:t xml:space="preserve">% by 2020 and 40% by 2030.  </w:t>
      </w:r>
      <w:r w:rsidR="00525E09">
        <w:t>Whichever forecast is assumed, the future is bleak without drastic action.</w:t>
      </w:r>
    </w:p>
    <w:p w:rsidR="00525E09" w:rsidRDefault="00525E09" w:rsidP="00A4081F">
      <w:pPr>
        <w:pStyle w:val="NumberedParas"/>
      </w:pPr>
      <w:r>
        <w:t xml:space="preserve">These reductions are primarily due to three factors: </w:t>
      </w:r>
    </w:p>
    <w:p w:rsidR="00525E09" w:rsidRDefault="00525E09" w:rsidP="00273D5E">
      <w:pPr>
        <w:pStyle w:val="BulletLevel1"/>
      </w:pPr>
      <w:r>
        <w:t>inadequate maintenance which leads</w:t>
      </w:r>
      <w:r w:rsidRPr="00525E09">
        <w:t xml:space="preserve"> </w:t>
      </w:r>
      <w:r>
        <w:t>to longer, and therefore uncompetitive, journey times;</w:t>
      </w:r>
    </w:p>
    <w:p w:rsidR="00525E09" w:rsidRDefault="00525E09" w:rsidP="00273D5E">
      <w:pPr>
        <w:pStyle w:val="BulletLevel1"/>
      </w:pPr>
      <w:r>
        <w:t>a timetable which is not commercially driven (the PSC is mainly dependant on train kms rather than timetables which meet customer needs); and</w:t>
      </w:r>
    </w:p>
    <w:p w:rsidR="00525E09" w:rsidRDefault="00525E09" w:rsidP="00273D5E">
      <w:pPr>
        <w:pStyle w:val="BulletLevel1"/>
      </w:pPr>
      <w:r>
        <w:t>demographic changes such as the dispersion of population and the increase in car ownership.</w:t>
      </w:r>
    </w:p>
    <w:p w:rsidR="00525E09" w:rsidRDefault="009652AC" w:rsidP="00A4081F">
      <w:pPr>
        <w:pStyle w:val="NumberedParas"/>
      </w:pPr>
      <w:r>
        <w:t xml:space="preserve">Tests using the National Model suggest that inadequate maintenance is responsible </w:t>
      </w:r>
      <w:r w:rsidR="00CD62A3">
        <w:t>for the lare majority</w:t>
      </w:r>
      <w:r>
        <w:t xml:space="preserve"> of the forecast 22% decline in passenger kilometres.</w:t>
      </w:r>
    </w:p>
    <w:p w:rsidR="00525E09" w:rsidRDefault="00AA6888" w:rsidP="00A4081F">
      <w:pPr>
        <w:pStyle w:val="NumberedParas"/>
      </w:pPr>
      <w:r>
        <w:t>The Master Plan proposals concentrate largely on the first two elements</w:t>
      </w:r>
      <w:r w:rsidR="00EC5C39">
        <w:t>,</w:t>
      </w:r>
      <w:r w:rsidR="009652AC">
        <w:t>that of increasing maintenance spend to European norms, and comprehensive rehabilitation of the mainline network, combined with introducing a regular interval timetable for Inter-Regio services operated by modern rolling stock</w:t>
      </w:r>
      <w:r>
        <w:t>.  At current (low) levels of car ownership, there is little that Government can do to limit increasein ownership, but there are many interventions which can be introduced to make rail more attractive and increase rail useage.</w:t>
      </w:r>
    </w:p>
    <w:p w:rsidR="00EC5C39" w:rsidRDefault="00EC5C39" w:rsidP="00A4081F">
      <w:pPr>
        <w:pStyle w:val="NumberedParas"/>
      </w:pPr>
      <w:r>
        <w:t>There are also institutional changes that can be made which will help to make the rail industry in Romania more dynamic.  These are included in the interventions.</w:t>
      </w:r>
    </w:p>
    <w:p w:rsidR="00AA6888" w:rsidRDefault="00AA6888" w:rsidP="0036401A">
      <w:pPr>
        <w:pStyle w:val="Hdg3"/>
      </w:pPr>
      <w:r>
        <w:t>Road Transport</w:t>
      </w:r>
    </w:p>
    <w:p w:rsidR="00725A00" w:rsidRDefault="00725A00" w:rsidP="00A4081F">
      <w:pPr>
        <w:pStyle w:val="NumberedParas"/>
      </w:pPr>
      <w:r>
        <w:t xml:space="preserve">Road maintenance is also inadequate, </w:t>
      </w:r>
      <w:r w:rsidR="00AA6888">
        <w:t>although the situation is not as serious as that of rail.  O</w:t>
      </w:r>
      <w:r>
        <w:t>nly 50% of the National Road network in good condition</w:t>
      </w:r>
      <w:r w:rsidR="00AA6888">
        <w:t>, and approximately 65% of the national network is beyond its service life.</w:t>
      </w:r>
      <w:r>
        <w:t>. The estimate using the method developed for the World Bank suggests that regular maintenance and renewals expenditure should increase by €560</w:t>
      </w:r>
      <w:r w:rsidR="00AA6888">
        <w:t>m</w:t>
      </w:r>
      <w:r>
        <w:t xml:space="preserve"> and rehabilitation and modernisation by </w:t>
      </w:r>
      <w:r>
        <w:rPr>
          <w:rFonts w:cs="Arial"/>
        </w:rPr>
        <w:t>€</w:t>
      </w:r>
      <w:r>
        <w:t>650m per annum to clear the backlog up to 2020.</w:t>
      </w:r>
    </w:p>
    <w:p w:rsidR="000E637A" w:rsidRDefault="000E637A" w:rsidP="00A4081F">
      <w:pPr>
        <w:pStyle w:val="NumberedParas"/>
      </w:pPr>
      <w:r>
        <w:t>The Master Plan therefore contains a larger financial allocation for road maintenance and renewals that will, over time, keep the national network in a mostly good condition.  The Plan also makes a recommendation regarding the organisation of the maintenance contracts which will improve the quality and efficiency of maintenance.</w:t>
      </w:r>
    </w:p>
    <w:p w:rsidR="007F77DF" w:rsidRDefault="00AA6888" w:rsidP="00A4081F">
      <w:pPr>
        <w:pStyle w:val="NumberedParas"/>
      </w:pPr>
      <w:r>
        <w:t xml:space="preserve">Slow journey times lead to inefficient use of both working and non-working time and have an adverse impact on national and regional economies, and reduce employment, commercial, shopping and leisure activities.  </w:t>
      </w:r>
      <w:r w:rsidR="009652AC">
        <w:t>Romania is a large country with many regional centres, and the economic competitiveness of these centres is adversely affected by the poor level of service offered by the road network.</w:t>
      </w:r>
    </w:p>
    <w:p w:rsidR="00725A00" w:rsidRDefault="00725A00" w:rsidP="00A4081F">
      <w:pPr>
        <w:pStyle w:val="NumberedParas"/>
      </w:pPr>
      <w:r>
        <w:t>The level of service provided by the road network is generally poor, in terms of average speeds.  These are 66 kph on the National Road network, 44% below the target of 100kph for the EU Core and Comprehensive Networks.</w:t>
      </w:r>
      <w:r w:rsidR="00AA6888">
        <w:t xml:space="preserve">  </w:t>
      </w:r>
      <w:r w:rsidR="007F77DF">
        <w:t xml:space="preserve">Romania has </w:t>
      </w:r>
      <w:r w:rsidR="009652AC">
        <w:t xml:space="preserve">the lowest provision of motorway-standard </w:t>
      </w:r>
      <w:r w:rsidR="009778DC">
        <w:t>road in the EU per head of population.</w:t>
      </w:r>
    </w:p>
    <w:p w:rsidR="000E637A" w:rsidRDefault="000E637A" w:rsidP="00A4081F">
      <w:pPr>
        <w:pStyle w:val="NumberedParas"/>
      </w:pPr>
      <w:r>
        <w:t xml:space="preserve">The Master Plan therefore contains proposals to develop a network of motorways which will link the main economic regions of Romania, and it’s main trading partners, with a motorway standard network.  This will be supplemented by a modern expressway-standard (ie 2*2 lanes with grade-separated junctions) network </w:t>
      </w:r>
      <w:r w:rsidR="005C4292">
        <w:t>which will complete national network of high quality roads.</w:t>
      </w:r>
    </w:p>
    <w:p w:rsidR="009778DC" w:rsidRDefault="009778DC" w:rsidP="00A4081F">
      <w:pPr>
        <w:pStyle w:val="NumberedParas"/>
      </w:pPr>
      <w:r>
        <w:t xml:space="preserve">Romanian has the worst road safety record in the EU.  </w:t>
      </w:r>
      <w:r w:rsidR="00EC5C39">
        <w:t>In terms of the following Key Performance Indicators:</w:t>
      </w:r>
    </w:p>
    <w:p w:rsidR="00EC5C39" w:rsidRPr="00183490" w:rsidRDefault="00EC5C39" w:rsidP="00273D5E">
      <w:pPr>
        <w:pStyle w:val="BulletLevel1"/>
      </w:pPr>
      <w:r w:rsidRPr="00183490">
        <w:t>Fat</w:t>
      </w:r>
      <w:r>
        <w:t>alities per million inhabitants: 94 against an EU average of 60, rank 24</w:t>
      </w:r>
      <w:r w:rsidRPr="0036401A">
        <w:rPr>
          <w:vertAlign w:val="superscript"/>
        </w:rPr>
        <w:t>th</w:t>
      </w:r>
      <w:r>
        <w:t xml:space="preserve"> out of 28</w:t>
      </w:r>
    </w:p>
    <w:p w:rsidR="00EC5C39" w:rsidRPr="00183490" w:rsidRDefault="00EC5C39" w:rsidP="00273D5E">
      <w:pPr>
        <w:pStyle w:val="BulletLevel1"/>
      </w:pPr>
      <w:r w:rsidRPr="00183490">
        <w:t>Fatalities per 10 billion p</w:t>
      </w:r>
      <w:r>
        <w:t xml:space="preserve">assenger </w:t>
      </w:r>
      <w:r w:rsidRPr="00183490">
        <w:t>k</w:t>
      </w:r>
      <w:r>
        <w:t>ilo</w:t>
      </w:r>
      <w:r w:rsidRPr="00183490">
        <w:t>m</w:t>
      </w:r>
      <w:r>
        <w:t>etres: 259 versus an EU average of 61, rank 28</w:t>
      </w:r>
      <w:r w:rsidRPr="0036401A">
        <w:rPr>
          <w:vertAlign w:val="superscript"/>
        </w:rPr>
        <w:t>th</w:t>
      </w:r>
      <w:r>
        <w:t xml:space="preserve"> out of 28;</w:t>
      </w:r>
      <w:r w:rsidR="00565A60">
        <w:t xml:space="preserve"> and</w:t>
      </w:r>
    </w:p>
    <w:p w:rsidR="00EC5C39" w:rsidRDefault="00EC5C39" w:rsidP="00273D5E">
      <w:pPr>
        <w:pStyle w:val="BulletLevel1"/>
      </w:pPr>
      <w:r w:rsidRPr="00183490">
        <w:t>Fatalities per million passenger cars</w:t>
      </w:r>
      <w:r>
        <w:t>: 466 versus an EU average of 126, rank 28</w:t>
      </w:r>
      <w:r w:rsidRPr="0036401A">
        <w:rPr>
          <w:vertAlign w:val="superscript"/>
        </w:rPr>
        <w:t>th</w:t>
      </w:r>
      <w:r>
        <w:t xml:space="preserve"> out of 28.</w:t>
      </w:r>
    </w:p>
    <w:p w:rsidR="00EC5C39" w:rsidRDefault="00565A60" w:rsidP="00A4081F">
      <w:pPr>
        <w:pStyle w:val="NumberedParas"/>
      </w:pPr>
      <w:r>
        <w:t xml:space="preserve">While motorways and expressways have a much lower accident rate than single-carriageway roads, it is not feasible, or economic, to replace all single carriageway roads by these safer roads.  Therefore, the Master Plan also contains proposals for low cost safety improvements at </w:t>
      </w:r>
      <w:r w:rsidR="000E637A">
        <w:t>138 worst locations (“blackspots”) for accidents across the country.  These projects give a very good return in economic terms, and will provide safer environments for both pedestrians and drivers before the much more expensive road building programme is completed.</w:t>
      </w:r>
    </w:p>
    <w:p w:rsidR="00155322" w:rsidRDefault="00155322" w:rsidP="0036401A">
      <w:pPr>
        <w:pStyle w:val="Hdg3"/>
      </w:pPr>
      <w:r>
        <w:t>Ports and Waterways</w:t>
      </w:r>
    </w:p>
    <w:p w:rsidR="00155322" w:rsidRDefault="00155322" w:rsidP="00A4081F">
      <w:pPr>
        <w:pStyle w:val="NumberedParas"/>
      </w:pPr>
      <w:r>
        <w:t>Romania has three main maritime ports, Constanta, Galati and Braila.  The latter two are located on the maritime section of the River Danube</w:t>
      </w:r>
      <w:r w:rsidR="0084675A">
        <w:t>, while Constanta is a deep water port on the Black Sea.  It is connected with the River Danube via a man-made channel, and has good road and rail connections with Bucharest, and thence the south and west of the country and Hungary.</w:t>
      </w:r>
    </w:p>
    <w:p w:rsidR="0084675A" w:rsidRDefault="0084675A" w:rsidP="00A4081F">
      <w:pPr>
        <w:pStyle w:val="NumberedParas"/>
      </w:pPr>
      <w:r>
        <w:t xml:space="preserve">Connections of these three ports with central, and Northern Romania are less good and the road and rail projects adrees this issue.  </w:t>
      </w:r>
    </w:p>
    <w:p w:rsidR="00221E61" w:rsidRDefault="00221E61" w:rsidP="00A4081F">
      <w:pPr>
        <w:pStyle w:val="NumberedParas"/>
      </w:pPr>
      <w:r>
        <w:t xml:space="preserve">There are also smaller maritime ports of </w:t>
      </w:r>
      <w:r w:rsidRPr="00784B21">
        <w:t>Mangalia and M</w:t>
      </w:r>
      <w:r w:rsidR="006C4833" w:rsidRPr="00784B21">
        <w:t>idia</w:t>
      </w:r>
      <w:r w:rsidRPr="00784B21">
        <w:t xml:space="preserve"> on the Black Sea, and a series of ports on the River Danube, the largest of which are Giu</w:t>
      </w:r>
      <w:r w:rsidR="006C4833" w:rsidRPr="0036401A">
        <w:t>r</w:t>
      </w:r>
      <w:r w:rsidRPr="00784B21">
        <w:t>giu</w:t>
      </w:r>
      <w:r w:rsidR="006C4833">
        <w:t>, Oltenita and Drobeta Turnu-Severin.</w:t>
      </w:r>
    </w:p>
    <w:p w:rsidR="006015EF" w:rsidRDefault="00221E61" w:rsidP="00A4081F">
      <w:pPr>
        <w:pStyle w:val="NumberedParas"/>
      </w:pPr>
      <w:r>
        <w:t xml:space="preserve">Constanta </w:t>
      </w:r>
      <w:r w:rsidR="003C146A">
        <w:t xml:space="preserve">is by far the largest Port in Romania.  </w:t>
      </w:r>
      <w:r w:rsidR="00267578">
        <w:t>Table 10.1 shows data of tonnes handled in 2011 for the top 10 ports in Romania.  Constanta handled 83% of the total freight in these ports, the next highest being Galati with 9%.  These data demonstrate the importance of Constanta as the main maritime gateway for Romania’s imports and exports.</w:t>
      </w:r>
    </w:p>
    <w:p w:rsidR="000923B2" w:rsidRDefault="000923B2" w:rsidP="00A4081F">
      <w:pPr>
        <w:pStyle w:val="NumberedParas"/>
        <w:numPr>
          <w:ilvl w:val="0"/>
          <w:numId w:val="0"/>
        </w:numPr>
        <w:ind w:left="1531"/>
        <w:sectPr w:rsidR="000923B2" w:rsidSect="00933C17">
          <w:headerReference w:type="default" r:id="rId342"/>
          <w:pgSz w:w="11907" w:h="16840" w:code="9"/>
          <w:pgMar w:top="1418" w:right="709" w:bottom="1418" w:left="907" w:header="357" w:footer="567" w:gutter="0"/>
          <w:cols w:space="187"/>
          <w:docGrid w:linePitch="360"/>
        </w:sectPr>
      </w:pPr>
    </w:p>
    <w:p w:rsidR="006015EF" w:rsidRPr="00A21ADD" w:rsidRDefault="00267578" w:rsidP="00A4081F">
      <w:pPr>
        <w:pStyle w:val="NumberedParas"/>
        <w:numPr>
          <w:ilvl w:val="0"/>
          <w:numId w:val="0"/>
        </w:numPr>
        <w:ind w:left="1673"/>
        <w:rPr>
          <w:b/>
        </w:rPr>
      </w:pPr>
      <w:r w:rsidRPr="00A21ADD">
        <w:rPr>
          <w:b/>
        </w:rPr>
        <w:t>Table 10.1  Freight Handled at Romanian Ports</w:t>
      </w:r>
    </w:p>
    <w:tbl>
      <w:tblPr>
        <w:tblW w:w="7780" w:type="dxa"/>
        <w:tblInd w:w="1662" w:type="dxa"/>
        <w:tblLook w:val="04A0" w:firstRow="1" w:lastRow="0" w:firstColumn="1" w:lastColumn="0" w:noHBand="0" w:noVBand="1"/>
      </w:tblPr>
      <w:tblGrid>
        <w:gridCol w:w="1420"/>
        <w:gridCol w:w="1520"/>
        <w:gridCol w:w="1520"/>
        <w:gridCol w:w="1840"/>
        <w:gridCol w:w="1480"/>
      </w:tblGrid>
      <w:tr w:rsidR="00267578" w:rsidRPr="00267578" w:rsidTr="00CD62A3">
        <w:trPr>
          <w:trHeight w:val="870"/>
        </w:trPr>
        <w:tc>
          <w:tcPr>
            <w:tcW w:w="1420"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267578" w:rsidRPr="00A21ADD" w:rsidRDefault="00267578" w:rsidP="00267578">
            <w:pPr>
              <w:jc w:val="center"/>
              <w:rPr>
                <w:rFonts w:cs="Arial"/>
                <w:b/>
                <w:color w:val="000000"/>
                <w:sz w:val="22"/>
                <w:szCs w:val="22"/>
                <w:lang w:eastAsia="en-GB"/>
              </w:rPr>
            </w:pPr>
            <w:r w:rsidRPr="00A21ADD">
              <w:rPr>
                <w:rFonts w:cs="Arial"/>
                <w:b/>
                <w:color w:val="000000"/>
                <w:sz w:val="22"/>
                <w:szCs w:val="22"/>
                <w:lang w:eastAsia="en-GB"/>
              </w:rPr>
              <w:t>Rank</w:t>
            </w:r>
          </w:p>
        </w:tc>
        <w:tc>
          <w:tcPr>
            <w:tcW w:w="152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67578" w:rsidRPr="00A21ADD" w:rsidRDefault="00267578" w:rsidP="00267578">
            <w:pPr>
              <w:jc w:val="center"/>
              <w:rPr>
                <w:rFonts w:cs="Arial"/>
                <w:b/>
                <w:color w:val="000000"/>
                <w:sz w:val="22"/>
                <w:szCs w:val="22"/>
                <w:lang w:eastAsia="en-GB"/>
              </w:rPr>
            </w:pPr>
            <w:r w:rsidRPr="00A21ADD">
              <w:rPr>
                <w:rFonts w:cs="Arial"/>
                <w:b/>
                <w:color w:val="000000"/>
                <w:sz w:val="22"/>
                <w:szCs w:val="22"/>
                <w:lang w:eastAsia="en-GB"/>
              </w:rPr>
              <w:t>Port Name</w:t>
            </w:r>
          </w:p>
        </w:tc>
        <w:tc>
          <w:tcPr>
            <w:tcW w:w="152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67578" w:rsidRPr="00A21ADD" w:rsidRDefault="00267578" w:rsidP="00267578">
            <w:pPr>
              <w:jc w:val="center"/>
              <w:rPr>
                <w:rFonts w:cs="Arial"/>
                <w:b/>
                <w:color w:val="000000"/>
                <w:sz w:val="22"/>
                <w:szCs w:val="22"/>
                <w:lang w:eastAsia="en-GB"/>
              </w:rPr>
            </w:pPr>
            <w:r w:rsidRPr="00A21ADD">
              <w:rPr>
                <w:rFonts w:cs="Arial"/>
                <w:b/>
                <w:color w:val="000000"/>
                <w:sz w:val="22"/>
                <w:szCs w:val="22"/>
                <w:lang w:eastAsia="en-GB"/>
              </w:rPr>
              <w:t>Port Type</w:t>
            </w:r>
          </w:p>
        </w:tc>
        <w:tc>
          <w:tcPr>
            <w:tcW w:w="184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67578" w:rsidRPr="00A21ADD" w:rsidRDefault="00267578" w:rsidP="00267578">
            <w:pPr>
              <w:jc w:val="center"/>
              <w:rPr>
                <w:rFonts w:cs="Arial"/>
                <w:b/>
                <w:color w:val="000000"/>
                <w:sz w:val="22"/>
                <w:szCs w:val="22"/>
                <w:lang w:eastAsia="en-GB"/>
              </w:rPr>
            </w:pPr>
            <w:r w:rsidRPr="00A21ADD">
              <w:rPr>
                <w:rFonts w:cs="Arial"/>
                <w:b/>
                <w:color w:val="000000"/>
                <w:sz w:val="22"/>
                <w:szCs w:val="22"/>
                <w:lang w:eastAsia="en-GB"/>
              </w:rPr>
              <w:t>Tonnes Handled (per annum, 2011)</w:t>
            </w:r>
          </w:p>
        </w:tc>
        <w:tc>
          <w:tcPr>
            <w:tcW w:w="148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67578" w:rsidRPr="00A21ADD" w:rsidRDefault="00267578" w:rsidP="00267578">
            <w:pPr>
              <w:jc w:val="center"/>
              <w:rPr>
                <w:rFonts w:cs="Arial"/>
                <w:b/>
                <w:color w:val="000000"/>
                <w:sz w:val="22"/>
                <w:szCs w:val="22"/>
                <w:lang w:eastAsia="en-GB"/>
              </w:rPr>
            </w:pPr>
            <w:r w:rsidRPr="00A21ADD">
              <w:rPr>
                <w:rFonts w:cs="Arial"/>
                <w:b/>
                <w:color w:val="000000"/>
                <w:sz w:val="22"/>
                <w:szCs w:val="22"/>
                <w:lang w:eastAsia="en-GB"/>
              </w:rPr>
              <w:t>% of top 10 ports</w:t>
            </w:r>
          </w:p>
        </w:tc>
      </w:tr>
      <w:tr w:rsidR="00267578" w:rsidRPr="00267578" w:rsidTr="0036401A">
        <w:trPr>
          <w:trHeight w:val="72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Constanta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Maritime (Deep Sea)</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46,000,000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82.6%</w:t>
            </w:r>
          </w:p>
        </w:tc>
      </w:tr>
      <w:tr w:rsidR="00267578" w:rsidRPr="00267578" w:rsidTr="0036401A">
        <w:trPr>
          <w:trHeight w:val="55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2</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Galati</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Maritime</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5,100,000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9.2%</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3</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Tulcea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Maritime</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1,650,000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3.0%</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4</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Braila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Maritime</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1,203,000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2.2%</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5</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Oltenita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508,000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0.9%</w:t>
            </w:r>
          </w:p>
        </w:tc>
      </w:tr>
      <w:tr w:rsidR="00267578" w:rsidRPr="00267578" w:rsidTr="0036401A">
        <w:trPr>
          <w:trHeight w:val="58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6</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Drobeta-Turnu-Severin</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490,000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0.9%</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7</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Giurgiu</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256,000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0.5%</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8</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Orsova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188,000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0.3%</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9</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Calafat</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139,000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0.2%</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10</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Cernavoda</w:t>
            </w:r>
          </w:p>
        </w:tc>
        <w:tc>
          <w:tcPr>
            <w:tcW w:w="152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67578" w:rsidRPr="00267578" w:rsidRDefault="00267578" w:rsidP="00267578">
            <w:pPr>
              <w:jc w:val="center"/>
              <w:rPr>
                <w:rFonts w:cs="Arial"/>
                <w:color w:val="000000"/>
                <w:sz w:val="22"/>
                <w:szCs w:val="22"/>
                <w:lang w:eastAsia="en-GB"/>
              </w:rPr>
            </w:pPr>
            <w:r w:rsidRPr="00267578">
              <w:rPr>
                <w:rFonts w:cs="Arial"/>
                <w:color w:val="000000"/>
                <w:sz w:val="22"/>
                <w:szCs w:val="22"/>
                <w:lang w:eastAsia="en-GB"/>
              </w:rPr>
              <w:t>132,000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0.2%</w:t>
            </w:r>
          </w:p>
        </w:tc>
      </w:tr>
      <w:tr w:rsidR="00267578" w:rsidRPr="00267578" w:rsidTr="0036401A">
        <w:trPr>
          <w:trHeight w:val="315"/>
        </w:trPr>
        <w:tc>
          <w:tcPr>
            <w:tcW w:w="1420" w:type="dxa"/>
            <w:tcBorders>
              <w:top w:val="nil"/>
              <w:left w:val="single" w:sz="8" w:space="0" w:color="auto"/>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Total</w:t>
            </w:r>
          </w:p>
        </w:tc>
        <w:tc>
          <w:tcPr>
            <w:tcW w:w="152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 </w:t>
            </w:r>
          </w:p>
        </w:tc>
        <w:tc>
          <w:tcPr>
            <w:tcW w:w="152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 </w:t>
            </w:r>
          </w:p>
        </w:tc>
        <w:tc>
          <w:tcPr>
            <w:tcW w:w="184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55,666,000</w:t>
            </w:r>
          </w:p>
        </w:tc>
        <w:tc>
          <w:tcPr>
            <w:tcW w:w="1480" w:type="dxa"/>
            <w:tcBorders>
              <w:top w:val="nil"/>
              <w:left w:val="nil"/>
              <w:bottom w:val="single" w:sz="8" w:space="0" w:color="auto"/>
              <w:right w:val="single" w:sz="8" w:space="0" w:color="auto"/>
            </w:tcBorders>
            <w:shd w:val="clear" w:color="auto" w:fill="auto"/>
            <w:noWrap/>
            <w:vAlign w:val="center"/>
            <w:hideMark/>
          </w:tcPr>
          <w:p w:rsidR="00267578" w:rsidRPr="0036401A" w:rsidRDefault="00267578" w:rsidP="00267578">
            <w:pPr>
              <w:jc w:val="center"/>
              <w:rPr>
                <w:rFonts w:cs="Arial"/>
                <w:color w:val="000000"/>
                <w:sz w:val="22"/>
                <w:szCs w:val="22"/>
                <w:lang w:eastAsia="en-GB"/>
              </w:rPr>
            </w:pPr>
            <w:r w:rsidRPr="0036401A">
              <w:rPr>
                <w:rFonts w:cs="Arial"/>
                <w:color w:val="000000"/>
                <w:sz w:val="22"/>
                <w:szCs w:val="22"/>
                <w:lang w:eastAsia="en-GB"/>
              </w:rPr>
              <w:t>100.0%</w:t>
            </w:r>
          </w:p>
        </w:tc>
      </w:tr>
    </w:tbl>
    <w:p w:rsidR="003C146A" w:rsidRPr="0036401A" w:rsidRDefault="00267578" w:rsidP="00A4081F">
      <w:pPr>
        <w:pStyle w:val="NumberedParas"/>
        <w:numPr>
          <w:ilvl w:val="0"/>
          <w:numId w:val="0"/>
        </w:numPr>
        <w:ind w:left="1673"/>
      </w:pPr>
      <w:r w:rsidRPr="00045287">
        <w:t>Source:</w:t>
      </w:r>
      <w:r w:rsidRPr="0036401A">
        <w:t xml:space="preserve"> MT Naval Directorate</w:t>
      </w:r>
    </w:p>
    <w:p w:rsidR="003C146A" w:rsidRDefault="00267578" w:rsidP="00A4081F">
      <w:pPr>
        <w:pStyle w:val="NumberedParas"/>
      </w:pPr>
      <w:r>
        <w:t>Nonetheless, the Master Plan recognises that investment in selected Ports, as well as at Constanta, is required to exploit the opportunities that the River Danube offers for particular commodities where water transport is competitive.  There are two main issues to be addressed:</w:t>
      </w:r>
    </w:p>
    <w:p w:rsidR="00267578" w:rsidRDefault="00267578" w:rsidP="00273D5E">
      <w:pPr>
        <w:pStyle w:val="BulletLevel1"/>
      </w:pPr>
      <w:r>
        <w:t xml:space="preserve">First, the River Danube is a natural waterway </w:t>
      </w:r>
      <w:r w:rsidR="00BE3BA0">
        <w:t>and as such experiences continual problems of variability in the depth and width of the navigable channel (the so-called “fairway”).</w:t>
      </w:r>
      <w:r w:rsidR="00B64364">
        <w:t xml:space="preserve">  This leads to delays and unpredictable journey times which do not meet the requirements of today’s logistics industry; and</w:t>
      </w:r>
    </w:p>
    <w:p w:rsidR="00BE3BA0" w:rsidRDefault="00BE3BA0" w:rsidP="00273D5E">
      <w:pPr>
        <w:pStyle w:val="BulletLevel1"/>
      </w:pPr>
      <w:r>
        <w:t xml:space="preserve">Secondly, the maritime Ports in particular often have sufficient theoretical capacity but the real problem at many of Romania’s Ports is not a shortage of capacity </w:t>
      </w:r>
      <w:r w:rsidRPr="00A124CD">
        <w:rPr>
          <w:i/>
        </w:rPr>
        <w:t>per se</w:t>
      </w:r>
      <w:r>
        <w:t xml:space="preserve">, but antiquated and inefficient infrastructure that is not suited to the modern logistics industry.  An efficient and competitive Port requires sufficient berthing, modern crainage and handling equipment for its existing and future markets, modern storage facilities for specific commodities (eg cereals), and good land connections.  </w:t>
      </w:r>
    </w:p>
    <w:p w:rsidR="00B64364" w:rsidRDefault="00B64364" w:rsidP="00A4081F">
      <w:pPr>
        <w:pStyle w:val="NumberedParas"/>
      </w:pPr>
      <w:r>
        <w:t>The Master Plan proposals therefore concentrate on investment in making the Danube navigable all the year round (</w:t>
      </w:r>
      <w:r w:rsidRPr="00CD62A3">
        <w:t>except</w:t>
      </w:r>
      <w:r>
        <w:t xml:space="preserve"> during extreme weather events), and investment in modern facilities at Ports which have a long term future.</w:t>
      </w:r>
    </w:p>
    <w:p w:rsidR="00725A00" w:rsidRDefault="00B64364" w:rsidP="00A4081F">
      <w:pPr>
        <w:pStyle w:val="NumberedParas"/>
      </w:pPr>
      <w:r>
        <w:t xml:space="preserve">Similar to the roads and rail sectors, inadequate maintenance is also an issue for </w:t>
      </w:r>
      <w:r w:rsidR="00725A00">
        <w:t>waterways</w:t>
      </w:r>
      <w:r>
        <w:t xml:space="preserve">.  </w:t>
      </w:r>
      <w:r w:rsidR="00725A00">
        <w:t>Romania spends 11,300 EUR per km maintaining the section of the Danube for which it is responsible, compared with 250,000 EUR per km, which is spent by Austria.  Romania’s Danube users rely on maintenance by Bulgaria on its section, and the latest information we have is that Bulgaria currently spends only 2,100 EUR per km.</w:t>
      </w:r>
    </w:p>
    <w:p w:rsidR="00104AB1" w:rsidRDefault="00B64364" w:rsidP="0036401A">
      <w:pPr>
        <w:pStyle w:val="Hdg3"/>
      </w:pPr>
      <w:r>
        <w:t>Aviation</w:t>
      </w:r>
    </w:p>
    <w:p w:rsidR="00155BA5" w:rsidRDefault="00155BA5" w:rsidP="00A4081F">
      <w:pPr>
        <w:pStyle w:val="NumberedParas"/>
      </w:pPr>
      <w:r w:rsidRPr="00155BA5">
        <w:rPr>
          <w:lang w:val="ro-RO"/>
        </w:rPr>
        <w:t xml:space="preserve">The aviation sector in Romania is well developed with a number of major airlines serving destinations across Europe, particularly the major national and international airport at Bucharest, but also from the west of Romania.  </w:t>
      </w:r>
      <w:r w:rsidRPr="00604286">
        <w:t xml:space="preserve">The sector is well developed with a number of major airlines serving destinations across Europe, particularly </w:t>
      </w:r>
      <w:r>
        <w:t>the major national and international airport at Bucharest, but also from</w:t>
      </w:r>
      <w:r w:rsidRPr="00604286">
        <w:t xml:space="preserve"> </w:t>
      </w:r>
      <w:r w:rsidRPr="00B54655">
        <w:t>the west</w:t>
      </w:r>
      <w:r>
        <w:t xml:space="preserve"> of Romania</w:t>
      </w:r>
      <w:r w:rsidRPr="00604286">
        <w:t xml:space="preserve">. </w:t>
      </w:r>
    </w:p>
    <w:p w:rsidR="00B64364" w:rsidRDefault="00155BA5" w:rsidP="00A4081F">
      <w:pPr>
        <w:pStyle w:val="NumberedParas"/>
        <w:rPr>
          <w:lang w:val="ro-RO"/>
        </w:rPr>
      </w:pPr>
      <w:r w:rsidRPr="00FC4C4E">
        <w:t xml:space="preserve">Airports play an </w:t>
      </w:r>
      <w:r>
        <w:t>important</w:t>
      </w:r>
      <w:r w:rsidRPr="00FC4C4E">
        <w:t xml:space="preserve"> role in the economic development of a region, as well as the nation as a whole.  Airports facilitate the </w:t>
      </w:r>
      <w:r>
        <w:t>rapid</w:t>
      </w:r>
      <w:r w:rsidRPr="00FC4C4E">
        <w:t xml:space="preserve"> movement of people and </w:t>
      </w:r>
      <w:r>
        <w:t xml:space="preserve">high value, time-sensitive </w:t>
      </w:r>
      <w:r w:rsidRPr="00FC4C4E">
        <w:t>goods and therefore foster trade and commerce.</w:t>
      </w:r>
      <w:r>
        <w:t xml:space="preserve">  Tourism is relatively undeveloped in Romania.  </w:t>
      </w:r>
      <w:r w:rsidRPr="00CC4C3C">
        <w:t>Airports</w:t>
      </w:r>
      <w:r>
        <w:t>, together with services by low-cost operators in particular,</w:t>
      </w:r>
      <w:r w:rsidRPr="00CC4C3C">
        <w:t xml:space="preserve"> offer increased accessibility, which in turn fuels the tourism sector.  </w:t>
      </w:r>
      <w:r>
        <w:t>I</w:t>
      </w:r>
      <w:r w:rsidRPr="00CC4C3C">
        <w:t>ncreas</w:t>
      </w:r>
      <w:r>
        <w:t>ing</w:t>
      </w:r>
      <w:r w:rsidRPr="00CC4C3C">
        <w:t xml:space="preserve"> </w:t>
      </w:r>
      <w:r>
        <w:t>t</w:t>
      </w:r>
      <w:r w:rsidRPr="00CC4C3C">
        <w:t>he number of visitors and airport users</w:t>
      </w:r>
      <w:r>
        <w:t xml:space="preserve"> means</w:t>
      </w:r>
      <w:r w:rsidRPr="00CC4C3C">
        <w:t xml:space="preserve"> more money flows into the local economy.</w:t>
      </w:r>
      <w:r>
        <w:t xml:space="preserve">  </w:t>
      </w:r>
      <w:r w:rsidRPr="00155BA5">
        <w:rPr>
          <w:lang w:val="ro-RO"/>
        </w:rPr>
        <w:t xml:space="preserve">Airports play an important role in the economic development of a region, as well as the nation as a whole.  Airports facilitate the rapid movement of people and high value, time-sensitive goods and therefore foster trade and commerce.  Tourism is relatively undeveloped in Romania.  Airports, together with services by low-cost operators in particular, offer increased accessibility, which in turn fuels the tourism sector.  Increasing the number of visitors and airport users means more money flows into the local economy.  </w:t>
      </w:r>
    </w:p>
    <w:p w:rsidR="00155BA5" w:rsidRDefault="00155BA5" w:rsidP="00A4081F">
      <w:pPr>
        <w:pStyle w:val="NumberedParas"/>
        <w:rPr>
          <w:lang w:val="ro-RO"/>
        </w:rPr>
      </w:pPr>
      <w:r>
        <w:rPr>
          <w:lang w:val="ro-RO"/>
        </w:rPr>
        <w:t>The numbers of passengers using Romanian airports is set out in Table 10.2 below.  Bucharest (</w:t>
      </w:r>
      <w:r>
        <w:rPr>
          <w:lang w:val="en-US"/>
        </w:rPr>
        <w:t xml:space="preserve">Henri Coanda) </w:t>
      </w:r>
      <w:r w:rsidR="008E59B4">
        <w:rPr>
          <w:lang w:val="en-US"/>
        </w:rPr>
        <w:t xml:space="preserve">is the national air gateway for international travelers, and it </w:t>
      </w:r>
      <w:r>
        <w:rPr>
          <w:lang w:val="en-US"/>
        </w:rPr>
        <w:t xml:space="preserve">accounts for approximately </w:t>
      </w:r>
      <w:r w:rsidR="008E59B4">
        <w:rPr>
          <w:lang w:val="en-US"/>
        </w:rPr>
        <w:t>67%</w:t>
      </w:r>
      <w:r>
        <w:rPr>
          <w:lang w:val="en-US"/>
        </w:rPr>
        <w:t xml:space="preserve"> of all passenger traffic</w:t>
      </w:r>
      <w:r w:rsidR="008E59B4">
        <w:rPr>
          <w:lang w:val="en-US"/>
        </w:rPr>
        <w:t>.  Together with Timisoara and Cluj, these three airports accounts for 89% of passenger traffic.</w:t>
      </w:r>
    </w:p>
    <w:p w:rsidR="00155BA5" w:rsidRPr="00F05049" w:rsidRDefault="00155BA5" w:rsidP="00A4081F">
      <w:pPr>
        <w:pStyle w:val="NumberedParas"/>
        <w:numPr>
          <w:ilvl w:val="0"/>
          <w:numId w:val="0"/>
        </w:numPr>
        <w:ind w:left="1673"/>
        <w:rPr>
          <w:b/>
          <w:lang w:val="ro-RO"/>
        </w:rPr>
      </w:pPr>
      <w:r w:rsidRPr="00F05049">
        <w:rPr>
          <w:b/>
          <w:lang w:val="ro-RO"/>
        </w:rPr>
        <w:t>Table 10.2  Passengers at Romanian Airports, 2012</w:t>
      </w:r>
    </w:p>
    <w:tbl>
      <w:tblPr>
        <w:tblW w:w="6744" w:type="dxa"/>
        <w:tblInd w:w="1677" w:type="dxa"/>
        <w:tblLook w:val="04A0" w:firstRow="1" w:lastRow="0" w:firstColumn="1" w:lastColumn="0" w:noHBand="0" w:noVBand="1"/>
      </w:tblPr>
      <w:tblGrid>
        <w:gridCol w:w="1848"/>
        <w:gridCol w:w="1418"/>
        <w:gridCol w:w="1739"/>
        <w:gridCol w:w="1739"/>
      </w:tblGrid>
      <w:tr w:rsidR="00155BA5" w:rsidRPr="004E239B" w:rsidTr="0036401A">
        <w:trPr>
          <w:trHeight w:val="300"/>
          <w:tblHeader/>
        </w:trPr>
        <w:tc>
          <w:tcPr>
            <w:tcW w:w="184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155BA5" w:rsidRPr="004E239B" w:rsidRDefault="00155BA5" w:rsidP="00740398">
            <w:pPr>
              <w:rPr>
                <w:rFonts w:cs="Arial"/>
                <w:b/>
                <w:bCs/>
                <w:color w:val="000000"/>
                <w:sz w:val="22"/>
                <w:szCs w:val="22"/>
                <w:lang w:val="en-US"/>
              </w:rPr>
            </w:pPr>
            <w:r w:rsidRPr="001A1AD5">
              <w:rPr>
                <w:rFonts w:cs="Arial"/>
                <w:b/>
                <w:bCs/>
                <w:color w:val="000000"/>
                <w:sz w:val="22"/>
                <w:szCs w:val="22"/>
                <w:lang w:val="en-US"/>
              </w:rPr>
              <w:t>Airport</w:t>
            </w:r>
          </w:p>
        </w:tc>
        <w:tc>
          <w:tcPr>
            <w:tcW w:w="1418"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155BA5" w:rsidRPr="004E239B" w:rsidRDefault="00155BA5" w:rsidP="00740398">
            <w:pPr>
              <w:jc w:val="center"/>
              <w:rPr>
                <w:rFonts w:cs="Arial"/>
                <w:b/>
                <w:bCs/>
                <w:color w:val="000000"/>
                <w:sz w:val="22"/>
                <w:szCs w:val="22"/>
                <w:lang w:val="en-US"/>
              </w:rPr>
            </w:pPr>
            <w:r w:rsidRPr="001A1AD5">
              <w:rPr>
                <w:rFonts w:cs="Arial"/>
                <w:b/>
                <w:bCs/>
                <w:color w:val="000000"/>
                <w:sz w:val="22"/>
                <w:szCs w:val="22"/>
                <w:lang w:val="en-US"/>
              </w:rPr>
              <w:t>Domestic</w:t>
            </w:r>
          </w:p>
        </w:tc>
        <w:tc>
          <w:tcPr>
            <w:tcW w:w="1739"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155BA5" w:rsidRPr="004E239B" w:rsidRDefault="00155BA5" w:rsidP="00740398">
            <w:pPr>
              <w:jc w:val="center"/>
              <w:rPr>
                <w:rFonts w:cs="Arial"/>
                <w:b/>
                <w:bCs/>
                <w:color w:val="000000"/>
                <w:sz w:val="22"/>
                <w:szCs w:val="22"/>
                <w:lang w:val="en-US"/>
              </w:rPr>
            </w:pPr>
            <w:r w:rsidRPr="001A1AD5">
              <w:rPr>
                <w:rFonts w:cs="Arial"/>
                <w:b/>
                <w:bCs/>
                <w:color w:val="000000"/>
                <w:sz w:val="22"/>
                <w:szCs w:val="22"/>
                <w:lang w:val="en-US"/>
              </w:rPr>
              <w:t>International</w:t>
            </w:r>
          </w:p>
        </w:tc>
        <w:tc>
          <w:tcPr>
            <w:tcW w:w="1739"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155BA5" w:rsidRPr="004E239B" w:rsidRDefault="00155BA5" w:rsidP="00740398">
            <w:pPr>
              <w:jc w:val="center"/>
              <w:rPr>
                <w:rFonts w:cs="Arial"/>
                <w:b/>
                <w:bCs/>
                <w:color w:val="000000"/>
                <w:sz w:val="22"/>
                <w:szCs w:val="22"/>
                <w:lang w:val="en-US"/>
              </w:rPr>
            </w:pPr>
            <w:r w:rsidRPr="001A1AD5">
              <w:rPr>
                <w:rFonts w:cs="Arial"/>
                <w:b/>
                <w:bCs/>
                <w:color w:val="000000"/>
                <w:sz w:val="22"/>
                <w:szCs w:val="22"/>
                <w:lang w:val="en-US"/>
              </w:rPr>
              <w:t>TOTAL</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Bucharest</w:t>
            </w:r>
            <w:r>
              <w:rPr>
                <w:rFonts w:cs="Arial"/>
                <w:color w:val="000000"/>
                <w:sz w:val="22"/>
                <w:szCs w:val="22"/>
                <w:lang w:val="en-US"/>
              </w:rPr>
              <w:t xml:space="preserve"> (Henri Coanda)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649,682</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6,670,884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7,320,566</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Timisoara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336,152</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1,019,867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1,356,019</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Cluj-Napoca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189,139</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815,682</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1,004,821</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Bacau</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21,106</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306,308</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327,414</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Targu Mures</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10,477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216,361</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226,838</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Iasi</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139,185</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45,298</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184,483</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Sibiu</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26,482</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150,424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176,906</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Constanta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11,647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64,817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76,464</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Oradea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58,887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1,659</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60,546</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Craiova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19,397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tabs>
                <w:tab w:val="left" w:pos="680"/>
                <w:tab w:val="right" w:leader="dot" w:pos="10291"/>
              </w:tabs>
              <w:ind w:right="170"/>
              <w:rPr>
                <w:rFonts w:cs="Arial"/>
                <w:color w:val="000000"/>
                <w:sz w:val="22"/>
                <w:szCs w:val="22"/>
              </w:rPr>
            </w:pPr>
            <w:r>
              <w:rPr>
                <w:rFonts w:cs="Arial"/>
                <w:color w:val="000000"/>
                <w:sz w:val="22"/>
                <w:szCs w:val="22"/>
              </w:rPr>
              <w:t xml:space="preserve">       </w:t>
            </w:r>
            <w:r w:rsidRPr="001A1AD5">
              <w:rPr>
                <w:rFonts w:cs="Arial"/>
                <w:color w:val="000000"/>
                <w:sz w:val="22"/>
                <w:szCs w:val="22"/>
              </w:rPr>
              <w:t>11,872</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tabs>
                <w:tab w:val="left" w:pos="680"/>
                <w:tab w:val="right" w:leader="dot" w:pos="10291"/>
              </w:tabs>
              <w:ind w:right="170"/>
              <w:rPr>
                <w:rFonts w:cs="Arial"/>
                <w:color w:val="000000"/>
                <w:sz w:val="22"/>
                <w:szCs w:val="22"/>
              </w:rPr>
            </w:pPr>
            <w:r>
              <w:rPr>
                <w:rFonts w:cs="Arial"/>
                <w:color w:val="000000"/>
                <w:sz w:val="22"/>
                <w:szCs w:val="22"/>
              </w:rPr>
              <w:t xml:space="preserve">       </w:t>
            </w:r>
            <w:r w:rsidRPr="001A1AD5">
              <w:rPr>
                <w:rFonts w:cs="Arial"/>
                <w:color w:val="000000"/>
                <w:sz w:val="22"/>
                <w:szCs w:val="22"/>
              </w:rPr>
              <w:t>31,269</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Suceava</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26,224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984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27,208</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Satu Mare</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19,534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3,207</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22,741</w:t>
            </w:r>
          </w:p>
        </w:tc>
      </w:tr>
      <w:tr w:rsidR="00155BA5" w:rsidRPr="004E239B" w:rsidTr="0036401A">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Baia Mare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18,017</w:t>
            </w:r>
          </w:p>
        </w:tc>
        <w:tc>
          <w:tcPr>
            <w:tcW w:w="1739" w:type="dxa"/>
            <w:tcBorders>
              <w:top w:val="single" w:sz="4" w:space="0" w:color="auto"/>
              <w:left w:val="single" w:sz="4" w:space="0" w:color="auto"/>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551</w:t>
            </w:r>
          </w:p>
        </w:tc>
        <w:tc>
          <w:tcPr>
            <w:tcW w:w="1739" w:type="dxa"/>
            <w:tcBorders>
              <w:top w:val="single" w:sz="4" w:space="0" w:color="auto"/>
              <w:left w:val="single" w:sz="4" w:space="0" w:color="auto"/>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18,568</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Arad</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0</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0</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0</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rsidR="00155BA5" w:rsidRPr="004E239B" w:rsidRDefault="00155BA5" w:rsidP="00740398">
            <w:pPr>
              <w:rPr>
                <w:rFonts w:cs="Arial"/>
                <w:color w:val="000000"/>
                <w:sz w:val="22"/>
                <w:szCs w:val="22"/>
                <w:lang w:val="en-US"/>
              </w:rPr>
            </w:pPr>
            <w:r w:rsidRPr="001A1AD5">
              <w:rPr>
                <w:rFonts w:cs="Arial"/>
                <w:color w:val="000000"/>
                <w:sz w:val="22"/>
                <w:szCs w:val="22"/>
                <w:lang w:val="en-US"/>
              </w:rPr>
              <w:t>Brasov</w:t>
            </w:r>
          </w:p>
        </w:tc>
        <w:tc>
          <w:tcPr>
            <w:tcW w:w="1418" w:type="dxa"/>
            <w:tcBorders>
              <w:top w:val="nil"/>
              <w:left w:val="nil"/>
              <w:bottom w:val="single" w:sz="4" w:space="0" w:color="auto"/>
              <w:right w:val="single" w:sz="4" w:space="0" w:color="auto"/>
            </w:tcBorders>
            <w:shd w:val="clear" w:color="auto" w:fill="auto"/>
            <w:noWrap/>
            <w:vAlign w:val="center"/>
            <w:hideMark/>
          </w:tcPr>
          <w:p w:rsidR="00155BA5" w:rsidRPr="004E239B" w:rsidRDefault="00155BA5" w:rsidP="00740398">
            <w:pPr>
              <w:jc w:val="center"/>
              <w:rPr>
                <w:rFonts w:cs="Arial"/>
                <w:color w:val="000000"/>
                <w:sz w:val="22"/>
                <w:szCs w:val="22"/>
                <w:lang w:val="en-US"/>
              </w:rPr>
            </w:pPr>
            <w:r w:rsidRPr="001A1AD5">
              <w:rPr>
                <w:rFonts w:cs="Arial"/>
                <w:color w:val="000000"/>
                <w:sz w:val="22"/>
                <w:szCs w:val="22"/>
                <w:lang w:val="en-US"/>
              </w:rPr>
              <w:t>0</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0</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color w:val="000000"/>
                <w:sz w:val="22"/>
                <w:szCs w:val="22"/>
              </w:rPr>
            </w:pPr>
            <w:r w:rsidRPr="001A1AD5">
              <w:rPr>
                <w:rFonts w:cs="Arial"/>
                <w:color w:val="000000"/>
                <w:sz w:val="22"/>
                <w:szCs w:val="22"/>
              </w:rPr>
              <w:t>0</w:t>
            </w:r>
          </w:p>
        </w:tc>
      </w:tr>
      <w:tr w:rsidR="00155BA5" w:rsidRPr="004E239B" w:rsidTr="0036401A">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tcPr>
          <w:p w:rsidR="00155BA5" w:rsidRPr="004E239B" w:rsidRDefault="00155BA5" w:rsidP="00740398">
            <w:pPr>
              <w:rPr>
                <w:rFonts w:cs="Arial"/>
                <w:b/>
                <w:color w:val="000000"/>
                <w:sz w:val="22"/>
                <w:szCs w:val="22"/>
                <w:lang w:val="en-US"/>
              </w:rPr>
            </w:pPr>
            <w:r w:rsidRPr="001A1AD5">
              <w:rPr>
                <w:rFonts w:cs="Arial"/>
                <w:b/>
                <w:color w:val="000000"/>
                <w:sz w:val="22"/>
                <w:szCs w:val="22"/>
                <w:lang w:val="en-US"/>
              </w:rPr>
              <w:t>TOTAL</w:t>
            </w:r>
          </w:p>
        </w:tc>
        <w:tc>
          <w:tcPr>
            <w:tcW w:w="1418" w:type="dxa"/>
            <w:tcBorders>
              <w:top w:val="nil"/>
              <w:left w:val="nil"/>
              <w:bottom w:val="single" w:sz="4" w:space="0" w:color="auto"/>
              <w:right w:val="single" w:sz="4" w:space="0" w:color="auto"/>
            </w:tcBorders>
            <w:shd w:val="clear" w:color="auto" w:fill="auto"/>
            <w:noWrap/>
            <w:vAlign w:val="center"/>
          </w:tcPr>
          <w:p w:rsidR="00155BA5" w:rsidRPr="00A502A0" w:rsidRDefault="00155BA5" w:rsidP="00740398">
            <w:pPr>
              <w:jc w:val="center"/>
              <w:rPr>
                <w:rFonts w:cs="Arial"/>
                <w:b/>
                <w:color w:val="000000"/>
                <w:sz w:val="22"/>
                <w:szCs w:val="22"/>
                <w:lang w:val="en-US"/>
              </w:rPr>
            </w:pPr>
            <w:r w:rsidRPr="001A1AD5">
              <w:rPr>
                <w:rFonts w:cs="Arial"/>
                <w:b/>
                <w:color w:val="000000"/>
                <w:sz w:val="22"/>
                <w:szCs w:val="22"/>
                <w:lang w:val="en-US"/>
              </w:rPr>
              <w:t>1,525,929</w:t>
            </w:r>
          </w:p>
        </w:tc>
        <w:tc>
          <w:tcPr>
            <w:tcW w:w="1739" w:type="dxa"/>
            <w:tcBorders>
              <w:top w:val="nil"/>
              <w:left w:val="nil"/>
              <w:bottom w:val="single" w:sz="4" w:space="0" w:color="auto"/>
              <w:right w:val="single" w:sz="4" w:space="0" w:color="auto"/>
            </w:tcBorders>
            <w:vAlign w:val="center"/>
          </w:tcPr>
          <w:p w:rsidR="00155BA5" w:rsidRPr="00A502A0" w:rsidRDefault="00155BA5" w:rsidP="00740398">
            <w:pPr>
              <w:jc w:val="center"/>
              <w:rPr>
                <w:rFonts w:cs="Arial"/>
                <w:b/>
                <w:color w:val="000000"/>
                <w:sz w:val="22"/>
                <w:szCs w:val="22"/>
                <w:lang w:val="en-US"/>
              </w:rPr>
            </w:pPr>
            <w:r w:rsidRPr="001A1AD5">
              <w:rPr>
                <w:rFonts w:cs="Arial"/>
                <w:b/>
                <w:color w:val="000000"/>
                <w:sz w:val="22"/>
                <w:szCs w:val="22"/>
                <w:lang w:val="en-US"/>
              </w:rPr>
              <w:t>9,307,914</w:t>
            </w:r>
          </w:p>
        </w:tc>
        <w:tc>
          <w:tcPr>
            <w:tcW w:w="1739" w:type="dxa"/>
            <w:tcBorders>
              <w:top w:val="nil"/>
              <w:left w:val="nil"/>
              <w:bottom w:val="single" w:sz="4" w:space="0" w:color="auto"/>
              <w:right w:val="single" w:sz="4" w:space="0" w:color="auto"/>
            </w:tcBorders>
            <w:vAlign w:val="center"/>
          </w:tcPr>
          <w:p w:rsidR="00155BA5" w:rsidRPr="004E239B" w:rsidRDefault="00155BA5" w:rsidP="00740398">
            <w:pPr>
              <w:jc w:val="center"/>
              <w:rPr>
                <w:rFonts w:cs="Arial"/>
                <w:b/>
                <w:bCs/>
                <w:color w:val="000000"/>
                <w:sz w:val="22"/>
                <w:szCs w:val="22"/>
              </w:rPr>
            </w:pPr>
            <w:r w:rsidRPr="001A1AD5">
              <w:rPr>
                <w:rFonts w:cs="Arial"/>
                <w:b/>
                <w:bCs/>
                <w:color w:val="000000"/>
                <w:sz w:val="22"/>
                <w:szCs w:val="22"/>
              </w:rPr>
              <w:t>10,833,843</w:t>
            </w:r>
          </w:p>
        </w:tc>
      </w:tr>
    </w:tbl>
    <w:p w:rsidR="00155BA5" w:rsidRPr="0036401A" w:rsidRDefault="00155BA5" w:rsidP="00A4081F">
      <w:pPr>
        <w:pStyle w:val="NumberedParas"/>
        <w:numPr>
          <w:ilvl w:val="0"/>
          <w:numId w:val="0"/>
        </w:numPr>
        <w:ind w:left="1673"/>
        <w:rPr>
          <w:lang w:val="ro-RO"/>
        </w:rPr>
      </w:pPr>
      <w:r w:rsidRPr="0036401A">
        <w:rPr>
          <w:lang w:val="ro-RO"/>
        </w:rPr>
        <w:t>Source: Civil Aviation Authority</w:t>
      </w:r>
    </w:p>
    <w:p w:rsidR="008E59B4" w:rsidRDefault="008E59B4" w:rsidP="00A4081F">
      <w:pPr>
        <w:pStyle w:val="NumberedParas"/>
        <w:rPr>
          <w:lang w:val="ro-RO"/>
        </w:rPr>
      </w:pPr>
      <w:r>
        <w:rPr>
          <w:lang w:val="ro-RO"/>
        </w:rPr>
        <w:t>Nevertheless, in a country with the size, and topography of Romania there is potential for air to play an increasing role.  The Master Plan identifies a hierarchy of airports to give regional access to international air travel, as well as domestic connectivity to more localised catchments.  The designations are as follows:</w:t>
      </w:r>
    </w:p>
    <w:p w:rsidR="008E59B4" w:rsidRPr="008E59B4" w:rsidRDefault="008E59B4" w:rsidP="00273D5E">
      <w:pPr>
        <w:pStyle w:val="BulletLevel1"/>
      </w:pPr>
      <w:r w:rsidRPr="008E59B4">
        <w:t>Major International Airport - airport with international routes serviced by national carriers, low cost carriers, chartered flights (above 5 million passengers per annum)</w:t>
      </w:r>
    </w:p>
    <w:p w:rsidR="008E59B4" w:rsidRPr="008E59B4" w:rsidRDefault="008E59B4" w:rsidP="00273D5E">
      <w:pPr>
        <w:pStyle w:val="BulletLevel1"/>
      </w:pPr>
      <w:r w:rsidRPr="008E59B4">
        <w:t>International Hub Airports - airports that serves as hubs with European and regional routes served by national carriers, low cost carriers and chartered flights (between 1 million and 5 million passengers per annum)</w:t>
      </w:r>
    </w:p>
    <w:p w:rsidR="008E59B4" w:rsidRPr="008E59B4" w:rsidRDefault="008E59B4" w:rsidP="00273D5E">
      <w:pPr>
        <w:pStyle w:val="BulletLevel1"/>
      </w:pPr>
      <w:r w:rsidRPr="008E59B4">
        <w:t>Regional Airports - airports mostly served by low cost carriers and chartered flights within Romania and adjacent countries (between 30,000 and 1 million passengers per annum)</w:t>
      </w:r>
    </w:p>
    <w:p w:rsidR="00882B92" w:rsidRDefault="008E59B4" w:rsidP="00273D5E">
      <w:pPr>
        <w:pStyle w:val="BulletLevel1"/>
      </w:pPr>
      <w:r w:rsidRPr="008E59B4">
        <w:t>Smaller Regional Airports - airports that is mainly served by domestic and chartered flights (below 30,000 passengers per annum)</w:t>
      </w:r>
      <w:r w:rsidR="00882B92">
        <w:t>.</w:t>
      </w:r>
    </w:p>
    <w:p w:rsidR="008E59B4" w:rsidRPr="0036401A" w:rsidRDefault="008E59B4" w:rsidP="00A4081F">
      <w:pPr>
        <w:pStyle w:val="NumberedParas"/>
        <w:rPr>
          <w:lang w:val="ro-RO"/>
        </w:rPr>
      </w:pPr>
      <w:r>
        <w:rPr>
          <w:lang w:val="ro-RO"/>
        </w:rPr>
        <w:t>Further details are given in Chapter 7.</w:t>
      </w:r>
    </w:p>
    <w:p w:rsidR="00155BA5" w:rsidRPr="0036401A" w:rsidRDefault="00155BA5" w:rsidP="00A4081F">
      <w:pPr>
        <w:pStyle w:val="NumberedParas"/>
        <w:rPr>
          <w:lang w:val="ro-RO"/>
        </w:rPr>
      </w:pPr>
      <w:r w:rsidRPr="00604286">
        <w:t xml:space="preserve">That said there are a number of issues to be addressed in order to ensure continued growth and competitiveness of the sector. </w:t>
      </w:r>
      <w:r w:rsidR="00882B92">
        <w:t xml:space="preserve"> These are:</w:t>
      </w:r>
    </w:p>
    <w:p w:rsidR="00882B92" w:rsidRDefault="00882B92" w:rsidP="00273D5E">
      <w:pPr>
        <w:pStyle w:val="BulletLevel1"/>
      </w:pPr>
      <w:r>
        <w:t>Upgrading of navigational equipment, and aircraft de-icing equipment, to enable all the year round operations except during extreme weather events;</w:t>
      </w:r>
    </w:p>
    <w:p w:rsidR="00882B92" w:rsidRDefault="00882B92" w:rsidP="00273D5E">
      <w:pPr>
        <w:pStyle w:val="BulletLevel1"/>
      </w:pPr>
      <w:r>
        <w:t>Lengthening and strengthening runways to enable airports to handle the types of aircraft typically used by European operators, and to perform their designated roles;</w:t>
      </w:r>
    </w:p>
    <w:p w:rsidR="00882B92" w:rsidRDefault="00882B92" w:rsidP="00273D5E">
      <w:pPr>
        <w:pStyle w:val="BulletLevel1"/>
      </w:pPr>
      <w:r>
        <w:t>Increasing taxiway and apron capacity where there is sufficient demand;</w:t>
      </w:r>
    </w:p>
    <w:p w:rsidR="00C52E93" w:rsidRDefault="00C52E93" w:rsidP="00273D5E">
      <w:pPr>
        <w:pStyle w:val="BulletLevel1"/>
      </w:pPr>
      <w:r>
        <w:t>More detailed assessments of the demand for air cargo terminals, especially at regional airports;</w:t>
      </w:r>
    </w:p>
    <w:p w:rsidR="00882B92" w:rsidRDefault="00882B92" w:rsidP="00273D5E">
      <w:pPr>
        <w:pStyle w:val="BulletLevel1"/>
      </w:pPr>
      <w:r>
        <w:t>Increasing passenger terminal capacity to meet forecast demand; and</w:t>
      </w:r>
    </w:p>
    <w:p w:rsidR="00882B92" w:rsidRPr="0036401A" w:rsidRDefault="00882B92" w:rsidP="00273D5E">
      <w:pPr>
        <w:pStyle w:val="BulletLevel1"/>
      </w:pPr>
      <w:r>
        <w:t>Improvements to surface access (fixed public transport links such as metro and heavy rail) where demand is sufficient to justify these projects.</w:t>
      </w:r>
    </w:p>
    <w:p w:rsidR="00882B92" w:rsidRDefault="00882B92" w:rsidP="00A4081F">
      <w:pPr>
        <w:pStyle w:val="NumberedParas"/>
        <w:rPr>
          <w:lang w:val="ro-RO"/>
        </w:rPr>
      </w:pPr>
      <w:r w:rsidRPr="00882B92">
        <w:rPr>
          <w:lang w:val="ro-RO"/>
        </w:rPr>
        <w:t xml:space="preserve">The air sector differs from other modes in that demand is heavily dependent on both terminal facilities and services.  An airport without appropriate flights does not generate air traffic, but in turn an airline will not start services unless suitable facilities are available on the ground.  </w:t>
      </w:r>
      <w:r>
        <w:rPr>
          <w:lang w:val="ro-RO"/>
        </w:rPr>
        <w:t>This reality has two practical consequences for the Master Plan:</w:t>
      </w:r>
    </w:p>
    <w:p w:rsidR="00882B92" w:rsidRDefault="00882B92" w:rsidP="00273D5E">
      <w:pPr>
        <w:pStyle w:val="BulletLevel1"/>
      </w:pPr>
      <w:r>
        <w:t xml:space="preserve">Our forecasts </w:t>
      </w:r>
      <w:r w:rsidR="00C52E93">
        <w:t xml:space="preserve">for air passenger traffic are asessments of potential demand if the airport can attract services, particularly international flights, commensurate with its designation; and </w:t>
      </w:r>
    </w:p>
    <w:p w:rsidR="00882B92" w:rsidRDefault="00882B92" w:rsidP="00273D5E">
      <w:pPr>
        <w:pStyle w:val="BulletLevel1"/>
      </w:pPr>
      <w:r>
        <w:t xml:space="preserve">Our recommendations </w:t>
      </w:r>
      <w:r w:rsidR="00C52E93">
        <w:t>for investment in increased capacity are conditional upon airports having agreements with operators for additional flights in place, if the airport improves its facilities.  We regognise the practical problems with such a policy but the master Plan cannot support speculative investments.</w:t>
      </w:r>
    </w:p>
    <w:p w:rsidR="00C52E93" w:rsidRDefault="00C52E93" w:rsidP="0036401A">
      <w:pPr>
        <w:pStyle w:val="Hdg3"/>
      </w:pPr>
      <w:r>
        <w:t>Intermodal Transport</w:t>
      </w:r>
    </w:p>
    <w:p w:rsidR="00EC4750" w:rsidRDefault="00EC4750" w:rsidP="00A4081F">
      <w:pPr>
        <w:pStyle w:val="NumberedParas"/>
        <w:rPr>
          <w:lang w:val="ro-RO"/>
        </w:rPr>
      </w:pPr>
      <w:r w:rsidRPr="00EC4750">
        <w:rPr>
          <w:lang w:val="ro-RO"/>
        </w:rPr>
        <w:t>Intermodal transport</w:t>
      </w:r>
      <w:r w:rsidR="00F91D78">
        <w:rPr>
          <w:lang w:val="ro-RO"/>
        </w:rPr>
        <w:t>, by which we mean road/rail and water/rail where the trunk haul is made by rail,</w:t>
      </w:r>
      <w:r w:rsidRPr="00EC4750">
        <w:rPr>
          <w:lang w:val="ro-RO"/>
        </w:rPr>
        <w:t xml:space="preserve"> represents the future for modern rail freight transport. </w:t>
      </w:r>
      <w:r>
        <w:rPr>
          <w:lang w:val="ro-RO"/>
        </w:rPr>
        <w:t>Since the 1960s t</w:t>
      </w:r>
      <w:r w:rsidRPr="00EC4750">
        <w:rPr>
          <w:lang w:val="ro-RO"/>
        </w:rPr>
        <w:t>here has been a global trend of increased containerisation of goods. Containers are unitised in a standard format which allows global shipping companies (as well as other transport companies) to effectively and efficiently plan their loads. It also means that ha</w:t>
      </w:r>
      <w:r>
        <w:rPr>
          <w:lang w:val="ro-RO"/>
        </w:rPr>
        <w:t>ndling equipment is the same,</w:t>
      </w:r>
      <w:r w:rsidRPr="00EC4750">
        <w:rPr>
          <w:lang w:val="ro-RO"/>
        </w:rPr>
        <w:t xml:space="preserve"> </w:t>
      </w:r>
      <w:r>
        <w:rPr>
          <w:lang w:val="ro-RO"/>
        </w:rPr>
        <w:t xml:space="preserve">and handling costs are far below those of traditional methods.  Containerisation </w:t>
      </w:r>
      <w:r w:rsidRPr="00EC4750">
        <w:rPr>
          <w:lang w:val="ro-RO"/>
        </w:rPr>
        <w:t xml:space="preserve">reduces the chance of theft </w:t>
      </w:r>
      <w:r>
        <w:rPr>
          <w:lang w:val="ro-RO"/>
        </w:rPr>
        <w:t>and spillage</w:t>
      </w:r>
      <w:r w:rsidRPr="00EC4750">
        <w:rPr>
          <w:lang w:val="ro-RO"/>
        </w:rPr>
        <w:t xml:space="preserve"> as containers are sealed at source</w:t>
      </w:r>
      <w:r>
        <w:rPr>
          <w:lang w:val="ro-RO"/>
        </w:rPr>
        <w:t xml:space="preserve">. </w:t>
      </w:r>
      <w:r w:rsidRPr="00EC4750">
        <w:rPr>
          <w:lang w:val="ro-RO"/>
        </w:rPr>
        <w:t xml:space="preserve"> It means that turnround time of ships</w:t>
      </w:r>
      <w:r>
        <w:rPr>
          <w:lang w:val="ro-RO"/>
        </w:rPr>
        <w:t xml:space="preserve"> and loaded trains</w:t>
      </w:r>
      <w:r w:rsidRPr="00EC4750">
        <w:rPr>
          <w:lang w:val="ro-RO"/>
        </w:rPr>
        <w:t xml:space="preserve"> has more than halved and transport costs have reduced sharply. Containers can be used transport most types</w:t>
      </w:r>
      <w:r w:rsidR="007756F4">
        <w:rPr>
          <w:lang w:val="ro-RO"/>
        </w:rPr>
        <w:t xml:space="preserve"> of commodities</w:t>
      </w:r>
      <w:r w:rsidRPr="00EC4750">
        <w:rPr>
          <w:lang w:val="ro-RO"/>
        </w:rPr>
        <w:t xml:space="preserve"> </w:t>
      </w:r>
      <w:r w:rsidR="007756F4">
        <w:rPr>
          <w:lang w:val="ro-RO"/>
        </w:rPr>
        <w:t xml:space="preserve">including re-frigerated goods </w:t>
      </w:r>
      <w:r w:rsidRPr="00EC4750">
        <w:rPr>
          <w:lang w:val="ro-RO"/>
        </w:rPr>
        <w:t xml:space="preserve">and </w:t>
      </w:r>
      <w:r w:rsidR="007756F4">
        <w:rPr>
          <w:lang w:val="ro-RO"/>
        </w:rPr>
        <w:t>liquids</w:t>
      </w:r>
      <w:r w:rsidRPr="00EC4750">
        <w:rPr>
          <w:lang w:val="ro-RO"/>
        </w:rPr>
        <w:t xml:space="preserve">. </w:t>
      </w:r>
    </w:p>
    <w:p w:rsidR="007756F4" w:rsidRDefault="007756F4" w:rsidP="00A4081F">
      <w:pPr>
        <w:pStyle w:val="NumberedParas"/>
        <w:rPr>
          <w:lang w:val="ro-RO"/>
        </w:rPr>
      </w:pPr>
      <w:r>
        <w:rPr>
          <w:lang w:val="ro-RO"/>
        </w:rPr>
        <w:t xml:space="preserve">However, the degree of containerisation in </w:t>
      </w:r>
      <w:r w:rsidRPr="007756F4">
        <w:rPr>
          <w:lang w:val="ro-RO"/>
        </w:rPr>
        <w:t xml:space="preserve">Romania transports </w:t>
      </w:r>
      <w:r>
        <w:rPr>
          <w:lang w:val="ro-RO"/>
        </w:rPr>
        <w:t xml:space="preserve">is </w:t>
      </w:r>
      <w:r w:rsidRPr="007756F4">
        <w:rPr>
          <w:lang w:val="ro-RO"/>
        </w:rPr>
        <w:t xml:space="preserve">far </w:t>
      </w:r>
      <w:r>
        <w:rPr>
          <w:lang w:val="ro-RO"/>
        </w:rPr>
        <w:t>smaller</w:t>
      </w:r>
      <w:r w:rsidRPr="007756F4">
        <w:rPr>
          <w:lang w:val="ro-RO"/>
        </w:rPr>
        <w:t xml:space="preserve"> than </w:t>
      </w:r>
      <w:r>
        <w:rPr>
          <w:lang w:val="ro-RO"/>
        </w:rPr>
        <w:t xml:space="preserve">in </w:t>
      </w:r>
      <w:r w:rsidRPr="007756F4">
        <w:rPr>
          <w:lang w:val="ro-RO"/>
        </w:rPr>
        <w:t xml:space="preserve">many other European </w:t>
      </w:r>
      <w:r>
        <w:rPr>
          <w:lang w:val="ro-RO"/>
        </w:rPr>
        <w:t>countries (although greater than in neighbouring</w:t>
      </w:r>
      <w:r w:rsidRPr="007756F4">
        <w:rPr>
          <w:lang w:val="ro-RO"/>
        </w:rPr>
        <w:t xml:space="preserve"> Bulgaria). The </w:t>
      </w:r>
      <w:r>
        <w:rPr>
          <w:lang w:val="ro-RO"/>
        </w:rPr>
        <w:t xml:space="preserve">data in </w:t>
      </w:r>
      <w:r w:rsidRPr="007756F4">
        <w:rPr>
          <w:lang w:val="ro-RO"/>
        </w:rPr>
        <w:t xml:space="preserve">table </w:t>
      </w:r>
      <w:r>
        <w:rPr>
          <w:lang w:val="ro-RO"/>
        </w:rPr>
        <w:t xml:space="preserve">10.4 </w:t>
      </w:r>
      <w:r w:rsidRPr="007756F4">
        <w:rPr>
          <w:lang w:val="ro-RO"/>
        </w:rPr>
        <w:t>shows that containerisation is particularly advanced in Italy, Turkey, Austria and Germany but Bulgaria and Romania are lagging behind. The volume and percentage in countries like Austria are high due to the Alpine effect where on certain routes it is compulsory to use rail services and there is a considerable volume of tra</w:t>
      </w:r>
      <w:r>
        <w:rPr>
          <w:lang w:val="ro-RO"/>
        </w:rPr>
        <w:t xml:space="preserve">nsit traffic. </w:t>
      </w:r>
      <w:r w:rsidRPr="007756F4">
        <w:rPr>
          <w:lang w:val="ro-RO"/>
        </w:rPr>
        <w:t xml:space="preserve"> </w:t>
      </w:r>
      <w:r>
        <w:rPr>
          <w:lang w:val="ro-RO"/>
        </w:rPr>
        <w:t xml:space="preserve">But the sheer size of </w:t>
      </w:r>
      <w:r w:rsidRPr="007756F4">
        <w:rPr>
          <w:lang w:val="ro-RO"/>
        </w:rPr>
        <w:t>Romania</w:t>
      </w:r>
      <w:r>
        <w:rPr>
          <w:lang w:val="ro-RO"/>
        </w:rPr>
        <w:t xml:space="preserve">, and the potential for transit traffic, means that </w:t>
      </w:r>
      <w:r w:rsidR="00F91D78">
        <w:rPr>
          <w:lang w:val="ro-RO"/>
        </w:rPr>
        <w:t>intermodal transport should have a bright future.</w:t>
      </w:r>
    </w:p>
    <w:p w:rsidR="007756F4" w:rsidRDefault="00F91D78" w:rsidP="00A4081F">
      <w:pPr>
        <w:pStyle w:val="NumberedParas"/>
        <w:rPr>
          <w:lang w:val="ro-RO"/>
        </w:rPr>
      </w:pPr>
      <w:r>
        <w:rPr>
          <w:lang w:val="ro-RO"/>
        </w:rPr>
        <w:t>T</w:t>
      </w:r>
      <w:r w:rsidR="007756F4" w:rsidRPr="007756F4">
        <w:rPr>
          <w:lang w:val="ro-RO"/>
        </w:rPr>
        <w:t xml:space="preserve">he </w:t>
      </w:r>
      <w:r>
        <w:rPr>
          <w:lang w:val="ro-RO"/>
        </w:rPr>
        <w:t xml:space="preserve">low </w:t>
      </w:r>
      <w:r w:rsidR="007756F4" w:rsidRPr="007756F4">
        <w:rPr>
          <w:lang w:val="ro-RO"/>
        </w:rPr>
        <w:t>level of containerisation in Romania is due to a number of factors</w:t>
      </w:r>
      <w:r>
        <w:rPr>
          <w:lang w:val="ro-RO"/>
        </w:rPr>
        <w:t>.  These include</w:t>
      </w:r>
      <w:r w:rsidR="007756F4" w:rsidRPr="007756F4">
        <w:rPr>
          <w:lang w:val="ro-RO"/>
        </w:rPr>
        <w:t xml:space="preserve"> historic working practices, relatively cheap labour, lack of investment in i</w:t>
      </w:r>
      <w:r>
        <w:rPr>
          <w:lang w:val="ro-RO"/>
        </w:rPr>
        <w:t>nland terminals including cranage and secure storage</w:t>
      </w:r>
      <w:r w:rsidR="007756F4" w:rsidRPr="007756F4">
        <w:rPr>
          <w:lang w:val="ro-RO"/>
        </w:rPr>
        <w:t xml:space="preserve">, </w:t>
      </w:r>
      <w:r>
        <w:rPr>
          <w:lang w:val="ro-RO"/>
        </w:rPr>
        <w:t>lack of modern supply chains,</w:t>
      </w:r>
      <w:r w:rsidR="007756F4" w:rsidRPr="007756F4">
        <w:rPr>
          <w:lang w:val="ro-RO"/>
        </w:rPr>
        <w:t xml:space="preserve"> lack of modern rail wagons designed for efficient container operation</w:t>
      </w:r>
      <w:r>
        <w:rPr>
          <w:lang w:val="ro-RO"/>
        </w:rPr>
        <w:t>, and very slow, unreliable journey times by rail.</w:t>
      </w:r>
    </w:p>
    <w:p w:rsidR="006209F6" w:rsidRPr="00F400EB" w:rsidRDefault="00965945" w:rsidP="00A4081F">
      <w:pPr>
        <w:pStyle w:val="NumberedParas"/>
        <w:rPr>
          <w:lang w:val="ro-RO"/>
        </w:rPr>
      </w:pPr>
      <w:r w:rsidRPr="00F400EB">
        <w:rPr>
          <w:lang w:val="ro-RO"/>
        </w:rPr>
        <w:t xml:space="preserve">The Master Plan </w:t>
      </w:r>
      <w:r w:rsidR="006209F6" w:rsidRPr="00F400EB">
        <w:rPr>
          <w:lang w:val="ro-RO"/>
        </w:rPr>
        <w:t xml:space="preserve">prposals address these issues in several ways: </w:t>
      </w:r>
      <w:r w:rsidR="00F400EB">
        <w:rPr>
          <w:lang w:val="ro-RO"/>
        </w:rPr>
        <w:t>We have identified</w:t>
      </w:r>
      <w:r w:rsidR="006209F6" w:rsidRPr="00F400EB">
        <w:rPr>
          <w:lang w:val="ro-RO"/>
        </w:rPr>
        <w:t xml:space="preserve"> locations where intermodal terminals will be successful in atttracting viable throughput of more than 7,500 TEU per annum by 2030.  Once established we are cofident that our forecasts are at the lower end, since in Romania intermodal transport is essentially a „new Mode”.  In chapter 8 we also set out potential throughputs which are </w:t>
      </w:r>
      <w:r w:rsidR="00F400EB">
        <w:rPr>
          <w:lang w:val="ro-RO"/>
        </w:rPr>
        <w:t>considerably in excess of our base forecasts.</w:t>
      </w:r>
    </w:p>
    <w:p w:rsidR="00C52E93" w:rsidRDefault="00F400EB" w:rsidP="00A4081F">
      <w:pPr>
        <w:pStyle w:val="NumberedParas"/>
        <w:rPr>
          <w:lang w:val="ro-RO"/>
        </w:rPr>
      </w:pPr>
      <w:r>
        <w:rPr>
          <w:lang w:val="ro-RO"/>
        </w:rPr>
        <w:t xml:space="preserve">These terminals </w:t>
      </w:r>
      <w:r w:rsidR="00740398">
        <w:rPr>
          <w:lang w:val="ro-RO"/>
        </w:rPr>
        <w:t xml:space="preserve">will </w:t>
      </w:r>
      <w:r>
        <w:rPr>
          <w:lang w:val="ro-RO"/>
        </w:rPr>
        <w:t>provide a network of inte</w:t>
      </w:r>
      <w:r w:rsidR="00740398">
        <w:rPr>
          <w:lang w:val="ro-RO"/>
        </w:rPr>
        <w:t>rmodal terminals across Romania.  There are four major „tri-modal” terminals located at Constanta and the major river ports, six existing terminals which are operating successfully, and 10 new terminals which could either be re-furbishments of existing terminals, or, more likely, new builds with modern facilities.  Some of these could be integrated into commercial developments such as „freight villages” with other wharehousing and distribution facilities, haulage companies businesses and vehicle servicing, but we have assesed and costed only the intermodal elements.</w:t>
      </w:r>
    </w:p>
    <w:p w:rsidR="00EC1118" w:rsidRDefault="00740398" w:rsidP="00A4081F">
      <w:pPr>
        <w:pStyle w:val="NumberedParas"/>
        <w:rPr>
          <w:lang w:val="ro-RO"/>
        </w:rPr>
      </w:pPr>
      <w:r>
        <w:rPr>
          <w:lang w:val="ro-RO"/>
        </w:rPr>
        <w:t xml:space="preserve">The operation of intermodal terminals is closely integrated with the logistics industry, which is 100% privately run.  Having consulted existing and potential operators of intermodal facilities, our recommendation is that the intermodal terminals should be designed, built and operated by the private sector in order to fully exploit their potential.  However, as we point out, operating intermodal terminals is virtually a start-up industry in Romania </w:t>
      </w:r>
      <w:r w:rsidR="00EC1118">
        <w:rPr>
          <w:lang w:val="ro-RO"/>
        </w:rPr>
        <w:t xml:space="preserve">and </w:t>
      </w:r>
      <w:r>
        <w:rPr>
          <w:lang w:val="ro-RO"/>
        </w:rPr>
        <w:t xml:space="preserve">in </w:t>
      </w:r>
      <w:r w:rsidR="00EC1118">
        <w:rPr>
          <w:lang w:val="ro-RO"/>
        </w:rPr>
        <w:t xml:space="preserve">many cases a small amount of public invstment may be required.  </w:t>
      </w:r>
    </w:p>
    <w:p w:rsidR="00EC1118" w:rsidRDefault="00EC1118" w:rsidP="00A4081F">
      <w:pPr>
        <w:pStyle w:val="NumberedParas"/>
        <w:rPr>
          <w:lang w:val="ro-RO"/>
        </w:rPr>
      </w:pPr>
      <w:r>
        <w:rPr>
          <w:lang w:val="ro-RO"/>
        </w:rPr>
        <w:t>We recommend that, at a minimum, the public sector contributes planning permits, land purchase, and the connections to the national, or local road and rail networks.</w:t>
      </w:r>
    </w:p>
    <w:p w:rsidR="00740398" w:rsidRPr="0036401A" w:rsidRDefault="00EC1118" w:rsidP="00A4081F">
      <w:pPr>
        <w:pStyle w:val="NumberedParas"/>
        <w:rPr>
          <w:lang w:val="ro-RO"/>
        </w:rPr>
      </w:pPr>
      <w:r>
        <w:rPr>
          <w:lang w:val="ro-RO"/>
        </w:rPr>
        <w:t>The rail rehabilitation proposals described outlined above will also benefit rail freight transport, because the reabilitation will include re-signalling, regenerative braking .and increases in axle loads.  But for block container trains in particular we also recommend raising the speed limit to 120 kph and to change the protocols of train control so that these trains are given higher priority.</w:t>
      </w:r>
      <w:r w:rsidR="00740398">
        <w:rPr>
          <w:lang w:val="ro-RO"/>
        </w:rPr>
        <w:t xml:space="preserve"> </w:t>
      </w:r>
    </w:p>
    <w:p w:rsidR="00725A00" w:rsidRPr="00F11D48" w:rsidRDefault="00725A00" w:rsidP="00045287">
      <w:pPr>
        <w:pStyle w:val="Hdg2"/>
      </w:pPr>
      <w:bookmarkStart w:id="8164" w:name="_Toc413056085"/>
      <w:r w:rsidRPr="00F11D48">
        <w:t>Overall Objectives</w:t>
      </w:r>
      <w:bookmarkEnd w:id="8164"/>
    </w:p>
    <w:p w:rsidR="006C4833" w:rsidRDefault="006C4833" w:rsidP="0036401A">
      <w:pPr>
        <w:pStyle w:val="Hdg3"/>
      </w:pPr>
      <w:r>
        <w:t>High-Level Objectives</w:t>
      </w:r>
    </w:p>
    <w:p w:rsidR="00D65668" w:rsidRDefault="00725A00" w:rsidP="00A4081F">
      <w:pPr>
        <w:pStyle w:val="NumberedParas"/>
      </w:pPr>
      <w:r>
        <w:t xml:space="preserve">A series of high-level objectives for the Master Plan were formulated which guided the formulation of interventions proposed for the Plan.  </w:t>
      </w:r>
      <w:r w:rsidR="00D65668">
        <w:t>These objectives were derived from the following National and European documents:</w:t>
      </w:r>
    </w:p>
    <w:p w:rsidR="00D65668" w:rsidRPr="00D65668" w:rsidRDefault="00D65668" w:rsidP="00273D5E">
      <w:pPr>
        <w:pStyle w:val="BulletLevel1"/>
        <w:rPr>
          <w:i/>
        </w:rPr>
      </w:pPr>
      <w:r w:rsidRPr="00D65668">
        <w:t>The objectives in the Terms of Reference (ToR)</w:t>
      </w:r>
    </w:p>
    <w:p w:rsidR="00D65668" w:rsidRPr="00D65668" w:rsidRDefault="00D65668" w:rsidP="00273D5E">
      <w:pPr>
        <w:pStyle w:val="BulletLevel1"/>
        <w:rPr>
          <w:i/>
        </w:rPr>
      </w:pPr>
      <w:r w:rsidRPr="00D65668">
        <w:t xml:space="preserve">Mission: Minister’s Statement in the Forward to the Strategic Plan of the Ministry of Transport and Infrastructure  </w:t>
      </w:r>
    </w:p>
    <w:p w:rsidR="00D65668" w:rsidRPr="00D65668" w:rsidRDefault="00D65668" w:rsidP="00273D5E">
      <w:pPr>
        <w:pStyle w:val="BulletLevel1"/>
        <w:rPr>
          <w:i/>
        </w:rPr>
      </w:pPr>
      <w:r w:rsidRPr="00D65668">
        <w:t>EU White Paper on Transport 2011</w:t>
      </w:r>
    </w:p>
    <w:p w:rsidR="00D65668" w:rsidRPr="00D65668" w:rsidRDefault="00D65668" w:rsidP="00273D5E">
      <w:pPr>
        <w:pStyle w:val="BulletLevel1"/>
        <w:rPr>
          <w:i/>
        </w:rPr>
      </w:pPr>
      <w:r w:rsidRPr="00D65668">
        <w:t xml:space="preserve">Romanian Government Statement on Transport Policy (Program de Guvernare 2012-2016) </w:t>
      </w:r>
    </w:p>
    <w:p w:rsidR="00D65668" w:rsidRPr="00D65668" w:rsidRDefault="00D65668" w:rsidP="00273D5E">
      <w:pPr>
        <w:pStyle w:val="BulletLevel1"/>
        <w:rPr>
          <w:i/>
        </w:rPr>
      </w:pPr>
      <w:r w:rsidRPr="00D65668">
        <w:t>Partnership Agreement 2014 – 2020 (see pages 176-177)</w:t>
      </w:r>
    </w:p>
    <w:p w:rsidR="00D65668" w:rsidRPr="00D65668" w:rsidRDefault="00D65668" w:rsidP="00273D5E">
      <w:pPr>
        <w:pStyle w:val="BulletLevel1"/>
        <w:rPr>
          <w:i/>
        </w:rPr>
      </w:pPr>
      <w:r w:rsidRPr="00D65668">
        <w:t>AECOM Existing Conditions Report</w:t>
      </w:r>
    </w:p>
    <w:p w:rsidR="00D65668" w:rsidRPr="00D65668" w:rsidRDefault="00D65668" w:rsidP="00273D5E">
      <w:pPr>
        <w:pStyle w:val="BulletLevel1"/>
        <w:rPr>
          <w:i/>
        </w:rPr>
      </w:pPr>
      <w:r w:rsidRPr="00D65668">
        <w:t xml:space="preserve">National Spatial Plan Section 1 Transport Networks </w:t>
      </w:r>
    </w:p>
    <w:p w:rsidR="00D65668" w:rsidRPr="00D65668" w:rsidRDefault="00D65668" w:rsidP="00273D5E">
      <w:pPr>
        <w:pStyle w:val="BulletLevel1"/>
      </w:pPr>
      <w:r w:rsidRPr="00D65668">
        <w:t>EU Core Networks for Road and Rail</w:t>
      </w:r>
    </w:p>
    <w:p w:rsidR="00725A00" w:rsidRDefault="00D65668" w:rsidP="00A4081F">
      <w:pPr>
        <w:pStyle w:val="NumberedParas"/>
      </w:pPr>
      <w:r>
        <w:t>From these documents the following highlevel objectives were derived:</w:t>
      </w:r>
      <w:r w:rsidR="00725A00">
        <w:t>:</w:t>
      </w:r>
    </w:p>
    <w:p w:rsidR="00DE4CA6" w:rsidRPr="00045287" w:rsidRDefault="00DE4CA6" w:rsidP="0085264B">
      <w:pPr>
        <w:pStyle w:val="ListParagraph"/>
        <w:numPr>
          <w:ilvl w:val="0"/>
          <w:numId w:val="73"/>
        </w:numPr>
        <w:spacing w:before="120" w:after="120" w:line="276" w:lineRule="auto"/>
        <w:rPr>
          <w:sz w:val="22"/>
          <w:szCs w:val="22"/>
        </w:rPr>
      </w:pPr>
      <w:r w:rsidRPr="00045287">
        <w:rPr>
          <w:b/>
          <w:sz w:val="22"/>
          <w:szCs w:val="22"/>
        </w:rPr>
        <w:t>Economic Efficiency:</w:t>
      </w:r>
      <w:r w:rsidRPr="00045287">
        <w:rPr>
          <w:sz w:val="22"/>
          <w:szCs w:val="22"/>
        </w:rPr>
        <w:t xml:space="preserve"> the transport system should be economically efficient as far as transport operations and users themselves are concerned.  Specifically, the benefits of investments in transport should exceed the cost of that investment. </w:t>
      </w:r>
    </w:p>
    <w:p w:rsidR="00DE4CA6" w:rsidRPr="00045287" w:rsidRDefault="00DE4CA6" w:rsidP="0085264B">
      <w:pPr>
        <w:pStyle w:val="ListParagraph"/>
        <w:numPr>
          <w:ilvl w:val="0"/>
          <w:numId w:val="73"/>
        </w:numPr>
        <w:spacing w:before="120" w:after="120" w:line="276" w:lineRule="auto"/>
        <w:rPr>
          <w:sz w:val="22"/>
          <w:szCs w:val="22"/>
        </w:rPr>
      </w:pPr>
      <w:r w:rsidRPr="00045287">
        <w:rPr>
          <w:b/>
          <w:sz w:val="22"/>
          <w:szCs w:val="22"/>
        </w:rPr>
        <w:t>Sustainability:</w:t>
      </w:r>
      <w:r w:rsidRPr="00045287">
        <w:rPr>
          <w:sz w:val="22"/>
          <w:szCs w:val="22"/>
        </w:rPr>
        <w:t xml:space="preserve"> the transport system must economically, financially and environmentally sustainable.  The so-called sustainable modes of transport – rail, bus and waterways - which are more energy efficient and have lower emissions should be developed as a priority.  </w:t>
      </w:r>
    </w:p>
    <w:p w:rsidR="00DE4CA6" w:rsidRPr="00045287" w:rsidRDefault="00DE4CA6" w:rsidP="0085264B">
      <w:pPr>
        <w:pStyle w:val="ListParagraph"/>
        <w:numPr>
          <w:ilvl w:val="0"/>
          <w:numId w:val="73"/>
        </w:numPr>
        <w:spacing w:before="120" w:after="120" w:line="276" w:lineRule="auto"/>
        <w:rPr>
          <w:sz w:val="22"/>
          <w:szCs w:val="22"/>
        </w:rPr>
      </w:pPr>
      <w:r w:rsidRPr="00045287">
        <w:rPr>
          <w:b/>
          <w:sz w:val="22"/>
          <w:szCs w:val="22"/>
        </w:rPr>
        <w:t>Safety:</w:t>
      </w:r>
      <w:r w:rsidRPr="00045287">
        <w:rPr>
          <w:sz w:val="22"/>
          <w:szCs w:val="22"/>
        </w:rPr>
        <w:t xml:space="preserve"> investment in transport should produce a safer transport system.  The economic cost of accidents is monetised in the economic evaluation, but since the goals of the Government, the EU and the ToR are clearly a reduction in transport-related accidents, safety must remain as a separate objective.</w:t>
      </w:r>
    </w:p>
    <w:p w:rsidR="00DE4CA6" w:rsidRPr="00045287" w:rsidRDefault="00DE4CA6" w:rsidP="0085264B">
      <w:pPr>
        <w:pStyle w:val="ListParagraph"/>
        <w:numPr>
          <w:ilvl w:val="0"/>
          <w:numId w:val="73"/>
        </w:numPr>
        <w:spacing w:before="120" w:after="120" w:line="276" w:lineRule="auto"/>
        <w:rPr>
          <w:sz w:val="22"/>
          <w:szCs w:val="22"/>
        </w:rPr>
      </w:pPr>
      <w:r w:rsidRPr="00045287">
        <w:rPr>
          <w:b/>
          <w:sz w:val="22"/>
          <w:szCs w:val="22"/>
        </w:rPr>
        <w:t>Environmental Impact:</w:t>
      </w:r>
      <w:r w:rsidRPr="00045287">
        <w:rPr>
          <w:sz w:val="22"/>
          <w:szCs w:val="22"/>
        </w:rPr>
        <w:t xml:space="preserve"> Transport investment should minimise negative impact on the physical environment.  </w:t>
      </w:r>
    </w:p>
    <w:p w:rsidR="00DE4CA6" w:rsidRPr="00045287" w:rsidRDefault="00DE4CA6" w:rsidP="0085264B">
      <w:pPr>
        <w:pStyle w:val="ListParagraph"/>
        <w:numPr>
          <w:ilvl w:val="0"/>
          <w:numId w:val="73"/>
        </w:numPr>
        <w:spacing w:before="120" w:after="120" w:line="276" w:lineRule="auto"/>
        <w:rPr>
          <w:sz w:val="22"/>
          <w:szCs w:val="22"/>
        </w:rPr>
      </w:pPr>
      <w:r w:rsidRPr="00045287">
        <w:rPr>
          <w:b/>
          <w:sz w:val="22"/>
          <w:szCs w:val="22"/>
        </w:rPr>
        <w:t>Balanced Economic Development.</w:t>
      </w:r>
      <w:r w:rsidRPr="00045287">
        <w:rPr>
          <w:sz w:val="22"/>
          <w:szCs w:val="22"/>
        </w:rPr>
        <w:t xml:space="preserve">  The transport system should be configured to enable economic development both nationally and regionally.  The investment should also favour equity as far as Romanian citizens are concerned.  </w:t>
      </w:r>
    </w:p>
    <w:p w:rsidR="00725A00" w:rsidRDefault="00DE4CA6" w:rsidP="00273D5E">
      <w:pPr>
        <w:pStyle w:val="BulletLevel1"/>
      </w:pPr>
      <w:r w:rsidRPr="00721E8F">
        <w:rPr>
          <w:b/>
        </w:rPr>
        <w:t>Funding:</w:t>
      </w:r>
      <w:r w:rsidRPr="00721E8F">
        <w:t xml:space="preserve">  Availability of EC funding from the Structural Funds (CF and ERDF, Connecting Europe Facility (CEF)) and PPP will affect “buildability” and therefore the prioritisation of projects.  The overall programme will have to be within a realistic estimate of national and other funds over the plan period.</w:t>
      </w:r>
    </w:p>
    <w:p w:rsidR="00725A00" w:rsidRDefault="00725A00" w:rsidP="00A4081F">
      <w:pPr>
        <w:pStyle w:val="NumberedParas"/>
      </w:pPr>
      <w:r>
        <w:t>Below these objectives, operational objectives were established for each mode based on a detailed, location-specific analysis of the problems which each mode experiences.  Extensive consultations were carried with stakeholders in both the public and private sector as part of the problem analysis.</w:t>
      </w:r>
    </w:p>
    <w:p w:rsidR="006C4833" w:rsidRDefault="006C4833" w:rsidP="0036401A">
      <w:pPr>
        <w:pStyle w:val="Hdg3"/>
      </w:pPr>
      <w:r>
        <w:t>Operational Objectives</w:t>
      </w:r>
      <w:r w:rsidR="00784B21">
        <w:t xml:space="preserve"> </w:t>
      </w:r>
    </w:p>
    <w:p w:rsidR="00DE4CA6" w:rsidRDefault="00DE4CA6" w:rsidP="00A4081F">
      <w:pPr>
        <w:pStyle w:val="NumberedParas"/>
      </w:pPr>
      <w:r>
        <w:rPr>
          <w:lang w:val="ro-RO"/>
        </w:rPr>
        <w:t>The operational objectives were derived from the in-depth analysis of the problems of each mode of transport.  Care was taken in the problem analysis to ensure that each defined problem was specific, identified the underlying cause, and was geographically precise wherever possible.  The operational objectives are therefore specific to each problem, but were grouped under the high-level objectives described above.</w:t>
      </w:r>
    </w:p>
    <w:p w:rsidR="00DE4CA6" w:rsidRPr="00BA7D67" w:rsidRDefault="00DE4CA6" w:rsidP="00A4081F">
      <w:pPr>
        <w:pStyle w:val="NumberedParas"/>
      </w:pPr>
      <w:r>
        <w:rPr>
          <w:lang w:val="ro-RO"/>
        </w:rPr>
        <w:t>The operational objectives are set out in the modal chapters (chapters 4-8), and in the Problems/</w:t>
      </w:r>
      <w:r w:rsidR="00F05049">
        <w:rPr>
          <w:lang w:val="ro-RO"/>
        </w:rPr>
        <w:t xml:space="preserve"> </w:t>
      </w:r>
      <w:r>
        <w:rPr>
          <w:lang w:val="ro-RO"/>
        </w:rPr>
        <w:t>Objectives/</w:t>
      </w:r>
      <w:r w:rsidR="00F05049">
        <w:rPr>
          <w:lang w:val="ro-RO"/>
        </w:rPr>
        <w:t xml:space="preserve"> </w:t>
      </w:r>
      <w:r>
        <w:rPr>
          <w:lang w:val="ro-RO"/>
        </w:rPr>
        <w:t>Interventions Technical Notes.</w:t>
      </w:r>
    </w:p>
    <w:p w:rsidR="00725A00" w:rsidRPr="00F11D48" w:rsidRDefault="006C4833" w:rsidP="00045287">
      <w:pPr>
        <w:pStyle w:val="Hdg2"/>
      </w:pPr>
      <w:bookmarkStart w:id="8165" w:name="_Toc413056086"/>
      <w:r>
        <w:t>Interventions</w:t>
      </w:r>
      <w:bookmarkEnd w:id="8165"/>
      <w:r w:rsidR="00784B21">
        <w:t xml:space="preserve"> </w:t>
      </w:r>
    </w:p>
    <w:p w:rsidR="00DE4CA6" w:rsidRDefault="00AD4259" w:rsidP="00A4081F">
      <w:pPr>
        <w:pStyle w:val="NumberedParas"/>
      </w:pPr>
      <w:r>
        <w:t>The definition of interventions follow the setting of operational objectives.  This procedure ensures there is a clear and identifiable connection between high-level objectives, the identified problems and the corresponding operational objectives, and the interventions themselves.  This approach ensures that the interventions address real, transport-related problems.  The use of the National Model, and associated data, ensures that there is a quantitative basis for the problem definition, objectives, and interventions.</w:t>
      </w:r>
    </w:p>
    <w:p w:rsidR="00725A00" w:rsidRDefault="00725A00" w:rsidP="00A4081F">
      <w:pPr>
        <w:pStyle w:val="NumberedParas"/>
      </w:pPr>
      <w:r>
        <w:t xml:space="preserve">We invited the Ministry of Transport and stakeholders to submit their proposals and aspirations for their own areas of responsibility.  The value of the interventions they proposed, which were predominantly for new or improved infrastructure, amounted to €74.8 bn.  The funds available for infrastructure projects are €9.5 bn to 2020, and €24.7 to 2030.  Thus the available funds represent less than half of the aspirations of the project sponsors.  </w:t>
      </w:r>
    </w:p>
    <w:p w:rsidR="00725A00" w:rsidRDefault="00725A00" w:rsidP="00A4081F">
      <w:pPr>
        <w:pStyle w:val="NumberedParas"/>
      </w:pPr>
      <w:r>
        <w:t>The Master Plan cannot generate additional funding, but it can ensure that, in a situation where funding is limited, the available funds are allocated to areas where they provide the greatest benefit.  The AECOM team, in conjunction with the Ministry of Transport and JASPERS, developed a series of interventions which include, but are not limited to, infrastructure interventions.  In some cases these corresponded to projects proposed by stakeholders, but in many cases the projects were different, or scaled back in scope to meet the specific problem</w:t>
      </w:r>
      <w:r w:rsidR="0044132B">
        <w:t>, or the forecast</w:t>
      </w:r>
      <w:r w:rsidR="00AD4259" w:rsidRPr="00AD4259">
        <w:t xml:space="preserve"> </w:t>
      </w:r>
      <w:r w:rsidR="00AD4259">
        <w:t>demand</w:t>
      </w:r>
      <w:r w:rsidR="0044132B">
        <w:t>.</w:t>
      </w:r>
    </w:p>
    <w:p w:rsidR="00725A00" w:rsidRDefault="00725A00" w:rsidP="00A4081F">
      <w:pPr>
        <w:pStyle w:val="NumberedParas"/>
      </w:pPr>
      <w:r>
        <w:t>The analysis of the existing and future situations highlighted the serious shortcomings in maintenance and renewals on the railways and roads.  The overall strategy therefore has two main pillars:</w:t>
      </w:r>
    </w:p>
    <w:p w:rsidR="00725A00" w:rsidRDefault="00725A00" w:rsidP="00273D5E">
      <w:pPr>
        <w:pStyle w:val="BulletLevel1"/>
      </w:pPr>
      <w:r>
        <w:t>The protection of existing assets by ring-fencing long term financing for improved maintenance and renewals.  This will benefit all Romanian citizens (and visitors) who use the countries’ transport systems; and</w:t>
      </w:r>
    </w:p>
    <w:p w:rsidR="00725A00" w:rsidRDefault="00725A00" w:rsidP="00273D5E">
      <w:pPr>
        <w:pStyle w:val="BulletLevel1"/>
      </w:pPr>
      <w:r>
        <w:t>Selected infrastructure improvements, which gave the best value for money, and met the operational objectives.</w:t>
      </w:r>
    </w:p>
    <w:p w:rsidR="006C4833" w:rsidRDefault="006C4833" w:rsidP="00045287">
      <w:pPr>
        <w:pStyle w:val="Hdg2"/>
      </w:pPr>
      <w:bookmarkStart w:id="8166" w:name="_Toc413056087"/>
      <w:r>
        <w:t>Testing Projects</w:t>
      </w:r>
      <w:bookmarkEnd w:id="8166"/>
      <w:r w:rsidR="00784B21">
        <w:t xml:space="preserve"> </w:t>
      </w:r>
    </w:p>
    <w:p w:rsidR="00725A00" w:rsidRDefault="000E0BAB" w:rsidP="00A4081F">
      <w:pPr>
        <w:pStyle w:val="NumberedParas"/>
      </w:pPr>
      <w:r w:rsidRPr="00045287">
        <w:t xml:space="preserve">Interventions </w:t>
      </w:r>
      <w:r>
        <w:t>in the domains of rail, road, ports and waterways, and intermodal transport were tested with the National Model.  The model is fully described in the Model Development Report, which is summarised in Chapter of this Report, but there are some important features of the model which need to be fully understood when interpreting the results.</w:t>
      </w:r>
    </w:p>
    <w:p w:rsidR="000E0BAB" w:rsidRDefault="000E0BAB" w:rsidP="00A4081F">
      <w:pPr>
        <w:pStyle w:val="NumberedParas"/>
      </w:pPr>
      <w:r>
        <w:t>The model uses the well established four stage process which involves:</w:t>
      </w:r>
    </w:p>
    <w:p w:rsidR="000E0BAB" w:rsidRDefault="000E0BAB" w:rsidP="00273D5E">
      <w:pPr>
        <w:pStyle w:val="BulletLevel1"/>
      </w:pPr>
      <w:r>
        <w:t>Stage 1: Trip production and attraction: estimating the total number of passenger journeys or tonnes of freight generated by, and attracted to, each zone.</w:t>
      </w:r>
    </w:p>
    <w:p w:rsidR="000E0BAB" w:rsidRDefault="000E0BAB" w:rsidP="00273D5E">
      <w:pPr>
        <w:pStyle w:val="BulletLevel1"/>
      </w:pPr>
      <w:r>
        <w:t>Stage 2: The distribution of passenger journeys and tonnes of freight between zones;</w:t>
      </w:r>
    </w:p>
    <w:p w:rsidR="000E0BAB" w:rsidRDefault="000E0BAB" w:rsidP="00273D5E">
      <w:pPr>
        <w:pStyle w:val="BulletLevel1"/>
      </w:pPr>
      <w:r>
        <w:t xml:space="preserve">Stage 3: The </w:t>
      </w:r>
      <w:r w:rsidR="00C87C68">
        <w:t>choice of for passenger journeys or freight movements between zones</w:t>
      </w:r>
    </w:p>
    <w:p w:rsidR="00C87C68" w:rsidRDefault="00C87C68" w:rsidP="00273D5E">
      <w:pPr>
        <w:pStyle w:val="BulletLevel1"/>
      </w:pPr>
      <w:r>
        <w:t>Stage 4: The route chosen between zones for every zone to zone movement of pasengers and freight, for each mode of transport.</w:t>
      </w:r>
    </w:p>
    <w:p w:rsidR="00C87C68" w:rsidRDefault="00C87C68" w:rsidP="00A21ADD">
      <w:pPr>
        <w:pStyle w:val="NumberedParas"/>
      </w:pPr>
      <w:r>
        <w:t>Mathematical relationships, calibrated by observed data, determine how the model carries out the functions in each of these four stages.</w:t>
      </w:r>
    </w:p>
    <w:p w:rsidR="00C87C68" w:rsidRDefault="00C87C68" w:rsidP="00A4081F">
      <w:pPr>
        <w:pStyle w:val="NumberedParas"/>
      </w:pPr>
      <w:r>
        <w:t>The model is highly complex</w:t>
      </w:r>
      <w:r w:rsidR="00482A84">
        <w:t xml:space="preserve"> – the full runs of the model for three years take approximately 30 hours - </w:t>
      </w:r>
      <w:r>
        <w:t xml:space="preserve">but it is important to understand how the interventions affect the model outputs. </w:t>
      </w:r>
      <w:r w:rsidR="00CF1F3E">
        <w:t xml:space="preserve"> Gnerally speaking, the driver of change in distribution of traffic, mode choice and route choice is change in travel cost, either in terms of travel time (since time is money), or the money cost of travel  such as fares, vehicle operating costs, tariffs, and handling charges for freight.  </w:t>
      </w:r>
      <w:r>
        <w:t xml:space="preserve">Various examples are given below. </w:t>
      </w:r>
      <w:r w:rsidR="00DF2F02">
        <w:t xml:space="preserve"> In these example the word “traffic” is generic: it ecompasses all modes of travel, and pasengers and freight.</w:t>
      </w:r>
    </w:p>
    <w:p w:rsidR="00DF2F02" w:rsidRDefault="00C87C68" w:rsidP="00A4081F">
      <w:pPr>
        <w:pStyle w:val="NumberedParas"/>
      </w:pPr>
      <w:r w:rsidRPr="00BA7D67">
        <w:t xml:space="preserve">An improvement to </w:t>
      </w:r>
      <w:r w:rsidR="0006236E" w:rsidRPr="00BA7D67">
        <w:t xml:space="preserve">either </w:t>
      </w:r>
      <w:r w:rsidRPr="00B378BC">
        <w:t xml:space="preserve">road infrastructure, </w:t>
      </w:r>
      <w:r w:rsidR="0006236E" w:rsidRPr="00B378BC">
        <w:t xml:space="preserve">or faster trains and more frequent services, will produce a change in the distribution of traffic, </w:t>
      </w:r>
      <w:r w:rsidR="00CF1F3E" w:rsidRPr="00045287">
        <w:t xml:space="preserve">because travel between the cities and town served by the new road or better train service will be easier and these settlements will be accessible from a larger area. </w:t>
      </w:r>
      <w:r w:rsidR="00CF1F3E">
        <w:t xml:space="preserve"> In addition, a change in mode choice will occur because one mode, either road or rail in this example</w:t>
      </w:r>
      <w:r w:rsidR="00DF2F02">
        <w:t>, will become relatively more attractive.  The final response will be a change in route choice, because the improved route will offer s quicker journey, and greater capacity.  Not only will traffic transfer to the improved route from the roads or rail services in the same corridor, but will transfer from further afield.  This means that the traffic on a new or significantly improved route will be much greater than the existing traffic.</w:t>
      </w:r>
    </w:p>
    <w:p w:rsidR="00CF1F3E" w:rsidRDefault="00F05049" w:rsidP="00A4081F">
      <w:pPr>
        <w:pStyle w:val="NumberedParas"/>
      </w:pPr>
      <w:r>
        <w:t>An improved</w:t>
      </w:r>
      <w:r w:rsidR="00DF2F02">
        <w:t xml:space="preserve"> or new intermodal terminal (or network of terminals since there must be proper facilities at both ends of the joirney) will attract additional containerised traffic because of reduced handling costs.  If combined with faster container trains, the additional traffic will be reinforced.  There will be a switch of traffic from road to rail, through the mode choice mechanism, and some change to the distribution of freight traffic, although not as marked as with passenger travel.</w:t>
      </w:r>
    </w:p>
    <w:p w:rsidR="00DF48E5" w:rsidRDefault="00DF48E5" w:rsidP="00A4081F">
      <w:pPr>
        <w:pStyle w:val="NumberedParas"/>
      </w:pPr>
      <w:r>
        <w:t>These mechanisms apply in a similar way to all modes of transport.  It is important to note that the process is essentially neutral in its operation: the mechanisms for distribution, mode choice and route choice are mathematical and based on observed behaviour.  Secondly, the changes in volumes of traffic by road, rail, water and intermodal transport are outputs from the National Model, not inputs to it.  Thus there are no pre-conceived targets or outcomes in the process.</w:t>
      </w:r>
    </w:p>
    <w:p w:rsidR="00DF48E5" w:rsidRDefault="00DF48E5" w:rsidP="00A4081F">
      <w:pPr>
        <w:pStyle w:val="NumberedParas"/>
      </w:pPr>
      <w:r>
        <w:t xml:space="preserve">A large number of projects were tested with the National Model.  </w:t>
      </w:r>
      <w:r w:rsidR="00482A84">
        <w:t>The panel below gives the approximate number.  Many of the projects were tested several times due to variations in the project specifrication, or in combination with other projects, so the numbers given below are conservative:</w:t>
      </w:r>
    </w:p>
    <w:tbl>
      <w:tblPr>
        <w:tblStyle w:val="TableClassic1"/>
        <w:tblW w:w="8080" w:type="dxa"/>
        <w:tblInd w:w="1623" w:type="dxa"/>
        <w:tblLook w:val="04A0" w:firstRow="1" w:lastRow="0" w:firstColumn="1" w:lastColumn="0" w:noHBand="0" w:noVBand="1"/>
      </w:tblPr>
      <w:tblGrid>
        <w:gridCol w:w="1701"/>
        <w:gridCol w:w="1560"/>
        <w:gridCol w:w="1559"/>
        <w:gridCol w:w="1559"/>
        <w:gridCol w:w="1701"/>
      </w:tblGrid>
      <w:tr w:rsidR="00C52B9C" w:rsidTr="000452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C52B9C" w:rsidRPr="00045287" w:rsidRDefault="00C52B9C" w:rsidP="00045287">
            <w:pPr>
              <w:pStyle w:val="Body"/>
              <w:spacing w:before="120" w:after="120"/>
              <w:ind w:left="0"/>
              <w:jc w:val="left"/>
              <w:rPr>
                <w:b/>
                <w:i/>
              </w:rPr>
            </w:pPr>
            <w:r>
              <w:rPr>
                <w:b/>
                <w:i/>
              </w:rPr>
              <w:t>Mode</w:t>
            </w:r>
          </w:p>
        </w:tc>
        <w:tc>
          <w:tcPr>
            <w:tcW w:w="1560" w:type="dxa"/>
          </w:tcPr>
          <w:p w:rsidR="00C52B9C" w:rsidRDefault="00C52B9C" w:rsidP="00045287">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i/>
              </w:rPr>
            </w:pPr>
            <w:r>
              <w:rPr>
                <w:i/>
              </w:rPr>
              <w:t>Road</w:t>
            </w:r>
          </w:p>
        </w:tc>
        <w:tc>
          <w:tcPr>
            <w:tcW w:w="1559" w:type="dxa"/>
          </w:tcPr>
          <w:p w:rsidR="00C52B9C" w:rsidRDefault="00C52B9C" w:rsidP="00045287">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i/>
              </w:rPr>
            </w:pPr>
            <w:r>
              <w:rPr>
                <w:i/>
              </w:rPr>
              <w:t>Rail</w:t>
            </w:r>
          </w:p>
        </w:tc>
        <w:tc>
          <w:tcPr>
            <w:tcW w:w="1559" w:type="dxa"/>
          </w:tcPr>
          <w:p w:rsidR="00C52B9C" w:rsidRDefault="00C52B9C" w:rsidP="00045287">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i/>
              </w:rPr>
            </w:pPr>
            <w:r>
              <w:rPr>
                <w:i/>
              </w:rPr>
              <w:t>Ports and Waterways</w:t>
            </w:r>
          </w:p>
        </w:tc>
        <w:tc>
          <w:tcPr>
            <w:tcW w:w="1701" w:type="dxa"/>
          </w:tcPr>
          <w:p w:rsidR="00C52B9C" w:rsidRDefault="00C52B9C" w:rsidP="00045287">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i/>
              </w:rPr>
            </w:pPr>
            <w:r>
              <w:rPr>
                <w:i/>
              </w:rPr>
              <w:t>Intermodal Transport</w:t>
            </w:r>
          </w:p>
        </w:tc>
      </w:tr>
      <w:tr w:rsidR="00C52B9C" w:rsidTr="00CD62A3">
        <w:trPr>
          <w:trHeight w:val="581"/>
        </w:trPr>
        <w:tc>
          <w:tcPr>
            <w:cnfStyle w:val="001000000000" w:firstRow="0" w:lastRow="0" w:firstColumn="1" w:lastColumn="0" w:oddVBand="0" w:evenVBand="0" w:oddHBand="0" w:evenHBand="0" w:firstRowFirstColumn="0" w:firstRowLastColumn="0" w:lastRowFirstColumn="0" w:lastRowLastColumn="0"/>
            <w:tcW w:w="1701" w:type="dxa"/>
          </w:tcPr>
          <w:p w:rsidR="00C52B9C" w:rsidRDefault="00C52B9C" w:rsidP="00045287">
            <w:pPr>
              <w:pStyle w:val="Body"/>
              <w:spacing w:before="120" w:after="120"/>
              <w:ind w:left="0"/>
              <w:jc w:val="left"/>
              <w:rPr>
                <w:i w:val="0"/>
              </w:rPr>
            </w:pPr>
            <w:r>
              <w:rPr>
                <w:i w:val="0"/>
              </w:rPr>
              <w:t>Number of Projects</w:t>
            </w:r>
          </w:p>
        </w:tc>
        <w:tc>
          <w:tcPr>
            <w:tcW w:w="1560" w:type="dxa"/>
          </w:tcPr>
          <w:p w:rsidR="00C52B9C" w:rsidRDefault="0098753C" w:rsidP="00045287">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rPr>
            </w:pPr>
            <w:r>
              <w:rPr>
                <w:i w:val="0"/>
              </w:rPr>
              <w:t>92</w:t>
            </w:r>
          </w:p>
        </w:tc>
        <w:tc>
          <w:tcPr>
            <w:tcW w:w="1559" w:type="dxa"/>
          </w:tcPr>
          <w:p w:rsidR="00C52B9C" w:rsidRDefault="0098753C" w:rsidP="00045287">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rPr>
            </w:pPr>
            <w:r>
              <w:rPr>
                <w:i w:val="0"/>
              </w:rPr>
              <w:t>34</w:t>
            </w:r>
          </w:p>
        </w:tc>
        <w:tc>
          <w:tcPr>
            <w:tcW w:w="1559" w:type="dxa"/>
          </w:tcPr>
          <w:p w:rsidR="00C52B9C" w:rsidRDefault="0098753C" w:rsidP="00045287">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rPr>
            </w:pPr>
            <w:r>
              <w:rPr>
                <w:i w:val="0"/>
              </w:rPr>
              <w:t>12</w:t>
            </w:r>
          </w:p>
        </w:tc>
        <w:tc>
          <w:tcPr>
            <w:tcW w:w="1701" w:type="dxa"/>
          </w:tcPr>
          <w:p w:rsidR="00C52B9C" w:rsidRDefault="0098753C" w:rsidP="00045287">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rPr>
            </w:pPr>
            <w:r>
              <w:rPr>
                <w:i w:val="0"/>
              </w:rPr>
              <w:t>13</w:t>
            </w:r>
          </w:p>
        </w:tc>
      </w:tr>
    </w:tbl>
    <w:p w:rsidR="00482A84" w:rsidRDefault="00E03CB1" w:rsidP="00A4081F">
      <w:pPr>
        <w:pStyle w:val="NumberedParas"/>
      </w:pPr>
      <w:r>
        <w:t xml:space="preserve">The rail projects comprised three elements, </w:t>
      </w:r>
      <w:r w:rsidR="00336DA1">
        <w:t>infrastructure re-habilitation on a complete long distance route, revised timetables, and new rolling stock, so each rail project is in effect a</w:t>
      </w:r>
      <w:r w:rsidR="00BA7D67">
        <w:t xml:space="preserve"> whole</w:t>
      </w:r>
      <w:r w:rsidR="00336DA1">
        <w:t xml:space="preserve"> route strategy.</w:t>
      </w:r>
    </w:p>
    <w:p w:rsidR="00336DA1" w:rsidRDefault="00336DA1" w:rsidP="00A4081F">
      <w:pPr>
        <w:pStyle w:val="NumberedParas"/>
      </w:pPr>
      <w:r>
        <w:t>Aviation projects were not tested with the National Model</w:t>
      </w:r>
      <w:r w:rsidR="00BA7D67">
        <w:t>, but with a specially developed aviation model, which reflects the additional traffic which would arise if an airport attracts additional services as well as improves its own facilities</w:t>
      </w:r>
      <w:r>
        <w:t xml:space="preserve">.  </w:t>
      </w:r>
      <w:r w:rsidR="00BA7D67">
        <w:t>The model uses a combination of catchment areas and trip rates for different levels of flights to forecast potential passenger traffic.  However, the aviation model does use data from the National Model in the CBA analysis.</w:t>
      </w:r>
    </w:p>
    <w:p w:rsidR="005664CF" w:rsidRPr="00045287" w:rsidRDefault="005664CF" w:rsidP="00A4081F">
      <w:pPr>
        <w:pStyle w:val="NumberedParas"/>
      </w:pPr>
      <w:r>
        <w:t xml:space="preserve">As discussed in section 10.2, and in greater detail in Chapter 4 and the Problem Definition Report, road safety is a serious concern in Romania.  </w:t>
      </w:r>
    </w:p>
    <w:p w:rsidR="006C4833" w:rsidRDefault="0006236E" w:rsidP="00045287">
      <w:pPr>
        <w:pStyle w:val="Hdg2"/>
      </w:pPr>
      <w:r>
        <w:t xml:space="preserve"> </w:t>
      </w:r>
      <w:bookmarkStart w:id="8167" w:name="_Toc413056088"/>
      <w:bookmarkStart w:id="8168" w:name="_Toc397058256"/>
      <w:r w:rsidR="006C4833">
        <w:t>Project Appraisal – Role of CBA and MCA</w:t>
      </w:r>
      <w:bookmarkEnd w:id="8167"/>
    </w:p>
    <w:p w:rsidR="006D163D" w:rsidRDefault="000B1635" w:rsidP="00A4081F">
      <w:pPr>
        <w:pStyle w:val="NumberedParas"/>
      </w:pPr>
      <w:r>
        <w:t xml:space="preserve">As described in the National Assessment Guidelines, Volume 1, and summarised in Section 2.6 of this Report, projects were initially sorted according to their economic performance.  </w:t>
      </w:r>
    </w:p>
    <w:p w:rsidR="000B1635" w:rsidRDefault="000B1635" w:rsidP="00A4081F">
      <w:pPr>
        <w:pStyle w:val="NumberedParas"/>
      </w:pPr>
      <w:r>
        <w:t xml:space="preserve">For road projects, </w:t>
      </w:r>
      <w:r w:rsidR="006D163D">
        <w:t xml:space="preserve">this was a two stage process: first, the individual projects which met each operational objective were assessed using CBA, and secondly, the individual projects were assembled into two alternative </w:t>
      </w:r>
      <w:r w:rsidR="005664CF">
        <w:t xml:space="preserve">“Level 1” </w:t>
      </w:r>
      <w:r w:rsidR="006D163D">
        <w:t xml:space="preserve">strategies which made a coherent network; these were again subject to a CBA, with the best performing strategy and the projects </w:t>
      </w:r>
      <w:r w:rsidR="005664CF">
        <w:t>within it being carried forward to an MCA.  Further residual problems were identified assuming the preferred Level 1 strategy was in place, and so-called “Level 2” projects were identified to address these problems.</w:t>
      </w:r>
    </w:p>
    <w:p w:rsidR="00B378BC" w:rsidRDefault="00B378BC" w:rsidP="00A4081F">
      <w:pPr>
        <w:pStyle w:val="NumberedParas"/>
      </w:pPr>
      <w:r>
        <w:t>Strictly speaking, the CBA pass/fail criteria were that projects should have an EIRR greater than 5% (the discount rate), and a Benefit-Cost Ratio (BCR) greater than 1.  However, these criteria were relaxed for rail projects, for a number of reasons:</w:t>
      </w:r>
    </w:p>
    <w:p w:rsidR="00B378BC" w:rsidRDefault="00B378BC" w:rsidP="00273D5E">
      <w:pPr>
        <w:pStyle w:val="BulletLevel1"/>
      </w:pPr>
      <w:r>
        <w:t xml:space="preserve">As we have shown earlier, rail </w:t>
      </w:r>
      <w:r w:rsidR="0077525E">
        <w:t>passenger transport in particular has been in decline for a number of years, with the result that existing rail traffic is not always sufficient to justify the large investments required in rail improvements; if CBA criteria are strictly applied it would reinforce this situation which would reinforce railway decline to the point where rail would cease to play a worthwhile role in national transport;</w:t>
      </w:r>
    </w:p>
    <w:p w:rsidR="0077525E" w:rsidRDefault="0077525E" w:rsidP="00273D5E">
      <w:pPr>
        <w:pStyle w:val="BulletLevel1"/>
      </w:pPr>
      <w:r>
        <w:t>Because of under-investment in railways over a long period, the scale of investment required is larger than it would have been under a “normal” investment programme; this means investment costs are higher;</w:t>
      </w:r>
    </w:p>
    <w:p w:rsidR="0077525E" w:rsidRPr="00B378BC" w:rsidRDefault="0077525E" w:rsidP="00273D5E">
      <w:pPr>
        <w:pStyle w:val="BulletLevel1"/>
      </w:pPr>
      <w:r>
        <w:t xml:space="preserve">Rail infrastructure has to be built to meet exacting construction and safety standards; gradients cannot be severe, high speed running requires </w:t>
      </w:r>
      <w:r w:rsidR="00AB7F46">
        <w:t>good horizontal alignment without severe curves, and there are EU standards for minimum line speeds on the Core TEN-T network.  This means that there is limited scope for adjusting standards and therefore costs to improve economic performance.</w:t>
      </w:r>
    </w:p>
    <w:p w:rsidR="00AB7F46" w:rsidRDefault="00AB7F46" w:rsidP="00A4081F">
      <w:pPr>
        <w:pStyle w:val="NumberedParas"/>
      </w:pPr>
      <w:r>
        <w:t xml:space="preserve">Following the assessment using CBA, </w:t>
      </w:r>
      <w:r w:rsidR="006C4833">
        <w:t>pr</w:t>
      </w:r>
      <w:r w:rsidR="007C2AA0">
        <w:t>ojects were assembled into two</w:t>
      </w:r>
      <w:r w:rsidR="006C4833">
        <w:t xml:space="preserve"> scenarios using Multi-Criteriate Analysis (MCA) techniques.  </w:t>
      </w:r>
      <w:r>
        <w:t>The two scenarios are characterised as follows:</w:t>
      </w:r>
    </w:p>
    <w:p w:rsidR="00AB7F46" w:rsidRDefault="00AB7F46" w:rsidP="00273D5E">
      <w:pPr>
        <w:pStyle w:val="BulletLevel1"/>
      </w:pPr>
      <w:r w:rsidRPr="0036401A">
        <w:rPr>
          <w:b/>
        </w:rPr>
        <w:t>Economically Sustainable (“ES”) Scenario:</w:t>
      </w:r>
      <w:r>
        <w:t xml:space="preserve"> This scenario emphasises projects which perform well in economic terms, with the economic efficiency criteria having the largest weighting (70%) having the highest weighting.  Projects on the Core TEN-T were given 30% weighting.</w:t>
      </w:r>
    </w:p>
    <w:p w:rsidR="00AB7F46" w:rsidRDefault="00AB7F46" w:rsidP="00273D5E">
      <w:pPr>
        <w:pStyle w:val="BulletLevel1"/>
      </w:pPr>
      <w:r w:rsidRPr="0036401A">
        <w:rPr>
          <w:b/>
        </w:rPr>
        <w:t>Economic and Environmentally Sustainable (“EES”) Scenario:</w:t>
      </w:r>
      <w:r>
        <w:t xml:space="preserve"> This scenario gives additional weighting to the physical environmental impacts, especially the impact of Natura 2000 sites, with less on economic efficiency.  The weighting for economic efficiency was reduced to 50%, physical impact on the environment 20%, and whether or not the project was located on the Core Ten-T network, 20%.  An additional criterion, with 10% weighting, namely “balanced economic development”, was introduced.  This latter criterion gave some weighting to projects which would assist economic development in Romania’s regions.</w:t>
      </w:r>
    </w:p>
    <w:p w:rsidR="00CD62A3" w:rsidRDefault="00CD62A3">
      <w:pPr>
        <w:rPr>
          <w:sz w:val="22"/>
          <w:szCs w:val="22"/>
        </w:rPr>
      </w:pPr>
      <w:r>
        <w:br w:type="page"/>
      </w:r>
    </w:p>
    <w:p w:rsidR="006C4833" w:rsidRDefault="006C4833" w:rsidP="00A4081F">
      <w:pPr>
        <w:pStyle w:val="NumberedParas"/>
      </w:pPr>
      <w:r>
        <w:t>The criteria used, which were agreed with MT, JASPERS and the EC, and their weighting</w:t>
      </w:r>
      <w:r w:rsidR="00AB7F46">
        <w:t>s</w:t>
      </w:r>
      <w:r>
        <w:t>, were as follows:</w:t>
      </w:r>
    </w:p>
    <w:p w:rsidR="00B602BC" w:rsidRPr="00045287" w:rsidRDefault="000923B2" w:rsidP="00045287">
      <w:pPr>
        <w:pStyle w:val="Body"/>
        <w:spacing w:before="120" w:after="120"/>
        <w:ind w:left="1418"/>
        <w:rPr>
          <w:b/>
        </w:rPr>
      </w:pPr>
      <w:r>
        <w:rPr>
          <w:b/>
          <w:i w:val="0"/>
        </w:rPr>
        <w:t>Table 10.3</w:t>
      </w:r>
      <w:r w:rsidR="00B602BC" w:rsidRPr="00045287">
        <w:rPr>
          <w:b/>
          <w:i w:val="0"/>
        </w:rPr>
        <w:t xml:space="preserve">  Criteria and Weights for the ES and EES Scenarios</w:t>
      </w:r>
    </w:p>
    <w:tbl>
      <w:tblPr>
        <w:tblStyle w:val="TableGrid"/>
        <w:tblW w:w="0" w:type="auto"/>
        <w:tblInd w:w="1452" w:type="dxa"/>
        <w:tblLook w:val="04A0" w:firstRow="1" w:lastRow="0" w:firstColumn="1" w:lastColumn="0" w:noHBand="0" w:noVBand="1"/>
      </w:tblPr>
      <w:tblGrid>
        <w:gridCol w:w="4468"/>
        <w:gridCol w:w="1913"/>
        <w:gridCol w:w="1914"/>
      </w:tblGrid>
      <w:tr w:rsidR="006C4833" w:rsidRPr="002768B4" w:rsidTr="00045287">
        <w:trPr>
          <w:trHeight w:val="539"/>
        </w:trPr>
        <w:tc>
          <w:tcPr>
            <w:tcW w:w="4468" w:type="dxa"/>
            <w:shd w:val="clear" w:color="auto" w:fill="B8CCE4" w:themeFill="accent1" w:themeFillTint="66"/>
            <w:vAlign w:val="center"/>
          </w:tcPr>
          <w:p w:rsidR="006C4833" w:rsidRPr="002768B4" w:rsidRDefault="006C4833" w:rsidP="00EC52AA">
            <w:pPr>
              <w:rPr>
                <w:rFonts w:cs="Arial"/>
                <w:b/>
                <w:color w:val="000000"/>
                <w:sz w:val="22"/>
                <w:szCs w:val="22"/>
                <w:lang w:val="en-US"/>
              </w:rPr>
            </w:pPr>
            <w:r w:rsidRPr="002768B4">
              <w:rPr>
                <w:rFonts w:cs="Arial"/>
                <w:b/>
                <w:color w:val="000000"/>
                <w:sz w:val="22"/>
                <w:szCs w:val="22"/>
                <w:lang w:val="en-US"/>
              </w:rPr>
              <w:t>Criteria</w:t>
            </w:r>
          </w:p>
        </w:tc>
        <w:tc>
          <w:tcPr>
            <w:tcW w:w="1913" w:type="dxa"/>
            <w:shd w:val="clear" w:color="auto" w:fill="B8CCE4" w:themeFill="accent1" w:themeFillTint="66"/>
            <w:vAlign w:val="center"/>
          </w:tcPr>
          <w:p w:rsidR="006C4833" w:rsidRPr="002768B4" w:rsidRDefault="006C4833" w:rsidP="00EC52AA">
            <w:pPr>
              <w:jc w:val="center"/>
              <w:rPr>
                <w:rFonts w:cs="Arial"/>
                <w:b/>
                <w:color w:val="000000"/>
                <w:sz w:val="22"/>
                <w:szCs w:val="22"/>
                <w:lang w:val="en-US"/>
              </w:rPr>
            </w:pPr>
            <w:r w:rsidRPr="002768B4">
              <w:rPr>
                <w:rFonts w:cs="Arial"/>
                <w:b/>
                <w:color w:val="000000"/>
                <w:sz w:val="22"/>
                <w:szCs w:val="22"/>
                <w:lang w:val="en-US"/>
              </w:rPr>
              <w:t>ES</w:t>
            </w:r>
          </w:p>
        </w:tc>
        <w:tc>
          <w:tcPr>
            <w:tcW w:w="1914" w:type="dxa"/>
            <w:shd w:val="clear" w:color="auto" w:fill="B8CCE4" w:themeFill="accent1" w:themeFillTint="66"/>
            <w:vAlign w:val="center"/>
          </w:tcPr>
          <w:p w:rsidR="006C4833" w:rsidRPr="002768B4" w:rsidRDefault="006C4833" w:rsidP="00EC52AA">
            <w:pPr>
              <w:jc w:val="center"/>
              <w:rPr>
                <w:rFonts w:cs="Arial"/>
                <w:b/>
                <w:color w:val="000000"/>
                <w:sz w:val="22"/>
                <w:szCs w:val="22"/>
                <w:lang w:val="en-US"/>
              </w:rPr>
            </w:pPr>
            <w:r w:rsidRPr="002768B4">
              <w:rPr>
                <w:rFonts w:cs="Arial"/>
                <w:b/>
                <w:color w:val="000000"/>
                <w:sz w:val="22"/>
                <w:szCs w:val="22"/>
                <w:lang w:val="en-US"/>
              </w:rPr>
              <w:t>EES</w:t>
            </w:r>
          </w:p>
        </w:tc>
      </w:tr>
      <w:tr w:rsidR="006C4833" w:rsidRPr="002768B4" w:rsidTr="00045287">
        <w:trPr>
          <w:trHeight w:hRule="exact" w:val="567"/>
        </w:trPr>
        <w:tc>
          <w:tcPr>
            <w:tcW w:w="4468" w:type="dxa"/>
            <w:vAlign w:val="center"/>
          </w:tcPr>
          <w:p w:rsidR="006C4833" w:rsidRPr="00660BC1" w:rsidRDefault="006C4833" w:rsidP="00EC52AA">
            <w:pPr>
              <w:rPr>
                <w:rFonts w:cs="Arial"/>
                <w:color w:val="000000"/>
                <w:sz w:val="22"/>
                <w:szCs w:val="22"/>
                <w:lang w:val="en-US"/>
              </w:rPr>
            </w:pPr>
            <w:r w:rsidRPr="00660BC1">
              <w:rPr>
                <w:rFonts w:cs="Arial"/>
                <w:color w:val="000000"/>
                <w:sz w:val="22"/>
                <w:szCs w:val="22"/>
                <w:lang w:val="en-US"/>
              </w:rPr>
              <w:t>Economic Efficiency</w:t>
            </w:r>
          </w:p>
        </w:tc>
        <w:tc>
          <w:tcPr>
            <w:tcW w:w="1913" w:type="dxa"/>
            <w:vAlign w:val="center"/>
          </w:tcPr>
          <w:p w:rsidR="006C4833" w:rsidRPr="002768B4" w:rsidRDefault="006C4833" w:rsidP="00EC52AA">
            <w:pPr>
              <w:jc w:val="center"/>
              <w:rPr>
                <w:sz w:val="22"/>
                <w:szCs w:val="22"/>
                <w:lang w:val="en-US"/>
              </w:rPr>
            </w:pPr>
            <w:r>
              <w:rPr>
                <w:sz w:val="22"/>
                <w:szCs w:val="22"/>
                <w:lang w:val="en-US"/>
              </w:rPr>
              <w:t>70%</w:t>
            </w:r>
          </w:p>
        </w:tc>
        <w:tc>
          <w:tcPr>
            <w:tcW w:w="1914" w:type="dxa"/>
            <w:vAlign w:val="center"/>
          </w:tcPr>
          <w:p w:rsidR="006C4833" w:rsidRPr="002768B4" w:rsidRDefault="006C4833" w:rsidP="00EC52AA">
            <w:pPr>
              <w:jc w:val="center"/>
              <w:rPr>
                <w:sz w:val="22"/>
                <w:szCs w:val="22"/>
                <w:lang w:val="en-US"/>
              </w:rPr>
            </w:pPr>
            <w:r>
              <w:rPr>
                <w:sz w:val="22"/>
                <w:szCs w:val="22"/>
                <w:lang w:val="en-US"/>
              </w:rPr>
              <w:t>50%</w:t>
            </w:r>
          </w:p>
        </w:tc>
      </w:tr>
      <w:tr w:rsidR="006C4833" w:rsidRPr="002768B4" w:rsidTr="00045287">
        <w:trPr>
          <w:trHeight w:hRule="exact" w:val="567"/>
        </w:trPr>
        <w:tc>
          <w:tcPr>
            <w:tcW w:w="4468" w:type="dxa"/>
            <w:vAlign w:val="center"/>
          </w:tcPr>
          <w:p w:rsidR="006C4833" w:rsidRPr="00660BC1" w:rsidRDefault="006C4833" w:rsidP="00EC52AA">
            <w:pPr>
              <w:rPr>
                <w:rFonts w:cs="Arial"/>
                <w:color w:val="000000"/>
                <w:sz w:val="22"/>
                <w:szCs w:val="22"/>
                <w:lang w:val="en-US"/>
              </w:rPr>
            </w:pPr>
            <w:r w:rsidRPr="00660BC1">
              <w:rPr>
                <w:rFonts w:cs="Arial"/>
                <w:color w:val="000000"/>
                <w:sz w:val="22"/>
                <w:szCs w:val="22"/>
                <w:lang w:val="en-US"/>
              </w:rPr>
              <w:t>Trans-European Integration</w:t>
            </w:r>
            <w:r w:rsidRPr="002768B4">
              <w:rPr>
                <w:rFonts w:cs="Arial"/>
                <w:color w:val="000000"/>
                <w:sz w:val="22"/>
                <w:szCs w:val="22"/>
                <w:lang w:val="en-US"/>
              </w:rPr>
              <w:t>/TEN-T Policy</w:t>
            </w:r>
          </w:p>
        </w:tc>
        <w:tc>
          <w:tcPr>
            <w:tcW w:w="1913" w:type="dxa"/>
            <w:vAlign w:val="center"/>
          </w:tcPr>
          <w:p w:rsidR="006C4833" w:rsidRPr="002768B4" w:rsidRDefault="006C4833" w:rsidP="00EC52AA">
            <w:pPr>
              <w:jc w:val="center"/>
              <w:rPr>
                <w:sz w:val="22"/>
                <w:szCs w:val="22"/>
                <w:lang w:val="en-US"/>
              </w:rPr>
            </w:pPr>
            <w:r>
              <w:rPr>
                <w:sz w:val="22"/>
                <w:szCs w:val="22"/>
                <w:lang w:val="en-US"/>
              </w:rPr>
              <w:t>30%</w:t>
            </w:r>
          </w:p>
        </w:tc>
        <w:tc>
          <w:tcPr>
            <w:tcW w:w="1914" w:type="dxa"/>
            <w:vAlign w:val="center"/>
          </w:tcPr>
          <w:p w:rsidR="006C4833" w:rsidRPr="002768B4" w:rsidRDefault="006C4833" w:rsidP="00EC52AA">
            <w:pPr>
              <w:jc w:val="center"/>
              <w:rPr>
                <w:sz w:val="22"/>
                <w:szCs w:val="22"/>
                <w:lang w:val="en-US"/>
              </w:rPr>
            </w:pPr>
            <w:r>
              <w:rPr>
                <w:sz w:val="22"/>
                <w:szCs w:val="22"/>
                <w:lang w:val="en-US"/>
              </w:rPr>
              <w:t>20%</w:t>
            </w:r>
          </w:p>
        </w:tc>
      </w:tr>
      <w:tr w:rsidR="006C4833" w:rsidRPr="002768B4" w:rsidTr="00045287">
        <w:trPr>
          <w:trHeight w:hRule="exact" w:val="567"/>
        </w:trPr>
        <w:tc>
          <w:tcPr>
            <w:tcW w:w="4468" w:type="dxa"/>
            <w:vAlign w:val="center"/>
          </w:tcPr>
          <w:p w:rsidR="006C4833" w:rsidRPr="00660BC1" w:rsidRDefault="006C4833" w:rsidP="00EC52AA">
            <w:pPr>
              <w:rPr>
                <w:rFonts w:cs="Arial"/>
                <w:color w:val="000000"/>
                <w:sz w:val="22"/>
                <w:szCs w:val="22"/>
                <w:lang w:val="en-US"/>
              </w:rPr>
            </w:pPr>
            <w:r w:rsidRPr="00660BC1">
              <w:rPr>
                <w:rFonts w:cs="Arial"/>
                <w:color w:val="000000"/>
                <w:sz w:val="22"/>
                <w:szCs w:val="22"/>
                <w:lang w:val="en-US"/>
              </w:rPr>
              <w:t>Environmental Impact</w:t>
            </w:r>
          </w:p>
        </w:tc>
        <w:tc>
          <w:tcPr>
            <w:tcW w:w="1913" w:type="dxa"/>
            <w:vAlign w:val="center"/>
          </w:tcPr>
          <w:p w:rsidR="006C4833" w:rsidRPr="002768B4" w:rsidRDefault="006C4833" w:rsidP="00EC52AA">
            <w:pPr>
              <w:jc w:val="center"/>
              <w:rPr>
                <w:sz w:val="22"/>
                <w:szCs w:val="22"/>
                <w:lang w:val="en-US"/>
              </w:rPr>
            </w:pPr>
            <w:r>
              <w:rPr>
                <w:sz w:val="22"/>
                <w:szCs w:val="22"/>
                <w:lang w:val="en-US"/>
              </w:rPr>
              <w:t>-</w:t>
            </w:r>
          </w:p>
        </w:tc>
        <w:tc>
          <w:tcPr>
            <w:tcW w:w="1914" w:type="dxa"/>
            <w:vAlign w:val="center"/>
          </w:tcPr>
          <w:p w:rsidR="006C4833" w:rsidRPr="002768B4" w:rsidRDefault="006C4833" w:rsidP="00EC52AA">
            <w:pPr>
              <w:jc w:val="center"/>
              <w:rPr>
                <w:sz w:val="22"/>
                <w:szCs w:val="22"/>
                <w:lang w:val="en-US"/>
              </w:rPr>
            </w:pPr>
            <w:r>
              <w:rPr>
                <w:sz w:val="22"/>
                <w:szCs w:val="22"/>
                <w:lang w:val="en-US"/>
              </w:rPr>
              <w:t>20%</w:t>
            </w:r>
          </w:p>
        </w:tc>
      </w:tr>
      <w:tr w:rsidR="006C4833" w:rsidRPr="002768B4" w:rsidTr="00045287">
        <w:trPr>
          <w:trHeight w:hRule="exact" w:val="567"/>
        </w:trPr>
        <w:tc>
          <w:tcPr>
            <w:tcW w:w="4468" w:type="dxa"/>
            <w:vAlign w:val="center"/>
          </w:tcPr>
          <w:p w:rsidR="006C4833" w:rsidRPr="00660BC1" w:rsidRDefault="006C4833" w:rsidP="00EC52AA">
            <w:pPr>
              <w:rPr>
                <w:rFonts w:cs="Arial"/>
                <w:color w:val="000000"/>
                <w:sz w:val="22"/>
                <w:szCs w:val="22"/>
                <w:lang w:val="en-US"/>
              </w:rPr>
            </w:pPr>
            <w:r w:rsidRPr="00660BC1">
              <w:rPr>
                <w:rFonts w:cs="Arial"/>
                <w:color w:val="000000"/>
                <w:sz w:val="22"/>
                <w:szCs w:val="22"/>
                <w:lang w:val="en-US"/>
              </w:rPr>
              <w:t>Sustainability</w:t>
            </w:r>
          </w:p>
        </w:tc>
        <w:tc>
          <w:tcPr>
            <w:tcW w:w="3827" w:type="dxa"/>
            <w:gridSpan w:val="2"/>
            <w:vAlign w:val="center"/>
          </w:tcPr>
          <w:p w:rsidR="006C4833" w:rsidRPr="002768B4" w:rsidRDefault="006C4833" w:rsidP="00EC52AA">
            <w:pPr>
              <w:jc w:val="center"/>
              <w:rPr>
                <w:sz w:val="22"/>
                <w:szCs w:val="22"/>
                <w:lang w:val="en-US"/>
              </w:rPr>
            </w:pPr>
            <w:r w:rsidRPr="002768B4">
              <w:rPr>
                <w:sz w:val="22"/>
                <w:szCs w:val="22"/>
                <w:lang w:val="en-US"/>
              </w:rPr>
              <w:t>Not scored but dealt with the distribution of funds by mode</w:t>
            </w:r>
          </w:p>
        </w:tc>
      </w:tr>
      <w:tr w:rsidR="006C4833" w:rsidRPr="002768B4" w:rsidTr="00045287">
        <w:trPr>
          <w:trHeight w:hRule="exact" w:val="567"/>
        </w:trPr>
        <w:tc>
          <w:tcPr>
            <w:tcW w:w="4468" w:type="dxa"/>
            <w:vAlign w:val="center"/>
          </w:tcPr>
          <w:p w:rsidR="006C4833" w:rsidRPr="00660BC1" w:rsidRDefault="006C4833" w:rsidP="00EC52AA">
            <w:pPr>
              <w:rPr>
                <w:rFonts w:cs="Arial"/>
                <w:color w:val="000000"/>
                <w:sz w:val="22"/>
                <w:szCs w:val="22"/>
                <w:lang w:val="en-US"/>
              </w:rPr>
            </w:pPr>
            <w:r w:rsidRPr="00660BC1">
              <w:rPr>
                <w:rFonts w:cs="Arial"/>
                <w:color w:val="000000"/>
                <w:sz w:val="22"/>
                <w:szCs w:val="22"/>
                <w:lang w:val="en-US"/>
              </w:rPr>
              <w:t>Balanced Economic Development</w:t>
            </w:r>
          </w:p>
        </w:tc>
        <w:tc>
          <w:tcPr>
            <w:tcW w:w="1913" w:type="dxa"/>
            <w:vAlign w:val="center"/>
          </w:tcPr>
          <w:p w:rsidR="006C4833" w:rsidRPr="002768B4" w:rsidRDefault="006C4833" w:rsidP="00EC52AA">
            <w:pPr>
              <w:jc w:val="center"/>
              <w:rPr>
                <w:sz w:val="22"/>
                <w:szCs w:val="22"/>
                <w:lang w:val="en-US"/>
              </w:rPr>
            </w:pPr>
            <w:r>
              <w:rPr>
                <w:sz w:val="22"/>
                <w:szCs w:val="22"/>
                <w:lang w:val="en-US"/>
              </w:rPr>
              <w:t>-</w:t>
            </w:r>
          </w:p>
        </w:tc>
        <w:tc>
          <w:tcPr>
            <w:tcW w:w="1914" w:type="dxa"/>
            <w:vAlign w:val="center"/>
          </w:tcPr>
          <w:p w:rsidR="006C4833" w:rsidRPr="002768B4" w:rsidRDefault="006C4833" w:rsidP="00EC52AA">
            <w:pPr>
              <w:jc w:val="center"/>
              <w:rPr>
                <w:sz w:val="22"/>
                <w:szCs w:val="22"/>
                <w:lang w:val="en-US"/>
              </w:rPr>
            </w:pPr>
            <w:r>
              <w:rPr>
                <w:sz w:val="22"/>
                <w:szCs w:val="22"/>
                <w:lang w:val="en-US"/>
              </w:rPr>
              <w:t>10%</w:t>
            </w:r>
          </w:p>
        </w:tc>
      </w:tr>
    </w:tbl>
    <w:p w:rsidR="006C4833" w:rsidRDefault="006C4833" w:rsidP="00A4081F">
      <w:pPr>
        <w:pStyle w:val="NumberedParas"/>
        <w:numPr>
          <w:ilvl w:val="0"/>
          <w:numId w:val="0"/>
        </w:numPr>
        <w:ind w:left="1673"/>
      </w:pPr>
      <w:r w:rsidRPr="000C700D">
        <w:t>Source: AECOM, MT, JASPERS and EC</w:t>
      </w:r>
    </w:p>
    <w:p w:rsidR="006C4833" w:rsidRPr="00DB4015" w:rsidRDefault="003E1EA4" w:rsidP="00F05049">
      <w:pPr>
        <w:pStyle w:val="NumberedParas"/>
      </w:pPr>
      <w:r>
        <w:t>T</w:t>
      </w:r>
      <w:r w:rsidR="006C4833">
        <w:t>he measure of economic efficiency includes the benefits due to accident reduction, and changes in emissions and air pollution, so there is an implicit recognition of some environmental impacts in the cost-benefit analysis.</w:t>
      </w:r>
    </w:p>
    <w:p w:rsidR="006C4833" w:rsidRDefault="00B602BC" w:rsidP="00A4081F">
      <w:pPr>
        <w:pStyle w:val="NumberedParas"/>
      </w:pPr>
      <w:r>
        <w:t>The scoring of each cr</w:t>
      </w:r>
      <w:r w:rsidR="000923B2">
        <w:t>iterion is given in Tables 10.4-5</w:t>
      </w:r>
      <w:r>
        <w:t xml:space="preserve"> below, for the ES and EES scenarios.</w:t>
      </w:r>
    </w:p>
    <w:p w:rsidR="00B602BC" w:rsidRPr="00045287" w:rsidRDefault="000923B2">
      <w:pPr>
        <w:pStyle w:val="Body"/>
        <w:rPr>
          <w:rFonts w:cs="Arial"/>
          <w:b/>
          <w:i w:val="0"/>
          <w:sz w:val="20"/>
          <w:szCs w:val="20"/>
        </w:rPr>
      </w:pPr>
      <w:r>
        <w:rPr>
          <w:rFonts w:cs="Arial"/>
          <w:b/>
          <w:i w:val="0"/>
          <w:sz w:val="20"/>
          <w:szCs w:val="20"/>
        </w:rPr>
        <w:t>Table 10.4</w:t>
      </w:r>
      <w:r w:rsidR="00F05049">
        <w:rPr>
          <w:rFonts w:cs="Arial"/>
          <w:b/>
          <w:i w:val="0"/>
          <w:sz w:val="20"/>
          <w:szCs w:val="20"/>
        </w:rPr>
        <w:t xml:space="preserve"> </w:t>
      </w:r>
      <w:r w:rsidR="00B602BC" w:rsidRPr="00045287">
        <w:rPr>
          <w:rFonts w:cs="Arial"/>
          <w:b/>
          <w:i w:val="0"/>
          <w:sz w:val="20"/>
          <w:szCs w:val="20"/>
        </w:rPr>
        <w:t>Scoring of Projects for the ES Scenario Criteria</w:t>
      </w:r>
    </w:p>
    <w:tbl>
      <w:tblPr>
        <w:tblW w:w="5000" w:type="pct"/>
        <w:tblLook w:val="04A0" w:firstRow="1" w:lastRow="0" w:firstColumn="1" w:lastColumn="0" w:noHBand="0" w:noVBand="1"/>
      </w:tblPr>
      <w:tblGrid>
        <w:gridCol w:w="624"/>
        <w:gridCol w:w="1475"/>
        <w:gridCol w:w="1503"/>
        <w:gridCol w:w="1246"/>
        <w:gridCol w:w="962"/>
        <w:gridCol w:w="1713"/>
        <w:gridCol w:w="2984"/>
      </w:tblGrid>
      <w:tr w:rsidR="003E1EA4" w:rsidRPr="00F05049" w:rsidTr="00F05049">
        <w:trPr>
          <w:trHeight w:val="1002"/>
        </w:trPr>
        <w:tc>
          <w:tcPr>
            <w:tcW w:w="297"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No.</w:t>
            </w:r>
          </w:p>
        </w:tc>
        <w:tc>
          <w:tcPr>
            <w:tcW w:w="702"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Master Plan High-Level Objective</w:t>
            </w:r>
          </w:p>
        </w:tc>
        <w:tc>
          <w:tcPr>
            <w:tcW w:w="715"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Criteria</w:t>
            </w:r>
          </w:p>
        </w:tc>
        <w:tc>
          <w:tcPr>
            <w:tcW w:w="593"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Indicator/ Reference</w:t>
            </w:r>
          </w:p>
        </w:tc>
        <w:tc>
          <w:tcPr>
            <w:tcW w:w="458"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Weight</w:t>
            </w:r>
          </w:p>
        </w:tc>
        <w:tc>
          <w:tcPr>
            <w:tcW w:w="815"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Scoring criteria</w:t>
            </w:r>
          </w:p>
        </w:tc>
        <w:tc>
          <w:tcPr>
            <w:tcW w:w="1420" w:type="pct"/>
            <w:tcBorders>
              <w:top w:val="single" w:sz="8" w:space="0" w:color="auto"/>
              <w:left w:val="nil"/>
              <w:bottom w:val="nil"/>
              <w:right w:val="single" w:sz="8"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val="ro-RO"/>
              </w:rPr>
            </w:pPr>
            <w:r w:rsidRPr="00F05049">
              <w:rPr>
                <w:rFonts w:cs="Arial"/>
                <w:b/>
                <w:bCs/>
                <w:sz w:val="20"/>
                <w:szCs w:val="20"/>
                <w:lang w:val="ro-RO"/>
              </w:rPr>
              <w:t>Scoring (points)</w:t>
            </w:r>
          </w:p>
        </w:tc>
      </w:tr>
      <w:tr w:rsidR="003E1EA4" w:rsidRPr="003E1EA4" w:rsidTr="00CD62A3">
        <w:trPr>
          <w:trHeight w:val="402"/>
        </w:trPr>
        <w:tc>
          <w:tcPr>
            <w:tcW w:w="297"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A</w:t>
            </w:r>
          </w:p>
        </w:tc>
        <w:tc>
          <w:tcPr>
            <w:tcW w:w="70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Economic Efficiency</w:t>
            </w:r>
          </w:p>
        </w:tc>
        <w:tc>
          <w:tcPr>
            <w:tcW w:w="715"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Economic Performance</w:t>
            </w:r>
          </w:p>
        </w:tc>
        <w:tc>
          <w:tcPr>
            <w:tcW w:w="593"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EIRR</w:t>
            </w:r>
          </w:p>
        </w:tc>
        <w:tc>
          <w:tcPr>
            <w:tcW w:w="458"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70%</w:t>
            </w:r>
          </w:p>
        </w:tc>
        <w:tc>
          <w:tcPr>
            <w:tcW w:w="815" w:type="pct"/>
            <w:tcBorders>
              <w:top w:val="single" w:sz="8" w:space="0" w:color="auto"/>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5%</w:t>
            </w:r>
          </w:p>
        </w:tc>
        <w:tc>
          <w:tcPr>
            <w:tcW w:w="1420" w:type="pct"/>
            <w:tcBorders>
              <w:top w:val="single" w:sz="8" w:space="0" w:color="auto"/>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r w:rsidR="00B602BC" w:rsidRPr="003E1EA4" w:rsidTr="00CD62A3">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02"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15"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3"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58"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815" w:type="pct"/>
            <w:tcBorders>
              <w:top w:val="nil"/>
              <w:left w:val="nil"/>
              <w:bottom w:val="nil"/>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Maximum EIRR</w:t>
            </w:r>
          </w:p>
        </w:tc>
        <w:tc>
          <w:tcPr>
            <w:tcW w:w="1420" w:type="pct"/>
            <w:tcBorders>
              <w:top w:val="nil"/>
              <w:left w:val="nil"/>
              <w:bottom w:val="nil"/>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3E1EA4" w:rsidTr="00CD62A3">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02"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15"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3"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58"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815" w:type="pct"/>
            <w:tcBorders>
              <w:top w:val="single" w:sz="4" w:space="0" w:color="auto"/>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&gt; 5% &lt; highest EIRR%</w:t>
            </w:r>
          </w:p>
        </w:tc>
        <w:tc>
          <w:tcPr>
            <w:tcW w:w="1420" w:type="pct"/>
            <w:tcBorders>
              <w:top w:val="single" w:sz="4" w:space="0" w:color="auto"/>
              <w:left w:val="nil"/>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Proportionally from 100 = highest EIRR</w:t>
            </w:r>
          </w:p>
        </w:tc>
      </w:tr>
      <w:tr w:rsidR="003E1EA4" w:rsidRPr="003E1EA4" w:rsidTr="00CD62A3">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B</w:t>
            </w:r>
          </w:p>
        </w:tc>
        <w:tc>
          <w:tcPr>
            <w:tcW w:w="70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Trans-European Integration</w:t>
            </w:r>
          </w:p>
        </w:tc>
        <w:tc>
          <w:tcPr>
            <w:tcW w:w="715"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Relation with TEN-T network</w:t>
            </w:r>
          </w:p>
        </w:tc>
        <w:tc>
          <w:tcPr>
            <w:tcW w:w="59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TEN-T Regulation</w:t>
            </w:r>
          </w:p>
        </w:tc>
        <w:tc>
          <w:tcPr>
            <w:tcW w:w="458"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30%</w:t>
            </w:r>
          </w:p>
        </w:tc>
        <w:tc>
          <w:tcPr>
            <w:tcW w:w="815"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Core TEN-T link </w:t>
            </w:r>
          </w:p>
        </w:tc>
        <w:tc>
          <w:tcPr>
            <w:tcW w:w="1420"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3E1EA4"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0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15"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58"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815"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Comprehensive TEN-T link </w:t>
            </w:r>
          </w:p>
        </w:tc>
        <w:tc>
          <w:tcPr>
            <w:tcW w:w="1420"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30</w:t>
            </w:r>
          </w:p>
        </w:tc>
      </w:tr>
      <w:tr w:rsidR="00B602BC" w:rsidRPr="003E1EA4"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0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15"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58"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815" w:type="pct"/>
            <w:tcBorders>
              <w:top w:val="nil"/>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Other links </w:t>
            </w:r>
          </w:p>
        </w:tc>
        <w:tc>
          <w:tcPr>
            <w:tcW w:w="1420" w:type="pct"/>
            <w:tcBorders>
              <w:top w:val="nil"/>
              <w:left w:val="nil"/>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r w:rsidR="00B602BC" w:rsidRPr="003E1EA4" w:rsidTr="00CD62A3">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C</w:t>
            </w:r>
          </w:p>
        </w:tc>
        <w:tc>
          <w:tcPr>
            <w:tcW w:w="70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Sustainability</w:t>
            </w:r>
          </w:p>
        </w:tc>
        <w:tc>
          <w:tcPr>
            <w:tcW w:w="715"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Contribution to  cleaner transport modes policy</w:t>
            </w:r>
          </w:p>
        </w:tc>
        <w:tc>
          <w:tcPr>
            <w:tcW w:w="59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White Paper</w:t>
            </w:r>
          </w:p>
        </w:tc>
        <w:tc>
          <w:tcPr>
            <w:tcW w:w="2693" w:type="pct"/>
            <w:gridSpan w:val="3"/>
            <w:vMerge w:val="restart"/>
            <w:tcBorders>
              <w:top w:val="single" w:sz="8" w:space="0" w:color="auto"/>
              <w:left w:val="single" w:sz="4" w:space="0" w:color="auto"/>
              <w:bottom w:val="single" w:sz="8" w:space="0" w:color="000000"/>
              <w:right w:val="single" w:sz="8" w:space="0" w:color="000000"/>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 xml:space="preserve">Not scored under MCA but dealt with via pre-allocation of funding per sectors: </w:t>
            </w:r>
            <w:r w:rsidRPr="00045287">
              <w:rPr>
                <w:rFonts w:cs="Arial"/>
                <w:color w:val="000000"/>
                <w:sz w:val="20"/>
                <w:szCs w:val="20"/>
                <w:lang w:eastAsia="en-GB"/>
              </w:rPr>
              <w:br/>
              <w:t>this scenario assumes 51% roads, 44% for rail and 5% for Ports, IWT, Intermodal and Aviation</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702" w:type="pct"/>
            <w:vMerge/>
            <w:tcBorders>
              <w:top w:val="nil"/>
              <w:left w:val="single" w:sz="4"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715" w:type="pct"/>
            <w:vMerge/>
            <w:tcBorders>
              <w:top w:val="nil"/>
              <w:left w:val="single" w:sz="4"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593" w:type="pct"/>
            <w:vMerge/>
            <w:tcBorders>
              <w:top w:val="nil"/>
              <w:left w:val="single" w:sz="4"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2693" w:type="pct"/>
            <w:gridSpan w:val="3"/>
            <w:vMerge/>
            <w:tcBorders>
              <w:top w:val="single" w:sz="8" w:space="0" w:color="auto"/>
              <w:left w:val="single" w:sz="4" w:space="0" w:color="auto"/>
              <w:bottom w:val="single" w:sz="8" w:space="0" w:color="000000"/>
              <w:right w:val="single" w:sz="8" w:space="0" w:color="000000"/>
            </w:tcBorders>
            <w:vAlign w:val="center"/>
            <w:hideMark/>
          </w:tcPr>
          <w:p w:rsidR="00B602BC" w:rsidRPr="00B602BC" w:rsidRDefault="00B602BC" w:rsidP="00B602BC">
            <w:pPr>
              <w:rPr>
                <w:rFonts w:cs="Arial"/>
                <w:color w:val="000000"/>
                <w:sz w:val="22"/>
                <w:szCs w:val="22"/>
                <w:lang w:eastAsia="en-GB"/>
              </w:rPr>
            </w:pPr>
          </w:p>
        </w:tc>
      </w:tr>
    </w:tbl>
    <w:p w:rsidR="003E1EA4" w:rsidRPr="00045287" w:rsidRDefault="003E1EA4">
      <w:pPr>
        <w:pStyle w:val="Body"/>
        <w:rPr>
          <w:b/>
        </w:rPr>
      </w:pPr>
      <w:r w:rsidRPr="00045287">
        <w:rPr>
          <w:sz w:val="18"/>
          <w:szCs w:val="18"/>
        </w:rPr>
        <w:t>Source: AECOM, MT, JASPERS and EC</w:t>
      </w:r>
    </w:p>
    <w:p w:rsidR="003E1EA4" w:rsidRDefault="003E1EA4" w:rsidP="003E1EA4">
      <w:pPr>
        <w:pStyle w:val="Body"/>
        <w:rPr>
          <w:b/>
          <w:i w:val="0"/>
        </w:rPr>
        <w:sectPr w:rsidR="003E1EA4" w:rsidSect="00933C17">
          <w:pgSz w:w="11907" w:h="16840" w:code="9"/>
          <w:pgMar w:top="1418" w:right="709" w:bottom="1418" w:left="907" w:header="357" w:footer="567" w:gutter="0"/>
          <w:cols w:space="187"/>
          <w:docGrid w:linePitch="360"/>
        </w:sectPr>
      </w:pPr>
    </w:p>
    <w:p w:rsidR="00B602BC" w:rsidRPr="00045287" w:rsidRDefault="000923B2">
      <w:pPr>
        <w:pStyle w:val="Body"/>
        <w:rPr>
          <w:b/>
          <w:i w:val="0"/>
        </w:rPr>
      </w:pPr>
      <w:r>
        <w:rPr>
          <w:b/>
          <w:i w:val="0"/>
        </w:rPr>
        <w:t>Table 10.5</w:t>
      </w:r>
      <w:r w:rsidR="003E1EA4" w:rsidRPr="00045287">
        <w:rPr>
          <w:b/>
          <w:i w:val="0"/>
        </w:rPr>
        <w:t xml:space="preserve">  Scoring of Projects for the ES Scenario Criteria</w:t>
      </w:r>
    </w:p>
    <w:tbl>
      <w:tblPr>
        <w:tblW w:w="5000" w:type="pct"/>
        <w:tblLook w:val="04A0" w:firstRow="1" w:lastRow="0" w:firstColumn="1" w:lastColumn="0" w:noHBand="0" w:noVBand="1"/>
      </w:tblPr>
      <w:tblGrid>
        <w:gridCol w:w="608"/>
        <w:gridCol w:w="1495"/>
        <w:gridCol w:w="1504"/>
        <w:gridCol w:w="1283"/>
        <w:gridCol w:w="952"/>
        <w:gridCol w:w="1643"/>
        <w:gridCol w:w="3022"/>
      </w:tblGrid>
      <w:tr w:rsidR="00F05049" w:rsidRPr="00F05049" w:rsidTr="00F05049">
        <w:trPr>
          <w:trHeight w:val="1002"/>
        </w:trPr>
        <w:tc>
          <w:tcPr>
            <w:tcW w:w="297"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2"/>
                <w:szCs w:val="22"/>
                <w:lang w:eastAsia="en-GB"/>
              </w:rPr>
            </w:pPr>
            <w:r w:rsidRPr="00F05049">
              <w:rPr>
                <w:rFonts w:cs="Arial"/>
                <w:b/>
                <w:bCs/>
                <w:sz w:val="22"/>
                <w:szCs w:val="22"/>
                <w:lang w:eastAsia="en-GB"/>
              </w:rPr>
              <w:t>No.</w:t>
            </w:r>
          </w:p>
        </w:tc>
        <w:tc>
          <w:tcPr>
            <w:tcW w:w="694"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Master Plan High-Level Objective</w:t>
            </w:r>
          </w:p>
        </w:tc>
        <w:tc>
          <w:tcPr>
            <w:tcW w:w="723"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Criteria</w:t>
            </w:r>
          </w:p>
        </w:tc>
        <w:tc>
          <w:tcPr>
            <w:tcW w:w="592"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Indicator/ Reference</w:t>
            </w:r>
          </w:p>
        </w:tc>
        <w:tc>
          <w:tcPr>
            <w:tcW w:w="460"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Weight</w:t>
            </w:r>
          </w:p>
        </w:tc>
        <w:tc>
          <w:tcPr>
            <w:tcW w:w="789" w:type="pct"/>
            <w:tcBorders>
              <w:top w:val="single" w:sz="8" w:space="0" w:color="auto"/>
              <w:left w:val="nil"/>
              <w:bottom w:val="nil"/>
              <w:right w:val="single" w:sz="4"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Scoring criteria</w:t>
            </w:r>
          </w:p>
        </w:tc>
        <w:tc>
          <w:tcPr>
            <w:tcW w:w="1446" w:type="pct"/>
            <w:tcBorders>
              <w:top w:val="single" w:sz="8" w:space="0" w:color="auto"/>
              <w:left w:val="nil"/>
              <w:bottom w:val="nil"/>
              <w:right w:val="single" w:sz="8" w:space="0" w:color="auto"/>
            </w:tcBorders>
            <w:shd w:val="clear" w:color="auto" w:fill="B8CCE4" w:themeFill="accent1" w:themeFillTint="66"/>
            <w:vAlign w:val="center"/>
            <w:hideMark/>
          </w:tcPr>
          <w:p w:rsidR="00B602BC" w:rsidRPr="00F05049" w:rsidRDefault="00B602BC" w:rsidP="00B602BC">
            <w:pPr>
              <w:jc w:val="center"/>
              <w:rPr>
                <w:rFonts w:cs="Arial"/>
                <w:b/>
                <w:bCs/>
                <w:sz w:val="20"/>
                <w:szCs w:val="20"/>
                <w:lang w:eastAsia="en-GB"/>
              </w:rPr>
            </w:pPr>
            <w:r w:rsidRPr="00F05049">
              <w:rPr>
                <w:rFonts w:cs="Arial"/>
                <w:b/>
                <w:bCs/>
                <w:sz w:val="20"/>
                <w:szCs w:val="20"/>
                <w:lang w:eastAsia="en-GB"/>
              </w:rPr>
              <w:t>Scoring (points)</w:t>
            </w:r>
          </w:p>
        </w:tc>
      </w:tr>
      <w:tr w:rsidR="00B602BC" w:rsidRPr="00B602BC" w:rsidTr="00CD62A3">
        <w:trPr>
          <w:trHeight w:val="402"/>
        </w:trPr>
        <w:tc>
          <w:tcPr>
            <w:tcW w:w="297"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B602BC" w:rsidRPr="00B602BC" w:rsidRDefault="00B602BC" w:rsidP="00B602BC">
            <w:pPr>
              <w:jc w:val="center"/>
              <w:rPr>
                <w:rFonts w:cs="Arial"/>
                <w:color w:val="000000"/>
                <w:sz w:val="22"/>
                <w:szCs w:val="22"/>
                <w:lang w:eastAsia="en-GB"/>
              </w:rPr>
            </w:pPr>
            <w:r w:rsidRPr="00B602BC">
              <w:rPr>
                <w:rFonts w:cs="Arial"/>
                <w:color w:val="000000"/>
                <w:sz w:val="22"/>
                <w:szCs w:val="22"/>
                <w:lang w:eastAsia="en-GB"/>
              </w:rPr>
              <w:t>A</w:t>
            </w:r>
          </w:p>
        </w:tc>
        <w:tc>
          <w:tcPr>
            <w:tcW w:w="69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Economic Efficiency</w:t>
            </w:r>
          </w:p>
        </w:tc>
        <w:tc>
          <w:tcPr>
            <w:tcW w:w="723"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Economic Performance</w:t>
            </w:r>
          </w:p>
        </w:tc>
        <w:tc>
          <w:tcPr>
            <w:tcW w:w="59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EIRR</w:t>
            </w:r>
          </w:p>
        </w:tc>
        <w:tc>
          <w:tcPr>
            <w:tcW w:w="460"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50%</w:t>
            </w:r>
          </w:p>
        </w:tc>
        <w:tc>
          <w:tcPr>
            <w:tcW w:w="789" w:type="pct"/>
            <w:tcBorders>
              <w:top w:val="single" w:sz="8" w:space="0" w:color="auto"/>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5%</w:t>
            </w:r>
          </w:p>
        </w:tc>
        <w:tc>
          <w:tcPr>
            <w:tcW w:w="1446" w:type="pct"/>
            <w:tcBorders>
              <w:top w:val="single" w:sz="8" w:space="0" w:color="auto"/>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r w:rsidR="00B602BC" w:rsidRPr="00B602BC" w:rsidTr="00CD62A3">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nil"/>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Maximum EIRR</w:t>
            </w:r>
          </w:p>
        </w:tc>
        <w:tc>
          <w:tcPr>
            <w:tcW w:w="1446" w:type="pct"/>
            <w:tcBorders>
              <w:top w:val="nil"/>
              <w:left w:val="nil"/>
              <w:bottom w:val="nil"/>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B602BC" w:rsidTr="00CD62A3">
        <w:trPr>
          <w:trHeight w:val="402"/>
        </w:trPr>
        <w:tc>
          <w:tcPr>
            <w:tcW w:w="297" w:type="pct"/>
            <w:vMerge/>
            <w:tcBorders>
              <w:top w:val="single" w:sz="8" w:space="0" w:color="auto"/>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single" w:sz="4" w:space="0" w:color="auto"/>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&gt; 5% &lt; highest EIRR%</w:t>
            </w:r>
          </w:p>
        </w:tc>
        <w:tc>
          <w:tcPr>
            <w:tcW w:w="1446" w:type="pct"/>
            <w:tcBorders>
              <w:top w:val="single" w:sz="4" w:space="0" w:color="auto"/>
              <w:left w:val="nil"/>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Proportionally from 100 = highest EIRR</w:t>
            </w:r>
          </w:p>
        </w:tc>
      </w:tr>
      <w:tr w:rsidR="00B602BC" w:rsidRPr="00B602BC" w:rsidTr="00CD62A3">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B602BC" w:rsidRDefault="00B602BC" w:rsidP="00B602BC">
            <w:pPr>
              <w:jc w:val="center"/>
              <w:rPr>
                <w:rFonts w:cs="Arial"/>
                <w:color w:val="000000"/>
                <w:sz w:val="22"/>
                <w:szCs w:val="22"/>
                <w:lang w:eastAsia="en-GB"/>
              </w:rPr>
            </w:pPr>
            <w:r w:rsidRPr="00B602BC">
              <w:rPr>
                <w:rFonts w:cs="Arial"/>
                <w:color w:val="000000"/>
                <w:sz w:val="22"/>
                <w:szCs w:val="22"/>
                <w:lang w:eastAsia="en-GB"/>
              </w:rPr>
              <w:t>B</w:t>
            </w:r>
          </w:p>
        </w:tc>
        <w:tc>
          <w:tcPr>
            <w:tcW w:w="6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Trans-European Integration</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Relation with TEN-T network</w:t>
            </w:r>
          </w:p>
        </w:tc>
        <w:tc>
          <w:tcPr>
            <w:tcW w:w="59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TEN-T Regulation</w:t>
            </w:r>
          </w:p>
        </w:tc>
        <w:tc>
          <w:tcPr>
            <w:tcW w:w="460"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20%</w:t>
            </w: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Core TEN-T link </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Comprehensive TEN-T link </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50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nil"/>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Secondary connectivity with TEN-T</w:t>
            </w:r>
          </w:p>
        </w:tc>
        <w:tc>
          <w:tcPr>
            <w:tcW w:w="1446" w:type="pct"/>
            <w:tcBorders>
              <w:top w:val="nil"/>
              <w:left w:val="nil"/>
              <w:bottom w:val="nil"/>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single" w:sz="4" w:space="0" w:color="auto"/>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Other links </w:t>
            </w:r>
          </w:p>
        </w:tc>
        <w:tc>
          <w:tcPr>
            <w:tcW w:w="1446" w:type="pct"/>
            <w:tcBorders>
              <w:top w:val="single" w:sz="4" w:space="0" w:color="auto"/>
              <w:left w:val="nil"/>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r w:rsidR="00B602BC" w:rsidRPr="00B602BC" w:rsidTr="00CD62A3">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B602BC" w:rsidRDefault="00B602BC" w:rsidP="00B602BC">
            <w:pPr>
              <w:jc w:val="center"/>
              <w:rPr>
                <w:rFonts w:cs="Arial"/>
                <w:color w:val="000000"/>
                <w:sz w:val="22"/>
                <w:szCs w:val="22"/>
                <w:lang w:eastAsia="en-GB"/>
              </w:rPr>
            </w:pPr>
            <w:r w:rsidRPr="00B602BC">
              <w:rPr>
                <w:rFonts w:cs="Arial"/>
                <w:color w:val="000000"/>
                <w:sz w:val="22"/>
                <w:szCs w:val="22"/>
                <w:lang w:eastAsia="en-GB"/>
              </w:rPr>
              <w:t>C</w:t>
            </w:r>
          </w:p>
        </w:tc>
        <w:tc>
          <w:tcPr>
            <w:tcW w:w="6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Environmental Impact</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Potential environmental impact (in particular on NATURA 2000 sites)</w:t>
            </w:r>
          </w:p>
        </w:tc>
        <w:tc>
          <w:tcPr>
            <w:tcW w:w="59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SEA</w:t>
            </w:r>
          </w:p>
        </w:tc>
        <w:tc>
          <w:tcPr>
            <w:tcW w:w="460"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20%</w:t>
            </w:r>
          </w:p>
        </w:tc>
        <w:tc>
          <w:tcPr>
            <w:tcW w:w="789" w:type="pct"/>
            <w:tcBorders>
              <w:top w:val="nil"/>
              <w:left w:val="single" w:sz="4" w:space="0" w:color="auto"/>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 xml:space="preserve">Very high </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single" w:sz="4" w:space="0" w:color="auto"/>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High</w:t>
            </w:r>
          </w:p>
        </w:tc>
        <w:tc>
          <w:tcPr>
            <w:tcW w:w="1446" w:type="pct"/>
            <w:tcBorders>
              <w:top w:val="single" w:sz="4" w:space="0" w:color="auto"/>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-80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Moderate</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-50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Low</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-30</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None</w:t>
            </w:r>
          </w:p>
        </w:tc>
        <w:tc>
          <w:tcPr>
            <w:tcW w:w="1446" w:type="pct"/>
            <w:tcBorders>
              <w:top w:val="nil"/>
              <w:left w:val="single" w:sz="4" w:space="0" w:color="auto"/>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r w:rsidR="00B602BC" w:rsidRPr="00B602BC" w:rsidTr="00CD62A3">
        <w:trPr>
          <w:trHeight w:val="4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B602BC" w:rsidRDefault="00B602BC" w:rsidP="00B602BC">
            <w:pPr>
              <w:jc w:val="center"/>
              <w:rPr>
                <w:rFonts w:cs="Arial"/>
                <w:color w:val="000000"/>
                <w:sz w:val="22"/>
                <w:szCs w:val="22"/>
                <w:lang w:eastAsia="en-GB"/>
              </w:rPr>
            </w:pPr>
            <w:r w:rsidRPr="00B602BC">
              <w:rPr>
                <w:rFonts w:cs="Arial"/>
                <w:color w:val="000000"/>
                <w:sz w:val="22"/>
                <w:szCs w:val="22"/>
                <w:lang w:eastAsia="en-GB"/>
              </w:rPr>
              <w:t>D</w:t>
            </w:r>
          </w:p>
        </w:tc>
        <w:tc>
          <w:tcPr>
            <w:tcW w:w="6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Sustainability</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Contribution to  cleaner transport modes policy</w:t>
            </w:r>
          </w:p>
        </w:tc>
        <w:tc>
          <w:tcPr>
            <w:tcW w:w="59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White Paper</w:t>
            </w:r>
          </w:p>
        </w:tc>
        <w:tc>
          <w:tcPr>
            <w:tcW w:w="2695" w:type="pct"/>
            <w:gridSpan w:val="3"/>
            <w:vMerge w:val="restart"/>
            <w:tcBorders>
              <w:top w:val="single" w:sz="8" w:space="0" w:color="auto"/>
              <w:left w:val="single" w:sz="4" w:space="0" w:color="auto"/>
              <w:bottom w:val="single" w:sz="8" w:space="0" w:color="000000"/>
              <w:right w:val="single" w:sz="8" w:space="0" w:color="000000"/>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 xml:space="preserve">Not scored under MCA but dealt with via pre-allocation of funding per sectors: </w:t>
            </w:r>
            <w:r w:rsidRPr="00045287">
              <w:rPr>
                <w:rFonts w:cs="Arial"/>
                <w:color w:val="000000"/>
                <w:sz w:val="20"/>
                <w:szCs w:val="20"/>
                <w:lang w:eastAsia="en-GB"/>
              </w:rPr>
              <w:br/>
              <w:t>this scenario assumes 51% roads, 44% for rail and 5% for Ports, IWT, Intermodal and Aviation</w:t>
            </w:r>
          </w:p>
        </w:tc>
      </w:tr>
      <w:tr w:rsidR="00B602BC" w:rsidRPr="00B602BC" w:rsidTr="00CD62A3">
        <w:trPr>
          <w:trHeight w:val="4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2695" w:type="pct"/>
            <w:gridSpan w:val="3"/>
            <w:vMerge/>
            <w:tcBorders>
              <w:top w:val="single" w:sz="8" w:space="0" w:color="auto"/>
              <w:left w:val="single" w:sz="4" w:space="0" w:color="auto"/>
              <w:bottom w:val="single" w:sz="8" w:space="0" w:color="000000"/>
              <w:right w:val="single" w:sz="8" w:space="0" w:color="000000"/>
            </w:tcBorders>
            <w:vAlign w:val="center"/>
            <w:hideMark/>
          </w:tcPr>
          <w:p w:rsidR="00B602BC" w:rsidRPr="00045287" w:rsidRDefault="00B602BC" w:rsidP="00B602BC">
            <w:pPr>
              <w:rPr>
                <w:rFonts w:cs="Arial"/>
                <w:color w:val="000000"/>
                <w:sz w:val="20"/>
                <w:szCs w:val="20"/>
                <w:lang w:eastAsia="en-GB"/>
              </w:rPr>
            </w:pPr>
          </w:p>
        </w:tc>
      </w:tr>
      <w:tr w:rsidR="00B602BC" w:rsidRPr="00B602BC" w:rsidTr="00CD62A3">
        <w:trPr>
          <w:trHeight w:val="702"/>
        </w:trPr>
        <w:tc>
          <w:tcPr>
            <w:tcW w:w="297"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602BC" w:rsidRPr="00B602BC" w:rsidRDefault="00B602BC" w:rsidP="00B602BC">
            <w:pPr>
              <w:jc w:val="center"/>
              <w:rPr>
                <w:rFonts w:cs="Arial"/>
                <w:color w:val="000000"/>
                <w:sz w:val="22"/>
                <w:szCs w:val="22"/>
                <w:lang w:eastAsia="en-GB"/>
              </w:rPr>
            </w:pPr>
            <w:r w:rsidRPr="00B602BC">
              <w:rPr>
                <w:rFonts w:cs="Arial"/>
                <w:color w:val="000000"/>
                <w:sz w:val="22"/>
                <w:szCs w:val="22"/>
                <w:lang w:eastAsia="en-GB"/>
              </w:rPr>
              <w:t>E</w:t>
            </w:r>
          </w:p>
        </w:tc>
        <w:tc>
          <w:tcPr>
            <w:tcW w:w="69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Balanced Economic Development</w:t>
            </w:r>
          </w:p>
        </w:tc>
        <w:tc>
          <w:tcPr>
            <w:tcW w:w="72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Improving the accessibility of less accesible regions</w:t>
            </w:r>
          </w:p>
        </w:tc>
        <w:tc>
          <w:tcPr>
            <w:tcW w:w="59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GTMP accessibility maps</w:t>
            </w:r>
          </w:p>
        </w:tc>
        <w:tc>
          <w:tcPr>
            <w:tcW w:w="460"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w:t>
            </w:r>
          </w:p>
        </w:tc>
        <w:tc>
          <w:tcPr>
            <w:tcW w:w="789" w:type="pct"/>
            <w:tcBorders>
              <w:top w:val="single" w:sz="8" w:space="0" w:color="auto"/>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Improving link to an area with low accessibility both to foreign and domestic markets</w:t>
            </w:r>
          </w:p>
        </w:tc>
        <w:tc>
          <w:tcPr>
            <w:tcW w:w="1446" w:type="pct"/>
            <w:tcBorders>
              <w:top w:val="single" w:sz="8" w:space="0" w:color="auto"/>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100</w:t>
            </w:r>
          </w:p>
        </w:tc>
      </w:tr>
      <w:tr w:rsidR="00B602BC" w:rsidRPr="00B602BC" w:rsidTr="00CD62A3">
        <w:trPr>
          <w:trHeight w:val="7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Improving link to an area with low accessibility to foreign markets</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70</w:t>
            </w:r>
          </w:p>
        </w:tc>
      </w:tr>
      <w:tr w:rsidR="00B602BC" w:rsidRPr="00B602BC" w:rsidTr="00CD62A3">
        <w:trPr>
          <w:trHeight w:val="7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4"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Improving link to an area with low accessibility to domestic markets</w:t>
            </w:r>
          </w:p>
        </w:tc>
        <w:tc>
          <w:tcPr>
            <w:tcW w:w="1446" w:type="pct"/>
            <w:tcBorders>
              <w:top w:val="nil"/>
              <w:left w:val="nil"/>
              <w:bottom w:val="single" w:sz="4"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50</w:t>
            </w:r>
          </w:p>
        </w:tc>
      </w:tr>
      <w:tr w:rsidR="00B602BC" w:rsidRPr="00B602BC" w:rsidTr="00CD62A3">
        <w:trPr>
          <w:trHeight w:val="702"/>
        </w:trPr>
        <w:tc>
          <w:tcPr>
            <w:tcW w:w="297" w:type="pct"/>
            <w:vMerge/>
            <w:tcBorders>
              <w:top w:val="nil"/>
              <w:left w:val="single" w:sz="8" w:space="0" w:color="auto"/>
              <w:bottom w:val="single" w:sz="8" w:space="0" w:color="000000"/>
              <w:right w:val="single" w:sz="4" w:space="0" w:color="auto"/>
            </w:tcBorders>
            <w:vAlign w:val="center"/>
            <w:hideMark/>
          </w:tcPr>
          <w:p w:rsidR="00B602BC" w:rsidRPr="00B602BC" w:rsidRDefault="00B602BC" w:rsidP="00B602BC">
            <w:pPr>
              <w:rPr>
                <w:rFonts w:cs="Arial"/>
                <w:color w:val="000000"/>
                <w:sz w:val="22"/>
                <w:szCs w:val="22"/>
                <w:lang w:eastAsia="en-GB"/>
              </w:rPr>
            </w:pPr>
          </w:p>
        </w:tc>
        <w:tc>
          <w:tcPr>
            <w:tcW w:w="694"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23"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592" w:type="pct"/>
            <w:vMerge/>
            <w:tcBorders>
              <w:top w:val="nil"/>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460" w:type="pct"/>
            <w:vMerge/>
            <w:tcBorders>
              <w:top w:val="single" w:sz="8" w:space="0" w:color="auto"/>
              <w:left w:val="single" w:sz="4" w:space="0" w:color="auto"/>
              <w:bottom w:val="single" w:sz="8" w:space="0" w:color="000000"/>
              <w:right w:val="single" w:sz="4" w:space="0" w:color="auto"/>
            </w:tcBorders>
            <w:vAlign w:val="center"/>
            <w:hideMark/>
          </w:tcPr>
          <w:p w:rsidR="00B602BC" w:rsidRPr="00045287" w:rsidRDefault="00B602BC" w:rsidP="00B602BC">
            <w:pPr>
              <w:rPr>
                <w:rFonts w:cs="Arial"/>
                <w:color w:val="000000"/>
                <w:sz w:val="20"/>
                <w:szCs w:val="20"/>
                <w:lang w:eastAsia="en-GB"/>
              </w:rPr>
            </w:pPr>
          </w:p>
        </w:tc>
        <w:tc>
          <w:tcPr>
            <w:tcW w:w="789" w:type="pct"/>
            <w:tcBorders>
              <w:top w:val="nil"/>
              <w:left w:val="nil"/>
              <w:bottom w:val="single" w:sz="8" w:space="0" w:color="auto"/>
              <w:right w:val="single" w:sz="4" w:space="0" w:color="auto"/>
            </w:tcBorders>
            <w:shd w:val="clear" w:color="000000" w:fill="FFFFFF"/>
            <w:vAlign w:val="center"/>
            <w:hideMark/>
          </w:tcPr>
          <w:p w:rsidR="00B602BC" w:rsidRPr="00045287" w:rsidRDefault="00B602BC" w:rsidP="00B602BC">
            <w:pPr>
              <w:rPr>
                <w:rFonts w:cs="Arial"/>
                <w:color w:val="000000"/>
                <w:sz w:val="20"/>
                <w:szCs w:val="20"/>
                <w:lang w:eastAsia="en-GB"/>
              </w:rPr>
            </w:pPr>
            <w:r w:rsidRPr="00045287">
              <w:rPr>
                <w:rFonts w:cs="Arial"/>
                <w:color w:val="000000"/>
                <w:sz w:val="20"/>
                <w:szCs w:val="20"/>
                <w:lang w:eastAsia="en-GB"/>
              </w:rPr>
              <w:t>Links to areas with good accessibility</w:t>
            </w:r>
          </w:p>
        </w:tc>
        <w:tc>
          <w:tcPr>
            <w:tcW w:w="1446" w:type="pct"/>
            <w:tcBorders>
              <w:top w:val="nil"/>
              <w:left w:val="nil"/>
              <w:bottom w:val="single" w:sz="8" w:space="0" w:color="auto"/>
              <w:right w:val="single" w:sz="8" w:space="0" w:color="auto"/>
            </w:tcBorders>
            <w:shd w:val="clear" w:color="000000" w:fill="FFFFFF"/>
            <w:vAlign w:val="center"/>
            <w:hideMark/>
          </w:tcPr>
          <w:p w:rsidR="00B602BC" w:rsidRPr="00045287" w:rsidRDefault="00B602BC" w:rsidP="00B602BC">
            <w:pPr>
              <w:jc w:val="center"/>
              <w:rPr>
                <w:rFonts w:cs="Arial"/>
                <w:color w:val="000000"/>
                <w:sz w:val="20"/>
                <w:szCs w:val="20"/>
                <w:lang w:eastAsia="en-GB"/>
              </w:rPr>
            </w:pPr>
            <w:r w:rsidRPr="00045287">
              <w:rPr>
                <w:rFonts w:cs="Arial"/>
                <w:color w:val="000000"/>
                <w:sz w:val="20"/>
                <w:szCs w:val="20"/>
                <w:lang w:eastAsia="en-GB"/>
              </w:rPr>
              <w:t>0</w:t>
            </w:r>
          </w:p>
        </w:tc>
      </w:tr>
    </w:tbl>
    <w:p w:rsidR="00B602BC" w:rsidRPr="00F05049" w:rsidRDefault="003E1EA4" w:rsidP="00F05049">
      <w:pPr>
        <w:pStyle w:val="NumberedParas"/>
        <w:numPr>
          <w:ilvl w:val="0"/>
          <w:numId w:val="0"/>
        </w:numPr>
        <w:ind w:left="907" w:hanging="907"/>
        <w:rPr>
          <w:i/>
          <w:sz w:val="18"/>
          <w:szCs w:val="18"/>
        </w:rPr>
      </w:pPr>
      <w:r w:rsidRPr="00F05049">
        <w:rPr>
          <w:i/>
          <w:sz w:val="18"/>
          <w:szCs w:val="18"/>
        </w:rPr>
        <w:t>Source: AECOM, MT, JASPERS and EC</w:t>
      </w:r>
    </w:p>
    <w:p w:rsidR="003E1EA4" w:rsidRDefault="003E1EA4" w:rsidP="00A4081F">
      <w:pPr>
        <w:pStyle w:val="NumberedParas"/>
      </w:pPr>
      <w:r>
        <w:t>We should clarify the respective roles of the MCA and the Implementation Strategy.  The MCA procedure gives an “order of merit” to projects, essentially of their value to the economic and social development of Romania.  However, for practical reasons such as project maturity, which includes factors such as availability of Feasibility Studies, environmental investigations, national and local political support, as well as availability of funds, such as Cohesion Funds, which the EC has stipulated must be used first for projects on the currently-defined Core TEN-T the Implementation Strategy will have a different order to the projects to that produced by the MCA procedure.  In other words, the MCA procedure determines which projects should be in the Preferred Strategy, but the overall strategy will remain the same.</w:t>
      </w:r>
    </w:p>
    <w:p w:rsidR="003E1EA4" w:rsidRPr="0036401A" w:rsidRDefault="003E1EA4" w:rsidP="00A4081F">
      <w:pPr>
        <w:pStyle w:val="NumberedParas"/>
      </w:pPr>
      <w:r>
        <w:t>In section 10.7 below we give the results of the MCA process and the resulting composition of the ES and EES scenarios.</w:t>
      </w:r>
    </w:p>
    <w:p w:rsidR="00A351E0" w:rsidRDefault="006C4833" w:rsidP="00045287">
      <w:pPr>
        <w:pStyle w:val="Hdg2"/>
      </w:pPr>
      <w:bookmarkStart w:id="8169" w:name="_Toc413056089"/>
      <w:r>
        <w:t>ES and EES Scenarios</w:t>
      </w:r>
      <w:bookmarkEnd w:id="8169"/>
    </w:p>
    <w:p w:rsidR="00AF0387" w:rsidRDefault="00F77110" w:rsidP="0036401A">
      <w:pPr>
        <w:pStyle w:val="Hdg3"/>
      </w:pPr>
      <w:r>
        <w:t>Economically Sustainable (“ES”) Scenario</w:t>
      </w:r>
    </w:p>
    <w:p w:rsidR="00AF0387" w:rsidRDefault="00AF0387" w:rsidP="00A4081F">
      <w:pPr>
        <w:pStyle w:val="NumberedParas"/>
      </w:pPr>
      <w:r>
        <w:t xml:space="preserve">This section describes </w:t>
      </w:r>
      <w:r w:rsidR="00197C8E">
        <w:t xml:space="preserve">the projects included in the </w:t>
      </w:r>
      <w:r w:rsidR="005A0355">
        <w:t>ES Scenario following the application of the MCA.</w:t>
      </w:r>
      <w:r w:rsidR="00CB5C14">
        <w:t xml:space="preserve">  Table 10.</w:t>
      </w:r>
      <w:r w:rsidR="000923B2">
        <w:t>6</w:t>
      </w:r>
      <w:r w:rsidR="00CB5C14">
        <w:t xml:space="preserve"> sets out the ES Scenario road projects according to their scores from the MCA.</w:t>
      </w:r>
    </w:p>
    <w:p w:rsidR="000923B2" w:rsidRDefault="000923B2" w:rsidP="00A4081F">
      <w:pPr>
        <w:pStyle w:val="NumberedParas"/>
        <w:numPr>
          <w:ilvl w:val="0"/>
          <w:numId w:val="0"/>
        </w:numPr>
        <w:ind w:left="1531"/>
        <w:sectPr w:rsidR="000923B2" w:rsidSect="00933C17">
          <w:pgSz w:w="11907" w:h="16840" w:code="9"/>
          <w:pgMar w:top="1418" w:right="709" w:bottom="1418" w:left="907" w:header="357" w:footer="567" w:gutter="0"/>
          <w:cols w:space="187"/>
          <w:docGrid w:linePitch="360"/>
        </w:sectPr>
      </w:pPr>
    </w:p>
    <w:p w:rsidR="005A0355" w:rsidRDefault="005A0355" w:rsidP="0036401A">
      <w:pPr>
        <w:pStyle w:val="Body"/>
      </w:pPr>
      <w:r w:rsidRPr="0036401A">
        <w:rPr>
          <w:b/>
          <w:i w:val="0"/>
        </w:rPr>
        <w:t>Table 10.</w:t>
      </w:r>
      <w:r w:rsidR="000923B2">
        <w:rPr>
          <w:b/>
          <w:i w:val="0"/>
        </w:rPr>
        <w:t>6</w:t>
      </w:r>
      <w:r w:rsidRPr="0036401A">
        <w:rPr>
          <w:b/>
          <w:i w:val="0"/>
        </w:rPr>
        <w:t xml:space="preserve"> List of road investments – ES Scenario</w:t>
      </w:r>
    </w:p>
    <w:p w:rsidR="005A0355" w:rsidRDefault="00D51664" w:rsidP="0036401A">
      <w:pPr>
        <w:pStyle w:val="Body"/>
      </w:pPr>
      <w:r w:rsidRPr="00D51664">
        <w:rPr>
          <w:noProof/>
          <w:lang w:val="ro-RO" w:eastAsia="ro-RO"/>
        </w:rPr>
        <w:drawing>
          <wp:inline distT="0" distB="0" distL="0" distR="0" wp14:anchorId="704E36A2" wp14:editId="0392DD1E">
            <wp:extent cx="5176299" cy="8828197"/>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183245" cy="8840043"/>
                    </a:xfrm>
                    <a:prstGeom prst="rect">
                      <a:avLst/>
                    </a:prstGeom>
                    <a:noFill/>
                    <a:ln>
                      <a:noFill/>
                    </a:ln>
                  </pic:spPr>
                </pic:pic>
              </a:graphicData>
            </a:graphic>
          </wp:inline>
        </w:drawing>
      </w:r>
    </w:p>
    <w:p w:rsidR="00B82FAC" w:rsidRDefault="00B82FAC" w:rsidP="0036401A">
      <w:pPr>
        <w:ind w:left="567"/>
      </w:pPr>
      <w:r w:rsidRPr="001557FD">
        <w:rPr>
          <w:i/>
        </w:rPr>
        <w:t xml:space="preserve">Source: AECOM GTMP </w:t>
      </w:r>
      <w:r>
        <w:rPr>
          <w:i/>
        </w:rPr>
        <w:t>MCA Scoring of Projects</w:t>
      </w:r>
    </w:p>
    <w:p w:rsidR="005A0355" w:rsidRDefault="00CB5C14" w:rsidP="00A4081F">
      <w:pPr>
        <w:pStyle w:val="NumberedParas"/>
      </w:pPr>
      <w:r>
        <w:t>Table 10.</w:t>
      </w:r>
      <w:r w:rsidR="000923B2">
        <w:t>7</w:t>
      </w:r>
      <w:r>
        <w:t xml:space="preserve"> sets out the E</w:t>
      </w:r>
      <w:r w:rsidR="00B82FAC">
        <w:t>ES Scenario road</w:t>
      </w:r>
      <w:r>
        <w:t xml:space="preserve"> projects according to their scores from the MCA</w:t>
      </w:r>
    </w:p>
    <w:p w:rsidR="00CB5C14" w:rsidRDefault="00CB5C14" w:rsidP="00045287">
      <w:pPr>
        <w:pStyle w:val="Body"/>
        <w:spacing w:before="0" w:after="0"/>
        <w:rPr>
          <w:b/>
          <w:i w:val="0"/>
        </w:rPr>
      </w:pPr>
      <w:r w:rsidRPr="0036401A">
        <w:rPr>
          <w:b/>
          <w:i w:val="0"/>
        </w:rPr>
        <w:t>Table 10.</w:t>
      </w:r>
      <w:r w:rsidR="000923B2">
        <w:rPr>
          <w:b/>
          <w:i w:val="0"/>
        </w:rPr>
        <w:t>7</w:t>
      </w:r>
      <w:r w:rsidRPr="0036401A">
        <w:rPr>
          <w:b/>
          <w:i w:val="0"/>
        </w:rPr>
        <w:t xml:space="preserve">  E</w:t>
      </w:r>
      <w:r w:rsidR="00B82FAC">
        <w:rPr>
          <w:b/>
          <w:i w:val="0"/>
        </w:rPr>
        <w:t>E</w:t>
      </w:r>
      <w:r w:rsidR="00B82FAC" w:rsidRPr="0036401A">
        <w:rPr>
          <w:b/>
          <w:i w:val="0"/>
        </w:rPr>
        <w:t>S Scenario R</w:t>
      </w:r>
      <w:r w:rsidR="00B82FAC">
        <w:rPr>
          <w:b/>
          <w:i w:val="0"/>
        </w:rPr>
        <w:t>oad</w:t>
      </w:r>
      <w:r w:rsidRPr="0036401A">
        <w:rPr>
          <w:b/>
          <w:i w:val="0"/>
        </w:rPr>
        <w:t xml:space="preserve"> Projects</w:t>
      </w:r>
      <w:r w:rsidR="005674F8">
        <w:rPr>
          <w:b/>
          <w:i w:val="0"/>
          <w:highlight w:val="yellow"/>
        </w:rPr>
        <w:t xml:space="preserve"> (</w:t>
      </w:r>
      <w:r w:rsidR="00784B21" w:rsidRPr="005B4565">
        <w:rPr>
          <w:b/>
          <w:i w:val="0"/>
          <w:highlight w:val="yellow"/>
        </w:rPr>
        <w:t>latest)</w:t>
      </w:r>
    </w:p>
    <w:p w:rsidR="00D51664" w:rsidRDefault="00D51664" w:rsidP="0036401A">
      <w:pPr>
        <w:pStyle w:val="Body"/>
      </w:pPr>
      <w:r w:rsidRPr="00D51664">
        <w:rPr>
          <w:noProof/>
          <w:lang w:val="ro-RO" w:eastAsia="ro-RO"/>
        </w:rPr>
        <w:drawing>
          <wp:inline distT="0" distB="0" distL="0" distR="0" wp14:anchorId="3439698B" wp14:editId="1992C254">
            <wp:extent cx="5112689" cy="8719711"/>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111420" cy="8717547"/>
                    </a:xfrm>
                    <a:prstGeom prst="rect">
                      <a:avLst/>
                    </a:prstGeom>
                    <a:noFill/>
                    <a:ln>
                      <a:noFill/>
                    </a:ln>
                  </pic:spPr>
                </pic:pic>
              </a:graphicData>
            </a:graphic>
          </wp:inline>
        </w:drawing>
      </w:r>
    </w:p>
    <w:p w:rsidR="00B82FAC" w:rsidRDefault="00B82FAC" w:rsidP="0036401A">
      <w:pPr>
        <w:ind w:left="567"/>
      </w:pPr>
      <w:r w:rsidRPr="001557FD">
        <w:rPr>
          <w:i/>
        </w:rPr>
        <w:t xml:space="preserve">Source: AECOM GTMP </w:t>
      </w:r>
      <w:r>
        <w:rPr>
          <w:i/>
        </w:rPr>
        <w:t>MCA Scoring of Projects</w:t>
      </w:r>
    </w:p>
    <w:p w:rsidR="00B82FAC" w:rsidRDefault="00B82FAC" w:rsidP="00B82FAC"/>
    <w:p w:rsidR="00675119" w:rsidRDefault="00675119" w:rsidP="00A4081F">
      <w:pPr>
        <w:pStyle w:val="NumberedParas"/>
      </w:pPr>
      <w:r>
        <w:rPr>
          <w:lang w:val="ro-RO"/>
        </w:rPr>
        <w:t xml:space="preserve">Some identified bypasses are part of larger Level 1 or Level 2 projects.  The decision to advance these proposals as separate projects will be determined within the Implementation Strategy which will examine the funding opportunities and the maturity of each project. If </w:t>
      </w:r>
      <w:r w:rsidRPr="00EF7388">
        <w:t>the</w:t>
      </w:r>
      <w:r>
        <w:rPr>
          <w:lang w:val="ro-RO"/>
        </w:rPr>
        <w:t xml:space="preserve"> more significant project appears as feasible early in the implementation plan, then a separate bypass will not be needed. A value for money analysis based ont he lifetime forecast for the bypass as an individual entity will determine the adequate solution..</w:t>
      </w:r>
    </w:p>
    <w:p w:rsidR="00B82FAC" w:rsidRDefault="003A1984" w:rsidP="00A4081F">
      <w:pPr>
        <w:pStyle w:val="NumberedParas"/>
      </w:pPr>
      <w:r>
        <w:t>Table</w:t>
      </w:r>
      <w:r w:rsidR="005674F8">
        <w:t>s</w:t>
      </w:r>
      <w:r>
        <w:t xml:space="preserve"> 10.</w:t>
      </w:r>
      <w:r w:rsidR="000923B2">
        <w:t xml:space="preserve">8-9 </w:t>
      </w:r>
      <w:r>
        <w:t xml:space="preserve"> set out the ES and EES Scenario rail projects according to their scores from the MCA</w:t>
      </w:r>
    </w:p>
    <w:p w:rsidR="003A1984" w:rsidRDefault="00675119" w:rsidP="0036401A">
      <w:pPr>
        <w:pStyle w:val="Body"/>
        <w:rPr>
          <w:b/>
          <w:i w:val="0"/>
        </w:rPr>
      </w:pPr>
      <w:r>
        <w:rPr>
          <w:b/>
          <w:i w:val="0"/>
        </w:rPr>
        <w:t>Table 10.</w:t>
      </w:r>
      <w:r w:rsidR="000923B2">
        <w:rPr>
          <w:b/>
          <w:i w:val="0"/>
        </w:rPr>
        <w:t>8</w:t>
      </w:r>
      <w:r w:rsidRPr="005B4565">
        <w:rPr>
          <w:b/>
          <w:i w:val="0"/>
        </w:rPr>
        <w:t xml:space="preserve">  </w:t>
      </w:r>
      <w:r>
        <w:rPr>
          <w:b/>
          <w:i w:val="0"/>
        </w:rPr>
        <w:t>ES</w:t>
      </w:r>
      <w:r w:rsidRPr="005B4565">
        <w:rPr>
          <w:b/>
          <w:i w:val="0"/>
        </w:rPr>
        <w:t xml:space="preserve"> Scenario R</w:t>
      </w:r>
      <w:r w:rsidR="00784B21">
        <w:rPr>
          <w:b/>
          <w:i w:val="0"/>
        </w:rPr>
        <w:t>ail</w:t>
      </w:r>
      <w:r w:rsidRPr="005B4565">
        <w:rPr>
          <w:b/>
          <w:i w:val="0"/>
        </w:rPr>
        <w:t xml:space="preserve"> Projects</w:t>
      </w:r>
    </w:p>
    <w:p w:rsidR="003A1984" w:rsidRPr="007F4D8B" w:rsidRDefault="00157950" w:rsidP="00045287">
      <w:pPr>
        <w:pStyle w:val="Body"/>
      </w:pPr>
      <w:r w:rsidRPr="00157950">
        <w:rPr>
          <w:i w:val="0"/>
          <w:noProof/>
          <w:lang w:val="ro-RO" w:eastAsia="ro-RO"/>
        </w:rPr>
        <w:drawing>
          <wp:inline distT="0" distB="0" distL="0" distR="0" wp14:anchorId="2E35D946" wp14:editId="62DD1437">
            <wp:extent cx="6289482" cy="4055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476329" cy="417563"/>
                    </a:xfrm>
                    <a:prstGeom prst="rect">
                      <a:avLst/>
                    </a:prstGeom>
                    <a:noFill/>
                    <a:ln>
                      <a:noFill/>
                    </a:ln>
                  </pic:spPr>
                </pic:pic>
              </a:graphicData>
            </a:graphic>
          </wp:inline>
        </w:drawing>
      </w:r>
      <w:r w:rsidRPr="00157950">
        <w:rPr>
          <w:noProof/>
          <w:lang w:val="ro-RO" w:eastAsia="ro-RO"/>
        </w:rPr>
        <w:drawing>
          <wp:inline distT="0" distB="0" distL="0" distR="0" wp14:anchorId="565D6E40" wp14:editId="595B7925">
            <wp:extent cx="6286319" cy="3647038"/>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301450" cy="3655816"/>
                    </a:xfrm>
                    <a:prstGeom prst="rect">
                      <a:avLst/>
                    </a:prstGeom>
                    <a:noFill/>
                    <a:ln>
                      <a:noFill/>
                    </a:ln>
                  </pic:spPr>
                </pic:pic>
              </a:graphicData>
            </a:graphic>
          </wp:inline>
        </w:drawing>
      </w:r>
      <w:r w:rsidRPr="00157950" w:rsidDel="005674F8">
        <w:t xml:space="preserve"> </w:t>
      </w:r>
      <w:r w:rsidR="003A1984" w:rsidRPr="00157950">
        <w:rPr>
          <w:sz w:val="18"/>
          <w:szCs w:val="18"/>
        </w:rPr>
        <w:t>Source: AECOM GTMP MCA Scoring of Projects</w:t>
      </w:r>
    </w:p>
    <w:p w:rsidR="00157950" w:rsidRDefault="00157950" w:rsidP="00157950">
      <w:pPr>
        <w:pStyle w:val="Body"/>
        <w:rPr>
          <w:b/>
          <w:i w:val="0"/>
        </w:rPr>
        <w:sectPr w:rsidR="00157950" w:rsidSect="00045287">
          <w:pgSz w:w="11907" w:h="16840" w:code="9"/>
          <w:pgMar w:top="720" w:right="720" w:bottom="720" w:left="720" w:header="357" w:footer="567" w:gutter="0"/>
          <w:cols w:space="187"/>
          <w:docGrid w:linePitch="360"/>
        </w:sectPr>
      </w:pPr>
    </w:p>
    <w:p w:rsidR="00157950" w:rsidRDefault="00157950" w:rsidP="00045287">
      <w:pPr>
        <w:pStyle w:val="Body"/>
        <w:rPr>
          <w:b/>
        </w:rPr>
      </w:pPr>
      <w:r>
        <w:rPr>
          <w:b/>
          <w:i w:val="0"/>
        </w:rPr>
        <w:t>Table 10.</w:t>
      </w:r>
      <w:r w:rsidR="008F66E8">
        <w:rPr>
          <w:b/>
          <w:i w:val="0"/>
        </w:rPr>
        <w:t>9</w:t>
      </w:r>
      <w:r w:rsidRPr="005B4565">
        <w:rPr>
          <w:b/>
          <w:i w:val="0"/>
        </w:rPr>
        <w:t xml:space="preserve">  </w:t>
      </w:r>
      <w:r>
        <w:rPr>
          <w:b/>
          <w:i w:val="0"/>
        </w:rPr>
        <w:t>EES</w:t>
      </w:r>
      <w:r w:rsidRPr="005B4565">
        <w:rPr>
          <w:b/>
          <w:i w:val="0"/>
        </w:rPr>
        <w:t xml:space="preserve"> Scenario R</w:t>
      </w:r>
      <w:r>
        <w:rPr>
          <w:b/>
          <w:i w:val="0"/>
        </w:rPr>
        <w:t>ail</w:t>
      </w:r>
      <w:r w:rsidRPr="005B4565">
        <w:rPr>
          <w:b/>
          <w:i w:val="0"/>
        </w:rPr>
        <w:t xml:space="preserve"> Projects</w:t>
      </w:r>
    </w:p>
    <w:p w:rsidR="00157950" w:rsidRDefault="00157950" w:rsidP="00045287">
      <w:pPr>
        <w:pStyle w:val="Body"/>
        <w:rPr>
          <w:b/>
        </w:rPr>
      </w:pPr>
      <w:r w:rsidRPr="00157950">
        <w:rPr>
          <w:noProof/>
          <w:lang w:val="ro-RO" w:eastAsia="ro-RO"/>
        </w:rPr>
        <w:drawing>
          <wp:inline distT="0" distB="0" distL="0" distR="0" wp14:anchorId="25436FDD" wp14:editId="27272896">
            <wp:extent cx="6361043" cy="40303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361267" cy="403052"/>
                    </a:xfrm>
                    <a:prstGeom prst="rect">
                      <a:avLst/>
                    </a:prstGeom>
                    <a:noFill/>
                    <a:ln>
                      <a:noFill/>
                    </a:ln>
                  </pic:spPr>
                </pic:pic>
              </a:graphicData>
            </a:graphic>
          </wp:inline>
        </w:drawing>
      </w:r>
      <w:r w:rsidRPr="00157950">
        <w:rPr>
          <w:noProof/>
          <w:lang w:val="ro-RO" w:eastAsia="ro-RO"/>
        </w:rPr>
        <w:drawing>
          <wp:inline distT="0" distB="0" distL="0" distR="0" wp14:anchorId="244CB7EB" wp14:editId="2E387968">
            <wp:extent cx="6361043" cy="3690389"/>
            <wp:effectExtent l="0" t="0" r="190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363729" cy="3691947"/>
                    </a:xfrm>
                    <a:prstGeom prst="rect">
                      <a:avLst/>
                    </a:prstGeom>
                    <a:noFill/>
                    <a:ln>
                      <a:noFill/>
                    </a:ln>
                  </pic:spPr>
                </pic:pic>
              </a:graphicData>
            </a:graphic>
          </wp:inline>
        </w:drawing>
      </w:r>
    </w:p>
    <w:p w:rsidR="00157950" w:rsidRPr="0036401A" w:rsidRDefault="00157950" w:rsidP="00045287">
      <w:pPr>
        <w:ind w:left="567"/>
        <w:rPr>
          <w:i/>
        </w:rPr>
      </w:pPr>
      <w:r w:rsidRPr="001557FD">
        <w:rPr>
          <w:i/>
        </w:rPr>
        <w:t xml:space="preserve">Source: AECOM GTMP </w:t>
      </w:r>
      <w:r>
        <w:rPr>
          <w:i/>
        </w:rPr>
        <w:t>MCA Scoring of Projects</w:t>
      </w:r>
    </w:p>
    <w:p w:rsidR="00CB5C14" w:rsidRPr="00045287" w:rsidRDefault="00CB5C14" w:rsidP="00A4081F">
      <w:pPr>
        <w:pStyle w:val="NumberedParas"/>
        <w:rPr>
          <w:i/>
        </w:rPr>
      </w:pPr>
      <w:r>
        <w:t>Table 10.</w:t>
      </w:r>
      <w:r w:rsidR="008F66E8">
        <w:t>10</w:t>
      </w:r>
      <w:r>
        <w:t xml:space="preserve"> sets out the ES</w:t>
      </w:r>
      <w:r w:rsidR="003A1984">
        <w:t xml:space="preserve"> and EES Scenario Ports and Waterways</w:t>
      </w:r>
      <w:r>
        <w:t xml:space="preserve"> projects according to their scores from the MCA</w:t>
      </w:r>
    </w:p>
    <w:p w:rsidR="00D4343E" w:rsidRDefault="00D4343E" w:rsidP="00D4343E">
      <w:pPr>
        <w:pStyle w:val="Body"/>
        <w:sectPr w:rsidR="00D4343E" w:rsidSect="00933C17">
          <w:pgSz w:w="11907" w:h="16840" w:code="9"/>
          <w:pgMar w:top="1418" w:right="709" w:bottom="1418" w:left="907" w:header="357" w:footer="567" w:gutter="0"/>
          <w:cols w:space="187"/>
          <w:docGrid w:linePitch="360"/>
        </w:sectPr>
      </w:pPr>
    </w:p>
    <w:p w:rsidR="003A1984" w:rsidRDefault="003A1984" w:rsidP="0036401A">
      <w:pPr>
        <w:pStyle w:val="Body"/>
        <w:rPr>
          <w:b/>
          <w:i w:val="0"/>
        </w:rPr>
      </w:pPr>
      <w:r w:rsidRPr="0036401A">
        <w:rPr>
          <w:b/>
          <w:i w:val="0"/>
        </w:rPr>
        <w:t>Table 10.</w:t>
      </w:r>
      <w:r w:rsidR="008F66E8">
        <w:rPr>
          <w:b/>
          <w:i w:val="0"/>
        </w:rPr>
        <w:t>10</w:t>
      </w:r>
      <w:r w:rsidRPr="0036401A">
        <w:rPr>
          <w:b/>
          <w:i w:val="0"/>
        </w:rPr>
        <w:t xml:space="preserve">  Ports and Waterways Projects, ES and EES Scenarios</w:t>
      </w:r>
    </w:p>
    <w:p w:rsidR="00CB5C14" w:rsidRDefault="00D4343E" w:rsidP="0036401A">
      <w:pPr>
        <w:pStyle w:val="Body"/>
      </w:pPr>
      <w:r w:rsidRPr="00D4343E">
        <w:rPr>
          <w:i w:val="0"/>
          <w:noProof/>
          <w:lang w:val="ro-RO" w:eastAsia="ro-RO"/>
        </w:rPr>
        <w:drawing>
          <wp:inline distT="0" distB="0" distL="0" distR="0" wp14:anchorId="479645C0" wp14:editId="6AFEAEB7">
            <wp:extent cx="6464410" cy="396717"/>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530213" cy="400755"/>
                    </a:xfrm>
                    <a:prstGeom prst="rect">
                      <a:avLst/>
                    </a:prstGeom>
                    <a:noFill/>
                    <a:ln>
                      <a:noFill/>
                    </a:ln>
                  </pic:spPr>
                </pic:pic>
              </a:graphicData>
            </a:graphic>
          </wp:inline>
        </w:drawing>
      </w:r>
      <w:r w:rsidRPr="00D4343E">
        <w:rPr>
          <w:noProof/>
          <w:lang w:val="ro-RO" w:eastAsia="ro-RO"/>
        </w:rPr>
        <w:drawing>
          <wp:inline distT="0" distB="0" distL="0" distR="0" wp14:anchorId="478185C3" wp14:editId="4EF5573D">
            <wp:extent cx="6464410" cy="333491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464149" cy="3334776"/>
                    </a:xfrm>
                    <a:prstGeom prst="rect">
                      <a:avLst/>
                    </a:prstGeom>
                    <a:noFill/>
                    <a:ln>
                      <a:noFill/>
                    </a:ln>
                  </pic:spPr>
                </pic:pic>
              </a:graphicData>
            </a:graphic>
          </wp:inline>
        </w:drawing>
      </w:r>
    </w:p>
    <w:p w:rsidR="00425B96" w:rsidRPr="0036401A" w:rsidRDefault="00425B96" w:rsidP="0036401A">
      <w:pPr>
        <w:pStyle w:val="Body"/>
        <w:rPr>
          <w:i w:val="0"/>
          <w:sz w:val="18"/>
          <w:szCs w:val="18"/>
        </w:rPr>
      </w:pPr>
      <w:r w:rsidRPr="0036401A">
        <w:rPr>
          <w:sz w:val="18"/>
          <w:szCs w:val="18"/>
        </w:rPr>
        <w:t>Source: AECOM GTMP MCA Scoring of Projects</w:t>
      </w:r>
    </w:p>
    <w:p w:rsidR="007E1284" w:rsidRDefault="007E1284" w:rsidP="00A4081F">
      <w:pPr>
        <w:pStyle w:val="NumberedParas"/>
      </w:pPr>
      <w:r>
        <w:t>The Bucharest – Danube Channel could have commenced construction in the period 2020 – 2030.  However, we are reluctant to recommend this project at this time, for several reasons:</w:t>
      </w:r>
    </w:p>
    <w:p w:rsidR="007E1284" w:rsidRPr="00800A4E" w:rsidRDefault="007E1284" w:rsidP="00273D5E">
      <w:pPr>
        <w:pStyle w:val="BulletLevel1"/>
      </w:pPr>
      <w:r w:rsidRPr="00800A4E">
        <w:t>Bucharest is already well-connected to the east and west by rail and road, and one of the primary objectives of the Master Plan is to re-invigorate the railway.  Testing with the National Model showed that the channel would have a significant, adverse impact on the Constanta – Bucharest – Craiova – Hungary rail corridor.</w:t>
      </w:r>
    </w:p>
    <w:p w:rsidR="007E1284" w:rsidRPr="00800A4E" w:rsidRDefault="007E1284" w:rsidP="00273D5E">
      <w:pPr>
        <w:pStyle w:val="BulletLevel1"/>
      </w:pPr>
      <w:r w:rsidRPr="00800A4E">
        <w:t>The proposals for improvements to the Ports at Giurgiu and Oltenita gave very good economic value, with EIRR of 24% and 30% respectively, for modest investments of €4.3m and €5.6m respectively.  If the Bucharest – Danube Channel were to be implemented, it would jeopardise these investments.</w:t>
      </w:r>
    </w:p>
    <w:p w:rsidR="007E1284" w:rsidRPr="00800A4E" w:rsidRDefault="007E1284" w:rsidP="00273D5E">
      <w:pPr>
        <w:pStyle w:val="BulletLevel1"/>
      </w:pPr>
      <w:r w:rsidRPr="00800A4E">
        <w:t>The</w:t>
      </w:r>
      <w:r>
        <w:t xml:space="preserve"> Channel is expensive and barely</w:t>
      </w:r>
      <w:r w:rsidRPr="00800A4E">
        <w:t xml:space="preserve"> economically viable.  It has an estimated cost of €1.5bn, and an EIRR of only 4.7%.</w:t>
      </w:r>
    </w:p>
    <w:p w:rsidR="007E1284" w:rsidRPr="00A4081F" w:rsidRDefault="007E1284" w:rsidP="00A4081F">
      <w:pPr>
        <w:pStyle w:val="NumberedParas"/>
      </w:pPr>
      <w:r>
        <w:t xml:space="preserve">For </w:t>
      </w:r>
      <w:r w:rsidRPr="00A4081F">
        <w:t>these reasons we recommend that the viability of the Channel is re-examined in the mid 2020s when the impact of the Port improvements, and rail improvements, would become clearer.</w:t>
      </w:r>
    </w:p>
    <w:p w:rsidR="00675119" w:rsidRPr="00045287" w:rsidRDefault="00675119" w:rsidP="00A4081F">
      <w:pPr>
        <w:pStyle w:val="NumberedParas"/>
        <w:rPr>
          <w:i/>
        </w:rPr>
      </w:pPr>
      <w:r w:rsidRPr="00A4081F">
        <w:t>Table</w:t>
      </w:r>
      <w:r w:rsidR="008F66E8" w:rsidRPr="00A4081F">
        <w:t>s</w:t>
      </w:r>
      <w:r>
        <w:t xml:space="preserve"> 10.</w:t>
      </w:r>
      <w:r w:rsidR="008F66E8">
        <w:t>11-12</w:t>
      </w:r>
      <w:r>
        <w:t xml:space="preserve"> set out the ES and EES Scenario Aviation projects according to their scores from the MCA</w:t>
      </w:r>
      <w:r w:rsidR="007E1284">
        <w:t>.</w:t>
      </w:r>
    </w:p>
    <w:p w:rsidR="007E1284" w:rsidRDefault="007E1284" w:rsidP="00A4081F">
      <w:pPr>
        <w:pStyle w:val="NumberedParas"/>
        <w:numPr>
          <w:ilvl w:val="0"/>
          <w:numId w:val="0"/>
        </w:numPr>
        <w:ind w:left="1531"/>
        <w:sectPr w:rsidR="007E1284" w:rsidSect="00933C17">
          <w:pgSz w:w="11907" w:h="16840" w:code="9"/>
          <w:pgMar w:top="1418" w:right="709" w:bottom="1418" w:left="907" w:header="357" w:footer="567" w:gutter="0"/>
          <w:cols w:space="187"/>
          <w:docGrid w:linePitch="360"/>
        </w:sectPr>
      </w:pPr>
    </w:p>
    <w:p w:rsidR="00425B96" w:rsidRDefault="00675119" w:rsidP="0036401A">
      <w:pPr>
        <w:pStyle w:val="Body"/>
        <w:rPr>
          <w:b/>
          <w:i w:val="0"/>
        </w:rPr>
      </w:pPr>
      <w:r w:rsidRPr="005B4565">
        <w:rPr>
          <w:b/>
          <w:i w:val="0"/>
        </w:rPr>
        <w:t xml:space="preserve">Table </w:t>
      </w:r>
      <w:r>
        <w:rPr>
          <w:b/>
          <w:i w:val="0"/>
        </w:rPr>
        <w:t>10.</w:t>
      </w:r>
      <w:r w:rsidR="008F66E8">
        <w:rPr>
          <w:b/>
          <w:i w:val="0"/>
        </w:rPr>
        <w:t>11</w:t>
      </w:r>
      <w:r>
        <w:rPr>
          <w:b/>
          <w:i w:val="0"/>
        </w:rPr>
        <w:t xml:space="preserve">  Aviation</w:t>
      </w:r>
      <w:r w:rsidRPr="005B4565">
        <w:rPr>
          <w:b/>
          <w:i w:val="0"/>
        </w:rPr>
        <w:t xml:space="preserve"> Projects, ES Scenario</w:t>
      </w:r>
    </w:p>
    <w:p w:rsidR="00675119" w:rsidRPr="0036401A" w:rsidRDefault="00971D9A" w:rsidP="0036401A">
      <w:pPr>
        <w:pStyle w:val="Body"/>
      </w:pPr>
      <w:r w:rsidRPr="00971D9A">
        <w:rPr>
          <w:i w:val="0"/>
          <w:noProof/>
          <w:lang w:val="ro-RO" w:eastAsia="ro-RO"/>
        </w:rPr>
        <w:drawing>
          <wp:inline distT="0" distB="0" distL="0" distR="0" wp14:anchorId="3520B15A" wp14:editId="42409CA4">
            <wp:extent cx="6534785" cy="42548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971D9A">
        <w:rPr>
          <w:noProof/>
          <w:lang w:val="ro-RO" w:eastAsia="ro-RO"/>
        </w:rPr>
        <w:drawing>
          <wp:inline distT="0" distB="0" distL="0" distR="0" wp14:anchorId="43C61C57" wp14:editId="223A0A80">
            <wp:extent cx="6534785" cy="2738503"/>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534785" cy="2738503"/>
                    </a:xfrm>
                    <a:prstGeom prst="rect">
                      <a:avLst/>
                    </a:prstGeom>
                    <a:noFill/>
                    <a:ln>
                      <a:noFill/>
                    </a:ln>
                  </pic:spPr>
                </pic:pic>
              </a:graphicData>
            </a:graphic>
          </wp:inline>
        </w:drawing>
      </w:r>
    </w:p>
    <w:p w:rsidR="00675119" w:rsidRDefault="00675119" w:rsidP="0036401A">
      <w:pPr>
        <w:pStyle w:val="Body"/>
        <w:rPr>
          <w:sz w:val="18"/>
          <w:szCs w:val="18"/>
        </w:rPr>
      </w:pPr>
      <w:r w:rsidRPr="005B4565">
        <w:rPr>
          <w:sz w:val="18"/>
          <w:szCs w:val="18"/>
        </w:rPr>
        <w:t>Source: AECOM GTMP MCA Scoring of Projects</w:t>
      </w:r>
    </w:p>
    <w:p w:rsidR="00971D9A" w:rsidRDefault="00971D9A" w:rsidP="00971D9A">
      <w:pPr>
        <w:pStyle w:val="Body"/>
        <w:rPr>
          <w:b/>
          <w:i w:val="0"/>
        </w:rPr>
      </w:pPr>
      <w:r w:rsidRPr="005B4565">
        <w:rPr>
          <w:b/>
          <w:i w:val="0"/>
        </w:rPr>
        <w:t xml:space="preserve">Table </w:t>
      </w:r>
      <w:r w:rsidR="008F66E8">
        <w:rPr>
          <w:b/>
          <w:i w:val="0"/>
        </w:rPr>
        <w:t>10.12</w:t>
      </w:r>
      <w:r>
        <w:rPr>
          <w:b/>
          <w:i w:val="0"/>
        </w:rPr>
        <w:t xml:space="preserve">  Aviation</w:t>
      </w:r>
      <w:r w:rsidRPr="005B4565">
        <w:rPr>
          <w:b/>
          <w:i w:val="0"/>
        </w:rPr>
        <w:t xml:space="preserve"> Projects, E</w:t>
      </w:r>
      <w:r>
        <w:rPr>
          <w:b/>
          <w:i w:val="0"/>
        </w:rPr>
        <w:t>E</w:t>
      </w:r>
      <w:r w:rsidRPr="005B4565">
        <w:rPr>
          <w:b/>
          <w:i w:val="0"/>
        </w:rPr>
        <w:t>S Scenario</w:t>
      </w:r>
    </w:p>
    <w:p w:rsidR="00971D9A" w:rsidRDefault="00971D9A" w:rsidP="00045287">
      <w:pPr>
        <w:pStyle w:val="Body"/>
      </w:pPr>
      <w:r w:rsidRPr="00971D9A">
        <w:rPr>
          <w:noProof/>
          <w:lang w:val="ro-RO" w:eastAsia="ro-RO"/>
        </w:rPr>
        <w:drawing>
          <wp:inline distT="0" distB="0" distL="0" distR="0" wp14:anchorId="27B1A2A0" wp14:editId="64B88A99">
            <wp:extent cx="6534785" cy="4254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971D9A">
        <w:rPr>
          <w:noProof/>
          <w:lang w:val="ro-RO" w:eastAsia="ro-RO"/>
        </w:rPr>
        <w:drawing>
          <wp:inline distT="0" distB="0" distL="0" distR="0" wp14:anchorId="16A9EB72" wp14:editId="0FBA426B">
            <wp:extent cx="6534785" cy="2738503"/>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534785" cy="2738503"/>
                    </a:xfrm>
                    <a:prstGeom prst="rect">
                      <a:avLst/>
                    </a:prstGeom>
                    <a:noFill/>
                    <a:ln>
                      <a:noFill/>
                    </a:ln>
                  </pic:spPr>
                </pic:pic>
              </a:graphicData>
            </a:graphic>
          </wp:inline>
        </w:drawing>
      </w:r>
    </w:p>
    <w:p w:rsidR="00974391" w:rsidRDefault="00974391" w:rsidP="00A4081F">
      <w:pPr>
        <w:pStyle w:val="NumberedParas"/>
      </w:pPr>
      <w:r w:rsidRPr="00F11D48">
        <w:t xml:space="preserve">The 2020 and </w:t>
      </w:r>
      <w:r w:rsidRPr="00AF4178">
        <w:t>2030</w:t>
      </w:r>
      <w:r w:rsidRPr="00F11D48">
        <w:t xml:space="preserve"> proposals</w:t>
      </w:r>
      <w:r w:rsidR="008F66E8">
        <w:t xml:space="preserve"> for intermodal transport </w:t>
      </w:r>
      <w:r w:rsidRPr="00F11D48">
        <w:t xml:space="preserve">are shown on Tables </w:t>
      </w:r>
      <w:r>
        <w:t>10</w:t>
      </w:r>
      <w:r w:rsidRPr="00F11D48">
        <w:t>.</w:t>
      </w:r>
      <w:r w:rsidR="008F66E8">
        <w:t>13</w:t>
      </w:r>
      <w:r>
        <w:t>-1</w:t>
      </w:r>
      <w:r w:rsidR="008F66E8">
        <w:t>4</w:t>
      </w:r>
      <w:r w:rsidRPr="00F11D48">
        <w:t>, for the ES,</w:t>
      </w:r>
      <w:r>
        <w:t xml:space="preserve"> and EES scenarios respectively.</w:t>
      </w:r>
    </w:p>
    <w:p w:rsidR="007E1284" w:rsidRDefault="007E1284" w:rsidP="00A4081F">
      <w:pPr>
        <w:pStyle w:val="NumberedParas"/>
        <w:numPr>
          <w:ilvl w:val="0"/>
          <w:numId w:val="0"/>
        </w:numPr>
        <w:ind w:left="1531"/>
        <w:sectPr w:rsidR="007E1284" w:rsidSect="00933C17">
          <w:pgSz w:w="11907" w:h="16840" w:code="9"/>
          <w:pgMar w:top="1418" w:right="709" w:bottom="1418" w:left="907" w:header="357" w:footer="567" w:gutter="0"/>
          <w:cols w:space="187"/>
          <w:docGrid w:linePitch="360"/>
        </w:sectPr>
      </w:pPr>
    </w:p>
    <w:p w:rsidR="00974391" w:rsidRDefault="00974391" w:rsidP="0036401A">
      <w:pPr>
        <w:pStyle w:val="Body"/>
        <w:rPr>
          <w:b/>
          <w:i w:val="0"/>
        </w:rPr>
      </w:pPr>
      <w:r w:rsidRPr="0036401A">
        <w:rPr>
          <w:b/>
          <w:i w:val="0"/>
        </w:rPr>
        <w:t>Table 10.</w:t>
      </w:r>
      <w:r w:rsidR="008F66E8">
        <w:rPr>
          <w:b/>
          <w:i w:val="0"/>
        </w:rPr>
        <w:t>13</w:t>
      </w:r>
      <w:r w:rsidRPr="0036401A">
        <w:rPr>
          <w:b/>
          <w:i w:val="0"/>
        </w:rPr>
        <w:t xml:space="preserve">  Intermodal Projects, ES Scenarios</w:t>
      </w:r>
      <w:r w:rsidR="00784B21">
        <w:rPr>
          <w:b/>
          <w:i w:val="0"/>
        </w:rPr>
        <w:t xml:space="preserve"> </w:t>
      </w:r>
    </w:p>
    <w:p w:rsidR="00974391" w:rsidRDefault="00D617E6" w:rsidP="0036401A">
      <w:pPr>
        <w:pStyle w:val="Body"/>
      </w:pPr>
      <w:r w:rsidRPr="00D617E6">
        <w:rPr>
          <w:i w:val="0"/>
          <w:noProof/>
          <w:lang w:val="ro-RO" w:eastAsia="ro-RO"/>
        </w:rPr>
        <w:drawing>
          <wp:inline distT="0" distB="0" distL="0" distR="0" wp14:anchorId="7792B9B7" wp14:editId="52EBA02F">
            <wp:extent cx="6534785" cy="42548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D617E6">
        <w:rPr>
          <w:noProof/>
          <w:lang w:val="ro-RO" w:eastAsia="ro-RO"/>
        </w:rPr>
        <w:drawing>
          <wp:inline distT="0" distB="0" distL="0" distR="0" wp14:anchorId="346D0AE9" wp14:editId="56484C55">
            <wp:extent cx="6534785" cy="2530854"/>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534785" cy="2530854"/>
                    </a:xfrm>
                    <a:prstGeom prst="rect">
                      <a:avLst/>
                    </a:prstGeom>
                    <a:noFill/>
                    <a:ln>
                      <a:noFill/>
                    </a:ln>
                  </pic:spPr>
                </pic:pic>
              </a:graphicData>
            </a:graphic>
          </wp:inline>
        </w:drawing>
      </w:r>
    </w:p>
    <w:p w:rsidR="00D617E6" w:rsidRDefault="00974391" w:rsidP="0036401A">
      <w:pPr>
        <w:pStyle w:val="Body"/>
        <w:rPr>
          <w:sz w:val="18"/>
          <w:szCs w:val="18"/>
        </w:rPr>
      </w:pPr>
      <w:r w:rsidRPr="005B4565">
        <w:rPr>
          <w:sz w:val="18"/>
          <w:szCs w:val="18"/>
        </w:rPr>
        <w:t>Source: AECOM GTMP MCA Scoring of Projects</w:t>
      </w:r>
    </w:p>
    <w:p w:rsidR="00974391" w:rsidRDefault="00974391" w:rsidP="0036401A">
      <w:pPr>
        <w:pStyle w:val="Body"/>
        <w:rPr>
          <w:b/>
          <w:i w:val="0"/>
        </w:rPr>
      </w:pPr>
      <w:r w:rsidRPr="005B4565">
        <w:rPr>
          <w:b/>
          <w:i w:val="0"/>
        </w:rPr>
        <w:t>Table 10.</w:t>
      </w:r>
      <w:r>
        <w:rPr>
          <w:b/>
          <w:i w:val="0"/>
        </w:rPr>
        <w:t>1</w:t>
      </w:r>
      <w:r w:rsidR="008F66E8">
        <w:rPr>
          <w:b/>
          <w:i w:val="0"/>
        </w:rPr>
        <w:t>4</w:t>
      </w:r>
      <w:r w:rsidRPr="005B4565">
        <w:rPr>
          <w:b/>
          <w:i w:val="0"/>
        </w:rPr>
        <w:t xml:space="preserve">  Intermodal Projects, </w:t>
      </w:r>
      <w:r>
        <w:rPr>
          <w:b/>
          <w:i w:val="0"/>
        </w:rPr>
        <w:t>E</w:t>
      </w:r>
      <w:r w:rsidRPr="005B4565">
        <w:rPr>
          <w:b/>
          <w:i w:val="0"/>
        </w:rPr>
        <w:t>ES Scenarios</w:t>
      </w:r>
    </w:p>
    <w:p w:rsidR="00971D9A" w:rsidRDefault="00D617E6" w:rsidP="0036401A">
      <w:pPr>
        <w:pStyle w:val="Body"/>
        <w:rPr>
          <w:b/>
          <w:i w:val="0"/>
        </w:rPr>
      </w:pPr>
      <w:r w:rsidRPr="00D617E6">
        <w:rPr>
          <w:noProof/>
          <w:lang w:val="ro-RO" w:eastAsia="ro-RO"/>
        </w:rPr>
        <w:drawing>
          <wp:inline distT="0" distB="0" distL="0" distR="0" wp14:anchorId="2EA541DB" wp14:editId="14DC3465">
            <wp:extent cx="6534785" cy="4254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D617E6">
        <w:rPr>
          <w:noProof/>
          <w:lang w:val="ro-RO" w:eastAsia="ro-RO"/>
        </w:rPr>
        <w:drawing>
          <wp:inline distT="0" distB="0" distL="0" distR="0" wp14:anchorId="5ED2C541" wp14:editId="56E64227">
            <wp:extent cx="6534785" cy="2530854"/>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534785" cy="2530854"/>
                    </a:xfrm>
                    <a:prstGeom prst="rect">
                      <a:avLst/>
                    </a:prstGeom>
                    <a:noFill/>
                    <a:ln>
                      <a:noFill/>
                    </a:ln>
                  </pic:spPr>
                </pic:pic>
              </a:graphicData>
            </a:graphic>
          </wp:inline>
        </w:drawing>
      </w:r>
    </w:p>
    <w:p w:rsidR="00974391" w:rsidRPr="0036401A" w:rsidRDefault="00974391" w:rsidP="0036401A">
      <w:pPr>
        <w:pStyle w:val="Body"/>
      </w:pPr>
      <w:r w:rsidRPr="005B4565">
        <w:rPr>
          <w:sz w:val="18"/>
          <w:szCs w:val="18"/>
        </w:rPr>
        <w:t>Source: AECOM GTMP MCA Scoring of Projects</w:t>
      </w:r>
    </w:p>
    <w:p w:rsidR="00F77110" w:rsidRDefault="007C2AA0" w:rsidP="00A4081F">
      <w:pPr>
        <w:pStyle w:val="NumberedParas"/>
      </w:pPr>
      <w:r>
        <w:t xml:space="preserve">In each of these three scenarios there will be included the interventions on rehabilitation and modernisation of national roads. </w:t>
      </w:r>
      <w:r w:rsidR="009E57AB">
        <w:t xml:space="preserve"> These projects will be modernised using the budget set aside for renewals, and included in the funding analysis.  The rehabilitation of these roads does not result in an increase in capacity, or connectivity, but is rather a structure programme for ensuring timely heavy maintenance in order to ensure that serious deteriorisation does not take place in their condition.  The projects were prioritised using a combination of demand and surface condition.  The resulting priority list of projects is shown </w:t>
      </w:r>
      <w:r>
        <w:t xml:space="preserve"> as shown in Table 10.1</w:t>
      </w:r>
      <w:r w:rsidR="008F66E8">
        <w:t>5</w:t>
      </w:r>
      <w:r>
        <w:t>.</w:t>
      </w:r>
    </w:p>
    <w:p w:rsidR="007C2AA0" w:rsidRPr="0036401A" w:rsidRDefault="007C2AA0" w:rsidP="0036401A">
      <w:pPr>
        <w:pStyle w:val="Body"/>
      </w:pPr>
      <w:r w:rsidRPr="0036401A">
        <w:rPr>
          <w:b/>
          <w:i w:val="0"/>
        </w:rPr>
        <w:t>Table 10.1</w:t>
      </w:r>
      <w:r w:rsidR="008F66E8">
        <w:rPr>
          <w:b/>
          <w:i w:val="0"/>
        </w:rPr>
        <w:t>5</w:t>
      </w:r>
      <w:r w:rsidRPr="0036401A">
        <w:rPr>
          <w:b/>
          <w:i w:val="0"/>
        </w:rPr>
        <w:t xml:space="preserve">  Rehabilitation and Modernisation of National Roads</w:t>
      </w:r>
    </w:p>
    <w:p w:rsidR="009E57AB" w:rsidRDefault="009E57AB" w:rsidP="0036401A">
      <w:pPr>
        <w:pStyle w:val="Body"/>
      </w:pPr>
      <w:r w:rsidRPr="009E57AB">
        <w:rPr>
          <w:noProof/>
          <w:lang w:val="ro-RO" w:eastAsia="ro-RO"/>
        </w:rPr>
        <w:drawing>
          <wp:inline distT="0" distB="0" distL="0" distR="0" wp14:anchorId="5A84AF74" wp14:editId="2F4BD473">
            <wp:extent cx="6534785" cy="551298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534785" cy="5512982"/>
                    </a:xfrm>
                    <a:prstGeom prst="rect">
                      <a:avLst/>
                    </a:prstGeom>
                    <a:noFill/>
                    <a:ln>
                      <a:noFill/>
                    </a:ln>
                  </pic:spPr>
                </pic:pic>
              </a:graphicData>
            </a:graphic>
          </wp:inline>
        </w:drawing>
      </w:r>
    </w:p>
    <w:p w:rsidR="002743DF" w:rsidRDefault="002743DF" w:rsidP="0036401A">
      <w:pPr>
        <w:pStyle w:val="Hdg3"/>
      </w:pPr>
      <w:r>
        <w:t>Appraisal of the ES and EES Scenarios</w:t>
      </w:r>
    </w:p>
    <w:p w:rsidR="00EA667E" w:rsidRDefault="00CC5349" w:rsidP="00A4081F">
      <w:pPr>
        <w:pStyle w:val="NumberedParas"/>
      </w:pPr>
      <w:r>
        <w:t>T</w:t>
      </w:r>
      <w:r w:rsidR="00EA667E">
        <w:t xml:space="preserve">he final stage </w:t>
      </w:r>
      <w:r>
        <w:t>in</w:t>
      </w:r>
      <w:r w:rsidR="00EA667E">
        <w:t xml:space="preserve"> the apparaisal </w:t>
      </w:r>
      <w:r>
        <w:t>process is the comparison between t</w:t>
      </w:r>
      <w:r w:rsidR="00EA667E">
        <w:t xml:space="preserve">he </w:t>
      </w:r>
      <w:r>
        <w:t xml:space="preserve">ES and EES </w:t>
      </w:r>
      <w:r w:rsidR="00EA667E">
        <w:t>scenarios.</w:t>
      </w:r>
    </w:p>
    <w:p w:rsidR="00EA667E" w:rsidRDefault="00EA667E" w:rsidP="00A4081F">
      <w:pPr>
        <w:pStyle w:val="NumberedParas"/>
      </w:pPr>
      <w:r>
        <w:t>Projects have been prioritized in two potential development scenarios, as follows:</w:t>
      </w:r>
    </w:p>
    <w:p w:rsidR="00EA667E" w:rsidRPr="00AF4178" w:rsidRDefault="00EA667E" w:rsidP="00273D5E">
      <w:pPr>
        <w:pStyle w:val="BulletLevel1"/>
      </w:pPr>
      <w:r>
        <w:t xml:space="preserve">An </w:t>
      </w:r>
      <w:r w:rsidRPr="00AF4178">
        <w:t>Economic Sustainability Scenario (ES);</w:t>
      </w:r>
    </w:p>
    <w:p w:rsidR="00EA667E" w:rsidRPr="00AF4178" w:rsidRDefault="00EA667E" w:rsidP="00273D5E">
      <w:pPr>
        <w:pStyle w:val="BulletLevel1"/>
      </w:pPr>
      <w:r w:rsidRPr="00AF4178">
        <w:t>An Economic and Environmental Sustainability Scenario (EES);</w:t>
      </w:r>
    </w:p>
    <w:p w:rsidR="00EA667E" w:rsidRDefault="00EA667E" w:rsidP="00A4081F">
      <w:pPr>
        <w:pStyle w:val="NumberedParas"/>
      </w:pPr>
      <w:r w:rsidRPr="00AF4178">
        <w:t>Prioritized projects for each mode of transport have been combined in the</w:t>
      </w:r>
      <w:r>
        <w:t>se two</w:t>
      </w:r>
      <w:r w:rsidRPr="00AF4178">
        <w:t xml:space="preserve"> scenarios. </w:t>
      </w:r>
      <w:r>
        <w:t xml:space="preserve"> The </w:t>
      </w:r>
      <w:r w:rsidRPr="00AF4178">
        <w:t>Scenarios</w:t>
      </w:r>
      <w:r>
        <w:t xml:space="preserve"> were tested with the National Transport Model, in view of identifying the ones which generate the best economic efficiency results.</w:t>
      </w:r>
    </w:p>
    <w:p w:rsidR="00EA667E" w:rsidRDefault="00EA667E" w:rsidP="00A4081F">
      <w:pPr>
        <w:pStyle w:val="NumberedParas"/>
      </w:pPr>
      <w:r>
        <w:t>Following the economic evaluation, the two scenarios were assessed using an Appraisal Summary Table (AST).  The outcomes of economic, and wider apparaisal, for the two scenarios is given below.</w:t>
      </w:r>
    </w:p>
    <w:p w:rsidR="00EA667E" w:rsidRPr="0076579A" w:rsidRDefault="00EA667E" w:rsidP="00EA667E">
      <w:pPr>
        <w:pStyle w:val="Hdg3"/>
      </w:pPr>
      <w:r>
        <w:t>Economic Indicators</w:t>
      </w:r>
    </w:p>
    <w:p w:rsidR="00EA667E" w:rsidRPr="00EF7388" w:rsidRDefault="00EA667E" w:rsidP="00A4081F">
      <w:pPr>
        <w:pStyle w:val="NumberedParas"/>
      </w:pPr>
      <w:r w:rsidRPr="00AF4178">
        <w:t>Tables</w:t>
      </w:r>
      <w:r w:rsidR="00877DFF">
        <w:t xml:space="preserve"> 10.1</w:t>
      </w:r>
      <w:r w:rsidR="004C7E9E">
        <w:t>6</w:t>
      </w:r>
      <w:r w:rsidR="00877DFF">
        <w:t xml:space="preserve"> show</w:t>
      </w:r>
      <w:r w:rsidR="004C7E9E">
        <w:t>s</w:t>
      </w:r>
      <w:r>
        <w:t xml:space="preserve"> the key economic perf</w:t>
      </w:r>
      <w:r w:rsidR="00877DFF">
        <w:t>ormance indicators for the ES and EES scenarios</w:t>
      </w:r>
      <w:r>
        <w:t>.</w:t>
      </w:r>
    </w:p>
    <w:p w:rsidR="00EA667E" w:rsidRDefault="00EA667E" w:rsidP="00045287">
      <w:pPr>
        <w:pStyle w:val="Body"/>
        <w:spacing w:before="120" w:after="0"/>
        <w:rPr>
          <w:b/>
          <w:i w:val="0"/>
        </w:rPr>
      </w:pPr>
      <w:r w:rsidRPr="0036401A">
        <w:rPr>
          <w:b/>
          <w:i w:val="0"/>
          <w:lang w:val="ro-RO"/>
        </w:rPr>
        <w:t>Table 10.1</w:t>
      </w:r>
      <w:r w:rsidR="004C7E9E">
        <w:rPr>
          <w:b/>
          <w:i w:val="0"/>
          <w:lang w:val="ro-RO"/>
        </w:rPr>
        <w:t>6</w:t>
      </w:r>
      <w:r w:rsidRPr="0036401A">
        <w:rPr>
          <w:b/>
          <w:i w:val="0"/>
          <w:lang w:val="ro-RO"/>
        </w:rPr>
        <w:t xml:space="preserve">  Key </w:t>
      </w:r>
      <w:r w:rsidR="00A14AF7">
        <w:rPr>
          <w:b/>
          <w:i w:val="0"/>
          <w:lang w:val="ro-RO"/>
        </w:rPr>
        <w:t>Economic</w:t>
      </w:r>
      <w:r w:rsidRPr="0036401A">
        <w:rPr>
          <w:b/>
          <w:i w:val="0"/>
          <w:lang w:val="ro-RO"/>
        </w:rPr>
        <w:t xml:space="preserve"> Indicators, ES </w:t>
      </w:r>
      <w:r w:rsidR="00FA149E">
        <w:rPr>
          <w:b/>
          <w:i w:val="0"/>
          <w:lang w:val="ro-RO"/>
        </w:rPr>
        <w:t xml:space="preserve">and EES </w:t>
      </w:r>
      <w:r w:rsidRPr="0036401A">
        <w:rPr>
          <w:b/>
          <w:i w:val="0"/>
          <w:lang w:val="ro-RO"/>
        </w:rPr>
        <w:t>Scenario</w:t>
      </w:r>
    </w:p>
    <w:tbl>
      <w:tblPr>
        <w:tblW w:w="10540" w:type="dxa"/>
        <w:tblInd w:w="-23" w:type="dxa"/>
        <w:tblLook w:val="04A0" w:firstRow="1" w:lastRow="0" w:firstColumn="1" w:lastColumn="0" w:noHBand="0" w:noVBand="1"/>
      </w:tblPr>
      <w:tblGrid>
        <w:gridCol w:w="2541"/>
        <w:gridCol w:w="1843"/>
        <w:gridCol w:w="1006"/>
        <w:gridCol w:w="1687"/>
        <w:gridCol w:w="1006"/>
        <w:gridCol w:w="1262"/>
        <w:gridCol w:w="1195"/>
      </w:tblGrid>
      <w:tr w:rsidR="00FA149E" w:rsidTr="00045287">
        <w:trPr>
          <w:trHeight w:val="315"/>
        </w:trPr>
        <w:tc>
          <w:tcPr>
            <w:tcW w:w="2541" w:type="dxa"/>
            <w:tcBorders>
              <w:top w:val="single" w:sz="8" w:space="0" w:color="auto"/>
              <w:left w:val="single" w:sz="8" w:space="0" w:color="auto"/>
              <w:bottom w:val="double" w:sz="6" w:space="0" w:color="auto"/>
              <w:right w:val="nil"/>
            </w:tcBorders>
            <w:shd w:val="clear" w:color="auto" w:fill="B6DDE8"/>
            <w:noWrap/>
            <w:vAlign w:val="bottom"/>
            <w:hideMark/>
          </w:tcPr>
          <w:p w:rsidR="00FA149E" w:rsidRPr="00FA149E" w:rsidRDefault="00FA149E">
            <w:pPr>
              <w:rPr>
                <w:rFonts w:cs="Arial"/>
                <w:b/>
                <w:bCs/>
                <w:sz w:val="20"/>
                <w:szCs w:val="20"/>
                <w:lang w:val="en-US"/>
              </w:rPr>
            </w:pPr>
            <w:r w:rsidRPr="00FA149E">
              <w:rPr>
                <w:rFonts w:cs="Arial"/>
                <w:b/>
                <w:bCs/>
                <w:sz w:val="20"/>
                <w:szCs w:val="20"/>
                <w:lang w:val="en-US"/>
              </w:rPr>
              <w:t>Project Title</w:t>
            </w:r>
          </w:p>
        </w:tc>
        <w:tc>
          <w:tcPr>
            <w:tcW w:w="2849" w:type="dxa"/>
            <w:gridSpan w:val="2"/>
            <w:tcBorders>
              <w:top w:val="single" w:sz="8" w:space="0" w:color="auto"/>
              <w:left w:val="single" w:sz="8" w:space="0" w:color="auto"/>
              <w:bottom w:val="double" w:sz="6" w:space="0" w:color="auto"/>
              <w:right w:val="single" w:sz="8" w:space="0" w:color="000000"/>
            </w:tcBorders>
            <w:shd w:val="clear" w:color="auto" w:fill="B6DDE8"/>
            <w:noWrap/>
            <w:vAlign w:val="bottom"/>
            <w:hideMark/>
          </w:tcPr>
          <w:p w:rsidR="00FA149E" w:rsidRPr="00FA149E" w:rsidRDefault="00FA149E">
            <w:pPr>
              <w:jc w:val="center"/>
              <w:rPr>
                <w:rFonts w:cs="Arial"/>
                <w:b/>
                <w:bCs/>
                <w:sz w:val="20"/>
                <w:szCs w:val="20"/>
                <w:lang w:val="en-US"/>
              </w:rPr>
            </w:pPr>
            <w:r w:rsidRPr="00FA149E">
              <w:rPr>
                <w:rFonts w:cs="Arial"/>
                <w:b/>
                <w:bCs/>
                <w:sz w:val="20"/>
                <w:szCs w:val="20"/>
                <w:lang w:val="en-US"/>
              </w:rPr>
              <w:t>EES Final Strategy</w:t>
            </w:r>
          </w:p>
        </w:tc>
        <w:tc>
          <w:tcPr>
            <w:tcW w:w="2693" w:type="dxa"/>
            <w:gridSpan w:val="2"/>
            <w:tcBorders>
              <w:top w:val="single" w:sz="8" w:space="0" w:color="auto"/>
              <w:left w:val="nil"/>
              <w:bottom w:val="double" w:sz="6" w:space="0" w:color="auto"/>
              <w:right w:val="single" w:sz="8" w:space="0" w:color="000000"/>
            </w:tcBorders>
            <w:shd w:val="clear" w:color="auto" w:fill="B6DDE8"/>
            <w:noWrap/>
            <w:vAlign w:val="bottom"/>
            <w:hideMark/>
          </w:tcPr>
          <w:p w:rsidR="00FA149E" w:rsidRPr="00FA149E" w:rsidRDefault="00FA149E">
            <w:pPr>
              <w:jc w:val="center"/>
              <w:rPr>
                <w:rFonts w:cs="Arial"/>
                <w:b/>
                <w:bCs/>
                <w:sz w:val="20"/>
                <w:szCs w:val="20"/>
                <w:lang w:val="en-US"/>
              </w:rPr>
            </w:pPr>
            <w:r w:rsidRPr="00FA149E">
              <w:rPr>
                <w:rFonts w:cs="Arial"/>
                <w:b/>
                <w:bCs/>
                <w:sz w:val="20"/>
                <w:szCs w:val="20"/>
                <w:lang w:val="en-US"/>
              </w:rPr>
              <w:t>ES Final Strategy</w:t>
            </w:r>
          </w:p>
        </w:tc>
        <w:tc>
          <w:tcPr>
            <w:tcW w:w="2457" w:type="dxa"/>
            <w:gridSpan w:val="2"/>
            <w:tcBorders>
              <w:top w:val="single" w:sz="8" w:space="0" w:color="auto"/>
              <w:left w:val="nil"/>
              <w:bottom w:val="double" w:sz="6" w:space="0" w:color="auto"/>
              <w:right w:val="single" w:sz="8" w:space="0" w:color="000000"/>
            </w:tcBorders>
            <w:shd w:val="clear" w:color="auto" w:fill="B6DDE8"/>
            <w:noWrap/>
            <w:vAlign w:val="bottom"/>
            <w:hideMark/>
          </w:tcPr>
          <w:p w:rsidR="00FA149E" w:rsidRPr="00FA149E" w:rsidRDefault="00FA149E">
            <w:pPr>
              <w:jc w:val="center"/>
              <w:rPr>
                <w:rFonts w:cs="Arial"/>
                <w:b/>
                <w:bCs/>
                <w:sz w:val="20"/>
                <w:szCs w:val="20"/>
                <w:lang w:val="en-US"/>
              </w:rPr>
            </w:pPr>
            <w:r w:rsidRPr="00FA149E">
              <w:rPr>
                <w:rFonts w:cs="Arial"/>
                <w:b/>
                <w:bCs/>
                <w:sz w:val="20"/>
                <w:szCs w:val="20"/>
                <w:lang w:val="en-US"/>
              </w:rPr>
              <w:t>Difference (EES - ES)</w:t>
            </w:r>
          </w:p>
        </w:tc>
      </w:tr>
      <w:tr w:rsidR="00FA149E" w:rsidTr="00045287">
        <w:trPr>
          <w:trHeight w:val="315"/>
        </w:trPr>
        <w:tc>
          <w:tcPr>
            <w:tcW w:w="2541" w:type="dxa"/>
            <w:tcBorders>
              <w:top w:val="nil"/>
              <w:left w:val="single" w:sz="8" w:space="0" w:color="auto"/>
              <w:bottom w:val="single" w:sz="4" w:space="0" w:color="auto"/>
              <w:right w:val="nil"/>
            </w:tcBorders>
            <w:shd w:val="clear" w:color="auto" w:fill="FFFFFF"/>
            <w:noWrap/>
            <w:vAlign w:val="bottom"/>
            <w:hideMark/>
          </w:tcPr>
          <w:p w:rsidR="00FA149E" w:rsidRPr="00045287" w:rsidRDefault="00FA149E">
            <w:pPr>
              <w:rPr>
                <w:rFonts w:cs="Arial"/>
                <w:sz w:val="20"/>
                <w:szCs w:val="20"/>
                <w:lang w:val="en-US"/>
              </w:rPr>
            </w:pPr>
            <w:r w:rsidRPr="00045287">
              <w:rPr>
                <w:rFonts w:cs="Arial"/>
                <w:sz w:val="20"/>
                <w:szCs w:val="20"/>
                <w:lang w:val="en-US"/>
              </w:rPr>
              <w:t>Undiscounted Costs (million EUR in 2010 prices)</w:t>
            </w:r>
          </w:p>
        </w:tc>
        <w:tc>
          <w:tcPr>
            <w:tcW w:w="2849" w:type="dxa"/>
            <w:gridSpan w:val="2"/>
            <w:tcBorders>
              <w:top w:val="double" w:sz="6" w:space="0" w:color="auto"/>
              <w:left w:val="single" w:sz="8" w:space="0" w:color="auto"/>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31,550.65</w:t>
            </w:r>
          </w:p>
        </w:tc>
        <w:tc>
          <w:tcPr>
            <w:tcW w:w="2693" w:type="dxa"/>
            <w:gridSpan w:val="2"/>
            <w:tcBorders>
              <w:top w:val="double" w:sz="6"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32,441.85</w:t>
            </w:r>
          </w:p>
        </w:tc>
        <w:tc>
          <w:tcPr>
            <w:tcW w:w="2457" w:type="dxa"/>
            <w:gridSpan w:val="2"/>
            <w:tcBorders>
              <w:top w:val="double" w:sz="6"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-891.19</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bottom"/>
            <w:hideMark/>
          </w:tcPr>
          <w:p w:rsidR="00FA149E" w:rsidRPr="00FA149E" w:rsidRDefault="00FA149E">
            <w:pPr>
              <w:rPr>
                <w:rFonts w:cs="Arial"/>
                <w:sz w:val="20"/>
                <w:szCs w:val="20"/>
                <w:lang w:val="en-US"/>
              </w:rPr>
            </w:pPr>
            <w:r w:rsidRPr="00FA149E">
              <w:rPr>
                <w:rFonts w:cs="Arial"/>
                <w:sz w:val="20"/>
                <w:szCs w:val="20"/>
                <w:lang w:val="en-US"/>
              </w:rPr>
              <w:t>CAPEX (million EUR)</w:t>
            </w:r>
          </w:p>
        </w:tc>
        <w:tc>
          <w:tcPr>
            <w:tcW w:w="2849" w:type="dxa"/>
            <w:gridSpan w:val="2"/>
            <w:tcBorders>
              <w:top w:val="single" w:sz="4" w:space="0" w:color="auto"/>
              <w:left w:val="single" w:sz="8" w:space="0" w:color="auto"/>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31,290.57</w:t>
            </w:r>
          </w:p>
        </w:tc>
        <w:tc>
          <w:tcPr>
            <w:tcW w:w="2693"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32,181.76</w:t>
            </w:r>
          </w:p>
        </w:tc>
        <w:tc>
          <w:tcPr>
            <w:tcW w:w="2457"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-891.19</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bottom"/>
            <w:hideMark/>
          </w:tcPr>
          <w:p w:rsidR="00FA149E" w:rsidRPr="00FA149E" w:rsidRDefault="00FA149E">
            <w:pPr>
              <w:rPr>
                <w:rFonts w:cs="Arial"/>
                <w:sz w:val="20"/>
                <w:szCs w:val="20"/>
                <w:lang w:val="en-US"/>
              </w:rPr>
            </w:pPr>
            <w:r w:rsidRPr="00FA149E">
              <w:rPr>
                <w:rFonts w:cs="Arial"/>
                <w:sz w:val="20"/>
                <w:szCs w:val="20"/>
                <w:lang w:val="en-US"/>
              </w:rPr>
              <w:t>OPEX (million EUR)</w:t>
            </w:r>
          </w:p>
        </w:tc>
        <w:tc>
          <w:tcPr>
            <w:tcW w:w="2849" w:type="dxa"/>
            <w:gridSpan w:val="2"/>
            <w:tcBorders>
              <w:top w:val="single" w:sz="4" w:space="0" w:color="auto"/>
              <w:left w:val="single" w:sz="8" w:space="0" w:color="auto"/>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260.08</w:t>
            </w:r>
          </w:p>
        </w:tc>
        <w:tc>
          <w:tcPr>
            <w:tcW w:w="2693"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260.08</w:t>
            </w:r>
          </w:p>
        </w:tc>
        <w:tc>
          <w:tcPr>
            <w:tcW w:w="2457"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0.00</w:t>
            </w:r>
          </w:p>
        </w:tc>
      </w:tr>
      <w:tr w:rsidR="00FA149E" w:rsidTr="00045287">
        <w:trPr>
          <w:trHeight w:val="315"/>
        </w:trPr>
        <w:tc>
          <w:tcPr>
            <w:tcW w:w="2541" w:type="dxa"/>
            <w:tcBorders>
              <w:top w:val="nil"/>
              <w:left w:val="single" w:sz="8" w:space="0" w:color="auto"/>
              <w:bottom w:val="single" w:sz="8" w:space="0" w:color="auto"/>
              <w:right w:val="nil"/>
            </w:tcBorders>
            <w:shd w:val="clear" w:color="auto" w:fill="FFFFFF"/>
            <w:noWrap/>
            <w:vAlign w:val="bottom"/>
            <w:hideMark/>
          </w:tcPr>
          <w:p w:rsidR="00FA149E" w:rsidRPr="00045287" w:rsidRDefault="00FA149E">
            <w:pPr>
              <w:rPr>
                <w:rFonts w:cs="Arial"/>
                <w:sz w:val="20"/>
                <w:szCs w:val="20"/>
                <w:lang w:val="en-US"/>
              </w:rPr>
            </w:pPr>
            <w:r w:rsidRPr="00045287">
              <w:rPr>
                <w:rFonts w:cs="Arial"/>
                <w:sz w:val="20"/>
                <w:szCs w:val="20"/>
                <w:lang w:val="en-US"/>
              </w:rPr>
              <w:t>Discount year</w:t>
            </w:r>
          </w:p>
        </w:tc>
        <w:tc>
          <w:tcPr>
            <w:tcW w:w="2849" w:type="dxa"/>
            <w:gridSpan w:val="2"/>
            <w:tcBorders>
              <w:top w:val="single" w:sz="4" w:space="0" w:color="auto"/>
              <w:left w:val="single" w:sz="8" w:space="0" w:color="auto"/>
              <w:bottom w:val="single" w:sz="8"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2010</w:t>
            </w:r>
          </w:p>
        </w:tc>
        <w:tc>
          <w:tcPr>
            <w:tcW w:w="2693" w:type="dxa"/>
            <w:gridSpan w:val="2"/>
            <w:tcBorders>
              <w:top w:val="single" w:sz="4" w:space="0" w:color="auto"/>
              <w:left w:val="nil"/>
              <w:bottom w:val="single" w:sz="8"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2010</w:t>
            </w:r>
          </w:p>
        </w:tc>
        <w:tc>
          <w:tcPr>
            <w:tcW w:w="2457" w:type="dxa"/>
            <w:gridSpan w:val="2"/>
            <w:tcBorders>
              <w:top w:val="single" w:sz="4" w:space="0" w:color="auto"/>
              <w:left w:val="nil"/>
              <w:bottom w:val="single" w:sz="8" w:space="0" w:color="auto"/>
              <w:right w:val="single" w:sz="8" w:space="0" w:color="000000"/>
            </w:tcBorders>
            <w:shd w:val="clear" w:color="auto" w:fill="FFFFFF"/>
            <w:noWrap/>
            <w:vAlign w:val="bottom"/>
            <w:hideMark/>
          </w:tcPr>
          <w:p w:rsidR="00FA149E" w:rsidRPr="00045287" w:rsidRDefault="00FA149E">
            <w:pPr>
              <w:jc w:val="center"/>
              <w:rPr>
                <w:rFonts w:cs="Arial"/>
                <w:sz w:val="20"/>
                <w:szCs w:val="20"/>
                <w:lang w:val="en-US"/>
              </w:rPr>
            </w:pPr>
            <w:r w:rsidRPr="00045287">
              <w:rPr>
                <w:rFonts w:cs="Arial"/>
                <w:sz w:val="20"/>
                <w:szCs w:val="20"/>
                <w:lang w:val="en-US"/>
              </w:rPr>
              <w:t> -</w:t>
            </w:r>
          </w:p>
        </w:tc>
      </w:tr>
      <w:tr w:rsidR="00FA149E" w:rsidTr="00045287">
        <w:trPr>
          <w:trHeight w:val="315"/>
        </w:trPr>
        <w:tc>
          <w:tcPr>
            <w:tcW w:w="2541" w:type="dxa"/>
            <w:noWrap/>
            <w:vAlign w:val="bottom"/>
            <w:hideMark/>
          </w:tcPr>
          <w:p w:rsidR="00FA149E" w:rsidRPr="00045287" w:rsidRDefault="00FA149E">
            <w:pPr>
              <w:rPr>
                <w:rFonts w:cs="Arial"/>
                <w:sz w:val="20"/>
                <w:szCs w:val="20"/>
              </w:rPr>
            </w:pPr>
          </w:p>
        </w:tc>
        <w:tc>
          <w:tcPr>
            <w:tcW w:w="1843" w:type="dxa"/>
            <w:noWrap/>
            <w:vAlign w:val="bottom"/>
            <w:hideMark/>
          </w:tcPr>
          <w:p w:rsidR="00FA149E" w:rsidRPr="00045287" w:rsidRDefault="00FA149E">
            <w:pPr>
              <w:rPr>
                <w:rFonts w:cs="Arial"/>
                <w:sz w:val="20"/>
                <w:szCs w:val="20"/>
              </w:rPr>
            </w:pPr>
          </w:p>
        </w:tc>
        <w:tc>
          <w:tcPr>
            <w:tcW w:w="1006" w:type="dxa"/>
            <w:noWrap/>
            <w:vAlign w:val="bottom"/>
            <w:hideMark/>
          </w:tcPr>
          <w:p w:rsidR="00FA149E" w:rsidRPr="00045287" w:rsidRDefault="00FA149E">
            <w:pPr>
              <w:rPr>
                <w:rFonts w:cs="Arial"/>
                <w:sz w:val="20"/>
                <w:szCs w:val="20"/>
              </w:rPr>
            </w:pPr>
          </w:p>
        </w:tc>
        <w:tc>
          <w:tcPr>
            <w:tcW w:w="1687" w:type="dxa"/>
            <w:noWrap/>
            <w:vAlign w:val="bottom"/>
            <w:hideMark/>
          </w:tcPr>
          <w:p w:rsidR="00FA149E" w:rsidRPr="00045287" w:rsidRDefault="00FA149E">
            <w:pPr>
              <w:rPr>
                <w:rFonts w:cs="Arial"/>
                <w:sz w:val="20"/>
                <w:szCs w:val="20"/>
              </w:rPr>
            </w:pPr>
          </w:p>
        </w:tc>
        <w:tc>
          <w:tcPr>
            <w:tcW w:w="1006" w:type="dxa"/>
            <w:noWrap/>
            <w:vAlign w:val="bottom"/>
            <w:hideMark/>
          </w:tcPr>
          <w:p w:rsidR="00FA149E" w:rsidRPr="00045287" w:rsidRDefault="00FA149E">
            <w:pPr>
              <w:rPr>
                <w:rFonts w:cs="Arial"/>
                <w:sz w:val="20"/>
                <w:szCs w:val="20"/>
              </w:rPr>
            </w:pPr>
          </w:p>
        </w:tc>
        <w:tc>
          <w:tcPr>
            <w:tcW w:w="1262" w:type="dxa"/>
            <w:noWrap/>
            <w:vAlign w:val="bottom"/>
            <w:hideMark/>
          </w:tcPr>
          <w:p w:rsidR="00FA149E" w:rsidRPr="00045287" w:rsidRDefault="00FA149E">
            <w:pPr>
              <w:rPr>
                <w:rFonts w:cs="Arial"/>
                <w:sz w:val="20"/>
                <w:szCs w:val="20"/>
              </w:rPr>
            </w:pPr>
          </w:p>
        </w:tc>
        <w:tc>
          <w:tcPr>
            <w:tcW w:w="1195" w:type="dxa"/>
            <w:noWrap/>
            <w:vAlign w:val="bottom"/>
            <w:hideMark/>
          </w:tcPr>
          <w:p w:rsidR="00FA149E" w:rsidRPr="00045287" w:rsidRDefault="00FA149E">
            <w:pPr>
              <w:rPr>
                <w:rFonts w:cs="Arial"/>
                <w:sz w:val="20"/>
                <w:szCs w:val="20"/>
              </w:rPr>
            </w:pPr>
          </w:p>
        </w:tc>
      </w:tr>
      <w:tr w:rsidR="00FA149E" w:rsidTr="00045287">
        <w:trPr>
          <w:trHeight w:val="1020"/>
        </w:trPr>
        <w:tc>
          <w:tcPr>
            <w:tcW w:w="2541" w:type="dxa"/>
            <w:noWrap/>
            <w:vAlign w:val="bottom"/>
            <w:hideMark/>
          </w:tcPr>
          <w:p w:rsidR="00FA149E" w:rsidRPr="00045287" w:rsidRDefault="00FA149E">
            <w:pPr>
              <w:rPr>
                <w:rFonts w:cs="Arial"/>
                <w:sz w:val="20"/>
                <w:szCs w:val="20"/>
              </w:rPr>
            </w:pPr>
          </w:p>
        </w:tc>
        <w:tc>
          <w:tcPr>
            <w:tcW w:w="1843" w:type="dxa"/>
            <w:tcBorders>
              <w:top w:val="single" w:sz="8" w:space="0" w:color="auto"/>
              <w:left w:val="single" w:sz="8" w:space="0" w:color="auto"/>
              <w:bottom w:val="single" w:sz="4" w:space="0" w:color="auto"/>
              <w:right w:val="single" w:sz="4" w:space="0" w:color="auto"/>
            </w:tcBorders>
            <w:shd w:val="clear" w:color="auto" w:fill="FFFFFF"/>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Incremental Cost or Benefit (Million EUR) counted</w:t>
            </w:r>
          </w:p>
        </w:tc>
        <w:tc>
          <w:tcPr>
            <w:tcW w:w="1006" w:type="dxa"/>
            <w:tcBorders>
              <w:top w:val="single" w:sz="8" w:space="0" w:color="auto"/>
              <w:left w:val="nil"/>
              <w:bottom w:val="single" w:sz="4" w:space="0" w:color="auto"/>
              <w:right w:val="single" w:sz="8" w:space="0" w:color="auto"/>
            </w:tcBorders>
            <w:shd w:val="clear" w:color="auto" w:fill="FFFFFF"/>
            <w:vAlign w:val="center"/>
            <w:hideMark/>
          </w:tcPr>
          <w:p w:rsidR="00FA149E" w:rsidRPr="00FA149E" w:rsidRDefault="00FA149E">
            <w:pPr>
              <w:jc w:val="center"/>
              <w:rPr>
                <w:rFonts w:cs="Arial"/>
                <w:b/>
                <w:bCs/>
                <w:sz w:val="20"/>
                <w:szCs w:val="20"/>
                <w:lang w:val="en-US"/>
              </w:rPr>
            </w:pPr>
            <w:r w:rsidRPr="00FA149E">
              <w:rPr>
                <w:rFonts w:cs="Arial"/>
                <w:b/>
                <w:bCs/>
                <w:sz w:val="20"/>
                <w:szCs w:val="20"/>
                <w:lang w:val="en-US"/>
              </w:rPr>
              <w:t>Share in Total</w:t>
            </w:r>
            <w:r w:rsidRPr="00FA149E">
              <w:rPr>
                <w:rFonts w:cs="Arial"/>
                <w:b/>
                <w:bCs/>
                <w:sz w:val="20"/>
                <w:szCs w:val="20"/>
                <w:lang w:val="en-US"/>
              </w:rPr>
              <w:br/>
              <w:t>Costs / Benefits</w:t>
            </w:r>
          </w:p>
        </w:tc>
        <w:tc>
          <w:tcPr>
            <w:tcW w:w="1687" w:type="dxa"/>
            <w:tcBorders>
              <w:top w:val="single" w:sz="8" w:space="0" w:color="auto"/>
              <w:left w:val="nil"/>
              <w:bottom w:val="single" w:sz="4" w:space="0" w:color="auto"/>
              <w:right w:val="single" w:sz="4" w:space="0" w:color="auto"/>
            </w:tcBorders>
            <w:shd w:val="clear" w:color="auto" w:fill="FFFFFF"/>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Incremental Costor Benefit(Million EUR) Discounted</w:t>
            </w:r>
          </w:p>
        </w:tc>
        <w:tc>
          <w:tcPr>
            <w:tcW w:w="1006" w:type="dxa"/>
            <w:tcBorders>
              <w:top w:val="single" w:sz="8" w:space="0" w:color="auto"/>
              <w:left w:val="nil"/>
              <w:bottom w:val="single" w:sz="4" w:space="0" w:color="auto"/>
              <w:right w:val="single" w:sz="8" w:space="0" w:color="auto"/>
            </w:tcBorders>
            <w:shd w:val="clear" w:color="auto" w:fill="FFFFFF"/>
            <w:vAlign w:val="center"/>
            <w:hideMark/>
          </w:tcPr>
          <w:p w:rsidR="00FA149E" w:rsidRPr="00FA149E" w:rsidRDefault="00FA149E">
            <w:pPr>
              <w:jc w:val="center"/>
              <w:rPr>
                <w:rFonts w:cs="Arial"/>
                <w:b/>
                <w:bCs/>
                <w:sz w:val="20"/>
                <w:szCs w:val="20"/>
                <w:lang w:val="en-US"/>
              </w:rPr>
            </w:pPr>
            <w:r w:rsidRPr="00FA149E">
              <w:rPr>
                <w:rFonts w:cs="Arial"/>
                <w:b/>
                <w:bCs/>
                <w:sz w:val="20"/>
                <w:szCs w:val="20"/>
                <w:lang w:val="en-US"/>
              </w:rPr>
              <w:t>Share in Total</w:t>
            </w:r>
            <w:r w:rsidRPr="00FA149E">
              <w:rPr>
                <w:rFonts w:cs="Arial"/>
                <w:b/>
                <w:bCs/>
                <w:sz w:val="20"/>
                <w:szCs w:val="20"/>
                <w:lang w:val="en-US"/>
              </w:rPr>
              <w:br/>
              <w:t>Costs / Benefits</w:t>
            </w:r>
          </w:p>
        </w:tc>
        <w:tc>
          <w:tcPr>
            <w:tcW w:w="1262" w:type="dxa"/>
            <w:tcBorders>
              <w:top w:val="single" w:sz="8" w:space="0" w:color="auto"/>
              <w:left w:val="nil"/>
              <w:bottom w:val="single" w:sz="4" w:space="0" w:color="auto"/>
              <w:right w:val="single" w:sz="4" w:space="0" w:color="auto"/>
            </w:tcBorders>
            <w:shd w:val="clear" w:color="auto" w:fill="FFFFFF"/>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Absolute Difference</w:t>
            </w:r>
          </w:p>
        </w:tc>
        <w:tc>
          <w:tcPr>
            <w:tcW w:w="1195" w:type="dxa"/>
            <w:tcBorders>
              <w:top w:val="single" w:sz="8" w:space="0" w:color="auto"/>
              <w:left w:val="nil"/>
              <w:bottom w:val="single" w:sz="4" w:space="0" w:color="auto"/>
              <w:right w:val="single" w:sz="8" w:space="0" w:color="auto"/>
            </w:tcBorders>
            <w:shd w:val="clear" w:color="auto" w:fill="FFFFFF"/>
            <w:vAlign w:val="center"/>
            <w:hideMark/>
          </w:tcPr>
          <w:p w:rsidR="00FA149E" w:rsidRPr="00FA149E" w:rsidRDefault="00FA149E">
            <w:pPr>
              <w:jc w:val="center"/>
              <w:rPr>
                <w:rFonts w:cs="Arial"/>
                <w:b/>
                <w:bCs/>
                <w:sz w:val="20"/>
                <w:szCs w:val="20"/>
                <w:lang w:val="en-US"/>
              </w:rPr>
            </w:pPr>
            <w:r w:rsidRPr="00FA149E">
              <w:rPr>
                <w:rFonts w:cs="Arial"/>
                <w:b/>
                <w:bCs/>
                <w:sz w:val="20"/>
                <w:szCs w:val="20"/>
                <w:lang w:val="en-US"/>
              </w:rPr>
              <w:t>% of Total Difference in Costs/ Benefits</w:t>
            </w: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C0C0C0"/>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Cost to Infrastructure Manager</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CAPEX</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18,503.78</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100%</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18,980.22</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100%</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-476.44</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100%</w:t>
            </w: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OPEX</w:t>
            </w:r>
          </w:p>
        </w:tc>
        <w:tc>
          <w:tcPr>
            <w:tcW w:w="1843" w:type="dxa"/>
            <w:tcBorders>
              <w:top w:val="nil"/>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40.55</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687" w:type="dxa"/>
            <w:tcBorders>
              <w:top w:val="nil"/>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40.55</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262" w:type="dxa"/>
            <w:tcBorders>
              <w:top w:val="nil"/>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0.00</w:t>
            </w:r>
          </w:p>
        </w:tc>
        <w:tc>
          <w:tcPr>
            <w:tcW w:w="1195"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r>
      <w:tr w:rsidR="00FA149E" w:rsidTr="00FA149E">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Cost to Operator</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CAPEX</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0.00</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0.00</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0.00</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OPEX</w:t>
            </w:r>
          </w:p>
        </w:tc>
        <w:tc>
          <w:tcPr>
            <w:tcW w:w="1843" w:type="dxa"/>
            <w:tcBorders>
              <w:top w:val="nil"/>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17.84</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687" w:type="dxa"/>
            <w:tcBorders>
              <w:top w:val="nil"/>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17.84</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c>
          <w:tcPr>
            <w:tcW w:w="1262" w:type="dxa"/>
            <w:tcBorders>
              <w:top w:val="nil"/>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0.00</w:t>
            </w:r>
          </w:p>
        </w:tc>
        <w:tc>
          <w:tcPr>
            <w:tcW w:w="1195"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w:t>
            </w:r>
          </w:p>
        </w:tc>
      </w:tr>
      <w:tr w:rsidR="00FA149E" w:rsidTr="00FA149E">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 xml:space="preserve">Benefit To Users </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Value of Time</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30,346.49</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60.75%</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28,671.32</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59.28%</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1,675.17</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105.98%</w:t>
            </w:r>
          </w:p>
        </w:tc>
      </w:tr>
      <w:tr w:rsidR="00FA149E" w:rsidTr="00045287">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Vehicle Operating Costs</w:t>
            </w:r>
          </w:p>
        </w:tc>
        <w:tc>
          <w:tcPr>
            <w:tcW w:w="1843"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815.36</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1.63%</w:t>
            </w:r>
          </w:p>
        </w:tc>
        <w:tc>
          <w:tcPr>
            <w:tcW w:w="1687" w:type="dxa"/>
            <w:tcBorders>
              <w:top w:val="nil"/>
              <w:left w:val="nil"/>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1,349.44</w:t>
            </w:r>
          </w:p>
        </w:tc>
        <w:tc>
          <w:tcPr>
            <w:tcW w:w="1006"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2.79%</w:t>
            </w:r>
          </w:p>
        </w:tc>
        <w:tc>
          <w:tcPr>
            <w:tcW w:w="1262" w:type="dxa"/>
            <w:tcBorders>
              <w:top w:val="nil"/>
              <w:left w:val="nil"/>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-534.09</w:t>
            </w:r>
          </w:p>
        </w:tc>
        <w:tc>
          <w:tcPr>
            <w:tcW w:w="1195" w:type="dxa"/>
            <w:tcBorders>
              <w:top w:val="nil"/>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-33.79%</w:t>
            </w:r>
          </w:p>
        </w:tc>
      </w:tr>
      <w:tr w:rsidR="00FA149E" w:rsidTr="00FA149E">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External Impacts</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006"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FA149E" w:rsidRPr="00FA149E" w:rsidRDefault="00FA149E" w:rsidP="00045287">
            <w:pPr>
              <w:ind w:firstLineChars="200" w:firstLine="402"/>
              <w:jc w:val="center"/>
              <w:rPr>
                <w:rFonts w:cs="Arial"/>
                <w:b/>
                <w:bCs/>
                <w:sz w:val="20"/>
                <w:szCs w:val="20"/>
                <w:lang w:val="en-US"/>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FA149E" w:rsidRPr="00FA149E" w:rsidRDefault="00FA149E" w:rsidP="00045287">
            <w:pPr>
              <w:jc w:val="center"/>
              <w:rPr>
                <w:rFonts w:cs="Arial"/>
                <w:b/>
                <w:bCs/>
                <w:sz w:val="20"/>
                <w:szCs w:val="20"/>
                <w:lang w:val="en-US"/>
              </w:rPr>
            </w:pPr>
          </w:p>
        </w:tc>
      </w:tr>
      <w:tr w:rsidR="00FA149E" w:rsidTr="00FA149E">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Accidents (Safety)</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12,932.99</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25.89%</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12,570.52</w:t>
            </w:r>
          </w:p>
        </w:tc>
        <w:tc>
          <w:tcPr>
            <w:tcW w:w="1006"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25.99%</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362.47</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22.93%</w:t>
            </w:r>
          </w:p>
        </w:tc>
      </w:tr>
      <w:tr w:rsidR="00FA149E" w:rsidTr="00045287">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Noise</w:t>
            </w:r>
          </w:p>
        </w:tc>
        <w:tc>
          <w:tcPr>
            <w:tcW w:w="1843"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359.53</w:t>
            </w:r>
          </w:p>
        </w:tc>
        <w:tc>
          <w:tcPr>
            <w:tcW w:w="1006"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0.72%</w:t>
            </w:r>
          </w:p>
        </w:tc>
        <w:tc>
          <w:tcPr>
            <w:tcW w:w="1687"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360.25</w:t>
            </w:r>
          </w:p>
        </w:tc>
        <w:tc>
          <w:tcPr>
            <w:tcW w:w="1006"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0.74%</w:t>
            </w:r>
          </w:p>
        </w:tc>
        <w:tc>
          <w:tcPr>
            <w:tcW w:w="1262"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-0.72</w:t>
            </w:r>
          </w:p>
        </w:tc>
        <w:tc>
          <w:tcPr>
            <w:tcW w:w="1195"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-0.05%</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Air Pollution</w:t>
            </w:r>
          </w:p>
        </w:tc>
        <w:tc>
          <w:tcPr>
            <w:tcW w:w="1843"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6,425.50</w:t>
            </w:r>
          </w:p>
        </w:tc>
        <w:tc>
          <w:tcPr>
            <w:tcW w:w="1006"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12.86%</w:t>
            </w:r>
          </w:p>
        </w:tc>
        <w:tc>
          <w:tcPr>
            <w:tcW w:w="1687"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6,160.33</w:t>
            </w:r>
          </w:p>
        </w:tc>
        <w:tc>
          <w:tcPr>
            <w:tcW w:w="1006"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12.74%</w:t>
            </w:r>
          </w:p>
        </w:tc>
        <w:tc>
          <w:tcPr>
            <w:tcW w:w="1262" w:type="dxa"/>
            <w:tcBorders>
              <w:top w:val="nil"/>
              <w:left w:val="single" w:sz="8" w:space="0" w:color="auto"/>
              <w:bottom w:val="single" w:sz="4" w:space="0" w:color="auto"/>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265.18</w:t>
            </w:r>
          </w:p>
        </w:tc>
        <w:tc>
          <w:tcPr>
            <w:tcW w:w="1195" w:type="dxa"/>
            <w:tcBorders>
              <w:top w:val="nil"/>
              <w:left w:val="single" w:sz="4" w:space="0" w:color="auto"/>
              <w:bottom w:val="single" w:sz="4" w:space="0" w:color="auto"/>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16.78%</w:t>
            </w:r>
          </w:p>
        </w:tc>
      </w:tr>
      <w:tr w:rsidR="00FA149E" w:rsidTr="00045287">
        <w:trPr>
          <w:trHeight w:val="315"/>
        </w:trPr>
        <w:tc>
          <w:tcPr>
            <w:tcW w:w="2541" w:type="dxa"/>
            <w:tcBorders>
              <w:top w:val="nil"/>
              <w:left w:val="single" w:sz="8" w:space="0" w:color="auto"/>
              <w:bottom w:val="nil"/>
              <w:right w:val="nil"/>
            </w:tcBorders>
            <w:shd w:val="clear" w:color="auto" w:fill="FFFFFF"/>
            <w:noWrap/>
            <w:vAlign w:val="center"/>
            <w:hideMark/>
          </w:tcPr>
          <w:p w:rsidR="00FA149E" w:rsidRPr="00FA149E" w:rsidRDefault="00FA149E">
            <w:pPr>
              <w:rPr>
                <w:rFonts w:cs="Arial"/>
                <w:sz w:val="20"/>
                <w:szCs w:val="20"/>
                <w:lang w:val="en-US"/>
              </w:rPr>
            </w:pPr>
            <w:r w:rsidRPr="00FA149E">
              <w:rPr>
                <w:rFonts w:cs="Arial"/>
                <w:sz w:val="20"/>
                <w:szCs w:val="20"/>
                <w:lang w:val="en-US"/>
              </w:rPr>
              <w:t>Climate Change</w:t>
            </w:r>
          </w:p>
        </w:tc>
        <w:tc>
          <w:tcPr>
            <w:tcW w:w="1843" w:type="dxa"/>
            <w:tcBorders>
              <w:top w:val="nil"/>
              <w:left w:val="single" w:sz="8" w:space="0" w:color="auto"/>
              <w:bottom w:val="nil"/>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-912.19</w:t>
            </w:r>
          </w:p>
        </w:tc>
        <w:tc>
          <w:tcPr>
            <w:tcW w:w="1006" w:type="dxa"/>
            <w:tcBorders>
              <w:top w:val="nil"/>
              <w:left w:val="nil"/>
              <w:bottom w:val="nil"/>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-1.83%</w:t>
            </w:r>
          </w:p>
        </w:tc>
        <w:tc>
          <w:tcPr>
            <w:tcW w:w="1687" w:type="dxa"/>
            <w:tcBorders>
              <w:top w:val="nil"/>
              <w:left w:val="nil"/>
              <w:bottom w:val="nil"/>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-724.82</w:t>
            </w:r>
          </w:p>
        </w:tc>
        <w:tc>
          <w:tcPr>
            <w:tcW w:w="1006" w:type="dxa"/>
            <w:tcBorders>
              <w:top w:val="nil"/>
              <w:left w:val="nil"/>
              <w:bottom w:val="nil"/>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-1.50%</w:t>
            </w:r>
          </w:p>
        </w:tc>
        <w:tc>
          <w:tcPr>
            <w:tcW w:w="1262" w:type="dxa"/>
            <w:tcBorders>
              <w:top w:val="nil"/>
              <w:left w:val="nil"/>
              <w:bottom w:val="nil"/>
              <w:right w:val="single" w:sz="4" w:space="0" w:color="auto"/>
            </w:tcBorders>
            <w:noWrap/>
            <w:vAlign w:val="center"/>
            <w:hideMark/>
          </w:tcPr>
          <w:p w:rsidR="00FA149E" w:rsidRPr="00045287" w:rsidRDefault="00FA149E" w:rsidP="00045287">
            <w:pPr>
              <w:ind w:firstLineChars="200" w:firstLine="400"/>
              <w:jc w:val="center"/>
              <w:rPr>
                <w:rFonts w:cs="Arial"/>
                <w:sz w:val="20"/>
                <w:szCs w:val="20"/>
                <w:lang w:val="en-US"/>
              </w:rPr>
            </w:pPr>
            <w:r w:rsidRPr="00045287">
              <w:rPr>
                <w:rFonts w:cs="Arial"/>
                <w:sz w:val="20"/>
                <w:szCs w:val="20"/>
                <w:lang w:val="en-US"/>
              </w:rPr>
              <w:t>-187.37</w:t>
            </w:r>
          </w:p>
        </w:tc>
        <w:tc>
          <w:tcPr>
            <w:tcW w:w="1195" w:type="dxa"/>
            <w:tcBorders>
              <w:top w:val="nil"/>
              <w:left w:val="nil"/>
              <w:bottom w:val="nil"/>
              <w:right w:val="single" w:sz="8" w:space="0" w:color="auto"/>
            </w:tcBorders>
            <w:shd w:val="clear" w:color="auto" w:fill="FFFFFF"/>
            <w:noWrap/>
            <w:vAlign w:val="center"/>
            <w:hideMark/>
          </w:tcPr>
          <w:p w:rsidR="00FA149E" w:rsidRPr="00045287" w:rsidRDefault="00FA149E">
            <w:pPr>
              <w:jc w:val="center"/>
              <w:rPr>
                <w:rFonts w:cs="Arial"/>
                <w:sz w:val="20"/>
                <w:szCs w:val="20"/>
                <w:lang w:val="en-US"/>
              </w:rPr>
            </w:pPr>
            <w:r w:rsidRPr="00045287">
              <w:rPr>
                <w:rFonts w:cs="Arial"/>
                <w:sz w:val="20"/>
                <w:szCs w:val="20"/>
                <w:lang w:val="en-US"/>
              </w:rPr>
              <w:t>-11.85%</w:t>
            </w:r>
          </w:p>
        </w:tc>
      </w:tr>
      <w:tr w:rsidR="00FA149E" w:rsidTr="00045287">
        <w:trPr>
          <w:trHeight w:val="300"/>
        </w:trPr>
        <w:tc>
          <w:tcPr>
            <w:tcW w:w="2541" w:type="dxa"/>
            <w:tcBorders>
              <w:top w:val="single" w:sz="8" w:space="0" w:color="auto"/>
              <w:left w:val="single" w:sz="8" w:space="0" w:color="auto"/>
              <w:bottom w:val="single" w:sz="4" w:space="0" w:color="auto"/>
              <w:right w:val="nil"/>
            </w:tcBorders>
            <w:shd w:val="clear" w:color="auto" w:fill="FFFFFF"/>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Present Value of Costs</w:t>
            </w:r>
          </w:p>
        </w:tc>
        <w:tc>
          <w:tcPr>
            <w:tcW w:w="2849" w:type="dxa"/>
            <w:gridSpan w:val="2"/>
            <w:tcBorders>
              <w:top w:val="single" w:sz="8"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18,544.33</w:t>
            </w:r>
          </w:p>
        </w:tc>
        <w:tc>
          <w:tcPr>
            <w:tcW w:w="2693" w:type="dxa"/>
            <w:gridSpan w:val="2"/>
            <w:tcBorders>
              <w:top w:val="single" w:sz="8" w:space="0" w:color="auto"/>
              <w:left w:val="nil"/>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19,020.76</w:t>
            </w:r>
          </w:p>
        </w:tc>
        <w:tc>
          <w:tcPr>
            <w:tcW w:w="2457" w:type="dxa"/>
            <w:gridSpan w:val="2"/>
            <w:tcBorders>
              <w:top w:val="single" w:sz="8" w:space="0" w:color="auto"/>
              <w:left w:val="nil"/>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-476.44</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Present Value of Benefits</w:t>
            </w:r>
          </w:p>
        </w:tc>
        <w:tc>
          <w:tcPr>
            <w:tcW w:w="2849"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49,950.45</w:t>
            </w:r>
          </w:p>
        </w:tc>
        <w:tc>
          <w:tcPr>
            <w:tcW w:w="2693"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48,369.81</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1,580.64</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Net Present Value (NPV)</w:t>
            </w:r>
          </w:p>
        </w:tc>
        <w:tc>
          <w:tcPr>
            <w:tcW w:w="2849"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31,406.12</w:t>
            </w:r>
          </w:p>
        </w:tc>
        <w:tc>
          <w:tcPr>
            <w:tcW w:w="2693"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29,349.04</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2,057.07</w:t>
            </w:r>
          </w:p>
        </w:tc>
      </w:tr>
      <w:tr w:rsidR="00FA149E" w:rsidTr="00045287">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EIRR</w:t>
            </w:r>
          </w:p>
        </w:tc>
        <w:tc>
          <w:tcPr>
            <w:tcW w:w="2849"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10.86%</w:t>
            </w:r>
          </w:p>
        </w:tc>
        <w:tc>
          <w:tcPr>
            <w:tcW w:w="2693"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10.50%</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0.36%</w:t>
            </w:r>
          </w:p>
        </w:tc>
      </w:tr>
      <w:tr w:rsidR="00FA149E" w:rsidTr="00045287">
        <w:trPr>
          <w:trHeight w:val="315"/>
        </w:trPr>
        <w:tc>
          <w:tcPr>
            <w:tcW w:w="2541" w:type="dxa"/>
            <w:tcBorders>
              <w:top w:val="nil"/>
              <w:left w:val="single" w:sz="8" w:space="0" w:color="auto"/>
              <w:bottom w:val="single" w:sz="8" w:space="0" w:color="auto"/>
              <w:right w:val="nil"/>
            </w:tcBorders>
            <w:shd w:val="clear" w:color="auto" w:fill="FFFFFF"/>
            <w:noWrap/>
            <w:vAlign w:val="center"/>
            <w:hideMark/>
          </w:tcPr>
          <w:p w:rsidR="00FA149E" w:rsidRPr="00FA149E" w:rsidRDefault="00FA149E">
            <w:pPr>
              <w:rPr>
                <w:rFonts w:cs="Arial"/>
                <w:b/>
                <w:bCs/>
                <w:sz w:val="20"/>
                <w:szCs w:val="20"/>
                <w:lang w:val="en-US"/>
              </w:rPr>
            </w:pPr>
            <w:r w:rsidRPr="00FA149E">
              <w:rPr>
                <w:rFonts w:cs="Arial"/>
                <w:b/>
                <w:bCs/>
                <w:sz w:val="20"/>
                <w:szCs w:val="20"/>
                <w:lang w:val="en-US"/>
              </w:rPr>
              <w:t>Benefit/Cost Ratio</w:t>
            </w:r>
          </w:p>
        </w:tc>
        <w:tc>
          <w:tcPr>
            <w:tcW w:w="2849" w:type="dxa"/>
            <w:gridSpan w:val="2"/>
            <w:tcBorders>
              <w:top w:val="single" w:sz="4" w:space="0" w:color="auto"/>
              <w:left w:val="single" w:sz="8" w:space="0" w:color="auto"/>
              <w:bottom w:val="single" w:sz="8"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2.69</w:t>
            </w:r>
          </w:p>
        </w:tc>
        <w:tc>
          <w:tcPr>
            <w:tcW w:w="2693" w:type="dxa"/>
            <w:gridSpan w:val="2"/>
            <w:tcBorders>
              <w:top w:val="single" w:sz="4" w:space="0" w:color="auto"/>
              <w:left w:val="nil"/>
              <w:bottom w:val="single" w:sz="8"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2.54</w:t>
            </w:r>
          </w:p>
        </w:tc>
        <w:tc>
          <w:tcPr>
            <w:tcW w:w="2457" w:type="dxa"/>
            <w:gridSpan w:val="2"/>
            <w:tcBorders>
              <w:top w:val="single" w:sz="4" w:space="0" w:color="auto"/>
              <w:left w:val="nil"/>
              <w:bottom w:val="single" w:sz="8" w:space="0" w:color="auto"/>
              <w:right w:val="single" w:sz="8" w:space="0" w:color="000000"/>
            </w:tcBorders>
            <w:shd w:val="clear" w:color="auto" w:fill="FFFFFF"/>
            <w:noWrap/>
            <w:vAlign w:val="center"/>
            <w:hideMark/>
          </w:tcPr>
          <w:p w:rsidR="00FA149E" w:rsidRPr="00045287" w:rsidRDefault="00FA149E">
            <w:pPr>
              <w:jc w:val="center"/>
              <w:rPr>
                <w:rFonts w:cs="Arial"/>
                <w:b/>
                <w:bCs/>
                <w:sz w:val="20"/>
                <w:szCs w:val="20"/>
                <w:lang w:val="en-US"/>
              </w:rPr>
            </w:pPr>
            <w:r w:rsidRPr="00045287">
              <w:rPr>
                <w:rFonts w:cs="Arial"/>
                <w:b/>
                <w:bCs/>
                <w:sz w:val="20"/>
                <w:szCs w:val="20"/>
                <w:lang w:val="en-US"/>
              </w:rPr>
              <w:t>0.15</w:t>
            </w:r>
          </w:p>
        </w:tc>
      </w:tr>
    </w:tbl>
    <w:p w:rsidR="00D30080" w:rsidRPr="00045287" w:rsidRDefault="00D30080" w:rsidP="00A4081F">
      <w:pPr>
        <w:pStyle w:val="NumberedParas"/>
      </w:pPr>
      <w:r>
        <w:t>The underlying purpose of the Master Plan is to contribute to Romania’s economic growth.  The undiscounted benefits from the Master Plan total some €170bn, which equates to approximately 2% of Romania’s GDP in the period 2020 – 2050.</w:t>
      </w:r>
    </w:p>
    <w:p w:rsidR="00877DFF" w:rsidRDefault="000142DE" w:rsidP="00A4081F">
      <w:pPr>
        <w:pStyle w:val="NumberedParas"/>
      </w:pPr>
      <w:r>
        <w:t>The two scenarios were also compared using more comprehensive criteria, which included Environment (physical impacts), Policy with regard to the TEN-T, and Accessibilty.</w:t>
      </w:r>
    </w:p>
    <w:p w:rsidR="00AC2266" w:rsidRPr="0036401A" w:rsidRDefault="000142DE" w:rsidP="0036401A">
      <w:pPr>
        <w:pStyle w:val="Body"/>
      </w:pPr>
      <w:r w:rsidRPr="0036401A">
        <w:rPr>
          <w:b/>
          <w:i w:val="0"/>
        </w:rPr>
        <w:t>Table 10.1</w:t>
      </w:r>
      <w:r w:rsidR="004C7E9E">
        <w:rPr>
          <w:b/>
          <w:i w:val="0"/>
        </w:rPr>
        <w:t>7</w:t>
      </w:r>
      <w:r w:rsidRPr="0036401A">
        <w:rPr>
          <w:b/>
          <w:i w:val="0"/>
        </w:rPr>
        <w:t xml:space="preserve">  E</w:t>
      </w:r>
      <w:r>
        <w:rPr>
          <w:b/>
          <w:i w:val="0"/>
        </w:rPr>
        <w:t>S</w:t>
      </w:r>
      <w:r w:rsidR="00877DFF" w:rsidRPr="0036401A">
        <w:rPr>
          <w:b/>
          <w:i w:val="0"/>
        </w:rPr>
        <w:t xml:space="preserve"> and EES Scenarios: Appraisal Summary Table</w:t>
      </w:r>
      <w:r w:rsidR="00784B21">
        <w:rPr>
          <w:b/>
          <w:i w:val="0"/>
        </w:rPr>
        <w:t xml:space="preserve"> </w:t>
      </w:r>
      <w:r w:rsidR="004C7E9E">
        <w:rPr>
          <w:b/>
          <w:i w:val="0"/>
        </w:rPr>
        <w:t>(AST)</w:t>
      </w:r>
    </w:p>
    <w:p w:rsidR="00A14AF7" w:rsidRPr="00045287" w:rsidRDefault="00CC5CC5" w:rsidP="0036401A">
      <w:pPr>
        <w:pStyle w:val="Body"/>
        <w:rPr>
          <w:sz w:val="18"/>
          <w:szCs w:val="18"/>
        </w:rPr>
      </w:pPr>
      <w:r>
        <w:rPr>
          <w:sz w:val="18"/>
          <w:szCs w:val="18"/>
        </w:rPr>
        <w:object w:dxaOrig="12475" w:dyaOrig="16910">
          <v:shape id="_x0000_i1028" type="#_x0000_t75" style="width:460.5pt;height:622.5pt" o:ole="">
            <v:imagedata r:id="rId358" o:title=""/>
          </v:shape>
          <o:OLEObject Type="Embed" ProgID="Excel.Sheet.8" ShapeID="_x0000_i1028" DrawAspect="Content" ObjectID="_1491205602" r:id="rId359"/>
        </w:object>
      </w:r>
    </w:p>
    <w:p w:rsidR="00877DFF" w:rsidRPr="0036401A" w:rsidRDefault="00A14AF7" w:rsidP="00A4081F">
      <w:pPr>
        <w:pStyle w:val="NumberedParas"/>
      </w:pPr>
      <w:r>
        <w:t>The conclusion is that the Economic and Environmentally Sustainable scenario performed better, and that this strategy should be the long term plan for Romania.</w:t>
      </w:r>
    </w:p>
    <w:p w:rsidR="006C4833" w:rsidRDefault="006C4833" w:rsidP="00045287">
      <w:pPr>
        <w:pStyle w:val="Hdg2"/>
      </w:pPr>
      <w:bookmarkStart w:id="8170" w:name="_Toc413056090"/>
      <w:r>
        <w:t>Funding Analysis</w:t>
      </w:r>
      <w:bookmarkEnd w:id="8170"/>
      <w:r w:rsidR="00784B21">
        <w:t xml:space="preserve"> </w:t>
      </w:r>
    </w:p>
    <w:p w:rsidR="00784B21" w:rsidRDefault="00784B21" w:rsidP="00A4081F">
      <w:pPr>
        <w:pStyle w:val="NumberedParas"/>
      </w:pPr>
      <w:r>
        <w:t>Whilst the process of problems analysis, setting objectives and defining interventions, and the subsequent testing and appraisal of projects gives an order of merit to the projects, it does not generate the funds needed to implement these projects.  It is a Government responsibility to allocate funds to the various sectors for which it is responsible, and the responsibility of Ministries, including of course the Ministry of Transport, to spend that allocation wisely.  The role of the Master Plan is thus to ensure that the funds available are spent on pro</w:t>
      </w:r>
      <w:r w:rsidR="00B92F3F">
        <w:t xml:space="preserve">jects that give the best return. </w:t>
      </w:r>
    </w:p>
    <w:p w:rsidR="007C2AA0" w:rsidRDefault="00D5170D" w:rsidP="00A4081F">
      <w:pPr>
        <w:pStyle w:val="NumberedParas"/>
      </w:pPr>
      <w:r>
        <w:t>The funding analysis is based on a certain percentage of GDP (2% has been sanctioned by the Ministry of Finance) to be allocated to maintenance and capital investment.  It is recognised that there will, in reality, be other costs incurred by the Government and other parties involved in implementing the Master Plan, but the “rules of the game” are that these two elements are those which should provide the constraint in which the Master Plan projects will be implemented.  These two elements make up the majority of expenditure by the Government.</w:t>
      </w:r>
    </w:p>
    <w:p w:rsidR="00D5170D" w:rsidRDefault="00D5170D" w:rsidP="00A4081F">
      <w:pPr>
        <w:pStyle w:val="NumberedParas"/>
      </w:pPr>
      <w:r>
        <w:t>The so-called “soft measures” will require some financing to implement, but the costs involved are small compared with the maintenance and investment budgets, and in any case most of the soft measures should be sel-financing over time.</w:t>
      </w:r>
    </w:p>
    <w:p w:rsidR="006F73D1" w:rsidRPr="00FE1CD9" w:rsidRDefault="006F73D1" w:rsidP="00A4081F">
      <w:pPr>
        <w:pStyle w:val="NumberedParas"/>
      </w:pPr>
      <w:r w:rsidRPr="00FE1CD9">
        <w:t>To prevent uncertainty regarding the long-term funding assurance for the pipeline of projects included in the Master Plan, a commitment from the Government of Romania is needed to allocate a certain percentage of GDP for the transport sector, seen as an ex-ante conditionality for the European Commission to approve the Master Plan and, further on, the Large Infrastructure Operational Programme</w:t>
      </w:r>
      <w:r>
        <w:t xml:space="preserve"> (POIM)</w:t>
      </w:r>
      <w:r w:rsidRPr="00FE1CD9">
        <w:t xml:space="preserve"> for the 2014-2020 period.</w:t>
      </w:r>
    </w:p>
    <w:p w:rsidR="006F73D1" w:rsidRDefault="006F73D1" w:rsidP="00A4081F">
      <w:pPr>
        <w:pStyle w:val="NumberedParas"/>
      </w:pPr>
      <w:r w:rsidRPr="00FE1CD9">
        <w:t>As an immediate action to this requirement, a decision of the Romanian Government was issued in December 2013 on the commitment of 2% of GDP for the transport sector</w:t>
      </w:r>
      <w:r w:rsidRPr="00FE1CD9">
        <w:rPr>
          <w:rStyle w:val="FootnoteReference"/>
        </w:rPr>
        <w:footnoteReference w:id="44"/>
      </w:r>
      <w:r w:rsidRPr="00FE1CD9">
        <w:t>. It is clearly specified in this commitment that the allocation of 2% of GDP shall be allocated only for investments and maintenance works for the transport infrastructure, on all modes of transport.</w:t>
      </w:r>
    </w:p>
    <w:p w:rsidR="006F73D1" w:rsidRPr="00FE1CD9" w:rsidRDefault="006F73D1" w:rsidP="00A4081F">
      <w:pPr>
        <w:pStyle w:val="NumberedParas"/>
      </w:pPr>
      <w:r w:rsidRPr="00FE1CD9">
        <w:t>In addition to this, the European Commission has specified that the Master Plan should be developed based on a hierarchical approach to allocation of funds to expenditure items, with only the remaining funds (after these commitments have been fully funded) being available for new investment and maintenance. Following these requirements, a spreadsheet model was produced to quantify the available funds for Master Plan projects to be implemented by 2020 and 2030. Its key assumptions and the considered methodology are described below.</w:t>
      </w:r>
    </w:p>
    <w:p w:rsidR="006F73D1" w:rsidRPr="00FE1CD9" w:rsidRDefault="006F73D1" w:rsidP="00A4081F">
      <w:pPr>
        <w:pStyle w:val="NumberedParas"/>
      </w:pPr>
      <w:r w:rsidRPr="00FE1CD9">
        <w:t>One of the particular aspects of the assumptions regarding the financial plan for the Master Plan was that the net EU funding (Cohesion Funds, European Regional Development Funds and Connecting Europe Facility funds) are included in the allocation of 2% of GDP. This means that there is a direct correlation between the required national contributions to sustain the EU funded projects and the available remaining budgets.</w:t>
      </w:r>
    </w:p>
    <w:p w:rsidR="006F73D1" w:rsidRDefault="006F73D1" w:rsidP="00A4081F">
      <w:pPr>
        <w:pStyle w:val="NumberedParas"/>
      </w:pPr>
      <w:r w:rsidRPr="00FE1CD9">
        <w:t xml:space="preserve">Based on the this approach and the estimations for the up-front committed expenditures (related mainly to maintenance, renewals and rehabilitations for road and rail network) the total available budgets for investments in the transport sector, by mode, are estimated for the timelines 2020 and 2030. The headline figures are included </w:t>
      </w:r>
      <w:r w:rsidR="00782FD4">
        <w:t>in Table 10.18</w:t>
      </w:r>
      <w:r w:rsidRPr="001F2ACA">
        <w:t>.</w:t>
      </w:r>
    </w:p>
    <w:p w:rsidR="006F73D1" w:rsidRDefault="006F73D1" w:rsidP="006F73D1">
      <w:pPr>
        <w:pStyle w:val="Body"/>
        <w:sectPr w:rsidR="006F73D1" w:rsidSect="00933C17">
          <w:pgSz w:w="11907" w:h="16840" w:code="9"/>
          <w:pgMar w:top="1418" w:right="709" w:bottom="1418" w:left="907" w:header="357" w:footer="567" w:gutter="0"/>
          <w:cols w:space="187"/>
          <w:docGrid w:linePitch="360"/>
        </w:sectPr>
      </w:pPr>
    </w:p>
    <w:p w:rsidR="006F73D1" w:rsidRDefault="00782FD4" w:rsidP="006F73D1">
      <w:pPr>
        <w:rPr>
          <w:rFonts w:cs="Arial"/>
          <w:b/>
          <w:sz w:val="22"/>
        </w:rPr>
      </w:pPr>
      <w:r>
        <w:rPr>
          <w:rFonts w:cs="Arial"/>
          <w:b/>
          <w:sz w:val="22"/>
        </w:rPr>
        <w:t xml:space="preserve">Table 10.18 </w:t>
      </w:r>
      <w:r w:rsidR="006F73D1" w:rsidRPr="001F2ACA">
        <w:rPr>
          <w:rFonts w:cs="Arial"/>
          <w:b/>
          <w:sz w:val="22"/>
        </w:rPr>
        <w:t xml:space="preserve"> Distribution of expenditures in the transport sector for 2014-2020 and 2021-2030</w:t>
      </w:r>
      <w:r w:rsidR="006F73D1">
        <w:rPr>
          <w:rFonts w:cs="Arial"/>
          <w:b/>
          <w:sz w:val="22"/>
        </w:rPr>
        <w:br/>
      </w:r>
      <w:r w:rsidR="006F73D1" w:rsidRPr="001F2ACA">
        <w:rPr>
          <w:rFonts w:cs="Arial"/>
          <w:b/>
          <w:sz w:val="22"/>
        </w:rPr>
        <w:t xml:space="preserve">(mill </w:t>
      </w:r>
      <w:r w:rsidR="006F73D1">
        <w:rPr>
          <w:rFonts w:cs="Arial"/>
          <w:b/>
          <w:sz w:val="22"/>
        </w:rPr>
        <w:t>Eur</w:t>
      </w:r>
      <w:r w:rsidR="006F73D1" w:rsidRPr="001F2ACA">
        <w:rPr>
          <w:rFonts w:cs="Arial"/>
          <w:b/>
          <w:sz w:val="22"/>
        </w:rPr>
        <w:t>, 2014 fixed prices)</w:t>
      </w:r>
    </w:p>
    <w:tbl>
      <w:tblPr>
        <w:tblW w:w="0" w:type="auto"/>
        <w:tblLook w:val="04A0" w:firstRow="1" w:lastRow="0" w:firstColumn="1" w:lastColumn="0" w:noHBand="0" w:noVBand="1"/>
      </w:tblPr>
      <w:tblGrid>
        <w:gridCol w:w="2796"/>
        <w:gridCol w:w="682"/>
        <w:gridCol w:w="1150"/>
        <w:gridCol w:w="269"/>
        <w:gridCol w:w="795"/>
        <w:gridCol w:w="754"/>
        <w:gridCol w:w="269"/>
        <w:gridCol w:w="795"/>
        <w:gridCol w:w="754"/>
        <w:gridCol w:w="269"/>
        <w:gridCol w:w="795"/>
        <w:gridCol w:w="754"/>
      </w:tblGrid>
      <w:tr w:rsidR="006F73D1" w:rsidRPr="00302709" w:rsidTr="006F73D1">
        <w:trPr>
          <w:trHeight w:val="600"/>
        </w:trPr>
        <w:tc>
          <w:tcPr>
            <w:tcW w:w="2943" w:type="dxa"/>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709" w:type="dxa"/>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1203" w:type="dxa"/>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6F73D1" w:rsidRPr="00302709" w:rsidRDefault="006F73D1" w:rsidP="006F73D1">
            <w:pPr>
              <w:jc w:val="center"/>
              <w:rPr>
                <w:rFonts w:cs="Arial"/>
                <w:b/>
                <w:bCs/>
                <w:sz w:val="20"/>
                <w:szCs w:val="20"/>
                <w:lang w:val="en-US"/>
              </w:rPr>
            </w:pPr>
            <w:r w:rsidRPr="00302709">
              <w:rPr>
                <w:rFonts w:cs="Arial"/>
                <w:b/>
                <w:bCs/>
                <w:sz w:val="20"/>
                <w:szCs w:val="20"/>
                <w:lang w:val="en-US"/>
              </w:rPr>
              <w:t>2014-2020</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6F73D1" w:rsidRPr="00302709" w:rsidRDefault="006F73D1" w:rsidP="006F73D1">
            <w:pPr>
              <w:jc w:val="center"/>
              <w:rPr>
                <w:rFonts w:cs="Arial"/>
                <w:b/>
                <w:bCs/>
                <w:sz w:val="20"/>
                <w:szCs w:val="20"/>
                <w:lang w:val="en-US"/>
              </w:rPr>
            </w:pPr>
            <w:r w:rsidRPr="00302709">
              <w:rPr>
                <w:rFonts w:cs="Arial"/>
                <w:b/>
                <w:bCs/>
                <w:sz w:val="20"/>
                <w:szCs w:val="20"/>
                <w:lang w:val="en-US"/>
              </w:rPr>
              <w:t>2021-2030</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6F73D1" w:rsidRPr="00302709" w:rsidRDefault="006F73D1" w:rsidP="006F73D1">
            <w:pPr>
              <w:jc w:val="center"/>
              <w:rPr>
                <w:rFonts w:cs="Arial"/>
                <w:b/>
                <w:bCs/>
                <w:sz w:val="20"/>
                <w:szCs w:val="20"/>
                <w:lang w:val="en-US"/>
              </w:rPr>
            </w:pPr>
            <w:r w:rsidRPr="00302709">
              <w:rPr>
                <w:rFonts w:cs="Arial"/>
                <w:b/>
                <w:bCs/>
                <w:sz w:val="20"/>
                <w:szCs w:val="20"/>
                <w:lang w:val="en-US"/>
              </w:rPr>
              <w:t>2014-2030</w:t>
            </w:r>
          </w:p>
        </w:tc>
      </w:tr>
      <w:tr w:rsidR="006F73D1" w:rsidRPr="00302709" w:rsidTr="006F73D1">
        <w:trPr>
          <w:trHeight w:val="600"/>
        </w:trPr>
        <w:tc>
          <w:tcPr>
            <w:tcW w:w="294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2% from GDP available for the transport sector</w:t>
            </w:r>
          </w:p>
        </w:tc>
        <w:tc>
          <w:tcPr>
            <w:tcW w:w="709" w:type="dxa"/>
            <w:tcBorders>
              <w:top w:val="single" w:sz="8" w:space="0" w:color="auto"/>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A</w:t>
            </w:r>
          </w:p>
        </w:tc>
        <w:tc>
          <w:tcPr>
            <w:tcW w:w="1203" w:type="dxa"/>
            <w:tcBorders>
              <w:top w:val="single" w:sz="8" w:space="0" w:color="auto"/>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22,599</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43,216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65,815</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Maintenance and lifecycle costs</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B1</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7,260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32.1%</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20,650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47.8%</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27,910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42.4%</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Rehabilitation works for the viable road network</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B2</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4,578</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20.3%</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0.0%</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4,578</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7.0%</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Available Public Funds for investments, including EU and National Contribution, from which</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C</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=A-B1-B2</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10,761</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47.6%</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22,566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52.2%</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33,327</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50.6%</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EU Contribution</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C1</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6,332</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9,046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15,379</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National Co-financing</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C2</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1,923</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2,747</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4,669</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Sustainability indicator/Net National Funds</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D</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=C-C1-C2</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2,506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10,773</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13,279</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Phased projects and Bucharest Metro</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E</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1,911</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3,200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5,111</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Available for GTMP projects (total inc. EU + national)</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F</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=C-E</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8,850</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39.2%</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19,366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44.8%</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28,216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42.9%</w:t>
            </w:r>
          </w:p>
        </w:tc>
      </w:tr>
      <w:tr w:rsidR="006F73D1" w:rsidRPr="00302709" w:rsidTr="006F73D1">
        <w:trPr>
          <w:trHeight w:val="600"/>
        </w:trPr>
        <w:tc>
          <w:tcPr>
            <w:tcW w:w="2943" w:type="dxa"/>
            <w:tcBorders>
              <w:top w:val="nil"/>
              <w:left w:val="single" w:sz="8" w:space="0" w:color="auto"/>
              <w:bottom w:val="single" w:sz="8"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+ 30% Over</w:t>
            </w:r>
            <w:r>
              <w:rPr>
                <w:rFonts w:cs="Arial"/>
                <w:b/>
                <w:bCs/>
                <w:color w:val="000000"/>
                <w:sz w:val="20"/>
                <w:szCs w:val="20"/>
                <w:lang w:val="en-US"/>
              </w:rPr>
              <w:t xml:space="preserve"> </w:t>
            </w:r>
            <w:r w:rsidRPr="00302709">
              <w:rPr>
                <w:rFonts w:cs="Arial"/>
                <w:b/>
                <w:bCs/>
                <w:color w:val="000000"/>
                <w:sz w:val="20"/>
                <w:szCs w:val="20"/>
                <w:lang w:val="en-US"/>
              </w:rPr>
              <w:t>commitment</w:t>
            </w:r>
          </w:p>
        </w:tc>
        <w:tc>
          <w:tcPr>
            <w:tcW w:w="709" w:type="dxa"/>
            <w:tcBorders>
              <w:top w:val="nil"/>
              <w:left w:val="nil"/>
              <w:bottom w:val="single" w:sz="8"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G</w:t>
            </w:r>
          </w:p>
        </w:tc>
        <w:tc>
          <w:tcPr>
            <w:tcW w:w="1203" w:type="dxa"/>
            <w:tcBorders>
              <w:top w:val="nil"/>
              <w:left w:val="nil"/>
              <w:bottom w:val="single" w:sz="8"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=F*1.3</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11,505</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25,176</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36,680</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r>
      <w:tr w:rsidR="006F73D1" w:rsidRPr="00302709" w:rsidTr="006F73D1">
        <w:trPr>
          <w:trHeight w:val="199"/>
        </w:trPr>
        <w:tc>
          <w:tcPr>
            <w:tcW w:w="2943" w:type="dxa"/>
            <w:tcBorders>
              <w:top w:val="nil"/>
              <w:left w:val="nil"/>
              <w:bottom w:val="nil"/>
              <w:right w:val="nil"/>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 </w:t>
            </w:r>
          </w:p>
        </w:tc>
        <w:tc>
          <w:tcPr>
            <w:tcW w:w="709" w:type="dxa"/>
            <w:tcBorders>
              <w:top w:val="nil"/>
              <w:left w:val="nil"/>
              <w:bottom w:val="nil"/>
              <w:right w:val="nil"/>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nil"/>
              <w:left w:val="nil"/>
              <w:bottom w:val="nil"/>
              <w:right w:val="nil"/>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 </w:t>
            </w:r>
          </w:p>
        </w:tc>
      </w:tr>
      <w:tr w:rsidR="006F73D1" w:rsidRPr="00302709" w:rsidTr="006F73D1">
        <w:trPr>
          <w:trHeight w:val="600"/>
        </w:trPr>
        <w:tc>
          <w:tcPr>
            <w:tcW w:w="294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Roads</w:t>
            </w:r>
          </w:p>
        </w:tc>
        <w:tc>
          <w:tcPr>
            <w:tcW w:w="709" w:type="dxa"/>
            <w:tcBorders>
              <w:top w:val="single" w:sz="8" w:space="0" w:color="auto"/>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single" w:sz="8" w:space="0" w:color="auto"/>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5,867</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51%</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12,840</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51%</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18,707</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51%</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Rail</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5,062</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44%</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11,077</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44%</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16,139</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b/>
                <w:bCs/>
                <w:i/>
                <w:iCs/>
                <w:color w:val="000000"/>
                <w:sz w:val="20"/>
                <w:szCs w:val="20"/>
                <w:lang w:val="en-US"/>
              </w:rPr>
            </w:pPr>
            <w:r w:rsidRPr="00302709">
              <w:rPr>
                <w:rFonts w:cs="Arial"/>
                <w:b/>
                <w:bCs/>
                <w:i/>
                <w:iCs/>
                <w:color w:val="000000"/>
                <w:sz w:val="20"/>
                <w:szCs w:val="20"/>
                <w:lang w:val="en-US"/>
              </w:rPr>
              <w:t>44%</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 xml:space="preserve">Ports, </w:t>
            </w:r>
            <w:r>
              <w:rPr>
                <w:rFonts w:cs="Arial"/>
                <w:b/>
                <w:bCs/>
                <w:color w:val="000000"/>
                <w:sz w:val="20"/>
                <w:szCs w:val="20"/>
                <w:lang w:val="en-US"/>
              </w:rPr>
              <w:t>Inland Waterways</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324</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56%</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732</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66%</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1,056</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58%</w:t>
            </w:r>
          </w:p>
        </w:tc>
      </w:tr>
      <w:tr w:rsidR="006F73D1" w:rsidRPr="00302709" w:rsidTr="006F73D1">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Aviation</w:t>
            </w:r>
          </w:p>
        </w:tc>
        <w:tc>
          <w:tcPr>
            <w:tcW w:w="709" w:type="dxa"/>
            <w:tcBorders>
              <w:top w:val="nil"/>
              <w:left w:val="nil"/>
              <w:bottom w:val="single" w:sz="4"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nil"/>
              <w:left w:val="nil"/>
              <w:bottom w:val="single" w:sz="4"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188</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33%</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357</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28%</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545</w:t>
            </w:r>
          </w:p>
        </w:tc>
        <w:tc>
          <w:tcPr>
            <w:tcW w:w="0" w:type="auto"/>
            <w:tcBorders>
              <w:top w:val="nil"/>
              <w:left w:val="nil"/>
              <w:bottom w:val="single" w:sz="4"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30%</w:t>
            </w:r>
          </w:p>
        </w:tc>
      </w:tr>
      <w:tr w:rsidR="006F73D1" w:rsidRPr="00302709" w:rsidTr="006F73D1">
        <w:trPr>
          <w:trHeight w:val="600"/>
        </w:trPr>
        <w:tc>
          <w:tcPr>
            <w:tcW w:w="2943" w:type="dxa"/>
            <w:tcBorders>
              <w:top w:val="nil"/>
              <w:left w:val="single" w:sz="8" w:space="0" w:color="auto"/>
              <w:bottom w:val="single" w:sz="8" w:space="0" w:color="auto"/>
              <w:right w:val="single" w:sz="4" w:space="0" w:color="auto"/>
            </w:tcBorders>
            <w:shd w:val="clear" w:color="000000" w:fill="FFFFFF"/>
            <w:vAlign w:val="center"/>
            <w:hideMark/>
          </w:tcPr>
          <w:p w:rsidR="006F73D1" w:rsidRPr="00302709" w:rsidRDefault="006F73D1" w:rsidP="006F73D1">
            <w:pPr>
              <w:rPr>
                <w:rFonts w:cs="Arial"/>
                <w:b/>
                <w:bCs/>
                <w:color w:val="000000"/>
                <w:sz w:val="20"/>
                <w:szCs w:val="20"/>
                <w:lang w:val="en-US"/>
              </w:rPr>
            </w:pPr>
            <w:r w:rsidRPr="00302709">
              <w:rPr>
                <w:rFonts w:cs="Arial"/>
                <w:b/>
                <w:bCs/>
                <w:color w:val="000000"/>
                <w:sz w:val="20"/>
                <w:szCs w:val="20"/>
                <w:lang w:val="en-US"/>
              </w:rPr>
              <w:t>Intermodal</w:t>
            </w:r>
          </w:p>
        </w:tc>
        <w:tc>
          <w:tcPr>
            <w:tcW w:w="709" w:type="dxa"/>
            <w:tcBorders>
              <w:top w:val="nil"/>
              <w:left w:val="nil"/>
              <w:bottom w:val="single" w:sz="8" w:space="0" w:color="auto"/>
              <w:right w:val="single" w:sz="4"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1203" w:type="dxa"/>
            <w:tcBorders>
              <w:top w:val="nil"/>
              <w:left w:val="nil"/>
              <w:bottom w:val="single" w:sz="8" w:space="0" w:color="auto"/>
              <w:right w:val="single" w:sz="8" w:space="0" w:color="auto"/>
            </w:tcBorders>
            <w:shd w:val="clear" w:color="000000" w:fill="FFFFFF"/>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 </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63</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11%</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170</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14%</w:t>
            </w:r>
          </w:p>
        </w:tc>
        <w:tc>
          <w:tcPr>
            <w:tcW w:w="0" w:type="auto"/>
            <w:tcBorders>
              <w:top w:val="nil"/>
              <w:left w:val="nil"/>
              <w:bottom w:val="nil"/>
              <w:right w:val="nil"/>
            </w:tcBorders>
            <w:shd w:val="clear" w:color="000000" w:fill="FFFFFF"/>
            <w:noWrap/>
            <w:vAlign w:val="center"/>
            <w:hideMark/>
          </w:tcPr>
          <w:p w:rsidR="006F73D1" w:rsidRPr="00302709" w:rsidRDefault="006F73D1" w:rsidP="006F73D1">
            <w:pPr>
              <w:rPr>
                <w:rFonts w:cs="Arial"/>
                <w:color w:val="000000"/>
                <w:sz w:val="20"/>
                <w:szCs w:val="20"/>
                <w:lang w:val="en-US"/>
              </w:rPr>
            </w:pPr>
            <w:r w:rsidRPr="00302709">
              <w:rPr>
                <w:rFonts w:cs="Arial"/>
                <w:color w:val="000000"/>
                <w:sz w:val="20"/>
                <w:szCs w:val="20"/>
                <w:lang w:val="en-US"/>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6F73D1" w:rsidRPr="00302709" w:rsidRDefault="006F73D1" w:rsidP="006F73D1">
            <w:pPr>
              <w:jc w:val="center"/>
              <w:rPr>
                <w:rFonts w:cs="Arial"/>
                <w:b/>
                <w:bCs/>
                <w:color w:val="000000"/>
                <w:sz w:val="20"/>
                <w:szCs w:val="20"/>
                <w:lang w:val="en-US"/>
              </w:rPr>
            </w:pPr>
            <w:r w:rsidRPr="00302709">
              <w:rPr>
                <w:rFonts w:cs="Arial"/>
                <w:b/>
                <w:bCs/>
                <w:color w:val="000000"/>
                <w:sz w:val="20"/>
                <w:szCs w:val="20"/>
                <w:lang w:val="en-US"/>
              </w:rPr>
              <w:t>233</w:t>
            </w:r>
          </w:p>
        </w:tc>
        <w:tc>
          <w:tcPr>
            <w:tcW w:w="0" w:type="auto"/>
            <w:tcBorders>
              <w:top w:val="nil"/>
              <w:left w:val="nil"/>
              <w:bottom w:val="single" w:sz="8" w:space="0" w:color="auto"/>
              <w:right w:val="single" w:sz="8" w:space="0" w:color="auto"/>
            </w:tcBorders>
            <w:shd w:val="clear" w:color="000000" w:fill="FFFFFF"/>
            <w:noWrap/>
            <w:vAlign w:val="center"/>
            <w:hideMark/>
          </w:tcPr>
          <w:p w:rsidR="006F73D1" w:rsidRPr="00302709" w:rsidRDefault="006F73D1" w:rsidP="006F73D1">
            <w:pPr>
              <w:jc w:val="center"/>
              <w:rPr>
                <w:rFonts w:cs="Arial"/>
                <w:color w:val="000000"/>
                <w:sz w:val="20"/>
                <w:szCs w:val="20"/>
                <w:lang w:val="en-US"/>
              </w:rPr>
            </w:pPr>
            <w:r w:rsidRPr="00302709">
              <w:rPr>
                <w:rFonts w:cs="Arial"/>
                <w:color w:val="000000"/>
                <w:sz w:val="20"/>
                <w:szCs w:val="20"/>
                <w:lang w:val="en-US"/>
              </w:rPr>
              <w:t>13%</w:t>
            </w:r>
          </w:p>
        </w:tc>
      </w:tr>
    </w:tbl>
    <w:p w:rsidR="006F73D1" w:rsidRPr="001F2ACA" w:rsidRDefault="006F73D1" w:rsidP="006F73D1">
      <w:pPr>
        <w:rPr>
          <w:i/>
        </w:rPr>
      </w:pPr>
      <w:r w:rsidRPr="001F2ACA">
        <w:rPr>
          <w:i/>
        </w:rPr>
        <w:t xml:space="preserve">Source: </w:t>
      </w:r>
      <w:r>
        <w:rPr>
          <w:i/>
        </w:rPr>
        <w:t>GTMP</w:t>
      </w:r>
      <w:r w:rsidRPr="001F2ACA">
        <w:rPr>
          <w:i/>
        </w:rPr>
        <w:t xml:space="preserve"> Funding Analysis</w:t>
      </w:r>
    </w:p>
    <w:p w:rsidR="006F73D1" w:rsidRPr="00FE1CD9" w:rsidRDefault="006F73D1" w:rsidP="00A4081F">
      <w:pPr>
        <w:pStyle w:val="NumberedParas"/>
      </w:pPr>
      <w:r w:rsidRPr="00FE1CD9">
        <w:t>One of the key figures in the above finan</w:t>
      </w:r>
      <w:r>
        <w:t>cial plan is D. Sustainability I</w:t>
      </w:r>
      <w:r w:rsidRPr="00FE1CD9">
        <w:t>ndicator. This shows the available net national funds after the deduction from the remaining funds (after the up-front allocations for maintenance, renewals and rehabilitations) of the EU funds and of the corresponding national contribution to sustain the EU funded projects. These represents the net national funds available to sustain projects which are a priority on short term (2020) but which:</w:t>
      </w:r>
    </w:p>
    <w:p w:rsidR="006F73D1" w:rsidRPr="00FE1CD9" w:rsidRDefault="006F73D1" w:rsidP="00273D5E">
      <w:pPr>
        <w:pStyle w:val="BulletLevel1"/>
        <w:numPr>
          <w:ilvl w:val="0"/>
          <w:numId w:val="76"/>
        </w:numPr>
      </w:pPr>
      <w:r w:rsidRPr="00FE1CD9">
        <w:t>are not eligible for EU funding; or</w:t>
      </w:r>
    </w:p>
    <w:p w:rsidR="006F73D1" w:rsidRPr="00FE1CD9" w:rsidRDefault="006F73D1" w:rsidP="00273D5E">
      <w:pPr>
        <w:pStyle w:val="BulletLevel1"/>
        <w:numPr>
          <w:ilvl w:val="0"/>
          <w:numId w:val="76"/>
        </w:numPr>
      </w:pPr>
      <w:r w:rsidRPr="00FE1CD9">
        <w:t>are eligible for EU funding but due to financial constraints or exceeded budgets cannot be promoted on short term only from EU budgets.</w:t>
      </w:r>
    </w:p>
    <w:p w:rsidR="006F73D1" w:rsidRPr="00FE1CD9" w:rsidRDefault="006F73D1" w:rsidP="00A4081F">
      <w:pPr>
        <w:pStyle w:val="NumberedParas"/>
      </w:pPr>
      <w:r w:rsidRPr="00FE1CD9">
        <w:t>The total available budget to promote 2020 and 2030 Master Plan projects include two major funding sources:</w:t>
      </w:r>
    </w:p>
    <w:p w:rsidR="006F73D1" w:rsidRPr="00FE1CD9" w:rsidRDefault="006F73D1" w:rsidP="00273D5E">
      <w:pPr>
        <w:pStyle w:val="BulletLevel1"/>
        <w:numPr>
          <w:ilvl w:val="0"/>
          <w:numId w:val="75"/>
        </w:numPr>
      </w:pPr>
      <w:r w:rsidRPr="00FE1CD9">
        <w:t>EU funds (CF, ERDF and CEF); and</w:t>
      </w:r>
    </w:p>
    <w:p w:rsidR="006F73D1" w:rsidRPr="00FE1CD9" w:rsidRDefault="006F73D1" w:rsidP="00273D5E">
      <w:pPr>
        <w:pStyle w:val="BulletLevel1"/>
        <w:numPr>
          <w:ilvl w:val="0"/>
          <w:numId w:val="75"/>
        </w:numPr>
      </w:pPr>
      <w:r w:rsidRPr="00FE1CD9">
        <w:t>National Budget to support the co-financing and the projects supported from national funds</w:t>
      </w:r>
      <w:r>
        <w:t xml:space="preserve"> only</w:t>
      </w:r>
      <w:r w:rsidRPr="00FE1CD9">
        <w:t>.</w:t>
      </w:r>
    </w:p>
    <w:p w:rsidR="006F73D1" w:rsidRPr="00FE1CD9" w:rsidRDefault="006F73D1" w:rsidP="00A4081F">
      <w:pPr>
        <w:pStyle w:val="NumberedParas"/>
      </w:pPr>
      <w:r w:rsidRPr="00FE1CD9">
        <w:t xml:space="preserve">Total budgets </w:t>
      </w:r>
      <w:r>
        <w:t>by</w:t>
      </w:r>
      <w:r w:rsidRPr="00FE1CD9">
        <w:t xml:space="preserve"> funding sources are presented in </w:t>
      </w:r>
      <w:r w:rsidR="00782FD4">
        <w:t>Table 10.19</w:t>
      </w:r>
      <w:r w:rsidRPr="00956413">
        <w:t>.</w:t>
      </w:r>
    </w:p>
    <w:p w:rsidR="006F73D1" w:rsidRPr="00956413" w:rsidRDefault="00782FD4" w:rsidP="006F73D1">
      <w:pPr>
        <w:rPr>
          <w:b/>
          <w:sz w:val="22"/>
        </w:rPr>
      </w:pPr>
      <w:r>
        <w:rPr>
          <w:b/>
          <w:sz w:val="22"/>
        </w:rPr>
        <w:t>Table 10.19</w:t>
      </w:r>
      <w:r w:rsidR="006F73D1">
        <w:rPr>
          <w:b/>
          <w:sz w:val="22"/>
        </w:rPr>
        <w:t xml:space="preserve"> Available budget for Master Plan projects by funding sources (mill EUR, 2014 fixed prices)</w:t>
      </w:r>
    </w:p>
    <w:tbl>
      <w:tblPr>
        <w:tblW w:w="0" w:type="auto"/>
        <w:tblLook w:val="04A0" w:firstRow="1" w:lastRow="0" w:firstColumn="1" w:lastColumn="0" w:noHBand="0" w:noVBand="1"/>
      </w:tblPr>
      <w:tblGrid>
        <w:gridCol w:w="6788"/>
        <w:gridCol w:w="1098"/>
        <w:gridCol w:w="1098"/>
        <w:gridCol w:w="1098"/>
      </w:tblGrid>
      <w:tr w:rsidR="006F73D1" w:rsidRPr="00956413" w:rsidTr="006F73D1">
        <w:trPr>
          <w:trHeight w:val="300"/>
        </w:trPr>
        <w:tc>
          <w:tcPr>
            <w:tcW w:w="0" w:type="auto"/>
            <w:tcBorders>
              <w:top w:val="single" w:sz="4" w:space="0" w:color="auto"/>
              <w:left w:val="single" w:sz="4" w:space="0" w:color="auto"/>
              <w:bottom w:val="nil"/>
              <w:right w:val="nil"/>
            </w:tcBorders>
            <w:shd w:val="clear" w:color="000000" w:fill="B8CCE4"/>
            <w:noWrap/>
            <w:vAlign w:val="center"/>
            <w:hideMark/>
          </w:tcPr>
          <w:p w:rsidR="006F73D1" w:rsidRPr="00956413" w:rsidRDefault="006F73D1" w:rsidP="006F73D1">
            <w:pPr>
              <w:rPr>
                <w:rFonts w:cs="Arial"/>
                <w:b/>
                <w:bCs/>
                <w:color w:val="000000"/>
                <w:sz w:val="22"/>
                <w:szCs w:val="22"/>
                <w:lang w:val="en-US"/>
              </w:rPr>
            </w:pPr>
            <w:r w:rsidRPr="00956413">
              <w:rPr>
                <w:rFonts w:cs="Arial"/>
                <w:b/>
                <w:bCs/>
                <w:color w:val="000000"/>
                <w:sz w:val="22"/>
                <w:szCs w:val="22"/>
              </w:rPr>
              <w:t>Funding sources</w:t>
            </w:r>
          </w:p>
        </w:tc>
        <w:tc>
          <w:tcPr>
            <w:tcW w:w="0" w:type="auto"/>
            <w:tcBorders>
              <w:top w:val="single" w:sz="4" w:space="0" w:color="auto"/>
              <w:left w:val="single" w:sz="4" w:space="0" w:color="auto"/>
              <w:bottom w:val="nil"/>
              <w:right w:val="nil"/>
            </w:tcBorders>
            <w:shd w:val="clear" w:color="000000" w:fill="B8CCE4"/>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2014-2020</w:t>
            </w:r>
          </w:p>
        </w:tc>
        <w:tc>
          <w:tcPr>
            <w:tcW w:w="0" w:type="auto"/>
            <w:tcBorders>
              <w:top w:val="single" w:sz="4" w:space="0" w:color="auto"/>
              <w:left w:val="nil"/>
              <w:bottom w:val="nil"/>
              <w:right w:val="nil"/>
            </w:tcBorders>
            <w:shd w:val="clear" w:color="000000" w:fill="B8CCE4"/>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2021-2030</w:t>
            </w:r>
          </w:p>
        </w:tc>
        <w:tc>
          <w:tcPr>
            <w:tcW w:w="0" w:type="auto"/>
            <w:tcBorders>
              <w:top w:val="single" w:sz="4" w:space="0" w:color="auto"/>
              <w:left w:val="nil"/>
              <w:bottom w:val="nil"/>
              <w:right w:val="single" w:sz="4" w:space="0" w:color="auto"/>
            </w:tcBorders>
            <w:shd w:val="clear" w:color="000000" w:fill="B8CCE4"/>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2014-2030</w:t>
            </w:r>
          </w:p>
        </w:tc>
      </w:tr>
      <w:tr w:rsidR="006F73D1" w:rsidRPr="00956413" w:rsidTr="006F73D1">
        <w:trPr>
          <w:trHeight w:val="300"/>
        </w:trPr>
        <w:tc>
          <w:tcPr>
            <w:tcW w:w="0" w:type="auto"/>
            <w:tcBorders>
              <w:top w:val="nil"/>
              <w:left w:val="single" w:sz="4" w:space="0" w:color="auto"/>
              <w:bottom w:val="nil"/>
              <w:right w:val="nil"/>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Total budget available, from which</w:t>
            </w:r>
          </w:p>
        </w:tc>
        <w:tc>
          <w:tcPr>
            <w:tcW w:w="0" w:type="auto"/>
            <w:tcBorders>
              <w:top w:val="single" w:sz="4" w:space="0" w:color="auto"/>
              <w:left w:val="single" w:sz="4" w:space="0" w:color="auto"/>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11,505</w:t>
            </w:r>
          </w:p>
        </w:tc>
        <w:tc>
          <w:tcPr>
            <w:tcW w:w="0" w:type="auto"/>
            <w:tcBorders>
              <w:top w:val="single" w:sz="4" w:space="0" w:color="auto"/>
              <w:left w:val="nil"/>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25,176</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36,680</w:t>
            </w:r>
          </w:p>
        </w:tc>
      </w:tr>
      <w:tr w:rsidR="006F73D1" w:rsidRPr="00956413" w:rsidTr="006F73D1">
        <w:trPr>
          <w:trHeight w:val="300"/>
        </w:trPr>
        <w:tc>
          <w:tcPr>
            <w:tcW w:w="0" w:type="auto"/>
            <w:tcBorders>
              <w:top w:val="single" w:sz="4" w:space="0" w:color="auto"/>
              <w:left w:val="single" w:sz="4" w:space="0" w:color="auto"/>
              <w:bottom w:val="nil"/>
              <w:right w:val="single" w:sz="4" w:space="0" w:color="auto"/>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Net EU funds</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6,332</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9,046</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15,379</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Cohesion Funds - CF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3,404</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4,863</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8,267</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European Regional Development Funds - ERDF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1,200</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1,714</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2,914</w:t>
            </w:r>
          </w:p>
        </w:tc>
      </w:tr>
      <w:tr w:rsidR="006F73D1" w:rsidRPr="00956413" w:rsidTr="006F73D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Connecting Europe Facility Funds - CEF</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1,728</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2,469</w:t>
            </w:r>
          </w:p>
        </w:tc>
        <w:tc>
          <w:tcPr>
            <w:tcW w:w="0" w:type="auto"/>
            <w:tcBorders>
              <w:top w:val="nil"/>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4,197</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National Co-financing</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2,111</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3,015</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5,126</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Cohesion Funds - CF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1,135</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1,621</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2,756</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European Regional Development Funds - ERDF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400</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571</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971</w:t>
            </w:r>
          </w:p>
        </w:tc>
      </w:tr>
      <w:tr w:rsidR="006F73D1" w:rsidRPr="00956413" w:rsidTr="006F73D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Connecting Europe Facility Funds - CEF</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576</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823</w:t>
            </w:r>
          </w:p>
        </w:tc>
        <w:tc>
          <w:tcPr>
            <w:tcW w:w="0" w:type="auto"/>
            <w:tcBorders>
              <w:top w:val="nil"/>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1,399</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Total budget for EU funded projects</w:t>
            </w:r>
            <w:r>
              <w:rPr>
                <w:b/>
                <w:bCs/>
                <w:color w:val="000000"/>
                <w:sz w:val="22"/>
                <w:szCs w:val="22"/>
              </w:rPr>
              <w:t xml:space="preserve"> (=1+2, EU + National contribution)</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8,443</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12,062</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20,505</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Cohesion Funds - CF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4,539</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6,484</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11,023</w:t>
            </w:r>
          </w:p>
        </w:tc>
      </w:tr>
      <w:tr w:rsidR="006F73D1" w:rsidRPr="00956413" w:rsidTr="006F73D1">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European Regional Development Funds - ERDF</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1,600</w:t>
            </w:r>
          </w:p>
        </w:tc>
        <w:tc>
          <w:tcPr>
            <w:tcW w:w="0" w:type="auto"/>
            <w:tcBorders>
              <w:top w:val="nil"/>
              <w:left w:val="nil"/>
              <w:bottom w:val="nil"/>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2,286</w:t>
            </w:r>
          </w:p>
        </w:tc>
        <w:tc>
          <w:tcPr>
            <w:tcW w:w="0" w:type="auto"/>
            <w:tcBorders>
              <w:top w:val="nil"/>
              <w:left w:val="nil"/>
              <w:bottom w:val="nil"/>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3,886</w:t>
            </w:r>
          </w:p>
        </w:tc>
      </w:tr>
      <w:tr w:rsidR="006F73D1" w:rsidRPr="00956413" w:rsidTr="006F73D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F73D1" w:rsidRPr="00956413" w:rsidRDefault="006F73D1" w:rsidP="006F73D1">
            <w:pPr>
              <w:jc w:val="right"/>
              <w:rPr>
                <w:rFonts w:cs="Arial"/>
                <w:color w:val="000000"/>
                <w:sz w:val="22"/>
                <w:szCs w:val="22"/>
                <w:lang w:val="en-US"/>
              </w:rPr>
            </w:pPr>
            <w:r w:rsidRPr="00956413">
              <w:rPr>
                <w:rFonts w:cs="Arial"/>
                <w:color w:val="000000"/>
                <w:sz w:val="22"/>
                <w:szCs w:val="22"/>
              </w:rPr>
              <w:t>Connecting Europe Facility Funds - CEF</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2,304</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3,292</w:t>
            </w:r>
          </w:p>
        </w:tc>
        <w:tc>
          <w:tcPr>
            <w:tcW w:w="0" w:type="auto"/>
            <w:tcBorders>
              <w:top w:val="nil"/>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color w:val="000000"/>
                <w:sz w:val="22"/>
                <w:szCs w:val="22"/>
              </w:rPr>
            </w:pPr>
            <w:r>
              <w:rPr>
                <w:rFonts w:cs="Arial"/>
                <w:color w:val="000000"/>
                <w:sz w:val="22"/>
                <w:szCs w:val="22"/>
              </w:rPr>
              <w:t>5,596</w:t>
            </w:r>
          </w:p>
        </w:tc>
      </w:tr>
      <w:tr w:rsidR="006F73D1" w:rsidRPr="00956413" w:rsidTr="006F73D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National Budget</w:t>
            </w:r>
            <w:r>
              <w:rPr>
                <w:b/>
                <w:bCs/>
                <w:color w:val="000000"/>
                <w:sz w:val="22"/>
                <w:szCs w:val="22"/>
              </w:rPr>
              <w:t xml:space="preserve"> (=1-4)</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3,061</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13,114</w:t>
            </w:r>
          </w:p>
        </w:tc>
        <w:tc>
          <w:tcPr>
            <w:tcW w:w="0" w:type="auto"/>
            <w:tcBorders>
              <w:top w:val="nil"/>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16,175</w:t>
            </w:r>
          </w:p>
        </w:tc>
      </w:tr>
      <w:tr w:rsidR="006F73D1" w:rsidRPr="00956413" w:rsidTr="006F73D1">
        <w:trPr>
          <w:trHeight w:val="300"/>
        </w:trPr>
        <w:tc>
          <w:tcPr>
            <w:tcW w:w="0" w:type="auto"/>
            <w:tcBorders>
              <w:top w:val="nil"/>
              <w:left w:val="single" w:sz="4" w:space="0" w:color="auto"/>
              <w:bottom w:val="single" w:sz="4" w:space="0" w:color="auto"/>
              <w:right w:val="nil"/>
            </w:tcBorders>
            <w:shd w:val="clear" w:color="000000" w:fill="FFFFFF"/>
            <w:noWrap/>
            <w:vAlign w:val="center"/>
            <w:hideMark/>
          </w:tcPr>
          <w:p w:rsidR="006F73D1" w:rsidRPr="00045287" w:rsidRDefault="006F73D1" w:rsidP="00045287">
            <w:pPr>
              <w:pStyle w:val="ListParagraph"/>
              <w:numPr>
                <w:ilvl w:val="1"/>
                <w:numId w:val="52"/>
              </w:numPr>
              <w:tabs>
                <w:tab w:val="clear" w:pos="1440"/>
              </w:tabs>
              <w:ind w:left="426"/>
              <w:rPr>
                <w:b/>
                <w:bCs/>
                <w:color w:val="000000"/>
                <w:sz w:val="22"/>
                <w:szCs w:val="22"/>
                <w:lang w:val="en-US"/>
              </w:rPr>
            </w:pPr>
            <w:r w:rsidRPr="00045287">
              <w:rPr>
                <w:b/>
                <w:bCs/>
                <w:color w:val="000000"/>
                <w:sz w:val="22"/>
                <w:szCs w:val="22"/>
              </w:rPr>
              <w:t>Total national funds</w:t>
            </w:r>
            <w:r>
              <w:rPr>
                <w:b/>
                <w:bCs/>
                <w:color w:val="000000"/>
                <w:sz w:val="22"/>
                <w:szCs w:val="22"/>
              </w:rPr>
              <w:t xml:space="preserve"> (=3+5)</w:t>
            </w:r>
          </w:p>
        </w:tc>
        <w:tc>
          <w:tcPr>
            <w:tcW w:w="0" w:type="auto"/>
            <w:tcBorders>
              <w:top w:val="nil"/>
              <w:left w:val="single" w:sz="4" w:space="0" w:color="auto"/>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5,172</w:t>
            </w:r>
          </w:p>
        </w:tc>
        <w:tc>
          <w:tcPr>
            <w:tcW w:w="0" w:type="auto"/>
            <w:tcBorders>
              <w:top w:val="nil"/>
              <w:left w:val="nil"/>
              <w:bottom w:val="single" w:sz="4" w:space="0" w:color="auto"/>
              <w:right w:val="nil"/>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16,129</w:t>
            </w:r>
          </w:p>
        </w:tc>
        <w:tc>
          <w:tcPr>
            <w:tcW w:w="0" w:type="auto"/>
            <w:tcBorders>
              <w:top w:val="nil"/>
              <w:left w:val="nil"/>
              <w:bottom w:val="single" w:sz="4" w:space="0" w:color="auto"/>
              <w:right w:val="single" w:sz="4" w:space="0" w:color="auto"/>
            </w:tcBorders>
            <w:shd w:val="clear" w:color="000000" w:fill="FFFFFF"/>
            <w:noWrap/>
            <w:vAlign w:val="center"/>
            <w:hideMark/>
          </w:tcPr>
          <w:p w:rsidR="006F73D1" w:rsidRDefault="006F73D1" w:rsidP="006F73D1">
            <w:pPr>
              <w:jc w:val="center"/>
              <w:rPr>
                <w:rFonts w:cs="Arial"/>
                <w:b/>
                <w:bCs/>
                <w:color w:val="000000"/>
                <w:sz w:val="22"/>
                <w:szCs w:val="22"/>
              </w:rPr>
            </w:pPr>
            <w:r>
              <w:rPr>
                <w:rFonts w:cs="Arial"/>
                <w:b/>
                <w:bCs/>
                <w:color w:val="000000"/>
                <w:sz w:val="22"/>
                <w:szCs w:val="22"/>
              </w:rPr>
              <w:t>21,302</w:t>
            </w:r>
          </w:p>
        </w:tc>
      </w:tr>
    </w:tbl>
    <w:p w:rsidR="006F73D1" w:rsidRPr="001F2ACA" w:rsidRDefault="006F73D1" w:rsidP="006F73D1">
      <w:pPr>
        <w:rPr>
          <w:i/>
        </w:rPr>
      </w:pPr>
      <w:r w:rsidRPr="001F2ACA">
        <w:rPr>
          <w:i/>
        </w:rPr>
        <w:t xml:space="preserve">Source: </w:t>
      </w:r>
      <w:r>
        <w:rPr>
          <w:i/>
        </w:rPr>
        <w:t>GTMP</w:t>
      </w:r>
      <w:r w:rsidRPr="001F2ACA">
        <w:rPr>
          <w:i/>
        </w:rPr>
        <w:t xml:space="preserve"> Funding Analysis</w:t>
      </w:r>
    </w:p>
    <w:p w:rsidR="006F73D1" w:rsidRDefault="006F73D1" w:rsidP="006F73D1"/>
    <w:p w:rsidR="006F73D1" w:rsidRDefault="006F73D1" w:rsidP="00A4081F">
      <w:pPr>
        <w:pStyle w:val="NumberedParas"/>
      </w:pPr>
      <w:r>
        <w:t>On average, for the first period of project implementation 2014-2020, 1.3 bn eur are available for projects respectively 1.9 bn EUR for the next 2021-2030 period. The sources of funding for the overall budget of 36.7 bn over the whole Master Plan period 2014-2030 are European Union funds (42%) and Romanian National Budget (58%, including the necessary co-financing for EU-funded projects).</w:t>
      </w:r>
    </w:p>
    <w:p w:rsidR="006F73D1" w:rsidRDefault="006F73D1" w:rsidP="00A4081F">
      <w:pPr>
        <w:pStyle w:val="NumberedParas"/>
      </w:pPr>
      <w:r>
        <w:t>To estimate the impact on the list of projects that can be implemented in the horizon of the Master Plan (2014-2030) several scenarios were developed regarding the available funds allocated fro</w:t>
      </w:r>
      <w:r w:rsidR="00782FD4">
        <w:t>m the National Budget (Table 10.20</w:t>
      </w:r>
      <w:r>
        <w:t>).</w:t>
      </w:r>
    </w:p>
    <w:p w:rsidR="006F73D1" w:rsidRPr="00C91CE0" w:rsidRDefault="00782FD4" w:rsidP="006F73D1">
      <w:pPr>
        <w:ind w:left="567"/>
        <w:rPr>
          <w:b/>
          <w:sz w:val="22"/>
        </w:rPr>
      </w:pPr>
      <w:r>
        <w:rPr>
          <w:b/>
          <w:sz w:val="22"/>
        </w:rPr>
        <w:t>Table 10.20</w:t>
      </w:r>
      <w:r w:rsidR="006F73D1" w:rsidRPr="00C91CE0">
        <w:rPr>
          <w:b/>
          <w:sz w:val="22"/>
        </w:rPr>
        <w:t xml:space="preserve"> Available budget for Master Plan projects </w:t>
      </w:r>
      <w:r w:rsidR="006F73D1">
        <w:rPr>
          <w:b/>
          <w:sz w:val="22"/>
        </w:rPr>
        <w:t>as function of % of GDP (mill EUR)</w:t>
      </w:r>
    </w:p>
    <w:tbl>
      <w:tblPr>
        <w:tblW w:w="6440" w:type="dxa"/>
        <w:tblInd w:w="670" w:type="dxa"/>
        <w:tblLook w:val="04A0" w:firstRow="1" w:lastRow="0" w:firstColumn="1" w:lastColumn="0" w:noHBand="0" w:noVBand="1"/>
      </w:tblPr>
      <w:tblGrid>
        <w:gridCol w:w="1500"/>
        <w:gridCol w:w="1540"/>
        <w:gridCol w:w="1700"/>
        <w:gridCol w:w="1700"/>
      </w:tblGrid>
      <w:tr w:rsidR="006F73D1" w:rsidRPr="00C91CE0" w:rsidTr="006F73D1">
        <w:trPr>
          <w:trHeight w:val="600"/>
        </w:trPr>
        <w:tc>
          <w:tcPr>
            <w:tcW w:w="150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F73D1" w:rsidRPr="00C91CE0" w:rsidRDefault="006F73D1" w:rsidP="006F73D1">
            <w:pPr>
              <w:jc w:val="center"/>
              <w:rPr>
                <w:rFonts w:cs="Arial"/>
                <w:b/>
                <w:bCs/>
                <w:color w:val="000000"/>
                <w:sz w:val="22"/>
                <w:szCs w:val="22"/>
                <w:lang w:val="en-US"/>
              </w:rPr>
            </w:pPr>
            <w:r w:rsidRPr="00C91CE0">
              <w:rPr>
                <w:rFonts w:cs="Arial"/>
                <w:b/>
                <w:bCs/>
                <w:color w:val="000000"/>
                <w:sz w:val="22"/>
                <w:szCs w:val="22"/>
                <w:lang w:val="en-US"/>
              </w:rPr>
              <w:t>Percentage of GDP</w:t>
            </w:r>
          </w:p>
        </w:tc>
        <w:tc>
          <w:tcPr>
            <w:tcW w:w="15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F73D1" w:rsidRPr="00C91CE0" w:rsidRDefault="006F73D1" w:rsidP="006F73D1">
            <w:pPr>
              <w:jc w:val="center"/>
              <w:rPr>
                <w:rFonts w:cs="Arial"/>
                <w:b/>
                <w:bCs/>
                <w:color w:val="000000"/>
                <w:sz w:val="22"/>
                <w:szCs w:val="22"/>
                <w:lang w:val="en-US"/>
              </w:rPr>
            </w:pPr>
            <w:r w:rsidRPr="00C91CE0">
              <w:rPr>
                <w:rFonts w:cs="Arial"/>
                <w:b/>
                <w:bCs/>
                <w:color w:val="000000"/>
                <w:sz w:val="22"/>
                <w:szCs w:val="22"/>
                <w:lang w:val="en-US"/>
              </w:rPr>
              <w:t>2014-2020</w:t>
            </w:r>
          </w:p>
        </w:tc>
        <w:tc>
          <w:tcPr>
            <w:tcW w:w="170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F73D1" w:rsidRPr="00C91CE0" w:rsidRDefault="006F73D1" w:rsidP="006F73D1">
            <w:pPr>
              <w:jc w:val="center"/>
              <w:rPr>
                <w:rFonts w:cs="Arial"/>
                <w:b/>
                <w:bCs/>
                <w:color w:val="000000"/>
                <w:sz w:val="22"/>
                <w:szCs w:val="22"/>
                <w:lang w:val="en-US"/>
              </w:rPr>
            </w:pPr>
            <w:r w:rsidRPr="00C91CE0">
              <w:rPr>
                <w:rFonts w:cs="Arial"/>
                <w:b/>
                <w:bCs/>
                <w:color w:val="000000"/>
                <w:sz w:val="22"/>
                <w:szCs w:val="22"/>
                <w:lang w:val="en-US"/>
              </w:rPr>
              <w:t>2021-2030</w:t>
            </w:r>
          </w:p>
        </w:tc>
        <w:tc>
          <w:tcPr>
            <w:tcW w:w="170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F73D1" w:rsidRPr="00C91CE0" w:rsidRDefault="006F73D1" w:rsidP="006F73D1">
            <w:pPr>
              <w:jc w:val="center"/>
              <w:rPr>
                <w:rFonts w:cs="Arial"/>
                <w:b/>
                <w:bCs/>
                <w:color w:val="000000"/>
                <w:sz w:val="22"/>
                <w:szCs w:val="22"/>
                <w:lang w:val="en-US"/>
              </w:rPr>
            </w:pPr>
            <w:r>
              <w:rPr>
                <w:rFonts w:cs="Arial"/>
                <w:b/>
                <w:bCs/>
                <w:color w:val="000000"/>
                <w:sz w:val="22"/>
                <w:szCs w:val="22"/>
                <w:lang w:val="en-US"/>
              </w:rPr>
              <w:t>2014</w:t>
            </w:r>
            <w:r w:rsidRPr="00C91CE0">
              <w:rPr>
                <w:rFonts w:cs="Arial"/>
                <w:b/>
                <w:bCs/>
                <w:color w:val="000000"/>
                <w:sz w:val="22"/>
                <w:szCs w:val="22"/>
                <w:lang w:val="en-US"/>
              </w:rPr>
              <w:t>-2030</w:t>
            </w:r>
          </w:p>
        </w:tc>
      </w:tr>
      <w:tr w:rsidR="006F73D1" w:rsidRPr="00C91CE0" w:rsidTr="006F73D1">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2.00%</w:t>
            </w:r>
          </w:p>
        </w:tc>
        <w:tc>
          <w:tcPr>
            <w:tcW w:w="154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11,505</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25,176</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36,681</w:t>
            </w:r>
          </w:p>
        </w:tc>
      </w:tr>
      <w:tr w:rsidR="006F73D1" w:rsidRPr="00C91CE0" w:rsidTr="006F73D1">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2.25%</w:t>
            </w:r>
          </w:p>
        </w:tc>
        <w:tc>
          <w:tcPr>
            <w:tcW w:w="154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15,177</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32,198</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47,375</w:t>
            </w:r>
          </w:p>
        </w:tc>
      </w:tr>
      <w:tr w:rsidR="006F73D1" w:rsidRPr="00C91CE0" w:rsidTr="006F73D1">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2.50%</w:t>
            </w:r>
          </w:p>
        </w:tc>
        <w:tc>
          <w:tcPr>
            <w:tcW w:w="154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18,849</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39,221</w:t>
            </w:r>
          </w:p>
        </w:tc>
        <w:tc>
          <w:tcPr>
            <w:tcW w:w="1700" w:type="dxa"/>
            <w:tcBorders>
              <w:top w:val="nil"/>
              <w:left w:val="nil"/>
              <w:bottom w:val="single" w:sz="4" w:space="0" w:color="auto"/>
              <w:right w:val="single" w:sz="4" w:space="0" w:color="auto"/>
            </w:tcBorders>
            <w:shd w:val="clear" w:color="auto" w:fill="auto"/>
            <w:vAlign w:val="center"/>
            <w:hideMark/>
          </w:tcPr>
          <w:p w:rsidR="006F73D1" w:rsidRPr="00C91CE0" w:rsidRDefault="006F73D1" w:rsidP="006F73D1">
            <w:pPr>
              <w:jc w:val="center"/>
              <w:rPr>
                <w:rFonts w:cs="Arial"/>
                <w:color w:val="000000"/>
                <w:sz w:val="22"/>
                <w:szCs w:val="22"/>
                <w:lang w:val="en-US"/>
              </w:rPr>
            </w:pPr>
            <w:r w:rsidRPr="00C91CE0">
              <w:rPr>
                <w:rFonts w:cs="Arial"/>
                <w:color w:val="000000"/>
                <w:sz w:val="22"/>
                <w:szCs w:val="22"/>
                <w:lang w:val="en-US"/>
              </w:rPr>
              <w:t>58,070</w:t>
            </w:r>
          </w:p>
        </w:tc>
      </w:tr>
    </w:tbl>
    <w:p w:rsidR="006F73D1" w:rsidRPr="001F2ACA" w:rsidRDefault="006F73D1" w:rsidP="006F73D1">
      <w:pPr>
        <w:rPr>
          <w:i/>
        </w:rPr>
      </w:pPr>
      <w:r w:rsidRPr="001F2ACA">
        <w:rPr>
          <w:i/>
        </w:rPr>
        <w:t xml:space="preserve">Source: </w:t>
      </w:r>
      <w:r>
        <w:rPr>
          <w:i/>
        </w:rPr>
        <w:t>GTMP</w:t>
      </w:r>
      <w:r w:rsidRPr="001F2ACA">
        <w:rPr>
          <w:i/>
        </w:rPr>
        <w:t xml:space="preserve"> Funding Analysis</w:t>
      </w:r>
    </w:p>
    <w:p w:rsidR="006F73D1" w:rsidRPr="00045287" w:rsidRDefault="006F73D1" w:rsidP="00A4081F">
      <w:pPr>
        <w:pStyle w:val="NumberedParas"/>
      </w:pPr>
      <w:r>
        <w:t xml:space="preserve">Total </w:t>
      </w:r>
      <w:r>
        <w:rPr>
          <w:lang w:val="ro-RO"/>
        </w:rPr>
        <w:t>investment cost for projects identified in the Master Plan process, across all modes, is 45.3 bn EUR in fixed 2014 prices. A sensitivity analysis shows that an allocation of 2.2% of GDP is enough to support the full list of identified interventions.</w:t>
      </w:r>
    </w:p>
    <w:p w:rsidR="00033D6E" w:rsidRDefault="00033D6E" w:rsidP="00045287">
      <w:pPr>
        <w:pStyle w:val="Hdg2"/>
      </w:pPr>
      <w:bookmarkStart w:id="8171" w:name="_Toc413056091"/>
      <w:r>
        <w:t>Public Consultation</w:t>
      </w:r>
      <w:bookmarkEnd w:id="8171"/>
    </w:p>
    <w:p w:rsidR="007C2AA0" w:rsidRDefault="007C2AA0" w:rsidP="00A4081F">
      <w:pPr>
        <w:pStyle w:val="NumberedParas"/>
      </w:pPr>
      <w:r>
        <w:t>Reference has already been made to the wide-ranging consultations which took place while the Master Plan was being formulated, particularly with respect to the specification of interventions.</w:t>
      </w:r>
    </w:p>
    <w:p w:rsidR="008A3B3D" w:rsidRDefault="007C2AA0" w:rsidP="00A4081F">
      <w:pPr>
        <w:pStyle w:val="NumberedParas"/>
      </w:pPr>
      <w:r>
        <w:t>Following the publication of the Master Plan at the end of August, a</w:t>
      </w:r>
      <w:r w:rsidR="008A3B3D">
        <w:t xml:space="preserve"> series of Public Consultations on the Master Plan took place at the Ministry of Transport in October and November, where presentations were given by the Ministry followed by question and answer sessions from the audience.  Each consultatioin was on a particular mode of transport, namely Roads, Railways, Ports, Aviation and Intermodal Transport.  A wide range of interests were represented at the consultations, including industry representatives, trade bodies, councillors, special interest groups, company representatives, journalists, and members of the public.</w:t>
      </w:r>
    </w:p>
    <w:p w:rsidR="008A3B3D" w:rsidRDefault="008A3B3D" w:rsidP="00A4081F">
      <w:pPr>
        <w:pStyle w:val="NumberedParas"/>
      </w:pPr>
      <w:r>
        <w:t xml:space="preserve">A number of written submissions were received, </w:t>
      </w:r>
      <w:r w:rsidR="00A4081F">
        <w:t>approximately 80</w:t>
      </w:r>
      <w:r>
        <w:t xml:space="preserve"> in total.  These were analysed and, and if the points made were relevant these were taken into account in the final plan.</w:t>
      </w:r>
    </w:p>
    <w:p w:rsidR="00F77110" w:rsidRDefault="00F77110" w:rsidP="00045287">
      <w:pPr>
        <w:pStyle w:val="Hdg2"/>
      </w:pPr>
      <w:bookmarkStart w:id="8172" w:name="_Toc413056092"/>
      <w:r>
        <w:t>Cross-Sectoral Issues</w:t>
      </w:r>
      <w:bookmarkEnd w:id="8172"/>
    </w:p>
    <w:p w:rsidR="00FA149E" w:rsidRDefault="00A14AF7" w:rsidP="00A4081F">
      <w:pPr>
        <w:pStyle w:val="NumberedParas"/>
      </w:pPr>
      <w:r>
        <w:t>Alt</w:t>
      </w:r>
      <w:r w:rsidR="004C7E9E">
        <w:t>h</w:t>
      </w:r>
      <w:r>
        <w:t>ough all of the analysis and modelling for the Master Plan has been undertaken on a modal basis, much of the analysis i</w:t>
      </w:r>
      <w:r w:rsidR="00FA149E">
        <w:t xml:space="preserve">n this Report has been described on a modal basis. </w:t>
      </w:r>
      <w:r>
        <w:t xml:space="preserve"> </w:t>
      </w:r>
      <w:r w:rsidR="00FA149E" w:rsidRPr="007F4D8B">
        <w:t xml:space="preserve">In this section we describe the main issues at a cross-sectoral level.  </w:t>
      </w:r>
    </w:p>
    <w:p w:rsidR="00A520C7" w:rsidRDefault="00A520C7" w:rsidP="00045287">
      <w:pPr>
        <w:pStyle w:val="Hdg3"/>
      </w:pPr>
      <w:r>
        <w:t>EES</w:t>
      </w:r>
      <w:r w:rsidR="008062E7">
        <w:t xml:space="preserve"> Operational Performance</w:t>
      </w:r>
    </w:p>
    <w:p w:rsidR="00C174B8" w:rsidRPr="00A4081F" w:rsidRDefault="00DF609D" w:rsidP="00A4081F">
      <w:pPr>
        <w:pStyle w:val="NumberedParas"/>
      </w:pPr>
      <w:r>
        <w:t xml:space="preserve">The NTM produces a large volume of data which demonstrate how the </w:t>
      </w:r>
      <w:r w:rsidRPr="00A4081F">
        <w:t>transport net</w:t>
      </w:r>
      <w:r w:rsidR="008062E7" w:rsidRPr="00A4081F">
        <w:t>work is performing.  In this se</w:t>
      </w:r>
      <w:r w:rsidRPr="00A4081F">
        <w:t>ction, the performa</w:t>
      </w:r>
      <w:r w:rsidR="008062E7" w:rsidRPr="00A4081F">
        <w:t xml:space="preserve">nce of the EES is compared with the </w:t>
      </w:r>
      <w:r w:rsidRPr="00A4081F">
        <w:t>Reference Scenario</w:t>
      </w:r>
      <w:r w:rsidR="008062E7" w:rsidRPr="00A4081F">
        <w:t xml:space="preserve">, which represents the future situation that would exist without the Master Plan projects, that is with financially committed projects only.  This is the most valid comparison because </w:t>
      </w:r>
      <w:r w:rsidR="00C174B8" w:rsidRPr="00A4081F">
        <w:t xml:space="preserve">it shows on a like for like basis what difference the Master Plan is forecast to make. </w:t>
      </w:r>
    </w:p>
    <w:p w:rsidR="00DF609D" w:rsidRPr="00A4081F" w:rsidRDefault="00C174B8" w:rsidP="00A4081F">
      <w:pPr>
        <w:pStyle w:val="NumberedParas"/>
      </w:pPr>
      <w:r w:rsidRPr="00A4081F">
        <w:t xml:space="preserve">Comparisons with </w:t>
      </w:r>
      <w:r w:rsidR="008062E7" w:rsidRPr="00A4081F">
        <w:t>the Base situation (2011)</w:t>
      </w:r>
      <w:r w:rsidRPr="00A4081F">
        <w:t xml:space="preserve"> are also shown but these contain changes that would occur in transport demand between the different years</w:t>
      </w:r>
      <w:r w:rsidR="00DF609D" w:rsidRPr="00A4081F">
        <w:t xml:space="preserve">. </w:t>
      </w:r>
    </w:p>
    <w:p w:rsidR="008062E7" w:rsidRPr="00A4081F" w:rsidRDefault="00C174B8" w:rsidP="00A4081F">
      <w:pPr>
        <w:pStyle w:val="NumberedParas"/>
      </w:pPr>
      <w:r w:rsidRPr="00A4081F">
        <w:t>Figure 10.1 shows the forecast changes in passenger transport in 2020 and 2030.</w:t>
      </w:r>
    </w:p>
    <w:p w:rsidR="00A4081F" w:rsidRDefault="00A4081F">
      <w:pPr>
        <w:rPr>
          <w:rFonts w:cs="Arial"/>
          <w:b/>
          <w:sz w:val="22"/>
        </w:rPr>
      </w:pPr>
      <w:r>
        <w:rPr>
          <w:rFonts w:cs="Arial"/>
          <w:b/>
          <w:sz w:val="22"/>
        </w:rPr>
        <w:br w:type="page"/>
      </w:r>
    </w:p>
    <w:p w:rsidR="00DF609D" w:rsidRDefault="00C174B8" w:rsidP="00DF609D">
      <w:pPr>
        <w:spacing w:before="120" w:after="120" w:line="276" w:lineRule="auto"/>
        <w:ind w:left="567"/>
        <w:jc w:val="both"/>
        <w:rPr>
          <w:rFonts w:cs="Arial"/>
          <w:b/>
          <w:sz w:val="22"/>
        </w:rPr>
      </w:pPr>
      <w:r>
        <w:rPr>
          <w:rFonts w:cs="Arial"/>
          <w:b/>
          <w:sz w:val="22"/>
        </w:rPr>
        <w:t>Figure 10.1</w:t>
      </w:r>
      <w:r w:rsidR="00DF609D">
        <w:rPr>
          <w:rFonts w:cs="Arial"/>
          <w:b/>
          <w:sz w:val="22"/>
        </w:rPr>
        <w:t xml:space="preserve"> Evolution of Passenger Transport in 2020 and 2030 EES vs. Ref Case</w:t>
      </w:r>
    </w:p>
    <w:tbl>
      <w:tblPr>
        <w:tblStyle w:val="TableGrid"/>
        <w:tblpPr w:leftFromText="180" w:rightFromText="180"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1"/>
        <w:gridCol w:w="5041"/>
      </w:tblGrid>
      <w:tr w:rsidR="00DF609D" w:rsidTr="00DF609D">
        <w:trPr>
          <w:trHeight w:val="4396"/>
        </w:trPr>
        <w:tc>
          <w:tcPr>
            <w:tcW w:w="5238"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0B221B6B" wp14:editId="368290F8">
                  <wp:extent cx="3182400" cy="2656800"/>
                  <wp:effectExtent l="19050" t="1905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c>
          <w:tcPr>
            <w:tcW w:w="5239"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4A003D4E" wp14:editId="063CB08E">
                  <wp:extent cx="3182400" cy="2656800"/>
                  <wp:effectExtent l="19050" t="1905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r>
    </w:tbl>
    <w:p w:rsidR="00DF609D" w:rsidRPr="001D4174" w:rsidRDefault="00DF609D" w:rsidP="00DF609D">
      <w:pPr>
        <w:spacing w:before="120" w:after="120" w:line="276" w:lineRule="auto"/>
        <w:rPr>
          <w:i/>
        </w:rPr>
      </w:pPr>
      <w:r w:rsidRPr="001D4174">
        <w:rPr>
          <w:i/>
        </w:rPr>
        <w:t>Source: AECOM, Natio</w:t>
      </w:r>
      <w:r>
        <w:rPr>
          <w:i/>
        </w:rPr>
        <w:t>nal Transport Model</w:t>
      </w:r>
    </w:p>
    <w:p w:rsidR="00C174B8" w:rsidRDefault="00DF609D" w:rsidP="00A4081F">
      <w:pPr>
        <w:pStyle w:val="NumberedParas"/>
      </w:pPr>
      <w:r>
        <w:t xml:space="preserve">The results show that, with the investments in improved maintenance, and in line speeds and service improvements, substantial increases in </w:t>
      </w:r>
      <w:r w:rsidR="00C174B8">
        <w:t xml:space="preserve">rail </w:t>
      </w:r>
      <w:r>
        <w:t xml:space="preserve">passenger traffic could be achieved.  </w:t>
      </w:r>
      <w:r w:rsidR="00C174B8">
        <w:t xml:space="preserve">The forecast increase is a 42% increase in rail passengers, and 73% increase in passenger kms by 2020, rising to 88% and 110% by 2030 when the full strategy should be in place.  </w:t>
      </w:r>
    </w:p>
    <w:p w:rsidR="003F1E9C" w:rsidRDefault="00C174B8" w:rsidP="00A4081F">
      <w:pPr>
        <w:pStyle w:val="NumberedParas"/>
      </w:pPr>
      <w:r>
        <w:t>By contrast, the forecast increases in road traffic are modest</w:t>
      </w:r>
      <w:r w:rsidR="003F1E9C">
        <w:t>, with a small decrease in car passenger traffic and a modest rise in passenger kms.  The rail investments lead to a decrease in bus passenger kms of 11% and 17% in 2020 and 2030 respectively.</w:t>
      </w:r>
    </w:p>
    <w:p w:rsidR="00DF609D" w:rsidRDefault="00DF609D" w:rsidP="00A4081F">
      <w:pPr>
        <w:pStyle w:val="NumberedParas"/>
      </w:pPr>
      <w:r>
        <w:t>One feature of the forecast impacts is the increase in average journey length</w:t>
      </w:r>
      <w:r w:rsidR="003F1E9C">
        <w:t>s – passenger kms grow to a</w:t>
      </w:r>
      <w:r>
        <w:t xml:space="preserve"> larger extent than passenger numbers, and this is to be expected given the </w:t>
      </w:r>
      <w:r w:rsidR="003F1E9C">
        <w:t xml:space="preserve">higher speeds, shorter journey times, and greater connectivity, </w:t>
      </w:r>
      <w:r>
        <w:t>that the Master Plan interventions will provide.</w:t>
      </w:r>
    </w:p>
    <w:p w:rsidR="00A4081F" w:rsidRDefault="00A4081F">
      <w:pPr>
        <w:rPr>
          <w:sz w:val="22"/>
          <w:szCs w:val="22"/>
        </w:rPr>
      </w:pPr>
      <w:r>
        <w:br w:type="page"/>
      </w:r>
    </w:p>
    <w:p w:rsidR="003F1E9C" w:rsidRPr="005269D8" w:rsidRDefault="003F1E9C" w:rsidP="00A4081F">
      <w:pPr>
        <w:pStyle w:val="NumberedParas"/>
      </w:pPr>
      <w:r>
        <w:t>Figure 10.2 provides similar information for freight traffic.</w:t>
      </w:r>
    </w:p>
    <w:p w:rsidR="00DF609D" w:rsidRDefault="003F1E9C" w:rsidP="00DF609D">
      <w:pPr>
        <w:spacing w:before="120" w:after="120" w:line="276" w:lineRule="auto"/>
        <w:ind w:left="567"/>
        <w:jc w:val="both"/>
        <w:rPr>
          <w:rFonts w:cs="Arial"/>
          <w:b/>
          <w:sz w:val="22"/>
        </w:rPr>
      </w:pPr>
      <w:r>
        <w:rPr>
          <w:rFonts w:cs="Arial"/>
          <w:b/>
          <w:sz w:val="22"/>
        </w:rPr>
        <w:t>Figure 10.2</w:t>
      </w:r>
      <w:r w:rsidR="00DF609D">
        <w:rPr>
          <w:rFonts w:cs="Arial"/>
          <w:b/>
          <w:sz w:val="22"/>
        </w:rPr>
        <w:t xml:space="preserve"> Evolution of Freight Transport in 2020 and 2030 EES vs. Ref Case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1"/>
        <w:gridCol w:w="5041"/>
      </w:tblGrid>
      <w:tr w:rsidR="00DF609D" w:rsidTr="00DF609D">
        <w:trPr>
          <w:trHeight w:val="4435"/>
        </w:trPr>
        <w:tc>
          <w:tcPr>
            <w:tcW w:w="5253"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614DFB8B" wp14:editId="07B7FA09">
                  <wp:extent cx="3182400" cy="2656800"/>
                  <wp:effectExtent l="19050" t="1905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c>
          <w:tcPr>
            <w:tcW w:w="5254"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37FFEC62" wp14:editId="701C3F85">
                  <wp:extent cx="3182400" cy="2656800"/>
                  <wp:effectExtent l="19050" t="1905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r>
    </w:tbl>
    <w:p w:rsidR="00DF609D" w:rsidRPr="001D4174" w:rsidRDefault="00DF609D" w:rsidP="00DF609D">
      <w:pPr>
        <w:spacing w:before="120" w:after="120" w:line="276" w:lineRule="auto"/>
        <w:rPr>
          <w:i/>
        </w:rPr>
      </w:pPr>
      <w:r w:rsidRPr="001D4174">
        <w:rPr>
          <w:i/>
        </w:rPr>
        <w:t>Source: AECOM, National Transport Model and CBA Tool</w:t>
      </w:r>
    </w:p>
    <w:p w:rsidR="003F1E9C" w:rsidRPr="00A4081F" w:rsidRDefault="003F1E9C" w:rsidP="00A4081F">
      <w:pPr>
        <w:pStyle w:val="NumberedParas"/>
      </w:pPr>
      <w:r>
        <w:t xml:space="preserve">The same pattern for freight traffic is evident, although the impact is less, for two reasons.  First, the relative improvement in freight train speeds is less than for passenger services, and </w:t>
      </w:r>
      <w:r w:rsidRPr="00A4081F">
        <w:t xml:space="preserve">secondly, the transit time is only one element of the cost of moving freight.  </w:t>
      </w:r>
    </w:p>
    <w:p w:rsidR="003F1E9C" w:rsidRPr="00A4081F" w:rsidRDefault="003F1E9C" w:rsidP="00A4081F">
      <w:pPr>
        <w:pStyle w:val="NumberedParas"/>
      </w:pPr>
      <w:r w:rsidRPr="00A4081F">
        <w:t xml:space="preserve">Freight tonne kms grow at roughly twice the rate of tonnes lifted.Here the largest increases in tonnes carried and tonne kms are again in rail freight, where tonne kms are forecast to increase by 6% in both 2020 and 2030.  Waterborne freight is also forecast to increase in both 2020 and 2030, as a result of investment in increasing the navigability of the Danube, and port improvements.  </w:t>
      </w:r>
    </w:p>
    <w:p w:rsidR="00C168ED" w:rsidRDefault="00C168ED" w:rsidP="00A4081F">
      <w:pPr>
        <w:pStyle w:val="NumberedParas"/>
      </w:pPr>
      <w:r w:rsidRPr="00A4081F">
        <w:t>Figure</w:t>
      </w:r>
      <w:r>
        <w:t xml:space="preserve"> 10.3 shows the change in mode choice.</w:t>
      </w:r>
    </w:p>
    <w:p w:rsidR="00DF609D" w:rsidRDefault="00C168ED" w:rsidP="00DF609D">
      <w:pPr>
        <w:spacing w:before="120" w:after="120" w:line="276" w:lineRule="auto"/>
        <w:ind w:left="567"/>
        <w:jc w:val="both"/>
        <w:rPr>
          <w:rFonts w:cs="Arial"/>
          <w:b/>
          <w:sz w:val="22"/>
        </w:rPr>
      </w:pPr>
      <w:r>
        <w:rPr>
          <w:rFonts w:cs="Arial"/>
          <w:b/>
          <w:sz w:val="22"/>
        </w:rPr>
        <w:t>Figure 10.3</w:t>
      </w:r>
      <w:r w:rsidR="00DF609D">
        <w:rPr>
          <w:rFonts w:cs="Arial"/>
          <w:b/>
          <w:sz w:val="22"/>
        </w:rPr>
        <w:t xml:space="preserve"> Changes in the Overall Mode Choice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1"/>
        <w:gridCol w:w="5041"/>
      </w:tblGrid>
      <w:tr w:rsidR="00DF609D" w:rsidTr="00DF609D">
        <w:trPr>
          <w:trHeight w:val="4426"/>
        </w:trPr>
        <w:tc>
          <w:tcPr>
            <w:tcW w:w="5253"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06BDBBF1" wp14:editId="37DFD24F">
                  <wp:extent cx="3182400" cy="2656800"/>
                  <wp:effectExtent l="19050" t="1905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c>
          <w:tcPr>
            <w:tcW w:w="5254" w:type="dxa"/>
          </w:tcPr>
          <w:p w:rsidR="00DF609D" w:rsidRDefault="00DF609D" w:rsidP="00DF609D">
            <w:pPr>
              <w:spacing w:before="120" w:after="120" w:line="276" w:lineRule="auto"/>
              <w:rPr>
                <w:sz w:val="22"/>
                <w:szCs w:val="22"/>
              </w:rPr>
            </w:pPr>
            <w:r>
              <w:rPr>
                <w:noProof/>
                <w:sz w:val="22"/>
                <w:szCs w:val="22"/>
                <w:lang w:val="ro-RO" w:eastAsia="ro-RO"/>
              </w:rPr>
              <w:drawing>
                <wp:inline distT="0" distB="0" distL="0" distR="0" wp14:anchorId="2093FEA9" wp14:editId="689D6AB1">
                  <wp:extent cx="3182400" cy="2656800"/>
                  <wp:effectExtent l="19050" t="1905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3182400" cy="2656800"/>
                          </a:xfrm>
                          <a:prstGeom prst="rect">
                            <a:avLst/>
                          </a:prstGeom>
                          <a:noFill/>
                          <a:ln>
                            <a:solidFill>
                              <a:schemeClr val="tx2"/>
                            </a:solidFill>
                          </a:ln>
                        </pic:spPr>
                      </pic:pic>
                    </a:graphicData>
                  </a:graphic>
                </wp:inline>
              </w:drawing>
            </w:r>
          </w:p>
        </w:tc>
      </w:tr>
    </w:tbl>
    <w:p w:rsidR="00DF609D" w:rsidRPr="001D4174" w:rsidRDefault="00DF609D" w:rsidP="00DF609D">
      <w:pPr>
        <w:spacing w:before="120" w:after="120" w:line="276" w:lineRule="auto"/>
        <w:rPr>
          <w:i/>
        </w:rPr>
      </w:pPr>
      <w:r w:rsidRPr="001D4174">
        <w:rPr>
          <w:i/>
        </w:rPr>
        <w:t>Source: AECOM, National Transport Model and CBA Tool</w:t>
      </w:r>
    </w:p>
    <w:p w:rsidR="007E1284" w:rsidRPr="00045287" w:rsidRDefault="00DF609D" w:rsidP="00A4081F">
      <w:pPr>
        <w:pStyle w:val="NumberedParas"/>
        <w:rPr>
          <w:lang w:val="ro-RO"/>
        </w:rPr>
      </w:pPr>
      <w:r>
        <w:t>Here, the performance of rail should be assessed against a historical backdrop of decreasing mode share. The forecasts from the National Model show that r</w:t>
      </w:r>
      <w:r w:rsidR="00C168ED">
        <w:t>ail mode share can be increased</w:t>
      </w:r>
      <w:r>
        <w:t xml:space="preserve"> with investment, improved maintenance and better services, even in an expanding travel market and with increasing car ownership, and with significant improvements to the road network.</w:t>
      </w:r>
    </w:p>
    <w:p w:rsidR="00643F51" w:rsidRPr="00045287" w:rsidRDefault="00643F51" w:rsidP="00A4081F">
      <w:pPr>
        <w:pStyle w:val="NumberedParas"/>
        <w:rPr>
          <w:lang w:val="ro-RO"/>
        </w:rPr>
      </w:pPr>
      <w:r>
        <w:t xml:space="preserve">The difference between the Base Year and 2020 and 2030 EES scenario are shown in Figure 10.4, for passenger </w:t>
      </w:r>
      <w:r w:rsidR="0063072C">
        <w:t xml:space="preserve">and freight </w:t>
      </w:r>
      <w:r>
        <w:t>transport.</w:t>
      </w:r>
    </w:p>
    <w:p w:rsidR="00643F51" w:rsidRPr="00045287" w:rsidRDefault="0063072C" w:rsidP="00A4081F">
      <w:pPr>
        <w:pStyle w:val="Body"/>
        <w:spacing w:before="120" w:after="120"/>
        <w:ind w:left="0"/>
        <w:rPr>
          <w:b/>
          <w:i w:val="0"/>
          <w:lang w:val="ro-RO"/>
        </w:rPr>
      </w:pPr>
      <w:r w:rsidRPr="00045287">
        <w:rPr>
          <w:b/>
          <w:i w:val="0"/>
          <w:lang w:val="ro-RO"/>
        </w:rPr>
        <w:t>Figure 10.4  Change in Passenger and Freight Demand, 2011 – 2020, EES Strategy</w:t>
      </w:r>
    </w:p>
    <w:p w:rsidR="00643F51" w:rsidRPr="00045287" w:rsidRDefault="0063072C" w:rsidP="00A4081F">
      <w:pPr>
        <w:pStyle w:val="NumberedParas"/>
        <w:numPr>
          <w:ilvl w:val="0"/>
          <w:numId w:val="0"/>
        </w:numPr>
        <w:rPr>
          <w:lang w:val="ro-RO"/>
        </w:rPr>
      </w:pPr>
      <w:r>
        <w:rPr>
          <w:noProof/>
          <w:lang w:val="ro-RO" w:eastAsia="ro-RO"/>
        </w:rPr>
        <w:drawing>
          <wp:inline distT="0" distB="0" distL="0" distR="0" wp14:anchorId="7A12E535" wp14:editId="41F02B73">
            <wp:extent cx="5943600" cy="31216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943600" cy="3121660"/>
                    </a:xfrm>
                    <a:prstGeom prst="rect">
                      <a:avLst/>
                    </a:prstGeom>
                  </pic:spPr>
                </pic:pic>
              </a:graphicData>
            </a:graphic>
          </wp:inline>
        </w:drawing>
      </w:r>
    </w:p>
    <w:p w:rsidR="0063072C" w:rsidRDefault="0063072C" w:rsidP="00A4081F">
      <w:pPr>
        <w:pStyle w:val="NumberedParas"/>
        <w:rPr>
          <w:lang w:val="ro-RO"/>
        </w:rPr>
      </w:pPr>
      <w:r>
        <w:rPr>
          <w:lang w:val="ro-RO"/>
        </w:rPr>
        <w:t xml:space="preserve">These results show, on the pasenger transport side, increases in the number of passengers and passenger kms for all modes of transport.  Comparing these results with the Reference Case comparisons, we can see that the increases in road passengers is not due to the EES strategy itself (which leads to a reduction in road passengers), but is due to underlying factors such as increasing car ownership and the completion of motorways in the Reference Case.  </w:t>
      </w:r>
    </w:p>
    <w:p w:rsidR="0063072C" w:rsidRDefault="0063072C" w:rsidP="00A4081F">
      <w:pPr>
        <w:pStyle w:val="NumberedParas"/>
        <w:rPr>
          <w:lang w:val="ro-RO"/>
        </w:rPr>
      </w:pPr>
      <w:r>
        <w:rPr>
          <w:lang w:val="ro-RO"/>
        </w:rPr>
        <w:t>What is impressive is the turnaround in rail pasenger transport.  After more than 20 years of continuous decline, the investment in improved maintenance, rehabilitation and additional services is forecast to reverse this decline and produce an increase of 27% in rail passenger kms.</w:t>
      </w:r>
    </w:p>
    <w:p w:rsidR="00E7333E" w:rsidRDefault="00E7333E" w:rsidP="00A4081F">
      <w:pPr>
        <w:pStyle w:val="NumberedParas"/>
        <w:rPr>
          <w:lang w:val="ro-RO"/>
        </w:rPr>
      </w:pPr>
      <w:r>
        <w:rPr>
          <w:lang w:val="ro-RO"/>
        </w:rPr>
        <w:t>The situation is similar in 2030, with increases in all modes of transport for both pasenger and freight.  The reason for the increase in road passenger (and freight) transport is the same as that in 2020: the increases are due to an underlying trend, not the EES projects.</w:t>
      </w:r>
    </w:p>
    <w:p w:rsidR="00E7333E" w:rsidRDefault="00E7333E" w:rsidP="00A4081F">
      <w:pPr>
        <w:pStyle w:val="NumberedParas"/>
        <w:rPr>
          <w:lang w:val="ro-RO"/>
        </w:rPr>
      </w:pPr>
      <w:r>
        <w:rPr>
          <w:lang w:val="ro-RO"/>
        </w:rPr>
        <w:t xml:space="preserve">Again, the forecast increase in both rail passenger and freight is noteworthy, demonstrating once more that the historical trends in rail transport can be reversed with suitable investment. </w:t>
      </w:r>
    </w:p>
    <w:p w:rsidR="00A4081F" w:rsidRDefault="00A4081F">
      <w:pPr>
        <w:rPr>
          <w:b/>
          <w:sz w:val="22"/>
          <w:szCs w:val="22"/>
          <w:lang w:val="ro-RO"/>
        </w:rPr>
      </w:pPr>
      <w:r>
        <w:rPr>
          <w:b/>
          <w:i/>
          <w:lang w:val="ro-RO"/>
        </w:rPr>
        <w:br w:type="page"/>
      </w:r>
    </w:p>
    <w:p w:rsidR="00E7333E" w:rsidRDefault="00E7333E" w:rsidP="00A4081F">
      <w:pPr>
        <w:pStyle w:val="Body"/>
        <w:ind w:left="907"/>
        <w:rPr>
          <w:b/>
          <w:i w:val="0"/>
          <w:lang w:val="ro-RO"/>
        </w:rPr>
      </w:pPr>
      <w:r>
        <w:rPr>
          <w:b/>
          <w:i w:val="0"/>
          <w:lang w:val="ro-RO"/>
        </w:rPr>
        <w:t xml:space="preserve">Figure 10.5  </w:t>
      </w:r>
      <w:r w:rsidRPr="00C44BED">
        <w:rPr>
          <w:b/>
          <w:i w:val="0"/>
          <w:lang w:val="ro-RO"/>
        </w:rPr>
        <w:t>Change in Passenger and Freight Demand, 2011 –</w:t>
      </w:r>
      <w:r>
        <w:rPr>
          <w:b/>
          <w:i w:val="0"/>
          <w:lang w:val="ro-RO"/>
        </w:rPr>
        <w:t xml:space="preserve"> 203</w:t>
      </w:r>
      <w:r w:rsidRPr="00C44BED">
        <w:rPr>
          <w:b/>
          <w:i w:val="0"/>
          <w:lang w:val="ro-RO"/>
        </w:rPr>
        <w:t>0, EES Strategy</w:t>
      </w:r>
    </w:p>
    <w:p w:rsidR="00E7333E" w:rsidRPr="00045287" w:rsidRDefault="00E7333E" w:rsidP="00A4081F">
      <w:pPr>
        <w:pStyle w:val="Body"/>
        <w:rPr>
          <w:b/>
          <w:i w:val="0"/>
          <w:lang w:val="ro-RO"/>
        </w:rPr>
      </w:pPr>
      <w:r>
        <w:rPr>
          <w:noProof/>
          <w:lang w:val="ro-RO" w:eastAsia="ro-RO"/>
        </w:rPr>
        <w:drawing>
          <wp:inline distT="0" distB="0" distL="0" distR="0" wp14:anchorId="35BFA4BC" wp14:editId="141F7E7E">
            <wp:extent cx="5422900" cy="2887578"/>
            <wp:effectExtent l="0" t="0" r="635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427256" cy="2889897"/>
                    </a:xfrm>
                    <a:prstGeom prst="rect">
                      <a:avLst/>
                    </a:prstGeom>
                  </pic:spPr>
                </pic:pic>
              </a:graphicData>
            </a:graphic>
          </wp:inline>
        </w:drawing>
      </w:r>
    </w:p>
    <w:p w:rsidR="00E7333E" w:rsidRDefault="00E7333E">
      <w:pPr>
        <w:pStyle w:val="Body"/>
        <w:rPr>
          <w:lang w:val="ro-RO"/>
        </w:rPr>
      </w:pPr>
    </w:p>
    <w:p w:rsidR="00E7333E" w:rsidRPr="00045287" w:rsidRDefault="00E7333E" w:rsidP="00045287">
      <w:pPr>
        <w:pStyle w:val="Hdg3"/>
      </w:pPr>
      <w:r w:rsidRPr="00045287">
        <w:t>Allocation of resources per mode: € per pass km, € per tonne km</w:t>
      </w:r>
    </w:p>
    <w:p w:rsidR="00782FD4" w:rsidRDefault="00782FD4" w:rsidP="00A4081F">
      <w:pPr>
        <w:pStyle w:val="NumberedParas"/>
        <w:rPr>
          <w:lang w:val="ro-RO"/>
        </w:rPr>
      </w:pPr>
      <w:r>
        <w:rPr>
          <w:lang w:val="ro-RO"/>
        </w:rPr>
        <w:t>One measure of the contribution of each mode to the national transport picture is passeneger and tonne kms.  We have analysed the investments in the road, rail and waterways sector in relationship to the contribution each make in terms of these measures.  The results are presented below:</w:t>
      </w:r>
    </w:p>
    <w:p w:rsidR="007E1284" w:rsidRDefault="00782FD4">
      <w:pPr>
        <w:pStyle w:val="Body"/>
        <w:rPr>
          <w:b/>
          <w:i w:val="0"/>
          <w:lang w:val="ro-RO"/>
        </w:rPr>
      </w:pPr>
      <w:r>
        <w:rPr>
          <w:b/>
          <w:i w:val="0"/>
          <w:lang w:val="ro-RO"/>
        </w:rPr>
        <w:t>Table 10.21  EES Scenario: Spending per Passenger km and tonne km</w:t>
      </w:r>
    </w:p>
    <w:tbl>
      <w:tblPr>
        <w:tblW w:w="9636" w:type="dxa"/>
        <w:tblInd w:w="820" w:type="dxa"/>
        <w:tblLayout w:type="fixed"/>
        <w:tblLook w:val="04A0" w:firstRow="1" w:lastRow="0" w:firstColumn="1" w:lastColumn="0" w:noHBand="0" w:noVBand="1"/>
      </w:tblPr>
      <w:tblGrid>
        <w:gridCol w:w="2000"/>
        <w:gridCol w:w="1760"/>
        <w:gridCol w:w="1600"/>
        <w:gridCol w:w="1601"/>
        <w:gridCol w:w="1399"/>
        <w:gridCol w:w="1276"/>
      </w:tblGrid>
      <w:tr w:rsidR="00782FD4" w:rsidRPr="00A4081F" w:rsidTr="00A4081F">
        <w:trPr>
          <w:trHeight w:val="915"/>
        </w:trPr>
        <w:tc>
          <w:tcPr>
            <w:tcW w:w="2000" w:type="dxa"/>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782FD4" w:rsidRPr="00A4081F" w:rsidRDefault="00782FD4" w:rsidP="00A4081F">
            <w:pPr>
              <w:jc w:val="center"/>
              <w:rPr>
                <w:rFonts w:cs="Arial"/>
                <w:b/>
                <w:color w:val="000000"/>
                <w:sz w:val="20"/>
                <w:szCs w:val="20"/>
                <w:lang w:eastAsia="en-GB"/>
              </w:rPr>
            </w:pPr>
          </w:p>
        </w:tc>
        <w:tc>
          <w:tcPr>
            <w:tcW w:w="176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782FD4" w:rsidRPr="00A4081F" w:rsidRDefault="00782FD4" w:rsidP="00A4081F">
            <w:pPr>
              <w:jc w:val="center"/>
              <w:rPr>
                <w:rFonts w:cs="Arial"/>
                <w:b/>
                <w:color w:val="000000"/>
                <w:sz w:val="20"/>
                <w:szCs w:val="20"/>
                <w:lang w:eastAsia="en-GB"/>
              </w:rPr>
            </w:pPr>
            <w:r w:rsidRPr="00A4081F">
              <w:rPr>
                <w:rFonts w:cs="Arial"/>
                <w:b/>
                <w:color w:val="000000"/>
                <w:sz w:val="20"/>
                <w:szCs w:val="20"/>
                <w:lang w:eastAsia="en-GB"/>
              </w:rPr>
              <w:t>Expenditure in the Master Plan (m. euro)</w:t>
            </w:r>
          </w:p>
        </w:tc>
        <w:tc>
          <w:tcPr>
            <w:tcW w:w="160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782FD4" w:rsidRPr="00A4081F" w:rsidRDefault="00782FD4" w:rsidP="00A4081F">
            <w:pPr>
              <w:jc w:val="center"/>
              <w:rPr>
                <w:rFonts w:cs="Arial"/>
                <w:b/>
                <w:color w:val="000000"/>
                <w:sz w:val="20"/>
                <w:szCs w:val="20"/>
                <w:lang w:eastAsia="en-GB"/>
              </w:rPr>
            </w:pPr>
            <w:r w:rsidRPr="00A4081F">
              <w:rPr>
                <w:rFonts w:cs="Arial"/>
                <w:b/>
                <w:color w:val="000000"/>
                <w:sz w:val="20"/>
                <w:szCs w:val="20"/>
                <w:lang w:eastAsia="en-GB"/>
              </w:rPr>
              <w:t>Passenger kms/day</w:t>
            </w:r>
          </w:p>
        </w:tc>
        <w:tc>
          <w:tcPr>
            <w:tcW w:w="1601"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782FD4" w:rsidRPr="00A4081F" w:rsidRDefault="00782FD4" w:rsidP="00A4081F">
            <w:pPr>
              <w:jc w:val="center"/>
              <w:rPr>
                <w:rFonts w:cs="Arial"/>
                <w:b/>
                <w:color w:val="000000"/>
                <w:sz w:val="20"/>
                <w:szCs w:val="20"/>
                <w:lang w:eastAsia="en-GB"/>
              </w:rPr>
            </w:pPr>
            <w:r w:rsidRPr="00A4081F">
              <w:rPr>
                <w:rFonts w:cs="Arial"/>
                <w:b/>
                <w:color w:val="000000"/>
                <w:sz w:val="20"/>
                <w:szCs w:val="20"/>
                <w:lang w:eastAsia="en-GB"/>
              </w:rPr>
              <w:t>Tonne kms/day</w:t>
            </w:r>
          </w:p>
        </w:tc>
        <w:tc>
          <w:tcPr>
            <w:tcW w:w="1399"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782FD4" w:rsidRPr="00A4081F" w:rsidRDefault="00782FD4" w:rsidP="00A4081F">
            <w:pPr>
              <w:jc w:val="center"/>
              <w:rPr>
                <w:rFonts w:cs="Arial"/>
                <w:b/>
                <w:color w:val="000000"/>
                <w:sz w:val="20"/>
                <w:szCs w:val="20"/>
                <w:lang w:eastAsia="en-GB"/>
              </w:rPr>
            </w:pPr>
            <w:r w:rsidRPr="00A4081F">
              <w:rPr>
                <w:rFonts w:cs="Arial"/>
                <w:b/>
                <w:color w:val="000000"/>
                <w:sz w:val="20"/>
                <w:szCs w:val="20"/>
                <w:lang w:eastAsia="en-GB"/>
              </w:rPr>
              <w:t>€/passenger km day</w:t>
            </w:r>
          </w:p>
        </w:tc>
        <w:tc>
          <w:tcPr>
            <w:tcW w:w="1276"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782FD4" w:rsidRPr="00A4081F" w:rsidRDefault="00782FD4" w:rsidP="00A4081F">
            <w:pPr>
              <w:jc w:val="center"/>
              <w:rPr>
                <w:rFonts w:cs="Arial"/>
                <w:b/>
                <w:color w:val="000000"/>
                <w:sz w:val="20"/>
                <w:szCs w:val="20"/>
                <w:lang w:eastAsia="en-GB"/>
              </w:rPr>
            </w:pPr>
            <w:r w:rsidRPr="00A4081F">
              <w:rPr>
                <w:rFonts w:cs="Arial"/>
                <w:b/>
                <w:color w:val="000000"/>
                <w:sz w:val="20"/>
                <w:szCs w:val="20"/>
                <w:lang w:eastAsia="en-GB"/>
              </w:rPr>
              <w:t>€/tonne km/day</w:t>
            </w:r>
          </w:p>
        </w:tc>
      </w:tr>
      <w:tr w:rsidR="00782FD4" w:rsidRPr="00782FD4" w:rsidTr="00A4081F">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Roads</w:t>
            </w:r>
          </w:p>
        </w:tc>
        <w:tc>
          <w:tcPr>
            <w:tcW w:w="176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18,707</w:t>
            </w:r>
          </w:p>
        </w:tc>
        <w:tc>
          <w:tcPr>
            <w:tcW w:w="160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156,721,866</w:t>
            </w:r>
          </w:p>
        </w:tc>
        <w:tc>
          <w:tcPr>
            <w:tcW w:w="1601"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194,257,197</w:t>
            </w:r>
          </w:p>
        </w:tc>
        <w:tc>
          <w:tcPr>
            <w:tcW w:w="1399"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119</w:t>
            </w:r>
          </w:p>
        </w:tc>
        <w:tc>
          <w:tcPr>
            <w:tcW w:w="1276"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96</w:t>
            </w:r>
          </w:p>
        </w:tc>
      </w:tr>
      <w:tr w:rsidR="00782FD4" w:rsidRPr="00782FD4" w:rsidTr="00A4081F">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Rail + Intermodal</w:t>
            </w:r>
          </w:p>
        </w:tc>
        <w:tc>
          <w:tcPr>
            <w:tcW w:w="176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16,139</w:t>
            </w:r>
          </w:p>
        </w:tc>
        <w:tc>
          <w:tcPr>
            <w:tcW w:w="160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19,096,378</w:t>
            </w:r>
          </w:p>
        </w:tc>
        <w:tc>
          <w:tcPr>
            <w:tcW w:w="1601"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43,614,918</w:t>
            </w:r>
          </w:p>
        </w:tc>
        <w:tc>
          <w:tcPr>
            <w:tcW w:w="1399"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845</w:t>
            </w:r>
          </w:p>
        </w:tc>
        <w:tc>
          <w:tcPr>
            <w:tcW w:w="1276"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370</w:t>
            </w:r>
          </w:p>
        </w:tc>
      </w:tr>
      <w:tr w:rsidR="00782FD4" w:rsidRPr="00782FD4" w:rsidTr="00A4081F">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Waterways</w:t>
            </w:r>
          </w:p>
        </w:tc>
        <w:tc>
          <w:tcPr>
            <w:tcW w:w="176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1,056</w:t>
            </w:r>
          </w:p>
        </w:tc>
        <w:tc>
          <w:tcPr>
            <w:tcW w:w="1600"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p>
        </w:tc>
        <w:tc>
          <w:tcPr>
            <w:tcW w:w="1601"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41,717,021</w:t>
            </w:r>
          </w:p>
        </w:tc>
        <w:tc>
          <w:tcPr>
            <w:tcW w:w="1399"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p>
        </w:tc>
        <w:tc>
          <w:tcPr>
            <w:tcW w:w="1276" w:type="dxa"/>
            <w:tcBorders>
              <w:top w:val="nil"/>
              <w:left w:val="nil"/>
              <w:bottom w:val="single" w:sz="8" w:space="0" w:color="auto"/>
              <w:right w:val="single" w:sz="8" w:space="0" w:color="auto"/>
            </w:tcBorders>
            <w:shd w:val="clear" w:color="auto" w:fill="auto"/>
            <w:noWrap/>
            <w:vAlign w:val="center"/>
            <w:hideMark/>
          </w:tcPr>
          <w:p w:rsidR="00782FD4" w:rsidRPr="00045287" w:rsidRDefault="00782FD4" w:rsidP="00A4081F">
            <w:pPr>
              <w:jc w:val="center"/>
              <w:rPr>
                <w:rFonts w:cs="Arial"/>
                <w:color w:val="000000"/>
                <w:sz w:val="20"/>
                <w:szCs w:val="20"/>
                <w:lang w:eastAsia="en-GB"/>
              </w:rPr>
            </w:pPr>
            <w:r w:rsidRPr="00045287">
              <w:rPr>
                <w:rFonts w:cs="Arial"/>
                <w:color w:val="000000"/>
                <w:sz w:val="20"/>
                <w:szCs w:val="20"/>
                <w:lang w:eastAsia="en-GB"/>
              </w:rPr>
              <w:t>25</w:t>
            </w:r>
          </w:p>
        </w:tc>
      </w:tr>
    </w:tbl>
    <w:p w:rsidR="00782FD4" w:rsidRDefault="00C839F3" w:rsidP="00045287">
      <w:pPr>
        <w:pStyle w:val="Body"/>
        <w:spacing w:before="120" w:after="120"/>
        <w:rPr>
          <w:sz w:val="18"/>
          <w:szCs w:val="18"/>
          <w:lang w:val="ro-RO"/>
        </w:rPr>
      </w:pPr>
      <w:r w:rsidRPr="00045287">
        <w:rPr>
          <w:sz w:val="18"/>
          <w:szCs w:val="18"/>
          <w:lang w:val="ro-RO"/>
        </w:rPr>
        <w:t>Source: Funding Analysis and national Model</w:t>
      </w:r>
    </w:p>
    <w:p w:rsidR="00C839F3" w:rsidRDefault="00C839F3" w:rsidP="00A4081F">
      <w:pPr>
        <w:pStyle w:val="NumberedParas"/>
        <w:rPr>
          <w:lang w:val="ro-RO"/>
        </w:rPr>
      </w:pPr>
      <w:r w:rsidRPr="00045287">
        <w:rPr>
          <w:lang w:val="ro-RO"/>
        </w:rPr>
        <w:t xml:space="preserve">The </w:t>
      </w:r>
      <w:r>
        <w:rPr>
          <w:lang w:val="ro-RO"/>
        </w:rPr>
        <w:t xml:space="preserve">table must be interpreted with care.  The two measures are not an indication of what each mode deserves to receive.  The projects </w:t>
      </w:r>
      <w:r w:rsidR="00DF609D">
        <w:rPr>
          <w:lang w:val="ro-RO"/>
        </w:rPr>
        <w:t xml:space="preserve">in each mode </w:t>
      </w:r>
      <w:r>
        <w:rPr>
          <w:lang w:val="ro-RO"/>
        </w:rPr>
        <w:t xml:space="preserve">are justified in a logical, structured manner, </w:t>
      </w:r>
      <w:r w:rsidR="00DF609D">
        <w:rPr>
          <w:lang w:val="ro-RO"/>
        </w:rPr>
        <w:t>from problem identification through to intervention and appraisal, and each investment stands on its own merit.  T</w:t>
      </w:r>
      <w:r>
        <w:rPr>
          <w:lang w:val="ro-RO"/>
        </w:rPr>
        <w:t>he road and rail networks are starting from different points with regard to their development.  Water transport is larg</w:t>
      </w:r>
      <w:r w:rsidR="00DF609D">
        <w:rPr>
          <w:lang w:val="ro-RO"/>
        </w:rPr>
        <w:t>ely provided by the River Danube, which is</w:t>
      </w:r>
      <w:r>
        <w:rPr>
          <w:lang w:val="ro-RO"/>
        </w:rPr>
        <w:t xml:space="preserve"> resource</w:t>
      </w:r>
      <w:r w:rsidR="00DF609D">
        <w:rPr>
          <w:lang w:val="ro-RO"/>
        </w:rPr>
        <w:t xml:space="preserve"> provided by nature</w:t>
      </w:r>
      <w:r>
        <w:rPr>
          <w:lang w:val="ro-RO"/>
        </w:rPr>
        <w:t xml:space="preserve">, </w:t>
      </w:r>
      <w:r w:rsidR="00DF609D">
        <w:rPr>
          <w:lang w:val="ro-RO"/>
        </w:rPr>
        <w:t xml:space="preserve">and is </w:t>
      </w:r>
      <w:r>
        <w:rPr>
          <w:lang w:val="ro-RO"/>
        </w:rPr>
        <w:t>not entirely man-made like roads or railways</w:t>
      </w:r>
      <w:r w:rsidR="00DF609D">
        <w:rPr>
          <w:lang w:val="ro-RO"/>
        </w:rPr>
        <w:t>.</w:t>
      </w:r>
    </w:p>
    <w:p w:rsidR="00DF609D" w:rsidRPr="00045287" w:rsidRDefault="00DF609D" w:rsidP="00A4081F">
      <w:pPr>
        <w:pStyle w:val="NumberedParas"/>
        <w:rPr>
          <w:lang w:val="ro-RO"/>
        </w:rPr>
      </w:pPr>
      <w:r>
        <w:rPr>
          <w:lang w:val="ro-RO"/>
        </w:rPr>
        <w:t>Nevertheless, the data do illustrate a conscious intention in the Master Plan to address the decline in the railway network and attempt to re-vitalise the railway so that it again plays a significant role in national transport, and to safeguard its future.</w:t>
      </w:r>
    </w:p>
    <w:p w:rsidR="00A520C7" w:rsidRDefault="00B00984" w:rsidP="00045287">
      <w:pPr>
        <w:pStyle w:val="Hdg3"/>
      </w:pPr>
      <w:r>
        <w:t>Heavy Goods Vehicle Road User Charge</w:t>
      </w:r>
    </w:p>
    <w:p w:rsidR="00091D50" w:rsidRPr="00091D50" w:rsidRDefault="00091D50" w:rsidP="00A4081F">
      <w:pPr>
        <w:pStyle w:val="NumberedParas"/>
        <w:rPr>
          <w:lang w:val="ro-RO"/>
        </w:rPr>
      </w:pPr>
      <w:r w:rsidRPr="00091D50">
        <w:rPr>
          <w:lang w:val="ro-RO"/>
        </w:rPr>
        <w:t>The introduction of a HGV Road User Charge (RUC) will result in a change in revenue to CNADNR.  This note outlines the estimated cash flows (costs and revenues) to CNADNR after 2020 if HGV RUC is introduced.</w:t>
      </w:r>
    </w:p>
    <w:p w:rsidR="00091D50" w:rsidRPr="00647D98" w:rsidRDefault="00091D50" w:rsidP="00A4081F">
      <w:pPr>
        <w:pStyle w:val="NumberedParas"/>
        <w:rPr>
          <w:lang w:val="ro-RO"/>
        </w:rPr>
      </w:pPr>
      <w:r w:rsidRPr="007F4D8B">
        <w:rPr>
          <w:lang w:val="ro-RO"/>
        </w:rPr>
        <w:t>The Annual costs expected to be incurred by CNADNR have been taken from the cost re</w:t>
      </w:r>
      <w:r w:rsidR="00CC5CC5" w:rsidRPr="00CC5CC5">
        <w:rPr>
          <w:lang w:val="ro-RO"/>
        </w:rPr>
        <w:t>covery work done by for the World Bank in 2013.</w:t>
      </w:r>
      <w:r w:rsidRPr="00CC5CC5">
        <w:rPr>
          <w:lang w:val="ro-RO"/>
        </w:rPr>
        <w:t xml:space="preserve">  It has been assumed that when a HGV RUC is introduced the existing vignette scheme will stop, therefore vignette revenues to CNADNR will also cease.  </w:t>
      </w:r>
    </w:p>
    <w:p w:rsidR="00091D50" w:rsidRDefault="00091D50" w:rsidP="00A4081F">
      <w:pPr>
        <w:pStyle w:val="NumberedParas"/>
        <w:rPr>
          <w:lang w:val="ro-RO"/>
        </w:rPr>
      </w:pPr>
      <w:r w:rsidRPr="00CC5CC5">
        <w:rPr>
          <w:lang w:val="ro-RO"/>
        </w:rPr>
        <w:t>A RUC rate of 0.66 Lei</w:t>
      </w:r>
      <w:r w:rsidR="000C534C">
        <w:rPr>
          <w:lang w:val="ro-RO"/>
        </w:rPr>
        <w:t xml:space="preserve"> (€0.15)</w:t>
      </w:r>
      <w:r w:rsidRPr="00CC5CC5">
        <w:rPr>
          <w:lang w:val="ro-RO"/>
        </w:rPr>
        <w:t xml:space="preserve"> per HGV km has been used; this has been calculated to reimburse the average annual CNADNR maintenance deficit between 2014-2020 and the environmental impact of HGV traffic in 2020.  It also includes a 20% uplift to cover the administration and operating costs of the RUC scheme.</w:t>
      </w:r>
      <w:r w:rsidR="00CC5CC5">
        <w:rPr>
          <w:lang w:val="ro-RO"/>
        </w:rPr>
        <w:t xml:space="preserve">  </w:t>
      </w:r>
      <w:r w:rsidRPr="007F4D8B">
        <w:rPr>
          <w:lang w:val="ro-RO"/>
        </w:rPr>
        <w:t>It has been assumed that the 20% administration cost will not be available to CNADNR for activities other than administration of t</w:t>
      </w:r>
      <w:r w:rsidRPr="00CC5CC5">
        <w:rPr>
          <w:lang w:val="ro-RO"/>
        </w:rPr>
        <w:t>he RUC.</w:t>
      </w:r>
    </w:p>
    <w:p w:rsidR="000C534C" w:rsidRDefault="00845720" w:rsidP="00A4081F">
      <w:pPr>
        <w:pStyle w:val="NumberedParas"/>
        <w:rPr>
          <w:lang w:val="ro-RO"/>
        </w:rPr>
      </w:pPr>
      <w:r>
        <w:rPr>
          <w:lang w:val="ro-RO"/>
        </w:rPr>
        <w:t xml:space="preserve">For comparison, </w:t>
      </w:r>
      <w:r w:rsidR="00C603C3">
        <w:rPr>
          <w:lang w:val="ro-RO"/>
        </w:rPr>
        <w:t>the rates in other European countries in June 2014 were as follows:</w:t>
      </w:r>
    </w:p>
    <w:tbl>
      <w:tblPr>
        <w:tblStyle w:val="TableClassic1"/>
        <w:tblW w:w="6804" w:type="dxa"/>
        <w:tblInd w:w="1668" w:type="dxa"/>
        <w:tblLook w:val="04A0" w:firstRow="1" w:lastRow="0" w:firstColumn="1" w:lastColumn="0" w:noHBand="0" w:noVBand="1"/>
      </w:tblPr>
      <w:tblGrid>
        <w:gridCol w:w="3827"/>
        <w:gridCol w:w="2977"/>
      </w:tblGrid>
      <w:tr w:rsidR="00C603C3" w:rsidTr="000452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C603C3" w:rsidRPr="00045287" w:rsidRDefault="00C603C3" w:rsidP="00045287">
            <w:pPr>
              <w:pStyle w:val="Body"/>
              <w:spacing w:before="0" w:after="0"/>
              <w:ind w:left="0"/>
              <w:rPr>
                <w:b/>
                <w:lang w:val="ro-RO"/>
              </w:rPr>
            </w:pPr>
            <w:r>
              <w:rPr>
                <w:b/>
                <w:lang w:val="ro-RO"/>
              </w:rPr>
              <w:t>Country</w:t>
            </w:r>
          </w:p>
        </w:tc>
        <w:tc>
          <w:tcPr>
            <w:tcW w:w="2977" w:type="dxa"/>
          </w:tcPr>
          <w:p w:rsidR="00C603C3" w:rsidRPr="00045287" w:rsidRDefault="00C603C3" w:rsidP="00045287">
            <w:pPr>
              <w:pStyle w:val="Body"/>
              <w:spacing w:before="0" w:after="0"/>
              <w:ind w:left="0"/>
              <w:cnfStyle w:val="100000000000" w:firstRow="1" w:lastRow="0" w:firstColumn="0" w:lastColumn="0" w:oddVBand="0" w:evenVBand="0" w:oddHBand="0" w:evenHBand="0" w:firstRowFirstColumn="0" w:firstRowLastColumn="0" w:lastRowFirstColumn="0" w:lastRowLastColumn="0"/>
              <w:rPr>
                <w:b/>
                <w:lang w:val="ro-RO"/>
              </w:rPr>
            </w:pPr>
            <w:r>
              <w:rPr>
                <w:b/>
                <w:lang w:val="ro-RO"/>
              </w:rPr>
              <w:t>Rate/km</w:t>
            </w:r>
          </w:p>
        </w:tc>
      </w:tr>
      <w:tr w:rsidR="00C603C3" w:rsidTr="00045287">
        <w:tc>
          <w:tcPr>
            <w:cnfStyle w:val="001000000000" w:firstRow="0" w:lastRow="0" w:firstColumn="1" w:lastColumn="0" w:oddVBand="0" w:evenVBand="0" w:oddHBand="0" w:evenHBand="0" w:firstRowFirstColumn="0" w:firstRowLastColumn="0" w:lastRowFirstColumn="0" w:lastRowLastColumn="0"/>
            <w:tcW w:w="3827" w:type="dxa"/>
          </w:tcPr>
          <w:p w:rsidR="00C603C3" w:rsidRDefault="00C603C3" w:rsidP="00C603C3">
            <w:pPr>
              <w:pStyle w:val="Body"/>
              <w:spacing w:before="0" w:after="0"/>
              <w:ind w:left="0"/>
              <w:rPr>
                <w:i w:val="0"/>
                <w:lang w:val="ro-RO"/>
              </w:rPr>
            </w:pPr>
            <w:r>
              <w:rPr>
                <w:i w:val="0"/>
                <w:lang w:val="ro-RO"/>
              </w:rPr>
              <w:t>Austria</w:t>
            </w:r>
          </w:p>
        </w:tc>
        <w:tc>
          <w:tcPr>
            <w:tcW w:w="2977" w:type="dxa"/>
          </w:tcPr>
          <w:p w:rsidR="00C603C3" w:rsidRDefault="00C603C3" w:rsidP="00C603C3">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Pr>
                <w:i w:val="0"/>
                <w:lang w:val="ro-RO"/>
              </w:rPr>
              <w:t>0.16 - 0.44</w:t>
            </w:r>
          </w:p>
        </w:tc>
      </w:tr>
      <w:tr w:rsidR="00C603C3" w:rsidTr="00045287">
        <w:tc>
          <w:tcPr>
            <w:cnfStyle w:val="001000000000" w:firstRow="0" w:lastRow="0" w:firstColumn="1" w:lastColumn="0" w:oddVBand="0" w:evenVBand="0" w:oddHBand="0" w:evenHBand="0" w:firstRowFirstColumn="0" w:firstRowLastColumn="0" w:lastRowFirstColumn="0" w:lastRowLastColumn="0"/>
            <w:tcW w:w="3827" w:type="dxa"/>
          </w:tcPr>
          <w:p w:rsidR="00C603C3" w:rsidRDefault="00C603C3" w:rsidP="00045287">
            <w:pPr>
              <w:pStyle w:val="Body"/>
              <w:spacing w:before="0" w:after="0"/>
              <w:ind w:left="0"/>
              <w:rPr>
                <w:i w:val="0"/>
                <w:lang w:val="ro-RO"/>
              </w:rPr>
            </w:pPr>
            <w:r>
              <w:rPr>
                <w:i w:val="0"/>
                <w:lang w:val="ro-RO"/>
              </w:rPr>
              <w:t>Poland</w:t>
            </w:r>
          </w:p>
        </w:tc>
        <w:tc>
          <w:tcPr>
            <w:tcW w:w="2977" w:type="dxa"/>
          </w:tcPr>
          <w:p w:rsidR="00C603C3" w:rsidRDefault="00C603C3" w:rsidP="00045287">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Pr>
                <w:i w:val="0"/>
                <w:lang w:val="ro-RO"/>
              </w:rPr>
              <w:t>0.20 - 0.40</w:t>
            </w:r>
          </w:p>
        </w:tc>
      </w:tr>
      <w:tr w:rsidR="00C603C3" w:rsidTr="00045287">
        <w:tc>
          <w:tcPr>
            <w:cnfStyle w:val="001000000000" w:firstRow="0" w:lastRow="0" w:firstColumn="1" w:lastColumn="0" w:oddVBand="0" w:evenVBand="0" w:oddHBand="0" w:evenHBand="0" w:firstRowFirstColumn="0" w:firstRowLastColumn="0" w:lastRowFirstColumn="0" w:lastRowLastColumn="0"/>
            <w:tcW w:w="3827" w:type="dxa"/>
          </w:tcPr>
          <w:p w:rsidR="00C603C3" w:rsidRDefault="00C603C3" w:rsidP="00045287">
            <w:pPr>
              <w:pStyle w:val="Body"/>
              <w:spacing w:before="0" w:after="0"/>
              <w:ind w:left="0"/>
              <w:rPr>
                <w:i w:val="0"/>
                <w:lang w:val="ro-RO"/>
              </w:rPr>
            </w:pPr>
            <w:r>
              <w:rPr>
                <w:i w:val="0"/>
                <w:lang w:val="ro-RO"/>
              </w:rPr>
              <w:t>Germany</w:t>
            </w:r>
          </w:p>
        </w:tc>
        <w:tc>
          <w:tcPr>
            <w:tcW w:w="2977" w:type="dxa"/>
          </w:tcPr>
          <w:p w:rsidR="00C603C3" w:rsidRDefault="00C603C3" w:rsidP="00045287">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Pr>
                <w:i w:val="0"/>
                <w:lang w:val="ro-RO"/>
              </w:rPr>
              <w:t>0.14 – 0.29</w:t>
            </w:r>
          </w:p>
        </w:tc>
      </w:tr>
    </w:tbl>
    <w:p w:rsidR="00C603C3" w:rsidRDefault="00C603C3" w:rsidP="00045287">
      <w:pPr>
        <w:ind w:left="1560"/>
      </w:pPr>
      <w:r>
        <w:rPr>
          <w:i/>
          <w:lang w:val="ro-RO"/>
        </w:rPr>
        <w:t xml:space="preserve">Sources: </w:t>
      </w:r>
      <w:hyperlink r:id="rId368" w:history="1">
        <w:r w:rsidRPr="00F45262">
          <w:rPr>
            <w:rStyle w:val="Hyperlink"/>
          </w:rPr>
          <w:t>http://roadpricing.gw-world.com/en/RoadPricingAustria.aspx</w:t>
        </w:r>
      </w:hyperlink>
      <w:r>
        <w:t xml:space="preserve">; </w:t>
      </w:r>
      <w:hyperlink r:id="rId369" w:history="1">
        <w:r w:rsidRPr="00F45262">
          <w:rPr>
            <w:rStyle w:val="Hyperlink"/>
          </w:rPr>
          <w:t>http://www.gddkia.gov.pl/en/1126/motorway-tolls</w:t>
        </w:r>
      </w:hyperlink>
    </w:p>
    <w:p w:rsidR="00C603C3" w:rsidRDefault="00583DCC" w:rsidP="00045287">
      <w:pPr>
        <w:ind w:left="1560"/>
      </w:pPr>
      <w:hyperlink r:id="rId370" w:history="1">
        <w:r w:rsidR="00C603C3" w:rsidRPr="00F45262">
          <w:rPr>
            <w:rStyle w:val="Hyperlink"/>
          </w:rPr>
          <w:t>http://www.ages.de/en/hgv-toll-germany-tariffs.html</w:t>
        </w:r>
      </w:hyperlink>
    </w:p>
    <w:p w:rsidR="00C603C3" w:rsidRPr="00647D98" w:rsidRDefault="00C603C3" w:rsidP="00045287">
      <w:pPr>
        <w:pStyle w:val="Body"/>
        <w:ind w:left="1560"/>
      </w:pPr>
      <w:r>
        <w:rPr>
          <w:i w:val="0"/>
        </w:rPr>
        <w:t>The rates in these countries varies by size and weight of vehicle, and also by emission category, to encourage cleaner vehicles.  If an HGV charging scheme were introduced in Romania a similar tariff should operate.</w:t>
      </w:r>
    </w:p>
    <w:p w:rsidR="00091D50" w:rsidRPr="00091D50" w:rsidRDefault="00091D50" w:rsidP="00A4081F">
      <w:pPr>
        <w:pStyle w:val="NumberedParas"/>
        <w:rPr>
          <w:lang w:val="ro-RO"/>
        </w:rPr>
      </w:pPr>
      <w:r w:rsidRPr="00091D50">
        <w:rPr>
          <w:lang w:val="ro-RO"/>
        </w:rPr>
        <w:t>The CNADNR share of RUC revenue has been calculated from the number of HGV km on the CNADNR network. It is assumed that RUC generated on non- CNADNR network will be allocated elsewhere.</w:t>
      </w:r>
    </w:p>
    <w:p w:rsidR="00091D50" w:rsidRPr="00091D50" w:rsidRDefault="00091D50" w:rsidP="00A4081F">
      <w:pPr>
        <w:pStyle w:val="NumberedParas"/>
        <w:rPr>
          <w:lang w:val="ro-RO"/>
        </w:rPr>
      </w:pPr>
      <w:r w:rsidRPr="00091D50">
        <w:rPr>
          <w:lang w:val="ro-RO"/>
        </w:rPr>
        <w:t>The calculation of RUC revenues and fuel duty revenues take into account that once RUC is implemented HGV vehicle km will reduce over the ‘without RUC’ case.  In 2020 total HGV vehicle km on the CNADNR network are predicted to reduce by ~4% relative to a situation without RUC.</w:t>
      </w:r>
    </w:p>
    <w:p w:rsidR="004C7E9E" w:rsidRPr="00045287" w:rsidRDefault="00091D50" w:rsidP="00A4081F">
      <w:pPr>
        <w:pStyle w:val="NumberedParas"/>
        <w:rPr>
          <w:lang w:val="ro-RO"/>
        </w:rPr>
      </w:pPr>
      <w:r>
        <w:t xml:space="preserve">The table below shows the annual costs and revenues to </w:t>
      </w:r>
      <w:r w:rsidRPr="001E7213">
        <w:t>CNADNR</w:t>
      </w:r>
      <w:r>
        <w:t xml:space="preserve"> between 2020-2030</w:t>
      </w:r>
      <w:r w:rsidR="00CC5CC5">
        <w:t xml:space="preserve"> in m euro.</w:t>
      </w:r>
    </w:p>
    <w:p w:rsidR="00A4081F" w:rsidRDefault="00A4081F">
      <w:pPr>
        <w:rPr>
          <w:b/>
          <w:sz w:val="22"/>
          <w:szCs w:val="22"/>
          <w:lang w:val="ro-RO"/>
        </w:rPr>
      </w:pPr>
      <w:r>
        <w:rPr>
          <w:b/>
          <w:i/>
          <w:lang w:val="ro-RO"/>
        </w:rPr>
        <w:br w:type="page"/>
      </w:r>
    </w:p>
    <w:p w:rsidR="00CC5CC5" w:rsidRPr="00045287" w:rsidRDefault="004C7E9E">
      <w:pPr>
        <w:pStyle w:val="Body"/>
        <w:rPr>
          <w:b/>
          <w:i w:val="0"/>
          <w:lang w:val="ro-RO"/>
        </w:rPr>
      </w:pPr>
      <w:r>
        <w:rPr>
          <w:b/>
          <w:i w:val="0"/>
          <w:lang w:val="ro-RO"/>
        </w:rPr>
        <w:t>Table 10.18</w:t>
      </w:r>
      <w:r w:rsidR="00CC5CC5">
        <w:rPr>
          <w:b/>
          <w:i w:val="0"/>
          <w:lang w:val="ro-RO"/>
        </w:rPr>
        <w:t xml:space="preserve">  Potential Revenues from an HGV Charging Scheme</w:t>
      </w:r>
    </w:p>
    <w:p w:rsidR="00091D50" w:rsidRPr="00045287" w:rsidRDefault="00CC5CC5">
      <w:pPr>
        <w:pStyle w:val="Body"/>
        <w:rPr>
          <w:lang w:val="ro-RO"/>
        </w:rPr>
      </w:pPr>
      <w:r>
        <w:rPr>
          <w:lang w:val="ro-RO"/>
        </w:rPr>
        <w:object w:dxaOrig="12050" w:dyaOrig="6411">
          <v:shape id="_x0000_i1029" type="#_x0000_t75" style="width:499.5pt;height:265.5pt" o:ole="">
            <v:imagedata r:id="rId371" o:title=""/>
          </v:shape>
          <o:OLEObject Type="Embed" ProgID="Excel.Sheet.12" ShapeID="_x0000_i1029" DrawAspect="Content" ObjectID="_1491205603" r:id="rId372"/>
        </w:object>
      </w:r>
      <w:r w:rsidRPr="00045287">
        <w:rPr>
          <w:sz w:val="18"/>
          <w:szCs w:val="18"/>
          <w:lang w:val="ro-RO"/>
        </w:rPr>
        <w:t>AECOM Analysis using World Bank Study Cost Recovery Study and the National Model</w:t>
      </w:r>
    </w:p>
    <w:p w:rsidR="007F4D8B" w:rsidRDefault="000C534C" w:rsidP="00A4081F">
      <w:pPr>
        <w:pStyle w:val="NumberedParas"/>
      </w:pPr>
      <w:r>
        <w:t>In our view, the most realistic assumption regarding the potential surplus to CNADNR is the lower figure of €1.9bn over the period 2020 – 2030.  This assumes that the revenue from fuel duty will not be available to CNADNR or MT to spend on transport projects.</w:t>
      </w:r>
    </w:p>
    <w:p w:rsidR="00B00984" w:rsidRDefault="00B00984" w:rsidP="00A4081F">
      <w:pPr>
        <w:pStyle w:val="NumberedParas"/>
      </w:pPr>
      <w:r>
        <w:t>However, at this stage HGV RUC is not a recommendation of the Master Plan.  We present the results here to show what could be achieved by this initiative, but we recognise that it is a controversial policy which would be unpopular with industry as it increases their costs.  France has recently abandoned its scheme (the ecotaxe) because of opposition from the haulage industry, despite all-party support.</w:t>
      </w:r>
    </w:p>
    <w:p w:rsidR="00B00984" w:rsidRDefault="00B00984" w:rsidP="00A4081F">
      <w:pPr>
        <w:pStyle w:val="NumberedParas"/>
      </w:pPr>
      <w:r>
        <w:t>One particular issue concerns the use of the surplus revenue.  RUC schemes are never popular, but do enjoy more support if the surplus revenue is allocated to transport investment (and especially road transport investment).</w:t>
      </w:r>
    </w:p>
    <w:p w:rsidR="00B00984" w:rsidRDefault="00B00984" w:rsidP="00A4081F">
      <w:pPr>
        <w:pStyle w:val="NumberedParas"/>
      </w:pPr>
      <w:r>
        <w:t>However, HGV RUC is an EU policy.  Therefore, we recommend that a Technical Assistance project is launched to investigate the feasibility of such a scheme in Romania, including which roads should be included, the precise charge, the techno;logy to be used, how suplus the revenue should be spent, experience in other countries, and consultation with industry.</w:t>
      </w:r>
    </w:p>
    <w:p w:rsidR="00A4081F" w:rsidRDefault="00A4081F">
      <w:pPr>
        <w:rPr>
          <w:b/>
          <w:i/>
          <w:color w:val="9E0880"/>
          <w:sz w:val="22"/>
          <w:szCs w:val="22"/>
          <w:lang w:val="ro-RO"/>
        </w:rPr>
      </w:pPr>
      <w:r>
        <w:br w:type="page"/>
      </w:r>
    </w:p>
    <w:p w:rsidR="00647D98" w:rsidRDefault="00647D98" w:rsidP="00647D98">
      <w:pPr>
        <w:pStyle w:val="Hdg3"/>
      </w:pPr>
      <w:r>
        <w:t>Accessibility</w:t>
      </w:r>
    </w:p>
    <w:p w:rsidR="00647D98" w:rsidRPr="00A4081F" w:rsidRDefault="00647D98" w:rsidP="00A4081F">
      <w:pPr>
        <w:pStyle w:val="NumberedParas"/>
      </w:pPr>
      <w:r>
        <w:t xml:space="preserve">A </w:t>
      </w:r>
      <w:r w:rsidRPr="00A4081F">
        <w:t>additional analysis was done on the relative accessibility of the main urban areas, considering the number of employees.</w:t>
      </w:r>
    </w:p>
    <w:p w:rsidR="00647D98" w:rsidRDefault="00647D98" w:rsidP="00A4081F">
      <w:pPr>
        <w:pStyle w:val="NumberedParas"/>
      </w:pPr>
      <w:r w:rsidRPr="00A4081F">
        <w:t>The formula fo</w:t>
      </w:r>
      <w:r>
        <w:t>r the effectity density is given below:</w:t>
      </w:r>
    </w:p>
    <w:p w:rsidR="00647D98" w:rsidRDefault="00647D98" w:rsidP="00647D98">
      <w:pPr>
        <w:pStyle w:val="Body"/>
      </w:pPr>
      <m:oMathPara>
        <m:oMath>
          <m:r>
            <w:rPr>
              <w:rFonts w:ascii="Cambria Math" w:hAnsi="Cambria Math"/>
            </w:rPr>
            <m:t xml:space="preserve">U = </m:t>
          </m:r>
          <m:nary>
            <m:naryPr>
              <m:chr m:val="∑"/>
              <m:limLoc m:val="undOvr"/>
              <m:ctrlPr>
                <w:rPr>
                  <w:rFonts w:ascii="Cambria Math" w:hAnsi="Cambria Math"/>
                </w:rPr>
              </m:ctrlPr>
            </m:naryPr>
            <m:sub>
              <m:r>
                <w:rPr>
                  <w:rFonts w:ascii="Cambria Math" w:hAnsi="Cambria Math"/>
                </w:rPr>
                <m:t>j</m:t>
              </m:r>
            </m:sub>
            <m:sup>
              <m:r>
                <w:rPr>
                  <w:rFonts w:ascii="Cambria Math" w:hAnsi="Cambria Math"/>
                </w:rPr>
                <m:t>i≠j</m:t>
              </m:r>
            </m:sup>
            <m:e>
              <m:d>
                <m:dPr>
                  <m:ctrlPr>
                    <w:rPr>
                      <w:rFonts w:ascii="Cambria Math" w:hAnsi="Cambria Math"/>
                    </w:rPr>
                  </m:ctrlPr>
                </m:dPr>
                <m:e>
                  <m:f>
                    <m:fPr>
                      <m:type m:val="skw"/>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j</m:t>
                          </m:r>
                        </m:sub>
                      </m:sSub>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ij</m:t>
                                  </m:r>
                                </m:sub>
                              </m:sSub>
                            </m:e>
                          </m:d>
                        </m:e>
                        <m:sup>
                          <m:r>
                            <w:rPr>
                              <w:rFonts w:ascii="Cambria Math" w:hAnsi="Cambria Math"/>
                            </w:rPr>
                            <m:t>α</m:t>
                          </m:r>
                        </m:sup>
                      </m:sSup>
                    </m:den>
                  </m:f>
                </m:e>
              </m:d>
              <m:r>
                <w:rPr>
                  <w:rFonts w:ascii="Cambria Math" w:hAnsi="Cambria Math"/>
                </w:rPr>
                <m:t>+</m:t>
              </m:r>
              <m:f>
                <m:fPr>
                  <m:type m:val="skw"/>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j</m:t>
                      </m:r>
                    </m:sub>
                  </m:sSub>
                </m:num>
                <m:den>
                  <m:sSub>
                    <m:sSubPr>
                      <m:ctrlPr>
                        <w:rPr>
                          <w:rFonts w:ascii="Cambria Math" w:hAnsi="Cambria Math"/>
                        </w:rPr>
                      </m:ctrlPr>
                    </m:sSubPr>
                    <m:e>
                      <m:r>
                        <w:rPr>
                          <w:rFonts w:ascii="Cambria Math" w:hAnsi="Cambria Math"/>
                        </w:rPr>
                        <m:t>d</m:t>
                      </m:r>
                    </m:e>
                    <m:sub>
                      <m:r>
                        <w:rPr>
                          <w:rFonts w:ascii="Cambria Math" w:hAnsi="Cambria Math"/>
                        </w:rPr>
                        <m:t>i</m:t>
                      </m:r>
                    </m:sub>
                  </m:sSub>
                </m:den>
              </m:f>
            </m:e>
          </m:nary>
        </m:oMath>
      </m:oMathPara>
    </w:p>
    <w:p w:rsidR="00647D98" w:rsidRPr="002603C4" w:rsidRDefault="00647D98" w:rsidP="00647D98">
      <w:pPr>
        <w:pStyle w:val="Body"/>
        <w:rPr>
          <w:i w:val="0"/>
        </w:rPr>
      </w:pPr>
      <w:r>
        <w:rPr>
          <w:i w:val="0"/>
        </w:rPr>
        <w:t>where</w:t>
      </w:r>
      <w:r w:rsidRPr="002603C4">
        <w:rPr>
          <w:i w:val="0"/>
        </w:rPr>
        <w:t>:</w:t>
      </w:r>
    </w:p>
    <w:p w:rsidR="00647D98" w:rsidRPr="00EF7388" w:rsidRDefault="00647D98" w:rsidP="00647D98">
      <w:pPr>
        <w:spacing w:line="276" w:lineRule="auto"/>
        <w:ind w:left="567"/>
        <w:rPr>
          <w:sz w:val="22"/>
          <w:szCs w:val="22"/>
        </w:rPr>
      </w:pPr>
      <w:r w:rsidRPr="00EF7388">
        <w:rPr>
          <w:sz w:val="22"/>
          <w:szCs w:val="22"/>
        </w:rPr>
        <w:t>U =</w:t>
      </w:r>
      <w:r w:rsidRPr="00EF7388">
        <w:rPr>
          <w:sz w:val="22"/>
          <w:szCs w:val="22"/>
        </w:rPr>
        <w:tab/>
        <w:t>Effective Density in a specific zone i</w:t>
      </w:r>
    </w:p>
    <w:p w:rsidR="00647D98" w:rsidRPr="00EF7388" w:rsidRDefault="00647D98" w:rsidP="00647D98">
      <w:pPr>
        <w:spacing w:line="276" w:lineRule="auto"/>
        <w:ind w:left="567"/>
        <w:rPr>
          <w:sz w:val="22"/>
          <w:szCs w:val="22"/>
        </w:rPr>
      </w:pPr>
      <w:r w:rsidRPr="00EF7388">
        <w:rPr>
          <w:sz w:val="22"/>
          <w:szCs w:val="22"/>
        </w:rPr>
        <w:t>Aj =</w:t>
      </w:r>
      <w:r w:rsidRPr="00EF7388">
        <w:rPr>
          <w:sz w:val="22"/>
          <w:szCs w:val="22"/>
        </w:rPr>
        <w:tab/>
        <w:t xml:space="preserve">Measure of economic activity in other zones – </w:t>
      </w:r>
      <w:r>
        <w:rPr>
          <w:sz w:val="22"/>
          <w:szCs w:val="22"/>
        </w:rPr>
        <w:t>w</w:t>
      </w:r>
      <w:r w:rsidRPr="00EF7388">
        <w:rPr>
          <w:sz w:val="22"/>
          <w:szCs w:val="22"/>
        </w:rPr>
        <w:t xml:space="preserve">e have used number of employees for the analysis  </w:t>
      </w:r>
    </w:p>
    <w:p w:rsidR="00647D98" w:rsidRPr="00EF7388" w:rsidRDefault="00647D98" w:rsidP="00647D98">
      <w:pPr>
        <w:spacing w:line="276" w:lineRule="auto"/>
        <w:ind w:left="567"/>
        <w:rPr>
          <w:sz w:val="22"/>
          <w:szCs w:val="22"/>
        </w:rPr>
      </w:pPr>
      <w:r w:rsidRPr="00EF7388">
        <w:rPr>
          <w:sz w:val="22"/>
          <w:szCs w:val="22"/>
        </w:rPr>
        <w:t>dij =</w:t>
      </w:r>
      <w:r w:rsidRPr="00EF7388">
        <w:rPr>
          <w:sz w:val="22"/>
          <w:szCs w:val="22"/>
        </w:rPr>
        <w:tab/>
        <w:t>Generalised cost of travel between zone i and other zones (composite GC matrix)</w:t>
      </w:r>
    </w:p>
    <w:p w:rsidR="00647D98" w:rsidRPr="00EF7388" w:rsidRDefault="00647D98" w:rsidP="00647D98">
      <w:pPr>
        <w:spacing w:line="276" w:lineRule="auto"/>
        <w:ind w:left="567"/>
        <w:rPr>
          <w:sz w:val="22"/>
          <w:szCs w:val="22"/>
        </w:rPr>
      </w:pPr>
      <w:r w:rsidRPr="00EF7388">
        <w:rPr>
          <w:sz w:val="22"/>
          <w:szCs w:val="22"/>
        </w:rPr>
        <w:t>Ai =</w:t>
      </w:r>
      <w:r w:rsidRPr="00EF7388">
        <w:rPr>
          <w:sz w:val="22"/>
          <w:szCs w:val="22"/>
        </w:rPr>
        <w:tab/>
        <w:t>Measure of economic activity in the specific zone i – we have used number of employees</w:t>
      </w:r>
    </w:p>
    <w:p w:rsidR="00647D98" w:rsidRPr="00EF7388" w:rsidRDefault="00647D98" w:rsidP="00647D98">
      <w:pPr>
        <w:spacing w:line="276" w:lineRule="auto"/>
        <w:ind w:left="567"/>
        <w:rPr>
          <w:sz w:val="22"/>
          <w:szCs w:val="22"/>
        </w:rPr>
      </w:pPr>
      <w:r w:rsidRPr="00EF7388">
        <w:rPr>
          <w:sz w:val="22"/>
          <w:szCs w:val="22"/>
        </w:rPr>
        <w:t>di  =</w:t>
      </w:r>
      <w:r w:rsidRPr="00EF7388">
        <w:rPr>
          <w:sz w:val="22"/>
          <w:szCs w:val="22"/>
        </w:rPr>
        <w:tab/>
        <w:t>typical generalised cost of travel for an internal trip (assumed 30 mins for all zones within Romania)</w:t>
      </w:r>
    </w:p>
    <w:p w:rsidR="00647D98" w:rsidRPr="00EF7388" w:rsidRDefault="00647D98" w:rsidP="00647D98">
      <w:pPr>
        <w:spacing w:line="276" w:lineRule="auto"/>
        <w:ind w:left="567"/>
        <w:rPr>
          <w:sz w:val="22"/>
          <w:szCs w:val="22"/>
        </w:rPr>
      </w:pPr>
      <w:r w:rsidRPr="00EF7388">
        <w:rPr>
          <w:sz w:val="22"/>
          <w:szCs w:val="22"/>
        </w:rPr>
        <w:t>α   =</w:t>
      </w:r>
      <w:r w:rsidRPr="00EF7388">
        <w:rPr>
          <w:sz w:val="22"/>
          <w:szCs w:val="22"/>
        </w:rPr>
        <w:tab/>
        <w:t>1.0</w:t>
      </w:r>
    </w:p>
    <w:p w:rsidR="00647D98" w:rsidRDefault="00647D98" w:rsidP="00A4081F">
      <w:pPr>
        <w:pStyle w:val="NumberedParas"/>
      </w:pPr>
      <w:r>
        <w:t>The effective density numbers have units of employees per minute.  The absolute effective density number for a zone does not have an own meaning; what is important is the % difference in values, either between different regions in the same year or between the same regions in different scenarios or years.</w:t>
      </w:r>
    </w:p>
    <w:p w:rsidR="00647D98" w:rsidRDefault="00647D98" w:rsidP="00A4081F">
      <w:pPr>
        <w:pStyle w:val="NumberedParas"/>
      </w:pPr>
      <w:r>
        <w:t>Effective density for a zone is calculated by looking at each of the other zones in the model and calculating the number of employees in the zones divided by the generalised cost (in  minutes) of getting from the original zone to the other zones.  This gives a value for each of the other zones.  The values for all other zones are added together and this is the effective density for the original zone.  This process is then repeated for each zone in the model. we then take weighted average across zones within each county and across all zones in Romania.  The effective density calculations are done with a series of matrix calculations within the model as it requires cost of travel between all origin-destination pairs.</w:t>
      </w:r>
    </w:p>
    <w:p w:rsidR="00647D98" w:rsidRDefault="00647D98" w:rsidP="00A4081F">
      <w:pPr>
        <w:pStyle w:val="NumberedParas"/>
      </w:pPr>
      <w:r>
        <w:t>The effective density of a zone is therefore bigger for a zone where you can travel to a large number of employees in other zones in a short time; and low if you can only travel to a smaller numbers of employees in longer times.</w:t>
      </w:r>
    </w:p>
    <w:p w:rsidR="00647D98" w:rsidRDefault="00647D98" w:rsidP="00A4081F">
      <w:pPr>
        <w:pStyle w:val="NumberedParas"/>
      </w:pPr>
      <w:r>
        <w:t>Because of the way it is calculated the effective density has units of employees per minute; however, it is not a measure of the number of employees that can be accessed in 1 minute, rather it is an indicator of how easy it is to access other employees from a zone relative to other zones.  This is why % changes in effective density are used to assess impacts rather than at absolute values.</w:t>
      </w:r>
    </w:p>
    <w:p w:rsidR="00647D98" w:rsidRDefault="00647D98" w:rsidP="00A4081F">
      <w:pPr>
        <w:pStyle w:val="NumberedParas"/>
      </w:pPr>
      <w:r>
        <w:t>The Base Year, and 2030 Accessibility plots, for domestic travel are shown on Figures 10.6-10.7 below.</w:t>
      </w:r>
    </w:p>
    <w:p w:rsidR="00A4081F" w:rsidRDefault="00A4081F">
      <w:pPr>
        <w:rPr>
          <w:b/>
          <w:sz w:val="22"/>
          <w:szCs w:val="22"/>
        </w:rPr>
      </w:pPr>
      <w:r>
        <w:rPr>
          <w:b/>
          <w:i/>
        </w:rPr>
        <w:br w:type="page"/>
      </w:r>
    </w:p>
    <w:p w:rsidR="005521C3" w:rsidRPr="00045287" w:rsidRDefault="005521C3" w:rsidP="00045287">
      <w:pPr>
        <w:pStyle w:val="Body"/>
      </w:pPr>
      <w:r w:rsidRPr="00045287">
        <w:rPr>
          <w:b/>
          <w:i w:val="0"/>
        </w:rPr>
        <w:t xml:space="preserve">Figure 10.6 Base Year Accessibility, Domestic Travel. </w:t>
      </w:r>
    </w:p>
    <w:p w:rsidR="00B00984" w:rsidRDefault="005521C3" w:rsidP="00045287">
      <w:pPr>
        <w:pStyle w:val="Body"/>
      </w:pPr>
      <w:r>
        <w:rPr>
          <w:noProof/>
          <w:lang w:val="ro-RO" w:eastAsia="ro-RO"/>
        </w:rPr>
        <w:drawing>
          <wp:inline distT="0" distB="0" distL="0" distR="0" wp14:anchorId="1744521C" wp14:editId="330EC7B3">
            <wp:extent cx="5320800" cy="3711600"/>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320800" cy="3711600"/>
                    </a:xfrm>
                    <a:prstGeom prst="rect">
                      <a:avLst/>
                    </a:prstGeom>
                    <a:noFill/>
                    <a:ln w="9525">
                      <a:noFill/>
                      <a:miter lim="800000"/>
                      <a:headEnd/>
                      <a:tailEnd/>
                    </a:ln>
                  </pic:spPr>
                </pic:pic>
              </a:graphicData>
            </a:graphic>
          </wp:inline>
        </w:drawing>
      </w:r>
    </w:p>
    <w:p w:rsidR="00647D98" w:rsidRDefault="005521C3" w:rsidP="00045287">
      <w:pPr>
        <w:pStyle w:val="Body"/>
        <w:rPr>
          <w:b/>
        </w:rPr>
      </w:pPr>
      <w:r w:rsidRPr="005521C3">
        <w:rPr>
          <w:b/>
          <w:i w:val="0"/>
        </w:rPr>
        <w:t>Figure 10.7  2030 Accessibility, Domestic Travel.</w:t>
      </w:r>
    </w:p>
    <w:p w:rsidR="005521C3" w:rsidRPr="00045287" w:rsidRDefault="005521C3" w:rsidP="00045287">
      <w:pPr>
        <w:pStyle w:val="Body"/>
      </w:pPr>
      <w:r>
        <w:rPr>
          <w:noProof/>
          <w:lang w:val="ro-RO" w:eastAsia="ro-RO"/>
        </w:rPr>
        <w:drawing>
          <wp:inline distT="0" distB="0" distL="0" distR="0" wp14:anchorId="590FFB76" wp14:editId="552ECB1D">
            <wp:extent cx="5320800" cy="3711600"/>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320800" cy="3711600"/>
                    </a:xfrm>
                    <a:prstGeom prst="rect">
                      <a:avLst/>
                    </a:prstGeom>
                    <a:noFill/>
                    <a:ln w="9525">
                      <a:noFill/>
                      <a:miter lim="800000"/>
                      <a:headEnd/>
                      <a:tailEnd/>
                    </a:ln>
                  </pic:spPr>
                </pic:pic>
              </a:graphicData>
            </a:graphic>
          </wp:inline>
        </w:drawing>
      </w:r>
    </w:p>
    <w:p w:rsidR="005521C3" w:rsidRPr="00045287" w:rsidRDefault="005521C3" w:rsidP="00647D98">
      <w:pPr>
        <w:spacing w:before="120" w:line="276" w:lineRule="auto"/>
        <w:rPr>
          <w:i/>
        </w:rPr>
      </w:pPr>
      <w:r>
        <w:rPr>
          <w:b/>
          <w:sz w:val="22"/>
          <w:szCs w:val="22"/>
        </w:rPr>
        <w:tab/>
      </w:r>
      <w:r w:rsidRPr="00045287">
        <w:rPr>
          <w:i/>
        </w:rPr>
        <w:t>Source: AECOM EES Startegy and National Model</w:t>
      </w:r>
    </w:p>
    <w:p w:rsidR="005521C3" w:rsidRPr="00456C2B" w:rsidRDefault="005521C3" w:rsidP="00647D98">
      <w:pPr>
        <w:spacing w:before="120" w:line="276" w:lineRule="auto"/>
        <w:rPr>
          <w:b/>
          <w:sz w:val="22"/>
          <w:szCs w:val="22"/>
        </w:rPr>
      </w:pPr>
    </w:p>
    <w:p w:rsidR="00647D98" w:rsidRDefault="00647D98" w:rsidP="00A4081F">
      <w:pPr>
        <w:pStyle w:val="NumberedParas"/>
      </w:pPr>
      <w:r>
        <w:t>A comparison between the two plots shows that accessibility to the peripheral parts of Romania, such as the north-eastern areas of the country in the Buzau – Iasi corridor has increased, and also to the north-west in the Cluj/Targu Mures area, and to the west around Timisoara.</w:t>
      </w:r>
    </w:p>
    <w:p w:rsidR="00647D98" w:rsidRDefault="00647D98" w:rsidP="00A4081F">
      <w:pPr>
        <w:pStyle w:val="NumberedParas"/>
      </w:pPr>
      <w:r>
        <w:t xml:space="preserve">Figures 10.8 and 10.9 show the accessibility of Romania to neighbouring countries, for the Base Year and the 2030 EES scenario. </w:t>
      </w:r>
    </w:p>
    <w:p w:rsidR="005521C3" w:rsidRDefault="005521C3" w:rsidP="00045287">
      <w:pPr>
        <w:pStyle w:val="Body"/>
        <w:ind w:left="1134"/>
        <w:rPr>
          <w:b/>
        </w:rPr>
      </w:pPr>
      <w:r w:rsidRPr="005521C3">
        <w:rPr>
          <w:b/>
          <w:i w:val="0"/>
        </w:rPr>
        <w:t>Figure 10.8  Base Year Accessibility, International Travel.</w:t>
      </w:r>
    </w:p>
    <w:p w:rsidR="005521C3" w:rsidRPr="005521C3" w:rsidRDefault="005521C3" w:rsidP="00045287">
      <w:pPr>
        <w:pStyle w:val="Body"/>
        <w:ind w:left="1134"/>
      </w:pPr>
      <w:r w:rsidRPr="00B05E49">
        <w:rPr>
          <w:noProof/>
          <w:lang w:val="ro-RO" w:eastAsia="ro-RO"/>
        </w:rPr>
        <w:drawing>
          <wp:inline distT="0" distB="0" distL="0" distR="0" wp14:anchorId="7F32EAED" wp14:editId="5F6B8CAB">
            <wp:extent cx="4587766" cy="3200261"/>
            <wp:effectExtent l="0" t="0" r="3810" b="635"/>
            <wp:docPr id="39" name="Picture 331" descr="EffectiveDensity_Employment_RoadGC_Exter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iveDensity_Employment_RoadGC_External.png"/>
                    <pic:cNvPicPr/>
                  </pic:nvPicPr>
                  <pic:blipFill>
                    <a:blip r:embed="rId375" cstate="email">
                      <a:extLst>
                        <a:ext uri="{28A0092B-C50C-407E-A947-70E740481C1C}">
                          <a14:useLocalDpi xmlns:a14="http://schemas.microsoft.com/office/drawing/2010/main"/>
                        </a:ext>
                      </a:extLst>
                    </a:blip>
                    <a:stretch>
                      <a:fillRect/>
                    </a:stretch>
                  </pic:blipFill>
                  <pic:spPr>
                    <a:xfrm>
                      <a:off x="0" y="0"/>
                      <a:ext cx="4594519" cy="3204971"/>
                    </a:xfrm>
                    <a:prstGeom prst="rect">
                      <a:avLst/>
                    </a:prstGeom>
                  </pic:spPr>
                </pic:pic>
              </a:graphicData>
            </a:graphic>
          </wp:inline>
        </w:drawing>
      </w:r>
    </w:p>
    <w:p w:rsidR="00647D98" w:rsidRDefault="005521C3" w:rsidP="00647D98">
      <w:pPr>
        <w:spacing w:before="120" w:line="276" w:lineRule="auto"/>
        <w:ind w:left="851"/>
        <w:rPr>
          <w:b/>
          <w:sz w:val="22"/>
          <w:szCs w:val="22"/>
        </w:rPr>
      </w:pPr>
      <w:r>
        <w:rPr>
          <w:b/>
          <w:sz w:val="22"/>
          <w:szCs w:val="22"/>
        </w:rPr>
        <w:t>Figure 10.9  2030</w:t>
      </w:r>
      <w:r w:rsidRPr="00456C2B">
        <w:rPr>
          <w:b/>
          <w:sz w:val="22"/>
          <w:szCs w:val="22"/>
        </w:rPr>
        <w:t xml:space="preserve"> Accessibility, </w:t>
      </w:r>
      <w:r>
        <w:rPr>
          <w:b/>
          <w:sz w:val="22"/>
          <w:szCs w:val="22"/>
        </w:rPr>
        <w:t>International</w:t>
      </w:r>
      <w:r w:rsidRPr="00456C2B">
        <w:rPr>
          <w:b/>
          <w:sz w:val="22"/>
          <w:szCs w:val="22"/>
        </w:rPr>
        <w:t xml:space="preserve"> Travel.</w:t>
      </w:r>
    </w:p>
    <w:p w:rsidR="005521C3" w:rsidRPr="00456C2B" w:rsidRDefault="005521C3" w:rsidP="00647D98">
      <w:pPr>
        <w:spacing w:before="120" w:line="276" w:lineRule="auto"/>
        <w:ind w:left="851"/>
        <w:rPr>
          <w:b/>
          <w:sz w:val="22"/>
          <w:szCs w:val="22"/>
        </w:rPr>
      </w:pPr>
      <w:r>
        <w:rPr>
          <w:noProof/>
          <w:sz w:val="22"/>
          <w:szCs w:val="22"/>
          <w:lang w:val="ro-RO" w:eastAsia="ro-RO"/>
        </w:rPr>
        <w:drawing>
          <wp:inline distT="0" distB="0" distL="0" distR="0" wp14:anchorId="3C005EA7" wp14:editId="753C0109">
            <wp:extent cx="4768772" cy="3326524"/>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4775792" cy="3331421"/>
                    </a:xfrm>
                    <a:prstGeom prst="rect">
                      <a:avLst/>
                    </a:prstGeom>
                    <a:noFill/>
                    <a:ln w="9525">
                      <a:noFill/>
                      <a:miter lim="800000"/>
                      <a:headEnd/>
                      <a:tailEnd/>
                    </a:ln>
                  </pic:spPr>
                </pic:pic>
              </a:graphicData>
            </a:graphic>
          </wp:inline>
        </w:drawing>
      </w:r>
    </w:p>
    <w:p w:rsidR="00647D98" w:rsidRDefault="005521C3" w:rsidP="00045287">
      <w:pPr>
        <w:spacing w:before="120" w:line="276" w:lineRule="auto"/>
        <w:ind w:left="851"/>
        <w:rPr>
          <w:sz w:val="22"/>
          <w:szCs w:val="22"/>
        </w:rPr>
      </w:pPr>
      <w:r w:rsidRPr="00C44BED">
        <w:rPr>
          <w:i/>
        </w:rPr>
        <w:t>Source: AECOM EES Startegy and National Model</w:t>
      </w:r>
    </w:p>
    <w:p w:rsidR="00647D98" w:rsidRPr="00E2458F" w:rsidRDefault="00647D98" w:rsidP="00A4081F">
      <w:pPr>
        <w:pStyle w:val="NumberedParas"/>
      </w:pPr>
      <w:r>
        <w:t>The contrast between the base year and 2030 is marked.  Most of the Western and Central areas of Romania will experience a significant increase in accessibility to external employment and markets, demonstrating the success that the Master Plan will have in helping Romania to improve its competitiveness in the wider, global market place.</w:t>
      </w:r>
    </w:p>
    <w:p w:rsidR="00A520C7" w:rsidRPr="0036401A" w:rsidRDefault="00A520C7" w:rsidP="0036401A">
      <w:pPr>
        <w:pStyle w:val="Body"/>
      </w:pPr>
    </w:p>
    <w:p w:rsidR="00877DFF" w:rsidRDefault="00877DFF" w:rsidP="00045287">
      <w:pPr>
        <w:pStyle w:val="Hdg2"/>
        <w:numPr>
          <w:ilvl w:val="0"/>
          <w:numId w:val="0"/>
        </w:numPr>
        <w:ind w:left="1390"/>
        <w:sectPr w:rsidR="00877DFF" w:rsidSect="00045287">
          <w:pgSz w:w="11907" w:h="16840" w:code="9"/>
          <w:pgMar w:top="1418" w:right="1134" w:bottom="1418" w:left="907" w:header="357" w:footer="567" w:gutter="0"/>
          <w:cols w:space="187"/>
          <w:docGrid w:linePitch="360"/>
        </w:sectPr>
      </w:pPr>
    </w:p>
    <w:bookmarkEnd w:id="8168"/>
    <w:p w:rsidR="00364AFA" w:rsidRPr="00C8675F" w:rsidRDefault="00364AFA" w:rsidP="00364AFA">
      <w:pPr>
        <w:rPr>
          <w:b/>
        </w:rPr>
        <w:sectPr w:rsidR="00364AFA" w:rsidRPr="00C8675F">
          <w:headerReference w:type="default" r:id="rId377"/>
          <w:footerReference w:type="default" r:id="rId378"/>
          <w:pgSz w:w="11907" w:h="16840" w:code="9"/>
          <w:pgMar w:top="-3640" w:right="709" w:bottom="1729" w:left="6146" w:header="357" w:footer="567" w:gutter="0"/>
          <w:cols w:space="720"/>
          <w:docGrid w:linePitch="360"/>
        </w:sectPr>
      </w:pPr>
    </w:p>
    <w:p w:rsidR="00364AFA" w:rsidRPr="00C8675F" w:rsidRDefault="00364AFA" w:rsidP="00364AFA">
      <w:pPr>
        <w:pStyle w:val="SecDivider0"/>
        <w:rPr>
          <w:lang w:val="en-GB"/>
        </w:rPr>
      </w:pPr>
      <w:r>
        <w:rPr>
          <w:lang w:val="en-GB"/>
        </w:rPr>
        <w:t>Appendices</w:t>
      </w:r>
    </w:p>
    <w:p w:rsidR="00364AFA" w:rsidRPr="00C8675F" w:rsidRDefault="00364AFA" w:rsidP="00364AFA"/>
    <w:p w:rsidR="00364AFA" w:rsidRPr="00C8675F" w:rsidRDefault="00364AFA" w:rsidP="00364AFA">
      <w:pPr>
        <w:sectPr w:rsidR="00364AFA" w:rsidRPr="00C8675F" w:rsidSect="00E37C9E">
          <w:type w:val="continuous"/>
          <w:pgSz w:w="11907" w:h="16840" w:code="9"/>
          <w:pgMar w:top="-3640" w:right="709" w:bottom="1729" w:left="6146" w:header="357" w:footer="567" w:gutter="0"/>
          <w:cols w:space="720"/>
          <w:docGrid w:linePitch="360"/>
        </w:sectPr>
      </w:pPr>
    </w:p>
    <w:p w:rsidR="00364AFA" w:rsidRPr="006F17A0" w:rsidRDefault="00364AFA" w:rsidP="001C6C79">
      <w:pPr>
        <w:pStyle w:val="Hdg1"/>
        <w:framePr w:wrap="notBeside"/>
      </w:pPr>
      <w:bookmarkStart w:id="8173" w:name="_Toc413056093"/>
      <w:r>
        <w:t>Appendices</w:t>
      </w:r>
      <w:bookmarkEnd w:id="8173"/>
    </w:p>
    <w:p w:rsidR="00364AFA" w:rsidRDefault="00364AFA" w:rsidP="00364AFA"/>
    <w:p w:rsidR="00364AFA" w:rsidRDefault="00364AFA" w:rsidP="00364AFA"/>
    <w:p w:rsidR="00364AFA" w:rsidRDefault="00364AFA" w:rsidP="00364AFA">
      <w:pPr>
        <w:sectPr w:rsidR="00364AFA" w:rsidSect="00933C17">
          <w:headerReference w:type="default" r:id="rId379"/>
          <w:pgSz w:w="11907" w:h="16840" w:code="9"/>
          <w:pgMar w:top="1418" w:right="709" w:bottom="1418" w:left="907" w:header="357" w:footer="567" w:gutter="0"/>
          <w:cols w:space="187"/>
          <w:docGrid w:linePitch="360"/>
        </w:sectPr>
      </w:pPr>
    </w:p>
    <w:p w:rsidR="00364AFA" w:rsidRDefault="00364AFA" w:rsidP="00364AFA"/>
    <w:p w:rsidR="00364AFA" w:rsidRPr="008E03B0" w:rsidRDefault="00364AFA" w:rsidP="00045287">
      <w:pPr>
        <w:pStyle w:val="Hdg2"/>
      </w:pPr>
      <w:bookmarkStart w:id="8174" w:name="_Toc413056094"/>
      <w:r>
        <w:t>Appendix A. GTMP Financial Plan</w:t>
      </w:r>
      <w:bookmarkEnd w:id="8174"/>
    </w:p>
    <w:p w:rsidR="00364AFA" w:rsidRPr="008E03B0" w:rsidRDefault="00336277" w:rsidP="00364AFA">
      <w:r w:rsidRPr="00336277">
        <w:rPr>
          <w:noProof/>
          <w:lang w:val="ro-RO" w:eastAsia="ro-RO"/>
        </w:rPr>
        <w:drawing>
          <wp:inline distT="0" distB="0" distL="0" distR="0">
            <wp:extent cx="13220700" cy="8172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3220700" cy="8172450"/>
                    </a:xfrm>
                    <a:prstGeom prst="rect">
                      <a:avLst/>
                    </a:prstGeom>
                    <a:noFill/>
                    <a:ln>
                      <a:noFill/>
                    </a:ln>
                  </pic:spPr>
                </pic:pic>
              </a:graphicData>
            </a:graphic>
          </wp:inline>
        </w:drawing>
      </w:r>
    </w:p>
    <w:p w:rsidR="006D03BB" w:rsidRPr="008E03B0" w:rsidRDefault="006D03BB" w:rsidP="006D03BB"/>
    <w:p w:rsidR="00364AFA" w:rsidRDefault="00364AFA" w:rsidP="0018508A">
      <w:pPr>
        <w:sectPr w:rsidR="00364AFA" w:rsidSect="007C5361">
          <w:pgSz w:w="23814" w:h="16840" w:orient="landscape" w:code="8"/>
          <w:pgMar w:top="907" w:right="1418" w:bottom="709" w:left="1418" w:header="357" w:footer="567" w:gutter="0"/>
          <w:cols w:space="187"/>
          <w:docGrid w:linePitch="360"/>
        </w:sectPr>
      </w:pPr>
    </w:p>
    <w:p w:rsidR="00693CEB" w:rsidRPr="008E03B0" w:rsidRDefault="00693CEB" w:rsidP="00045287">
      <w:pPr>
        <w:pStyle w:val="Hdg2"/>
      </w:pPr>
      <w:bookmarkStart w:id="8175" w:name="_Toc413056095"/>
      <w:r>
        <w:t>Appendix B. TEN-T Maps for Romania</w:t>
      </w:r>
      <w:bookmarkEnd w:id="8175"/>
    </w:p>
    <w:p w:rsidR="00BA6384" w:rsidRDefault="00BA6384" w:rsidP="0018508A"/>
    <w:p w:rsidR="00693CEB" w:rsidRPr="00087823" w:rsidRDefault="00693CEB" w:rsidP="00693CEB">
      <w:pPr>
        <w:spacing w:line="276" w:lineRule="auto"/>
        <w:jc w:val="center"/>
        <w:rPr>
          <w:rFonts w:cs="Arial"/>
          <w:sz w:val="22"/>
          <w:szCs w:val="22"/>
        </w:rPr>
      </w:pPr>
      <w:r w:rsidRPr="00087823">
        <w:rPr>
          <w:rFonts w:cs="Arial"/>
          <w:noProof/>
          <w:sz w:val="22"/>
          <w:szCs w:val="22"/>
          <w:lang w:val="ro-RO" w:eastAsia="ro-RO"/>
        </w:rPr>
        <w:drawing>
          <wp:inline distT="0" distB="0" distL="0" distR="0" wp14:anchorId="33520AF8" wp14:editId="6D7B8928">
            <wp:extent cx="5544615" cy="6480720"/>
            <wp:effectExtent l="19050" t="0" r="0" b="0"/>
            <wp:docPr id="166" name="Picture 28"/>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1" cstate="email">
                      <a:extLst>
                        <a:ext uri="{28A0092B-C50C-407E-A947-70E740481C1C}">
                          <a14:useLocalDpi xmlns:a14="http://schemas.microsoft.com/office/drawing/2010/main"/>
                        </a:ext>
                      </a:extLst>
                    </a:blip>
                    <a:stretch>
                      <a:fillRect/>
                    </a:stretch>
                  </pic:blipFill>
                  <pic:spPr>
                    <a:xfrm>
                      <a:off x="0" y="0"/>
                      <a:ext cx="5544615" cy="6480720"/>
                    </a:xfrm>
                    <a:prstGeom prst="rect">
                      <a:avLst/>
                    </a:prstGeom>
                  </pic:spPr>
                </pic:pic>
              </a:graphicData>
            </a:graphic>
          </wp:inline>
        </w:drawing>
      </w:r>
    </w:p>
    <w:p w:rsidR="00693CEB" w:rsidRPr="00593692" w:rsidRDefault="00693CEB" w:rsidP="00693CEB">
      <w:pPr>
        <w:pStyle w:val="Body"/>
        <w:spacing w:before="120"/>
        <w:rPr>
          <w:rFonts w:cs="Arial"/>
          <w:b/>
          <w:bCs/>
          <w:i w:val="0"/>
          <w:kern w:val="28"/>
          <w:lang w:val="ro-RO"/>
        </w:rPr>
      </w:pPr>
      <w:r w:rsidRPr="00087823">
        <w:rPr>
          <w:rFonts w:cs="Arial"/>
          <w:b/>
          <w:bCs/>
          <w:i w:val="0"/>
          <w:kern w:val="28"/>
          <w:lang w:val="ro-RO"/>
        </w:rPr>
        <w:t>Figure B.1 Core</w:t>
      </w:r>
      <w:r w:rsidRPr="00593692">
        <w:rPr>
          <w:rFonts w:cs="Arial"/>
          <w:b/>
          <w:bCs/>
          <w:i w:val="0"/>
          <w:kern w:val="28"/>
          <w:lang w:val="ro-RO"/>
        </w:rPr>
        <w:t xml:space="preserve"> and comprehensive TEN-T road, ports, rail terminals and airports networks</w:t>
      </w:r>
    </w:p>
    <w:p w:rsidR="00693CEB" w:rsidRPr="002A374A" w:rsidRDefault="00693CEB" w:rsidP="00693CEB">
      <w:pPr>
        <w:pStyle w:val="Body"/>
        <w:spacing w:before="120"/>
        <w:rPr>
          <w:i w:val="0"/>
          <w:lang w:val="ro-RO"/>
        </w:rPr>
      </w:pPr>
      <w:r>
        <w:rPr>
          <w:lang w:val="ro-RO"/>
        </w:rPr>
        <w:t>Source</w:t>
      </w:r>
      <w:r w:rsidRPr="002A374A">
        <w:rPr>
          <w:lang w:val="ro-RO"/>
        </w:rPr>
        <w:t>:</w:t>
      </w:r>
      <w:r>
        <w:rPr>
          <w:lang w:val="ro-RO"/>
        </w:rPr>
        <w:t xml:space="preserve"> </w:t>
      </w:r>
      <w:r w:rsidRPr="00155928">
        <w:rPr>
          <w:lang w:val="ro-RO"/>
        </w:rPr>
        <w:t>http://ec.europa.eu/transport/themes/infrastructure/revision-t_en.htm</w:t>
      </w:r>
    </w:p>
    <w:p w:rsidR="0018508A" w:rsidRPr="008E03B0" w:rsidRDefault="0018508A" w:rsidP="0018508A"/>
    <w:p w:rsidR="00693CEB" w:rsidRDefault="00693CEB">
      <w:r>
        <w:br w:type="page"/>
      </w:r>
    </w:p>
    <w:p w:rsidR="0018508A" w:rsidRDefault="0018508A" w:rsidP="0018508A"/>
    <w:p w:rsidR="00693CEB" w:rsidRDefault="00693CEB" w:rsidP="00693CEB">
      <w:pPr>
        <w:spacing w:line="276" w:lineRule="auto"/>
        <w:jc w:val="center"/>
        <w:rPr>
          <w:rFonts w:cs="Arial"/>
          <w:sz w:val="22"/>
          <w:szCs w:val="22"/>
        </w:rPr>
      </w:pPr>
      <w:r w:rsidRPr="0090136E">
        <w:rPr>
          <w:rFonts w:cs="Arial"/>
          <w:noProof/>
          <w:sz w:val="22"/>
          <w:szCs w:val="22"/>
          <w:lang w:val="ro-RO" w:eastAsia="ro-RO"/>
        </w:rPr>
        <w:drawing>
          <wp:inline distT="0" distB="0" distL="0" distR="0" wp14:anchorId="3749C528" wp14:editId="241D7283">
            <wp:extent cx="5251242" cy="6741368"/>
            <wp:effectExtent l="19050" t="0" r="6558" b="0"/>
            <wp:docPr id="167" name="Picture 29"/>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2" cstate="email">
                      <a:extLst>
                        <a:ext uri="{28A0092B-C50C-407E-A947-70E740481C1C}">
                          <a14:useLocalDpi xmlns:a14="http://schemas.microsoft.com/office/drawing/2010/main"/>
                        </a:ext>
                      </a:extLst>
                    </a:blip>
                    <a:stretch>
                      <a:fillRect/>
                    </a:stretch>
                  </pic:blipFill>
                  <pic:spPr>
                    <a:xfrm>
                      <a:off x="0" y="0"/>
                      <a:ext cx="5251242" cy="6741368"/>
                    </a:xfrm>
                    <a:prstGeom prst="rect">
                      <a:avLst/>
                    </a:prstGeom>
                  </pic:spPr>
                </pic:pic>
              </a:graphicData>
            </a:graphic>
          </wp:inline>
        </w:drawing>
      </w:r>
    </w:p>
    <w:p w:rsidR="00693CEB" w:rsidRPr="00593692" w:rsidRDefault="00087823" w:rsidP="00693CEB">
      <w:pPr>
        <w:pStyle w:val="Body"/>
        <w:spacing w:before="120"/>
        <w:rPr>
          <w:rFonts w:cs="Arial"/>
          <w:b/>
          <w:bCs/>
          <w:i w:val="0"/>
          <w:kern w:val="28"/>
          <w:lang w:val="ro-RO"/>
        </w:rPr>
      </w:pPr>
      <w:r w:rsidRPr="00087823">
        <w:rPr>
          <w:rFonts w:cs="Arial"/>
          <w:b/>
          <w:bCs/>
          <w:i w:val="0"/>
          <w:kern w:val="28"/>
          <w:lang w:val="ro-RO"/>
        </w:rPr>
        <w:t>Figure B</w:t>
      </w:r>
      <w:r w:rsidR="00693CEB" w:rsidRPr="00087823">
        <w:rPr>
          <w:rFonts w:cs="Arial"/>
          <w:b/>
          <w:bCs/>
          <w:i w:val="0"/>
          <w:kern w:val="28"/>
          <w:lang w:val="ro-RO"/>
        </w:rPr>
        <w:t>.2</w:t>
      </w:r>
      <w:r w:rsidR="00693CEB" w:rsidRPr="00593692">
        <w:rPr>
          <w:rFonts w:cs="Arial"/>
          <w:b/>
          <w:bCs/>
          <w:i w:val="0"/>
          <w:kern w:val="28"/>
          <w:lang w:val="ro-RO"/>
        </w:rPr>
        <w:t xml:space="preserve"> Core TEN-T passengers</w:t>
      </w:r>
      <w:r w:rsidR="00693CEB">
        <w:rPr>
          <w:rFonts w:cs="Arial"/>
          <w:b/>
          <w:bCs/>
          <w:i w:val="0"/>
          <w:kern w:val="28"/>
          <w:lang w:val="ro-RO"/>
        </w:rPr>
        <w:t xml:space="preserve"> rail</w:t>
      </w:r>
      <w:r w:rsidR="00693CEB" w:rsidRPr="00593692">
        <w:rPr>
          <w:rFonts w:cs="Arial"/>
          <w:b/>
          <w:bCs/>
          <w:i w:val="0"/>
          <w:kern w:val="28"/>
          <w:lang w:val="ro-RO"/>
        </w:rPr>
        <w:t xml:space="preserve"> lines</w:t>
      </w:r>
      <w:r w:rsidR="00693CEB">
        <w:rPr>
          <w:rFonts w:cs="Arial"/>
          <w:b/>
          <w:bCs/>
          <w:i w:val="0"/>
          <w:kern w:val="28"/>
          <w:lang w:val="ro-RO"/>
        </w:rPr>
        <w:t>,</w:t>
      </w:r>
      <w:r w:rsidR="00693CEB" w:rsidRPr="00593692">
        <w:rPr>
          <w:rFonts w:cs="Arial"/>
          <w:b/>
          <w:bCs/>
          <w:i w:val="0"/>
          <w:kern w:val="28"/>
          <w:lang w:val="ro-RO"/>
        </w:rPr>
        <w:t xml:space="preserve"> airports and comprehensive railways and airports network</w:t>
      </w:r>
    </w:p>
    <w:p w:rsidR="00693CEB" w:rsidRPr="002A374A" w:rsidRDefault="00693CEB" w:rsidP="00693CEB">
      <w:pPr>
        <w:pStyle w:val="Body"/>
        <w:spacing w:before="120"/>
        <w:rPr>
          <w:i w:val="0"/>
          <w:lang w:val="ro-RO"/>
        </w:rPr>
      </w:pPr>
      <w:r>
        <w:rPr>
          <w:lang w:val="ro-RO"/>
        </w:rPr>
        <w:t>Source</w:t>
      </w:r>
      <w:r w:rsidRPr="002A374A">
        <w:rPr>
          <w:lang w:val="ro-RO"/>
        </w:rPr>
        <w:t>:</w:t>
      </w:r>
      <w:r>
        <w:rPr>
          <w:lang w:val="ro-RO"/>
        </w:rPr>
        <w:t xml:space="preserve"> </w:t>
      </w:r>
      <w:r w:rsidRPr="00155928">
        <w:rPr>
          <w:lang w:val="ro-RO"/>
        </w:rPr>
        <w:t>http://ec.europa.eu/transport/themes/infrastructure/revision-t_en.htm</w:t>
      </w:r>
    </w:p>
    <w:p w:rsidR="000B5539" w:rsidRDefault="000B5539">
      <w:r>
        <w:br w:type="page"/>
      </w:r>
    </w:p>
    <w:p w:rsidR="005E50B3" w:rsidRPr="008E03B0" w:rsidRDefault="005E50B3" w:rsidP="00045287">
      <w:pPr>
        <w:pStyle w:val="Hdg2"/>
      </w:pPr>
      <w:bookmarkStart w:id="8176" w:name="_Toc413056096"/>
      <w:r>
        <w:t xml:space="preserve">Appendix </w:t>
      </w:r>
      <w:r w:rsidR="003B6F28">
        <w:t>D.</w:t>
      </w:r>
      <w:r>
        <w:t xml:space="preserve"> Potential Electrification Schemes</w:t>
      </w:r>
      <w:bookmarkEnd w:id="8176"/>
    </w:p>
    <w:p w:rsidR="000B5539" w:rsidRPr="000B5539" w:rsidRDefault="000B5539" w:rsidP="000B5539">
      <w:pPr>
        <w:spacing w:line="276" w:lineRule="auto"/>
        <w:jc w:val="both"/>
        <w:rPr>
          <w:rFonts w:cs="Arial"/>
          <w:sz w:val="22"/>
          <w:szCs w:val="22"/>
        </w:rPr>
      </w:pPr>
    </w:p>
    <w:p w:rsidR="005E50B3" w:rsidRPr="005E50B3" w:rsidRDefault="005E50B3" w:rsidP="005E50B3">
      <w:pPr>
        <w:rPr>
          <w:b/>
          <w:sz w:val="22"/>
          <w:szCs w:val="22"/>
        </w:rPr>
      </w:pPr>
      <w:r w:rsidRPr="005E50B3">
        <w:rPr>
          <w:b/>
          <w:sz w:val="22"/>
          <w:szCs w:val="22"/>
        </w:rPr>
        <w:t xml:space="preserve">Summary of Current and Proposed Daily Frequencies (one-way)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6"/>
        <w:gridCol w:w="939"/>
        <w:gridCol w:w="839"/>
        <w:gridCol w:w="3377"/>
        <w:gridCol w:w="1150"/>
        <w:gridCol w:w="1016"/>
      </w:tblGrid>
      <w:tr w:rsidR="005E50B3" w:rsidRPr="005E50B3" w:rsidTr="005E50B3">
        <w:trPr>
          <w:trHeight w:val="792"/>
        </w:trPr>
        <w:tc>
          <w:tcPr>
            <w:tcW w:w="1525" w:type="pct"/>
            <w:shd w:val="clear" w:color="auto" w:fill="B8CCE4" w:themeFill="accent1" w:themeFillTint="66"/>
            <w:vAlign w:val="center"/>
          </w:tcPr>
          <w:p w:rsidR="005E50B3" w:rsidRPr="005E50B3" w:rsidRDefault="005E50B3" w:rsidP="005E50B3">
            <w:pPr>
              <w:rPr>
                <w:b/>
                <w:sz w:val="20"/>
                <w:szCs w:val="20"/>
              </w:rPr>
            </w:pPr>
            <w:r w:rsidRPr="005E50B3">
              <w:rPr>
                <w:b/>
                <w:sz w:val="20"/>
                <w:szCs w:val="20"/>
              </w:rPr>
              <w:t>Route Section</w:t>
            </w:r>
          </w:p>
        </w:tc>
        <w:tc>
          <w:tcPr>
            <w:tcW w:w="441" w:type="pct"/>
            <w:shd w:val="clear" w:color="auto" w:fill="B8CCE4" w:themeFill="accent1" w:themeFillTint="66"/>
            <w:vAlign w:val="center"/>
          </w:tcPr>
          <w:p w:rsidR="005E50B3" w:rsidRPr="005E50B3" w:rsidRDefault="005E50B3" w:rsidP="005E50B3">
            <w:pPr>
              <w:jc w:val="center"/>
              <w:rPr>
                <w:b/>
                <w:sz w:val="20"/>
                <w:szCs w:val="20"/>
              </w:rPr>
            </w:pPr>
            <w:r w:rsidRPr="005E50B3">
              <w:rPr>
                <w:b/>
                <w:sz w:val="20"/>
                <w:szCs w:val="20"/>
              </w:rPr>
              <w:t>Current</w:t>
            </w:r>
          </w:p>
        </w:tc>
        <w:tc>
          <w:tcPr>
            <w:tcW w:w="370" w:type="pct"/>
            <w:shd w:val="clear" w:color="auto" w:fill="B8CCE4" w:themeFill="accent1" w:themeFillTint="66"/>
            <w:vAlign w:val="center"/>
          </w:tcPr>
          <w:p w:rsidR="005E50B3" w:rsidRPr="005E50B3" w:rsidRDefault="005E50B3" w:rsidP="005E50B3">
            <w:pPr>
              <w:jc w:val="center"/>
              <w:rPr>
                <w:b/>
                <w:sz w:val="20"/>
                <w:szCs w:val="20"/>
              </w:rPr>
            </w:pPr>
            <w:r w:rsidRPr="005E50B3">
              <w:rPr>
                <w:b/>
                <w:sz w:val="20"/>
                <w:szCs w:val="20"/>
              </w:rPr>
              <w:t>Future</w:t>
            </w:r>
          </w:p>
        </w:tc>
        <w:tc>
          <w:tcPr>
            <w:tcW w:w="1616" w:type="pct"/>
            <w:shd w:val="clear" w:color="auto" w:fill="B8CCE4" w:themeFill="accent1" w:themeFillTint="66"/>
            <w:vAlign w:val="center"/>
          </w:tcPr>
          <w:p w:rsidR="005E50B3" w:rsidRPr="005E50B3" w:rsidRDefault="005E50B3" w:rsidP="005E50B3">
            <w:pPr>
              <w:rPr>
                <w:b/>
                <w:sz w:val="20"/>
                <w:szCs w:val="20"/>
              </w:rPr>
            </w:pPr>
            <w:r w:rsidRPr="005E50B3">
              <w:rPr>
                <w:b/>
                <w:sz w:val="20"/>
                <w:szCs w:val="20"/>
              </w:rPr>
              <w:t>Route Section</w:t>
            </w:r>
          </w:p>
        </w:tc>
        <w:tc>
          <w:tcPr>
            <w:tcW w:w="556" w:type="pct"/>
            <w:shd w:val="clear" w:color="auto" w:fill="B8CCE4" w:themeFill="accent1" w:themeFillTint="66"/>
            <w:vAlign w:val="center"/>
          </w:tcPr>
          <w:p w:rsidR="005E50B3" w:rsidRPr="005E50B3" w:rsidRDefault="005E50B3" w:rsidP="005E50B3">
            <w:pPr>
              <w:jc w:val="center"/>
              <w:rPr>
                <w:b/>
                <w:sz w:val="20"/>
                <w:szCs w:val="20"/>
              </w:rPr>
            </w:pPr>
            <w:r w:rsidRPr="005E50B3">
              <w:rPr>
                <w:b/>
                <w:sz w:val="20"/>
                <w:szCs w:val="20"/>
              </w:rPr>
              <w:t>Current</w:t>
            </w:r>
          </w:p>
        </w:tc>
        <w:tc>
          <w:tcPr>
            <w:tcW w:w="493" w:type="pct"/>
            <w:shd w:val="clear" w:color="auto" w:fill="B8CCE4" w:themeFill="accent1" w:themeFillTint="66"/>
            <w:vAlign w:val="center"/>
          </w:tcPr>
          <w:p w:rsidR="005E50B3" w:rsidRPr="005E50B3" w:rsidRDefault="005E50B3" w:rsidP="005E50B3">
            <w:pPr>
              <w:jc w:val="center"/>
              <w:rPr>
                <w:b/>
                <w:sz w:val="20"/>
                <w:szCs w:val="20"/>
              </w:rPr>
            </w:pPr>
            <w:r w:rsidRPr="005E50B3">
              <w:rPr>
                <w:b/>
                <w:sz w:val="20"/>
                <w:szCs w:val="20"/>
              </w:rPr>
              <w:t>Future</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Galati – Barlad – Crasna – Iasi - Husi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Brasov – Sibiu – Alba Iulia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14</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17</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Veresti – Botosani – Dangeni - Iasi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4-9</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4-9</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Blaj – Tarnaveni</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11</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11</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Darmanesti – Dornesti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Tarnaveni – Praid</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Dornesti – Nisipitu</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Razboleni – Targu Mares – Deda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13</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13</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Bicaz – Bacau</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Razboleni – Sarmasu – Sieu Magherus</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Roman – Buhaiesti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Deva – Arad via Santana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Ploiesti – Urziceni – Giurgeni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Santana – Oradea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12</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19</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Bucharest – Urziceni – Faurei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Oradea – Cluj Napoca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23</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27</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Faurei – Tecuci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Oradea – Satu Mare</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Ploiesti – Slanic</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3</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3</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Satu Mare – Baia Mare</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14</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Ploiesti – Maneciu</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Baia Mare – Dej</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11</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19</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Bucharest – Pitesti</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16</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22</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Jibou – Saculeni</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Pitesti – Curtea de Arges</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Satu Mare – Bixad</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Pitesti – Argesel</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Jibou – Carei</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Pitesti – Rosiori de Vede</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Timisoara – Resita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11</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11</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Pitesti – Craiova</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Timsisoara – Jimbola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3</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3</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Rosiori de Vede – Zimnices</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Timisoara – Sannicolau Mare</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Rosiori de Vede – Turnu Magurele</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Salva – Valea Viseului</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Corabia – Caracal</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6</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Medgidic – Tulcea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Caracal – Sibiu</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10</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13</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Medgidic – Negru Voda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Craiova – Calafat</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4</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Eforie – Mangalia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Bucharest – Oltenita</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2</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Videle – Giurgiu</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7</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Buzau – Neholasu</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Caransebes – Subcetate</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5</w:t>
            </w:r>
          </w:p>
        </w:tc>
      </w:tr>
      <w:tr w:rsidR="005E50B3" w:rsidRPr="005E50B3" w:rsidTr="005E50B3">
        <w:tc>
          <w:tcPr>
            <w:tcW w:w="1525" w:type="pct"/>
            <w:shd w:val="clear" w:color="auto" w:fill="auto"/>
            <w:vAlign w:val="center"/>
          </w:tcPr>
          <w:p w:rsidR="005E50B3" w:rsidRPr="005E50B3" w:rsidRDefault="005E50B3" w:rsidP="005E50B3">
            <w:pPr>
              <w:spacing w:after="120"/>
              <w:rPr>
                <w:sz w:val="20"/>
                <w:szCs w:val="20"/>
              </w:rPr>
            </w:pPr>
            <w:r w:rsidRPr="005E50B3">
              <w:rPr>
                <w:sz w:val="20"/>
                <w:szCs w:val="20"/>
              </w:rPr>
              <w:t>Sibiu – Copsa Mica</w:t>
            </w:r>
          </w:p>
        </w:tc>
        <w:tc>
          <w:tcPr>
            <w:tcW w:w="441" w:type="pct"/>
            <w:shd w:val="clear" w:color="auto" w:fill="auto"/>
            <w:vAlign w:val="center"/>
          </w:tcPr>
          <w:p w:rsidR="005E50B3" w:rsidRPr="005E50B3" w:rsidRDefault="005E50B3" w:rsidP="005E50B3">
            <w:pPr>
              <w:spacing w:after="120"/>
              <w:jc w:val="center"/>
              <w:rPr>
                <w:sz w:val="20"/>
                <w:szCs w:val="20"/>
              </w:rPr>
            </w:pPr>
            <w:r w:rsidRPr="005E50B3">
              <w:rPr>
                <w:sz w:val="20"/>
                <w:szCs w:val="20"/>
              </w:rPr>
              <w:t>13</w:t>
            </w:r>
          </w:p>
        </w:tc>
        <w:tc>
          <w:tcPr>
            <w:tcW w:w="370" w:type="pct"/>
            <w:shd w:val="clear" w:color="auto" w:fill="auto"/>
            <w:vAlign w:val="center"/>
          </w:tcPr>
          <w:p w:rsidR="005E50B3" w:rsidRPr="005E50B3" w:rsidRDefault="005E50B3" w:rsidP="005E50B3">
            <w:pPr>
              <w:spacing w:after="120"/>
              <w:jc w:val="center"/>
              <w:rPr>
                <w:sz w:val="20"/>
                <w:szCs w:val="20"/>
              </w:rPr>
            </w:pPr>
            <w:r w:rsidRPr="005E50B3">
              <w:rPr>
                <w:sz w:val="20"/>
                <w:szCs w:val="20"/>
              </w:rPr>
              <w:t>13</w:t>
            </w:r>
          </w:p>
        </w:tc>
        <w:tc>
          <w:tcPr>
            <w:tcW w:w="1616" w:type="pct"/>
            <w:shd w:val="clear" w:color="auto" w:fill="auto"/>
            <w:vAlign w:val="center"/>
          </w:tcPr>
          <w:p w:rsidR="005E50B3" w:rsidRPr="005E50B3" w:rsidRDefault="005E50B3" w:rsidP="005E50B3">
            <w:pPr>
              <w:spacing w:after="120"/>
              <w:rPr>
                <w:sz w:val="20"/>
                <w:szCs w:val="20"/>
              </w:rPr>
            </w:pPr>
            <w:r w:rsidRPr="005E50B3">
              <w:rPr>
                <w:sz w:val="20"/>
                <w:szCs w:val="20"/>
              </w:rPr>
              <w:t>Lugoj – Illa</w:t>
            </w:r>
          </w:p>
        </w:tc>
        <w:tc>
          <w:tcPr>
            <w:tcW w:w="556"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c>
          <w:tcPr>
            <w:tcW w:w="493" w:type="pct"/>
            <w:shd w:val="clear" w:color="auto" w:fill="auto"/>
            <w:vAlign w:val="center"/>
          </w:tcPr>
          <w:p w:rsidR="005E50B3" w:rsidRPr="005E50B3" w:rsidRDefault="005E50B3" w:rsidP="005E50B3">
            <w:pPr>
              <w:spacing w:after="120"/>
              <w:jc w:val="center"/>
              <w:rPr>
                <w:sz w:val="20"/>
                <w:szCs w:val="20"/>
              </w:rPr>
            </w:pPr>
            <w:r w:rsidRPr="005E50B3">
              <w:rPr>
                <w:sz w:val="20"/>
                <w:szCs w:val="20"/>
              </w:rPr>
              <w:t>9</w:t>
            </w:r>
          </w:p>
        </w:tc>
      </w:tr>
    </w:tbl>
    <w:p w:rsidR="000B5539" w:rsidRPr="000B5539" w:rsidRDefault="000B5539" w:rsidP="000B5539">
      <w:pPr>
        <w:spacing w:line="276" w:lineRule="auto"/>
        <w:jc w:val="both"/>
        <w:rPr>
          <w:sz w:val="22"/>
          <w:szCs w:val="22"/>
        </w:rPr>
      </w:pPr>
    </w:p>
    <w:p w:rsidR="00DE7B7A" w:rsidRDefault="00DE7B7A">
      <w:r>
        <w:br w:type="page"/>
      </w:r>
    </w:p>
    <w:p w:rsidR="00DE7B7A" w:rsidRPr="008E03B0" w:rsidRDefault="00DE7B7A" w:rsidP="00045287">
      <w:pPr>
        <w:pStyle w:val="Hdg2"/>
      </w:pPr>
      <w:bookmarkStart w:id="8177" w:name="_Toc413056097"/>
      <w:r>
        <w:t>Appendix E. List of Reference Case Projects</w:t>
      </w:r>
      <w:bookmarkEnd w:id="81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7"/>
        <w:gridCol w:w="2190"/>
      </w:tblGrid>
      <w:tr w:rsidR="00DE7B7A" w:rsidRPr="00DE7B7A" w:rsidTr="00EF7388">
        <w:trPr>
          <w:trHeight w:val="679"/>
          <w:tblHeader/>
        </w:trPr>
        <w:tc>
          <w:tcPr>
            <w:tcW w:w="0" w:type="auto"/>
            <w:shd w:val="clear" w:color="auto" w:fill="B8CCE4" w:themeFill="accent1" w:themeFillTint="66"/>
            <w:vAlign w:val="center"/>
            <w:hideMark/>
          </w:tcPr>
          <w:p w:rsidR="00DE7B7A" w:rsidRPr="00EF7388" w:rsidRDefault="00DE7B7A" w:rsidP="00DE7B7A">
            <w:pPr>
              <w:rPr>
                <w:rFonts w:cs="Arial"/>
                <w:b/>
                <w:sz w:val="22"/>
                <w:szCs w:val="22"/>
                <w:lang w:val="en-US"/>
              </w:rPr>
            </w:pPr>
            <w:r w:rsidRPr="00EF7388">
              <w:rPr>
                <w:rFonts w:cs="Arial"/>
                <w:b/>
                <w:sz w:val="22"/>
                <w:szCs w:val="22"/>
                <w:lang w:val="en-US"/>
              </w:rPr>
              <w:t>Project Title</w:t>
            </w:r>
          </w:p>
        </w:tc>
        <w:tc>
          <w:tcPr>
            <w:tcW w:w="0" w:type="auto"/>
            <w:shd w:val="clear" w:color="auto" w:fill="B8CCE4" w:themeFill="accent1" w:themeFillTint="66"/>
            <w:vAlign w:val="center"/>
            <w:hideMark/>
          </w:tcPr>
          <w:p w:rsidR="00DE7B7A" w:rsidRPr="00EF7388" w:rsidRDefault="00DE7B7A" w:rsidP="00EF7388">
            <w:pPr>
              <w:jc w:val="center"/>
              <w:rPr>
                <w:rFonts w:cs="Arial"/>
                <w:b/>
                <w:sz w:val="22"/>
                <w:szCs w:val="22"/>
                <w:lang w:val="en-US"/>
              </w:rPr>
            </w:pPr>
            <w:r w:rsidRPr="00EF7388">
              <w:rPr>
                <w:rFonts w:cs="Arial"/>
                <w:b/>
                <w:sz w:val="22"/>
                <w:szCs w:val="22"/>
                <w:lang w:val="en-US"/>
              </w:rPr>
              <w:t>Undiscounted Cost</w:t>
            </w:r>
            <w:r w:rsidRPr="00EF7388">
              <w:rPr>
                <w:rFonts w:cs="Arial"/>
                <w:b/>
                <w:sz w:val="22"/>
                <w:szCs w:val="22"/>
                <w:lang w:val="en-US"/>
              </w:rPr>
              <w:br/>
              <w:t>(mill EURO, 2012 prices)</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Modernization of movement areas and beakoning system, control tower and  ILS navigation system in Suceava Airport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31.897</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apron and parkings in Constanta (M. Kogalniceanu) Airport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31.151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Stationary platform at the entrance of the Danube - Black Sea Channel</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14.111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Extension of the breakwater in the Constanta 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133.287</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Extension to the south of the gauge berth in the Port of Constanta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4.664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and modernization of the infrastructure in  Oltenita 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4.596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Infrastructure works in the Port of Braila - berths 23 and 25</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7.812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Building an administrative complex  in Port of Giurgiu</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2.596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Newada Duo Project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0.238</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CO-WANDA: Convention for waste management for inland navigation on the Danube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Master Plan for the Constanta 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2.033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DAHAR - Strategic Development Plan for the Danube interior Ports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0.145</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GIFT- Green Intermodal Freight Transport Corridors in South East Europe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0.242</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Modernizing port infrastructure by providing increasing depths of channels and basins and safety of navigation in Constanta Port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37.535</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Developping of the rail infrastructure system in the Constanta Port (the fluvial-maritime sector)</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16.858</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Craiova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18.239</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Cluj</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26.579</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Brasov</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11.155</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Bucuresti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17.657</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Iasi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9.566</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Timisoara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8.91</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bridges, culverts and railways tunnels - Sucursala Constanta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2.371</w:t>
            </w:r>
          </w:p>
        </w:tc>
      </w:tr>
      <w:tr w:rsidR="00DE7B7A" w:rsidRPr="00DE7B7A" w:rsidTr="00DE7B7A">
        <w:trPr>
          <w:trHeight w:val="72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works for the Danube bridges at km 152+149 and at  km 165+817, railway line Bucharest - Constanta - Regional Branch Constanta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40.592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level crossings - 112 crossings - Stage 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20.077</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Current repairs for the public railway infrastructure for 2013-2020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558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RK for the 2013-2016 period</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73.615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the Bucharest-Constanta line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904.389</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Coșlariu - Sighișoara line at maximum speed of 160 km/h for passenger trains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944.826</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Simeria - Coșlariu line at maximum speed of 160 km/h for passenger trains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663.06</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Border-Curtici-Arad-Simeria line: Section Border-Arad-km 614</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282.713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Electrification of the Doaga-Tecuci-Barbosi line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57.227</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Developping the strategic noise maps and action plans for the major railways having more than 30,000 train movements per year - Stage 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61.826</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Slatina, Râmnicu Vâlcea, Reşiţa Sud</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18.525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Bistrita, Zalau</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28.4</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Giurgiu Oraş, Slobozia Veche, Călăraşi Sud</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18.102</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Sfântu Gheorghe, Târgu Mureş</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22.322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Pitesti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15.584</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railway stations in Romania: Piatra Neamţ, Botoşani, Vaslui, Brăila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29.398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of the Focsani station</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2.517</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Detection system for overheated axles and closed brakes (21 locations)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12.694</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Operational pilot project for a ECTS/ERTMS Level 2 aplication on the line section Buciumeni Junction - Brazi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45.125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Upgrading the electromechanical interlocking systems for 11 stations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35.985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Upgrading the electromechanical interlocking systems for 16 stations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Modernization of Videle interlocking station</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9.581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Bridge on DN2E km 57+400, at Clit</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0.298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Bridge over Arges river, DN61 km 74+015 at Ionesti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7.035</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Bridge over Sai at DN54 km 67+774 and new road alligment for DN54, km 65 +950 - km 70 +600 at Turnu Magurele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5.753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Link road DN66A km 47+600 - km 66+204, Campu lui Neag-Cerna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54.221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Rail overpass on the Arad Bypass (DN7 km 540 +248)</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10.575</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Rail overpass on the Arad Bypass (Brad-Curtici rail section and DJ709B)</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10.663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Modernization DN 72 Gaiesti - Ploiesti km 0 +000 - km 76 +180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56.451</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Modernization of Bucharest Ring Road between A1 - DN7 and DN2 - A2 (widening to 4 lanes)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121.873</w:t>
            </w:r>
          </w:p>
        </w:tc>
      </w:tr>
      <w:tr w:rsidR="00DE7B7A" w:rsidRPr="00DE7B7A" w:rsidTr="00DE7B7A">
        <w:trPr>
          <w:trHeight w:val="72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Bridge over the Danube-Black Sea Channel at km 0+540 and the access infrastructure in the Constanta Port; Phase 1 - construction of the bridge</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30.887</w:t>
            </w:r>
          </w:p>
        </w:tc>
      </w:tr>
      <w:tr w:rsidR="00DE7B7A" w:rsidRPr="00DE7B7A" w:rsidTr="00DE7B7A">
        <w:trPr>
          <w:trHeight w:val="72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Bridge over the Danube-Black Sea Channel at km 0+540 and the access infrastructure in the Constanta Port; Phase 2 - construction of the road connections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5.961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Alesd South and Alesd North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76.65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Alexandria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41.619</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Bacau Motorway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231.539</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Brasov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Caracal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12.5</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Carei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19.543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Cluj-Napoca East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132.228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Craiova South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31.833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Deva - Orastie Motorway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296.852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Iasi South Bypass: Phase 4</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24.316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Lugoj - Deva Motorway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1136.3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Mihailesti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8.708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Nadlac-Arad Motorway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307.673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Oradea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52.934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Orastie - Sibiu Motorway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600.18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Sacuieni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12.083</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Satu Mare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139.646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Sebes - Turda Motorway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811.122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Stei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113.592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Suceava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68.689</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Targu Jiu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88.284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Targu Mures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72.566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Tecuci Bypass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18.883</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Access Road to Agigea Lock and sea-port Agigea, CDMN, left bank, between km 61 +800 and 63 +500, L = 1.700 m</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1.668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Consolidation works DN29D, km 18 +500 - km 20+816</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7.669</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Ease of traffic on DN1 km. 8+100 - km. 17+100 - Phase 7, the bypass ring section DN7-DN1A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44.66</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DN66 Filiasi - Petrosani, km 0+000 - km 131+000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127.412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DN76  Deva-Oradea, km 0+000 - km 184+390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223.488</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DN2N km 52+860 - km 60+000 Jitia - Biscoa and new bridge over Ramnicu Sarat river la km 53+300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5.218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Modernisation DN5, section Bucuresti - Adunatii Copaceni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22.417</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DN2D Focsani - Ojdula km 0+000 - km 118+893</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179.071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Building the A3 motorway section in Bucharest Municipality</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89</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DN24 (county limit Galati/Vaslui - Crasna)and DN24B</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107.424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DN6 Alexandria-Craiova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171.338</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DN66 Filiasi - Petrosani, km 0+000 - km 131+000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127.412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of DN56 Craiova - Calafat km 0 +000 - km 87+047</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111.72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Rehabilitation DN1H Rastoci -Zalau, km 75 +446 - km 128 +823</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32.951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Traffic calming measures on 4 lanes national roads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29.032</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Safety measures on DN1 in linear villages and black spots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37.984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IRIS Europe 3</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1.077</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Stationary platform for barges at the confluence of the Black Sea and Danube waterways Gate Alba Midia Navodari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2.702</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The modernization of the water management system on the navigable channels by installing automatic monitoring stations</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3.562</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Upgrading the locks, equipments and installations for CDMN and CPAMN</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175.639</w:t>
            </w:r>
          </w:p>
        </w:tc>
      </w:tr>
      <w:tr w:rsidR="00DE7B7A" w:rsidRPr="00DE7B7A" w:rsidTr="00DE7B7A">
        <w:trPr>
          <w:trHeight w:val="72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System for gathering and processing of the ships waste and for pollution intervention on the Danube sector administrated by CN APDF SA Giurgiu</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8.634</w:t>
            </w:r>
          </w:p>
        </w:tc>
      </w:tr>
      <w:tr w:rsidR="00DE7B7A" w:rsidRPr="00DE7B7A" w:rsidTr="00DE7B7A">
        <w:trPr>
          <w:trHeight w:val="72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Monitoring the environmental impact of the works to improve navigation conditions on the Danube between Calarasi and Braila, km 375-km 175-Phase II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1.4</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Protection for banks at Sulina Channel - Stage 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76</w:t>
            </w: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Improving the navigation conditions on the lower Danube (Calarasi-Braila)</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r w:rsidRPr="00EF7388">
              <w:rPr>
                <w:rFonts w:cs="Arial"/>
                <w:sz w:val="22"/>
                <w:szCs w:val="22"/>
                <w:lang w:val="en-US"/>
              </w:rPr>
              <w:t>38.671</w:t>
            </w: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Pier berth 31 in Port Docks Outdoor Galati</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480"/>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Creating a support system works on the Danube river in order to ensure minimum depth for navigation</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Giurgiu bridge over the Danube at km 64+884 DN5</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Road Bridge over Olt in Slatina on DN6, km 48 +570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Oituz road bridge over the  Poiana Sarata on DN 11 km 90 +450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Road Bridge over Jiu in Arginesti on DN6, km 268+371</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r w:rsidR="00DE7B7A" w:rsidRPr="00DE7B7A" w:rsidTr="00DE7B7A">
        <w:trPr>
          <w:trHeight w:val="255"/>
        </w:trPr>
        <w:tc>
          <w:tcPr>
            <w:tcW w:w="0" w:type="auto"/>
            <w:shd w:val="clear" w:color="auto" w:fill="auto"/>
            <w:vAlign w:val="center"/>
            <w:hideMark/>
          </w:tcPr>
          <w:p w:rsidR="00DE7B7A" w:rsidRPr="00EF7388" w:rsidRDefault="00DE7B7A" w:rsidP="00DE7B7A">
            <w:pPr>
              <w:rPr>
                <w:rFonts w:cs="Arial"/>
                <w:sz w:val="22"/>
                <w:szCs w:val="22"/>
                <w:lang w:val="en-US"/>
              </w:rPr>
            </w:pPr>
            <w:r w:rsidRPr="00EF7388">
              <w:rPr>
                <w:rFonts w:cs="Arial"/>
                <w:sz w:val="22"/>
                <w:szCs w:val="22"/>
                <w:lang w:val="en-US"/>
              </w:rPr>
              <w:t>New bridge at Cosmesti , over Siret river on DN24 km 7+620</w:t>
            </w:r>
          </w:p>
        </w:tc>
        <w:tc>
          <w:tcPr>
            <w:tcW w:w="0" w:type="auto"/>
            <w:shd w:val="clear" w:color="auto" w:fill="auto"/>
            <w:noWrap/>
            <w:vAlign w:val="center"/>
            <w:hideMark/>
          </w:tcPr>
          <w:p w:rsidR="00DE7B7A" w:rsidRPr="00EF7388" w:rsidRDefault="00DE7B7A" w:rsidP="00EF7388">
            <w:pPr>
              <w:jc w:val="center"/>
              <w:rPr>
                <w:rFonts w:cs="Arial"/>
                <w:sz w:val="22"/>
                <w:szCs w:val="22"/>
                <w:lang w:val="en-US"/>
              </w:rPr>
            </w:pPr>
          </w:p>
        </w:tc>
      </w:tr>
    </w:tbl>
    <w:p w:rsidR="00693CEB" w:rsidRDefault="00693CEB" w:rsidP="0018508A"/>
    <w:p w:rsidR="00DE7B7A" w:rsidRDefault="00DE7B7A" w:rsidP="0018508A"/>
    <w:p w:rsidR="00DE7B7A" w:rsidRDefault="00DE7B7A" w:rsidP="0018508A"/>
    <w:p w:rsidR="00DE7B7A" w:rsidRDefault="00DE7B7A" w:rsidP="0018508A"/>
    <w:p w:rsidR="00DE7B7A" w:rsidRDefault="00DE7B7A" w:rsidP="0018508A">
      <w:pPr>
        <w:sectPr w:rsidR="00DE7B7A" w:rsidSect="001852F7">
          <w:headerReference w:type="default" r:id="rId383"/>
          <w:pgSz w:w="11907" w:h="16840" w:code="9"/>
          <w:pgMar w:top="1418" w:right="709" w:bottom="1418" w:left="907" w:header="357" w:footer="567" w:gutter="0"/>
          <w:cols w:space="187"/>
          <w:docGrid w:linePitch="360"/>
        </w:sectPr>
      </w:pPr>
    </w:p>
    <w:p w:rsidR="00DE7B7A" w:rsidRDefault="00DE7B7A" w:rsidP="0018508A"/>
    <w:p w:rsidR="00DE7B7A" w:rsidRPr="00EF7388" w:rsidRDefault="00DE7B7A" w:rsidP="0018508A">
      <w:pPr>
        <w:rPr>
          <w:b/>
          <w:i/>
          <w:sz w:val="22"/>
          <w:szCs w:val="22"/>
        </w:rPr>
      </w:pPr>
      <w:r w:rsidRPr="00EF7388">
        <w:rPr>
          <w:b/>
          <w:i/>
          <w:sz w:val="22"/>
          <w:szCs w:val="22"/>
        </w:rPr>
        <w:t>Locations of the Reference Case Schemes</w:t>
      </w:r>
    </w:p>
    <w:p w:rsidR="00DE7B7A" w:rsidRDefault="00DE7B7A" w:rsidP="0018508A">
      <w:r w:rsidRPr="00290339">
        <w:rPr>
          <w:noProof/>
          <w:lang w:val="ro-RO" w:eastAsia="ro-RO"/>
        </w:rPr>
        <w:drawing>
          <wp:inline distT="0" distB="0" distL="0" distR="0" wp14:anchorId="50CD979C" wp14:editId="7A3E27F1">
            <wp:extent cx="8505825" cy="6017895"/>
            <wp:effectExtent l="19050" t="0" r="9525" b="0"/>
            <wp:docPr id="153" name="Picture 81" descr="MP_ref_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P_ref_case.png"/>
                    <pic:cNvPicPr>
                      <a:picLocks noChangeAspect="1" noChangeArrowheads="1"/>
                    </pic:cNvPicPr>
                  </pic:nvPicPr>
                  <pic:blipFill>
                    <a:blip r:embed="rId384" cstate="print"/>
                    <a:srcRect/>
                    <a:stretch>
                      <a:fillRect/>
                    </a:stretch>
                  </pic:blipFill>
                  <pic:spPr bwMode="auto">
                    <a:xfrm>
                      <a:off x="0" y="0"/>
                      <a:ext cx="8505825" cy="6017895"/>
                    </a:xfrm>
                    <a:prstGeom prst="rect">
                      <a:avLst/>
                    </a:prstGeom>
                    <a:noFill/>
                    <a:ln w="9525">
                      <a:noFill/>
                      <a:miter lim="800000"/>
                      <a:headEnd/>
                      <a:tailEnd/>
                    </a:ln>
                  </pic:spPr>
                </pic:pic>
              </a:graphicData>
            </a:graphic>
          </wp:inline>
        </w:drawing>
      </w:r>
    </w:p>
    <w:p w:rsidR="00DE7B7A" w:rsidRDefault="00DE7B7A" w:rsidP="0018508A"/>
    <w:sectPr w:rsidR="00DE7B7A" w:rsidSect="00EF7388">
      <w:pgSz w:w="16840" w:h="11907" w:orient="landscape" w:code="9"/>
      <w:pgMar w:top="907" w:right="1418" w:bottom="709" w:left="1418" w:header="357" w:footer="567" w:gutter="0"/>
      <w:cols w:space="18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57DD" w:rsidRDefault="008B57DD">
      <w:r>
        <w:separator/>
      </w:r>
    </w:p>
  </w:endnote>
  <w:endnote w:type="continuationSeparator" w:id="0">
    <w:p w:rsidR="008B57DD" w:rsidRDefault="008B57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EUAlbertina">
    <w:altName w:val="EU Albertin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EE"/>
    <w:family w:val="roman"/>
    <w:pitch w:val="variable"/>
    <w:sig w:usb0="E00002FF" w:usb1="420024FF" w:usb2="00000000" w:usb3="00000000" w:csb0="0000019F" w:csb1="00000000"/>
  </w:font>
  <w:font w:name="Arial Bold">
    <w:panose1 w:val="020B0704020202020204"/>
    <w:charset w:val="00"/>
    <w:family w:val="auto"/>
    <w:pitch w:val="variable"/>
    <w:sig w:usb0="E0002AFF" w:usb1="C0007843" w:usb2="00000009" w:usb3="00000000" w:csb0="000001FF" w:csb1="00000000"/>
  </w:font>
  <w:font w:name="Gill Sans MT">
    <w:panose1 w:val="020B0502020104020203"/>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588" w:rsidRDefault="004F158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spacing w:line="240" w:lineRule="atLea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588" w:rsidRDefault="004F158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spacing w:line="240" w:lineRule="atLea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Footer"/>
      <w:rPr>
        <w:sz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57DD" w:rsidRDefault="008B57DD">
      <w:r>
        <w:separator/>
      </w:r>
    </w:p>
  </w:footnote>
  <w:footnote w:type="continuationSeparator" w:id="0">
    <w:p w:rsidR="008B57DD" w:rsidRDefault="008B57DD">
      <w:r>
        <w:continuationSeparator/>
      </w:r>
    </w:p>
  </w:footnote>
  <w:footnote w:id="1">
    <w:p w:rsidR="008B57DD" w:rsidRDefault="008B57DD" w:rsidP="00810A98">
      <w:pPr>
        <w:pStyle w:val="FootnoteText"/>
      </w:pPr>
      <w:r>
        <w:rPr>
          <w:rStyle w:val="FootnoteReference"/>
        </w:rPr>
        <w:footnoteRef/>
      </w:r>
      <w:r>
        <w:t xml:space="preserve"> </w:t>
      </w:r>
      <w:r w:rsidRPr="00F96EE3">
        <w:rPr>
          <w:i/>
          <w:sz w:val="18"/>
          <w:szCs w:val="18"/>
        </w:rPr>
        <w:t>See</w:t>
      </w:r>
      <w:r>
        <w:rPr>
          <w:i/>
          <w:sz w:val="18"/>
          <w:szCs w:val="18"/>
        </w:rPr>
        <w:t xml:space="preserve"> EC Letters dated </w:t>
      </w:r>
      <w:r w:rsidRPr="00F96EE3">
        <w:rPr>
          <w:i/>
          <w:sz w:val="18"/>
          <w:szCs w:val="18"/>
        </w:rPr>
        <w:t xml:space="preserve"> </w:t>
      </w:r>
      <w:r>
        <w:rPr>
          <w:i/>
          <w:sz w:val="18"/>
          <w:szCs w:val="18"/>
        </w:rPr>
        <w:t>27/09/2013 and 11/12/2013</w:t>
      </w:r>
    </w:p>
  </w:footnote>
  <w:footnote w:id="2">
    <w:p w:rsidR="008B57DD" w:rsidRPr="00C41056" w:rsidRDefault="008B57DD" w:rsidP="00810A98">
      <w:pPr>
        <w:pStyle w:val="FootnoteText"/>
        <w:rPr>
          <w:i/>
          <w:sz w:val="18"/>
          <w:szCs w:val="18"/>
        </w:rPr>
      </w:pPr>
      <w:r>
        <w:rPr>
          <w:rStyle w:val="FootnoteReference"/>
        </w:rPr>
        <w:footnoteRef/>
      </w:r>
      <w:r>
        <w:t xml:space="preserve"> </w:t>
      </w:r>
      <w:r w:rsidRPr="00C41056">
        <w:rPr>
          <w:i/>
          <w:sz w:val="18"/>
          <w:szCs w:val="18"/>
        </w:rPr>
        <w:t xml:space="preserve">For more details see National Guide for Transport Project Evaluation, Volume 2, Appendix A: Guidance for Economic and Financial Cost Benefit Analysis and Risk Analysis.  </w:t>
      </w:r>
      <w:proofErr w:type="gramStart"/>
      <w:r w:rsidRPr="00C41056">
        <w:rPr>
          <w:i/>
          <w:sz w:val="18"/>
          <w:szCs w:val="18"/>
        </w:rPr>
        <w:t>AECOM.</w:t>
      </w:r>
      <w:proofErr w:type="gramEnd"/>
    </w:p>
  </w:footnote>
  <w:footnote w:id="3">
    <w:p w:rsidR="008B57DD" w:rsidRPr="001C50C1" w:rsidRDefault="008B57DD" w:rsidP="00810A98">
      <w:pPr>
        <w:pStyle w:val="FootnoteText"/>
        <w:rPr>
          <w:bCs/>
          <w:i/>
          <w:color w:val="000000"/>
          <w:sz w:val="18"/>
          <w:szCs w:val="18"/>
        </w:rPr>
      </w:pPr>
      <w:r>
        <w:rPr>
          <w:rStyle w:val="FootnoteReference"/>
        </w:rPr>
        <w:footnoteRef/>
      </w:r>
      <w:r>
        <w:t xml:space="preserve"> </w:t>
      </w:r>
      <w:r w:rsidRPr="001C50C1">
        <w:rPr>
          <w:bCs/>
          <w:i/>
          <w:color w:val="000000"/>
          <w:sz w:val="18"/>
          <w:szCs w:val="18"/>
        </w:rPr>
        <w:t>Ibid Chapter 7 for details of the project and programme appraisal criteria.</w:t>
      </w:r>
    </w:p>
  </w:footnote>
  <w:footnote w:id="4">
    <w:p w:rsidR="008B57DD" w:rsidRDefault="008B57DD">
      <w:pPr>
        <w:pStyle w:val="FootnoteText"/>
      </w:pPr>
      <w:r>
        <w:rPr>
          <w:rStyle w:val="FootnoteReference"/>
        </w:rPr>
        <w:footnoteRef/>
      </w:r>
      <w:r>
        <w:t xml:space="preserve"> This is an additional year which AECOM added to ensure a better forecast of economic benefits.</w:t>
      </w:r>
    </w:p>
  </w:footnote>
  <w:footnote w:id="5">
    <w:p w:rsidR="008B57DD" w:rsidRDefault="008B57DD" w:rsidP="00005AA0">
      <w:pPr>
        <w:pStyle w:val="FootnoteText"/>
      </w:pPr>
      <w:r>
        <w:rPr>
          <w:rStyle w:val="FootnoteReference"/>
        </w:rPr>
        <w:footnoteRef/>
      </w:r>
      <w:r>
        <w:t xml:space="preserve"> </w:t>
      </w:r>
      <w:r w:rsidRPr="00005AA0">
        <w:rPr>
          <w:sz w:val="22"/>
          <w:szCs w:val="22"/>
          <w:lang w:val="en-US" w:eastAsia="en-GB"/>
        </w:rPr>
        <w:t>EUROPEAN COMMISSION</w:t>
      </w:r>
      <w:r>
        <w:rPr>
          <w:sz w:val="22"/>
          <w:szCs w:val="22"/>
          <w:lang w:val="en-US" w:eastAsia="en-GB"/>
        </w:rPr>
        <w:t xml:space="preserve">, </w:t>
      </w:r>
      <w:r w:rsidRPr="00005AA0">
        <w:rPr>
          <w:sz w:val="22"/>
          <w:szCs w:val="22"/>
          <w:lang w:val="en-US" w:eastAsia="en-GB"/>
        </w:rPr>
        <w:t>Directorate-General</w:t>
      </w:r>
      <w:r>
        <w:rPr>
          <w:sz w:val="22"/>
          <w:szCs w:val="22"/>
          <w:lang w:val="en-US" w:eastAsia="en-GB"/>
        </w:rPr>
        <w:t xml:space="preserve">- </w:t>
      </w:r>
      <w:r w:rsidRPr="00005AA0">
        <w:rPr>
          <w:sz w:val="22"/>
          <w:szCs w:val="22"/>
          <w:lang w:val="en-US" w:eastAsia="en-GB"/>
        </w:rPr>
        <w:t>Regional and Urban Policy</w:t>
      </w:r>
      <w:r>
        <w:rPr>
          <w:sz w:val="22"/>
          <w:szCs w:val="22"/>
          <w:lang w:val="en-US" w:eastAsia="en-GB"/>
        </w:rPr>
        <w:t>, DRAFT -</w:t>
      </w:r>
      <w:r>
        <w:rPr>
          <w:b/>
          <w:bCs/>
          <w:sz w:val="22"/>
          <w:szCs w:val="22"/>
          <w:lang w:val="en-US" w:eastAsia="en-GB"/>
        </w:rPr>
        <w:t>“</w:t>
      </w:r>
      <w:r w:rsidRPr="00005AA0">
        <w:rPr>
          <w:b/>
          <w:bCs/>
          <w:sz w:val="22"/>
          <w:szCs w:val="22"/>
          <w:lang w:val="en-US" w:eastAsia="en-GB"/>
        </w:rPr>
        <w:t>Guidance on Ex ante Conditionality</w:t>
      </w:r>
      <w:r>
        <w:rPr>
          <w:b/>
          <w:bCs/>
          <w:sz w:val="22"/>
          <w:szCs w:val="22"/>
          <w:lang w:val="en-US" w:eastAsia="en-GB"/>
        </w:rPr>
        <w:t xml:space="preserve"> </w:t>
      </w:r>
      <w:r w:rsidRPr="00005AA0">
        <w:rPr>
          <w:b/>
          <w:bCs/>
          <w:sz w:val="22"/>
          <w:szCs w:val="22"/>
          <w:lang w:val="en-US" w:eastAsia="en-GB"/>
        </w:rPr>
        <w:t>for the European Structural and Investment Funds</w:t>
      </w:r>
      <w:r>
        <w:rPr>
          <w:b/>
          <w:bCs/>
          <w:sz w:val="22"/>
          <w:szCs w:val="22"/>
          <w:lang w:val="en-US" w:eastAsia="en-GB"/>
        </w:rPr>
        <w:t xml:space="preserve">”, </w:t>
      </w:r>
      <w:r w:rsidRPr="00005AA0">
        <w:rPr>
          <w:b/>
          <w:bCs/>
          <w:sz w:val="22"/>
          <w:szCs w:val="22"/>
          <w:lang w:val="en-US" w:eastAsia="en-GB"/>
        </w:rPr>
        <w:t>PART II</w:t>
      </w:r>
      <w:r>
        <w:rPr>
          <w:b/>
          <w:bCs/>
          <w:sz w:val="22"/>
          <w:szCs w:val="22"/>
          <w:lang w:val="en-US" w:eastAsia="en-GB"/>
        </w:rPr>
        <w:t xml:space="preserve">, </w:t>
      </w:r>
      <w:r w:rsidRPr="00005AA0">
        <w:rPr>
          <w:b/>
          <w:bCs/>
          <w:sz w:val="22"/>
          <w:szCs w:val="22"/>
        </w:rPr>
        <w:t>“Criteria for fulfilment”</w:t>
      </w:r>
    </w:p>
  </w:footnote>
  <w:footnote w:id="6">
    <w:p w:rsidR="008B57DD" w:rsidRPr="00D30900" w:rsidRDefault="008B57DD" w:rsidP="008B7CC2">
      <w:pPr>
        <w:pStyle w:val="Referinta"/>
        <w:rPr>
          <w:lang w:val="en-US"/>
        </w:rPr>
      </w:pPr>
      <w:r w:rsidRPr="00066342">
        <w:rPr>
          <w:vertAlign w:val="superscript"/>
        </w:rPr>
        <w:footnoteRef/>
      </w:r>
      <w:r>
        <w:t xml:space="preserve"> </w:t>
      </w:r>
      <w:r w:rsidRPr="00D30900">
        <w:t>http://ec.europa.eu/transport/themes/infrastructure/revision-t_en.htm</w:t>
      </w:r>
    </w:p>
  </w:footnote>
  <w:footnote w:id="7">
    <w:p w:rsidR="008B57DD" w:rsidRPr="00217ADE" w:rsidRDefault="008B57DD" w:rsidP="008B7CC2">
      <w:pPr>
        <w:pStyle w:val="Referinta"/>
      </w:pPr>
      <w:r w:rsidRPr="00E0059F">
        <w:rPr>
          <w:sz w:val="20"/>
          <w:vertAlign w:val="superscript"/>
        </w:rPr>
        <w:footnoteRef/>
      </w:r>
      <w:r w:rsidRPr="00217ADE">
        <w:rPr>
          <w:vertAlign w:val="superscript"/>
        </w:rPr>
        <w:t xml:space="preserve"> </w:t>
      </w:r>
      <w:r w:rsidRPr="00217ADE">
        <w:t>http://ec.europa.eu/transport/themes/strategies/2011_white_paper_en.htm</w:t>
      </w:r>
    </w:p>
  </w:footnote>
  <w:footnote w:id="8">
    <w:p w:rsidR="008B57DD" w:rsidRPr="00217ADE" w:rsidRDefault="008B57DD" w:rsidP="008B7CC2">
      <w:pPr>
        <w:pStyle w:val="Referinta"/>
        <w:rPr>
          <w:lang w:val="ro-RO"/>
        </w:rPr>
      </w:pPr>
      <w:r w:rsidRPr="00E0059F">
        <w:rPr>
          <w:sz w:val="20"/>
          <w:vertAlign w:val="superscript"/>
        </w:rPr>
        <w:footnoteRef/>
      </w:r>
      <w:r w:rsidRPr="00217ADE">
        <w:t xml:space="preserve"> http://www.drp.gov.ro/download.php?6b3a2e12faf92184a320aeeaa3f853cf</w:t>
      </w:r>
    </w:p>
  </w:footnote>
  <w:footnote w:id="9">
    <w:p w:rsidR="008B57DD" w:rsidRPr="009B06CD" w:rsidRDefault="008B57DD" w:rsidP="008B7CC2">
      <w:pPr>
        <w:pStyle w:val="Referinta"/>
        <w:rPr>
          <w:lang w:val="ro-RO"/>
        </w:rPr>
      </w:pPr>
      <w:r>
        <w:rPr>
          <w:rStyle w:val="FootnoteReference"/>
        </w:rPr>
        <w:footnoteRef/>
      </w:r>
      <w:r w:rsidRPr="009B06CD">
        <w:rPr>
          <w:lang w:val="ro-RO"/>
        </w:rPr>
        <w:t xml:space="preserve"> </w:t>
      </w:r>
      <w:r w:rsidRPr="009B06CD">
        <w:rPr>
          <w:lang w:val="ro-RO"/>
        </w:rPr>
        <w:t>http://www.mt.ro/strategie/plan_strategic/planul%20strategic%20integrat%20revizuit%202009.pdf</w:t>
      </w:r>
    </w:p>
  </w:footnote>
  <w:footnote w:id="10">
    <w:p w:rsidR="008B57DD" w:rsidRPr="009B06CD" w:rsidRDefault="008B57DD" w:rsidP="008B7CC2">
      <w:pPr>
        <w:pStyle w:val="Referinta"/>
        <w:rPr>
          <w:lang w:val="ro-RO"/>
        </w:rPr>
      </w:pPr>
      <w:r>
        <w:rPr>
          <w:rStyle w:val="FootnoteReference"/>
        </w:rPr>
        <w:footnoteRef/>
      </w:r>
      <w:r w:rsidRPr="009B06CD">
        <w:rPr>
          <w:lang w:val="ro-RO"/>
        </w:rPr>
        <w:t>http://www.fonduri-ue.ro/res/filepicker_users/cd25a597fd-62/2014-2020/acord-parteneriat/Acord_de_parteneriat_01.10.2013.pdf</w:t>
      </w:r>
    </w:p>
  </w:footnote>
  <w:footnote w:id="11">
    <w:p w:rsidR="008B57DD" w:rsidRPr="003F11ED" w:rsidRDefault="008B57DD" w:rsidP="008B7CC2">
      <w:pPr>
        <w:pStyle w:val="Referinta"/>
        <w:rPr>
          <w:sz w:val="20"/>
          <w:szCs w:val="20"/>
          <w:lang w:val="ro-RO"/>
        </w:rPr>
      </w:pPr>
      <w:r>
        <w:rPr>
          <w:rStyle w:val="FootnoteReference"/>
        </w:rPr>
        <w:footnoteRef/>
      </w:r>
      <w:r w:rsidRPr="009B06CD">
        <w:rPr>
          <w:lang w:val="ro-RO"/>
        </w:rPr>
        <w:t xml:space="preserve"> </w:t>
      </w:r>
      <w:r w:rsidRPr="003F11ED">
        <w:rPr>
          <w:rFonts w:cs="Arial"/>
          <w:sz w:val="20"/>
          <w:szCs w:val="20"/>
          <w:lang w:val="ro-RO"/>
        </w:rPr>
        <w:t>http://eur-lex.europa.eu/LexUriServ/LexUriServ.do?uri=COM:2006:0006:FIN:EN:PDF</w:t>
      </w:r>
    </w:p>
  </w:footnote>
  <w:footnote w:id="12">
    <w:p w:rsidR="008B57DD" w:rsidRPr="003F11ED" w:rsidRDefault="008B57DD" w:rsidP="008B7CC2">
      <w:pPr>
        <w:pStyle w:val="Referinta"/>
        <w:rPr>
          <w:rFonts w:cs="Arial"/>
          <w:sz w:val="20"/>
          <w:szCs w:val="20"/>
          <w:lang w:val="ro-RO"/>
        </w:rPr>
      </w:pPr>
      <w:r w:rsidRPr="003F11ED">
        <w:rPr>
          <w:rStyle w:val="FootnoteReference"/>
          <w:rFonts w:cs="Arial"/>
          <w:sz w:val="20"/>
          <w:szCs w:val="20"/>
        </w:rPr>
        <w:footnoteRef/>
      </w:r>
      <w:r w:rsidRPr="003F11ED">
        <w:rPr>
          <w:rFonts w:cs="Arial"/>
          <w:sz w:val="20"/>
          <w:szCs w:val="20"/>
          <w:lang w:val="ro-RO"/>
        </w:rPr>
        <w:t xml:space="preserve"> </w:t>
      </w:r>
      <w:r w:rsidRPr="003F11ED">
        <w:rPr>
          <w:rFonts w:cs="Arial"/>
          <w:sz w:val="20"/>
          <w:szCs w:val="20"/>
          <w:lang w:val="ro-RO"/>
        </w:rPr>
        <w:t>Programul Operațional Sectorial deTransport 2007 – 2013 (revizia 2 - aprobat la 26.07.2013)  Ministerul transporturilor și infrastructurii. http://www.ampost.ro/fisiere/pagini_fisiere/RO-POST_revizia_2.pdf</w:t>
      </w:r>
    </w:p>
  </w:footnote>
  <w:footnote w:id="13">
    <w:p w:rsidR="008B57DD" w:rsidRPr="003F11ED" w:rsidRDefault="008B57DD" w:rsidP="008B7CC2">
      <w:pPr>
        <w:pStyle w:val="Referinta"/>
        <w:rPr>
          <w:rFonts w:cs="Arial"/>
          <w:sz w:val="20"/>
          <w:szCs w:val="20"/>
          <w:lang w:val="ro-RO"/>
        </w:rPr>
      </w:pPr>
      <w:r w:rsidRPr="003F11ED">
        <w:rPr>
          <w:rStyle w:val="FootnoteReference"/>
          <w:sz w:val="20"/>
          <w:szCs w:val="20"/>
        </w:rPr>
        <w:footnoteRef/>
      </w:r>
      <w:r w:rsidRPr="003F11ED">
        <w:rPr>
          <w:sz w:val="20"/>
          <w:szCs w:val="20"/>
          <w:lang w:val="ro-RO"/>
        </w:rPr>
        <w:t xml:space="preserve"> </w:t>
      </w:r>
      <w:r w:rsidRPr="003F11ED">
        <w:rPr>
          <w:rFonts w:cs="Arial"/>
          <w:sz w:val="20"/>
          <w:szCs w:val="20"/>
          <w:lang w:val="ro-RO"/>
        </w:rPr>
        <w:t>http://eur-lex.europa.eu/LexUriServ/LexUriServ.do?uri=COM:2010:2020:FIN:RO:PDF</w:t>
      </w:r>
    </w:p>
  </w:footnote>
  <w:footnote w:id="14">
    <w:p w:rsidR="008B57DD" w:rsidRPr="003F11ED" w:rsidRDefault="008B57DD" w:rsidP="008B7CC2">
      <w:pPr>
        <w:pStyle w:val="Referinta"/>
        <w:rPr>
          <w:rFonts w:cs="Arial"/>
          <w:sz w:val="20"/>
          <w:szCs w:val="20"/>
          <w:lang w:val="ro-RO"/>
        </w:rPr>
      </w:pPr>
      <w:r w:rsidRPr="003F11ED">
        <w:rPr>
          <w:rStyle w:val="FootnoteReference"/>
          <w:rFonts w:cs="Arial"/>
          <w:sz w:val="20"/>
          <w:szCs w:val="20"/>
        </w:rPr>
        <w:footnoteRef/>
      </w:r>
      <w:r w:rsidRPr="003F11ED">
        <w:rPr>
          <w:rFonts w:cs="Arial"/>
          <w:sz w:val="20"/>
          <w:szCs w:val="20"/>
          <w:lang w:val="ro-RO"/>
        </w:rPr>
        <w:t xml:space="preserve"> </w:t>
      </w:r>
      <w:r w:rsidRPr="003F11ED">
        <w:rPr>
          <w:rFonts w:cs="Arial"/>
          <w:sz w:val="20"/>
          <w:szCs w:val="20"/>
          <w:lang w:val="ro-RO"/>
        </w:rPr>
        <w:t>http://ec.europa.eu/regional_policy/sources/docgener/panorama/pdf/mag37/mag37_ro.pdf</w:t>
      </w:r>
    </w:p>
  </w:footnote>
  <w:footnote w:id="15">
    <w:p w:rsidR="008B57DD" w:rsidRPr="003F11ED" w:rsidRDefault="008B57DD" w:rsidP="008B7CC2">
      <w:pPr>
        <w:pStyle w:val="Referinta"/>
        <w:rPr>
          <w:sz w:val="20"/>
          <w:szCs w:val="20"/>
          <w:lang w:val="ro-RO"/>
        </w:rPr>
      </w:pPr>
      <w:r w:rsidRPr="003F11ED">
        <w:rPr>
          <w:rStyle w:val="FootnoteReference"/>
          <w:sz w:val="20"/>
          <w:szCs w:val="20"/>
        </w:rPr>
        <w:footnoteRef/>
      </w:r>
      <w:r w:rsidRPr="003F11ED">
        <w:rPr>
          <w:sz w:val="20"/>
          <w:szCs w:val="20"/>
          <w:lang w:val="ro-RO"/>
        </w:rPr>
        <w:t xml:space="preserve"> </w:t>
      </w:r>
      <w:r w:rsidRPr="003F11ED">
        <w:rPr>
          <w:rFonts w:cs="Arial"/>
          <w:sz w:val="20"/>
          <w:szCs w:val="20"/>
          <w:lang w:val="ro-RO"/>
        </w:rPr>
        <w:t>http://eur-lex.europa.eu/LexUriServ/LexUriServ.do?uri=COM:2013:0216:FIN:RO:PDF</w:t>
      </w:r>
    </w:p>
  </w:footnote>
  <w:footnote w:id="16">
    <w:p w:rsidR="008B57DD" w:rsidRPr="003F11ED" w:rsidRDefault="008B57DD" w:rsidP="008B7CC2">
      <w:pPr>
        <w:pStyle w:val="Referinta"/>
        <w:rPr>
          <w:sz w:val="20"/>
          <w:szCs w:val="20"/>
          <w:lang w:val="ro-RO"/>
        </w:rPr>
      </w:pPr>
      <w:r w:rsidRPr="003F11ED">
        <w:rPr>
          <w:rStyle w:val="FootnoteReference"/>
          <w:sz w:val="20"/>
          <w:szCs w:val="20"/>
        </w:rPr>
        <w:footnoteRef/>
      </w:r>
      <w:r w:rsidRPr="003F11ED">
        <w:rPr>
          <w:sz w:val="20"/>
          <w:szCs w:val="20"/>
          <w:lang w:val="ro-RO"/>
        </w:rPr>
        <w:t xml:space="preserve"> </w:t>
      </w:r>
      <w:r w:rsidRPr="003F11ED">
        <w:rPr>
          <w:sz w:val="20"/>
          <w:szCs w:val="20"/>
          <w:lang w:val="ro-RO"/>
        </w:rPr>
        <w:t>http://europa.eu/legislation_summaries/maritime_affairs_and_fisheries/fisheries_resources_and_environment/l28164_ro.htm</w:t>
      </w:r>
    </w:p>
  </w:footnote>
  <w:footnote w:id="17">
    <w:p w:rsidR="008B57DD" w:rsidRPr="003F11ED" w:rsidRDefault="008B57DD" w:rsidP="008B7CC2">
      <w:pPr>
        <w:pStyle w:val="Referinta"/>
        <w:rPr>
          <w:sz w:val="20"/>
          <w:szCs w:val="20"/>
          <w:lang w:val="ro-RO"/>
        </w:rPr>
      </w:pPr>
      <w:r w:rsidRPr="003F11ED">
        <w:rPr>
          <w:sz w:val="20"/>
          <w:szCs w:val="20"/>
          <w:vertAlign w:val="superscript"/>
        </w:rPr>
        <w:footnoteRef/>
      </w:r>
      <w:r w:rsidRPr="003F11ED">
        <w:rPr>
          <w:sz w:val="20"/>
          <w:szCs w:val="20"/>
          <w:lang w:val="ro-RO"/>
        </w:rPr>
        <w:t>http://www.mt.ro/strategie/strategii%20sectoriale_acte%20normative/strategie%20dezvoltare%20durabila%20noua%20ultima%20forma.pdf</w:t>
      </w:r>
    </w:p>
  </w:footnote>
  <w:footnote w:id="18">
    <w:p w:rsidR="008B57DD" w:rsidRPr="003F11ED" w:rsidRDefault="008B57DD" w:rsidP="008B7CC2">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w:t>
      </w:r>
      <w:hyperlink r:id="rId1" w:history="1">
        <w:r w:rsidRPr="003F11ED">
          <w:rPr>
            <w:rStyle w:val="Hyperlink"/>
            <w:rFonts w:cs="Arial"/>
            <w:sz w:val="20"/>
            <w:szCs w:val="20"/>
            <w:lang w:val="ro-RO"/>
          </w:rPr>
          <w:t>http://www.mt.ro/nou/_img/documente/strategie_de_transport_intermodal_text.pdf</w:t>
        </w:r>
      </w:hyperlink>
      <w:r w:rsidRPr="003F11ED">
        <w:rPr>
          <w:sz w:val="20"/>
          <w:szCs w:val="20"/>
          <w:lang w:val="ro-RO"/>
        </w:rPr>
        <w:t xml:space="preserve"> </w:t>
      </w:r>
    </w:p>
  </w:footnote>
  <w:footnote w:id="19">
    <w:p w:rsidR="008B57DD" w:rsidRPr="003F11ED" w:rsidRDefault="008B57DD" w:rsidP="008B7CC2">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w:t>
      </w:r>
      <w:r w:rsidRPr="003F11ED">
        <w:rPr>
          <w:sz w:val="20"/>
          <w:szCs w:val="20"/>
          <w:lang w:val="ro-RO"/>
        </w:rPr>
        <w:t>http://www.mmediu.ro/beta/wp-content/uploads/2012/10/2012-10-05-Strategia_NR-SC.pdf</w:t>
      </w:r>
    </w:p>
  </w:footnote>
  <w:footnote w:id="20">
    <w:p w:rsidR="008B57DD" w:rsidRPr="003F11ED" w:rsidRDefault="008B57DD" w:rsidP="008B7CC2">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w:t>
      </w:r>
      <w:r w:rsidRPr="003F11ED">
        <w:rPr>
          <w:sz w:val="20"/>
          <w:szCs w:val="20"/>
          <w:lang w:val="ro-RO"/>
        </w:rPr>
        <w:t>http://biodiversitate.mmediu.ro/implementation/legislaie/politici/strategia-nationala-si-planul-de-actiune-pentru-conservarea-biodiversitatii/anexa-strategia-nationala-si-planul-de-actiune-pentru-conservarea/snpacb.pdf/download</w:t>
      </w:r>
    </w:p>
  </w:footnote>
  <w:footnote w:id="21">
    <w:p w:rsidR="008B57DD" w:rsidRPr="003F11ED" w:rsidRDefault="008B57DD" w:rsidP="008B7CC2">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w:t>
      </w:r>
      <w:r w:rsidRPr="003F11ED">
        <w:rPr>
          <w:sz w:val="20"/>
          <w:szCs w:val="20"/>
          <w:lang w:val="ro-RO"/>
        </w:rPr>
        <w:t>http://www.mt.ro/transparenta/2012/ianuarie/1_17%20Anexa1.pdf</w:t>
      </w:r>
    </w:p>
  </w:footnote>
  <w:footnote w:id="22">
    <w:p w:rsidR="008B57DD" w:rsidRPr="003F11ED" w:rsidRDefault="008B57DD" w:rsidP="008B7CC2">
      <w:pPr>
        <w:pStyle w:val="Referinta"/>
        <w:rPr>
          <w:sz w:val="20"/>
          <w:szCs w:val="20"/>
          <w:lang w:val="ro-RO"/>
        </w:rPr>
      </w:pPr>
      <w:r w:rsidRPr="003F11ED">
        <w:rPr>
          <w:rStyle w:val="FootnoteReference"/>
          <w:sz w:val="20"/>
          <w:szCs w:val="20"/>
        </w:rPr>
        <w:footnoteRef/>
      </w:r>
      <w:r w:rsidRPr="003F11ED">
        <w:rPr>
          <w:sz w:val="20"/>
          <w:szCs w:val="20"/>
          <w:lang w:val="ro-RO"/>
        </w:rPr>
        <w:t xml:space="preserve"> </w:t>
      </w:r>
      <w:r w:rsidRPr="003F11ED">
        <w:rPr>
          <w:sz w:val="20"/>
          <w:szCs w:val="20"/>
          <w:lang w:val="ro-RO"/>
        </w:rPr>
        <w:t>http://ec.europa.eu/clima/policies/adaptation/what/docs/swd_2013_137_en.pdf</w:t>
      </w:r>
    </w:p>
  </w:footnote>
  <w:footnote w:id="23">
    <w:p w:rsidR="008B57DD" w:rsidRPr="003F11ED" w:rsidRDefault="008B57DD" w:rsidP="008B7CC2">
      <w:pPr>
        <w:pStyle w:val="Referinta"/>
        <w:rPr>
          <w:sz w:val="20"/>
          <w:szCs w:val="20"/>
          <w:lang w:val="ro-RO"/>
        </w:rPr>
      </w:pPr>
      <w:r w:rsidRPr="003F11ED">
        <w:rPr>
          <w:rStyle w:val="FootnoteReference"/>
          <w:sz w:val="20"/>
          <w:szCs w:val="20"/>
        </w:rPr>
        <w:footnoteRef/>
      </w:r>
      <w:r w:rsidRPr="003F11ED">
        <w:rPr>
          <w:sz w:val="20"/>
          <w:szCs w:val="20"/>
          <w:lang w:val="ro-RO"/>
        </w:rPr>
        <w:t>www.icpdr.org</w:t>
      </w:r>
    </w:p>
  </w:footnote>
  <w:footnote w:id="24">
    <w:p w:rsidR="008B57DD" w:rsidRDefault="008B57DD" w:rsidP="0085264B">
      <w:pPr>
        <w:pStyle w:val="FootnoteText"/>
      </w:pPr>
      <w:r>
        <w:rPr>
          <w:rStyle w:val="FootnoteReference"/>
        </w:rPr>
        <w:footnoteRef/>
      </w:r>
      <w:r>
        <w:t xml:space="preserve"> RGTMP National Assessment Guidelines Volume 1 Appraisal and Prioritisation of Projects for Inclusion in the Masterplan</w:t>
      </w:r>
    </w:p>
  </w:footnote>
  <w:footnote w:id="25">
    <w:p w:rsidR="008B57DD" w:rsidRDefault="008B57DD" w:rsidP="00660414">
      <w:pPr>
        <w:pStyle w:val="FootnoteText"/>
      </w:pPr>
      <w:r>
        <w:rPr>
          <w:rStyle w:val="FootnoteReference"/>
        </w:rPr>
        <w:footnoteRef/>
      </w:r>
      <w:r>
        <w:t xml:space="preserve"> </w:t>
      </w:r>
      <w:r w:rsidRPr="00C238CA">
        <w:rPr>
          <w:i/>
          <w:sz w:val="16"/>
          <w:szCs w:val="16"/>
        </w:rPr>
        <w:t>Source: European Commission, EU Transport in Figures Statistical PocketBook, 2013</w:t>
      </w:r>
    </w:p>
  </w:footnote>
  <w:footnote w:id="26">
    <w:p w:rsidR="008B57DD" w:rsidRPr="00B909C0" w:rsidRDefault="008B57DD" w:rsidP="00660414">
      <w:pPr>
        <w:pStyle w:val="FootnoteText"/>
        <w:rPr>
          <w:rFonts w:ascii="Arial" w:hAnsi="Arial" w:cs="Arial"/>
          <w:lang w:val="en-US"/>
        </w:rPr>
      </w:pPr>
      <w:r w:rsidRPr="00B909C0">
        <w:rPr>
          <w:rStyle w:val="FootnoteReference"/>
          <w:rFonts w:ascii="Arial" w:hAnsi="Arial" w:cs="Arial"/>
        </w:rPr>
        <w:footnoteRef/>
      </w:r>
      <w:r w:rsidRPr="00B909C0">
        <w:rPr>
          <w:rFonts w:ascii="Arial" w:hAnsi="Arial" w:cs="Arial"/>
        </w:rPr>
        <w:t xml:space="preserve"> </w:t>
      </w:r>
      <w:r w:rsidRPr="00B909C0">
        <w:rPr>
          <w:rFonts w:ascii="Arial" w:hAnsi="Arial" w:cs="Arial"/>
          <w:lang w:val="en-US"/>
        </w:rPr>
        <w:t>Maximum speed data is not available for some links, so these are shown as blank</w:t>
      </w:r>
    </w:p>
  </w:footnote>
  <w:footnote w:id="27">
    <w:p w:rsidR="008B57DD" w:rsidRDefault="008B57DD" w:rsidP="00660414">
      <w:pPr>
        <w:pStyle w:val="FootnoteText"/>
        <w:ind w:left="0" w:firstLine="0"/>
      </w:pPr>
      <w:r>
        <w:rPr>
          <w:rStyle w:val="FootnoteReference"/>
        </w:rPr>
        <w:footnoteRef/>
      </w:r>
      <w:r>
        <w:t xml:space="preserve"> </w:t>
      </w:r>
      <w:r w:rsidRPr="00D6497F">
        <w:rPr>
          <w:rFonts w:ascii="Arial" w:hAnsi="Arial" w:cs="Arial"/>
          <w:sz w:val="18"/>
          <w:szCs w:val="18"/>
        </w:rPr>
        <w:t>Polish examples were Gdansk to Szczecin, Wolow to Glogow and Gorzow to Pila. The Hungarian examples were Debrechen to Puspokladany, Hodmezovasarhely to Bekesasaba and Pecs to Szekszard</w:t>
      </w:r>
    </w:p>
  </w:footnote>
  <w:footnote w:id="28">
    <w:p w:rsidR="008B57DD" w:rsidRDefault="008B57DD" w:rsidP="00660414">
      <w:pPr>
        <w:pStyle w:val="FootnoteText"/>
      </w:pPr>
      <w:r>
        <w:rPr>
          <w:rStyle w:val="FootnoteReference"/>
        </w:rPr>
        <w:footnoteRef/>
      </w:r>
      <w:r>
        <w:t xml:space="preserve"> </w:t>
      </w:r>
      <w:r w:rsidRPr="007F2F8B">
        <w:rPr>
          <w:sz w:val="16"/>
          <w:szCs w:val="16"/>
        </w:rPr>
        <w:t>IRG – Rail Marketing Monitoring Report February 2013</w:t>
      </w:r>
    </w:p>
  </w:footnote>
  <w:footnote w:id="29">
    <w:p w:rsidR="008B57DD" w:rsidRDefault="008B57DD" w:rsidP="00660414">
      <w:pPr>
        <w:pStyle w:val="FootnoteText"/>
      </w:pPr>
      <w:r>
        <w:rPr>
          <w:rStyle w:val="FootnoteReference"/>
        </w:rPr>
        <w:footnoteRef/>
      </w:r>
      <w:r>
        <w:t xml:space="preserve"> To be a phased development in line with demand and considered with the adjacent scheme to modernise existing bulk terminals at Galati</w:t>
      </w:r>
    </w:p>
  </w:footnote>
  <w:footnote w:id="30">
    <w:p w:rsidR="008B57DD" w:rsidRDefault="008B57DD" w:rsidP="00660414">
      <w:pPr>
        <w:pStyle w:val="FootnoteText"/>
      </w:pPr>
      <w:r>
        <w:rPr>
          <w:rStyle w:val="FootnoteReference"/>
        </w:rPr>
        <w:footnoteRef/>
      </w:r>
      <w:r>
        <w:t xml:space="preserve"> Tonnes change displayed here is for Romanian ports. Ports from other countries will benefit from a River Danube that has greater navigability however these ports are outside the scope of this study.</w:t>
      </w:r>
    </w:p>
  </w:footnote>
  <w:footnote w:id="31">
    <w:p w:rsidR="008B57DD" w:rsidRDefault="008B57DD" w:rsidP="00660414">
      <w:pPr>
        <w:pStyle w:val="FootnoteText"/>
      </w:pPr>
      <w:r>
        <w:rPr>
          <w:rStyle w:val="FootnoteReference"/>
        </w:rPr>
        <w:footnoteRef/>
      </w:r>
      <w:r>
        <w:t xml:space="preserve"> Considered to be of importance</w:t>
      </w:r>
    </w:p>
  </w:footnote>
  <w:footnote w:id="32">
    <w:p w:rsidR="008B57DD" w:rsidRDefault="008B57DD" w:rsidP="00660414">
      <w:pPr>
        <w:pStyle w:val="FootnoteText"/>
      </w:pPr>
      <w:r>
        <w:rPr>
          <w:rStyle w:val="FootnoteReference"/>
        </w:rPr>
        <w:footnoteRef/>
      </w:r>
      <w:r>
        <w:t xml:space="preserve"> To be a phased development in line with demand and considered with adjacent scheme at Galati</w:t>
      </w:r>
    </w:p>
  </w:footnote>
  <w:footnote w:id="33">
    <w:p w:rsidR="008B57DD" w:rsidRDefault="008B57DD" w:rsidP="00660414">
      <w:pPr>
        <w:pStyle w:val="FootnoteText"/>
      </w:pPr>
      <w:r>
        <w:rPr>
          <w:rStyle w:val="FootnoteReference"/>
        </w:rPr>
        <w:footnoteRef/>
      </w:r>
      <w:r>
        <w:t xml:space="preserve"> Romanian CAA, October 2013</w:t>
      </w:r>
    </w:p>
  </w:footnote>
  <w:footnote w:id="34">
    <w:p w:rsidR="008B57DD" w:rsidRPr="008D55A7" w:rsidRDefault="008B57DD" w:rsidP="00660414">
      <w:pPr>
        <w:pStyle w:val="FootnoteText"/>
        <w:rPr>
          <w:rFonts w:asciiTheme="minorHAnsi" w:hAnsiTheme="minorHAnsi"/>
          <w:sz w:val="16"/>
          <w:szCs w:val="16"/>
        </w:rPr>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w:t>
      </w:r>
      <w:r w:rsidRPr="008D55A7">
        <w:rPr>
          <w:rFonts w:asciiTheme="minorHAnsi" w:hAnsiTheme="minorHAnsi"/>
          <w:sz w:val="16"/>
          <w:szCs w:val="16"/>
          <w:lang w:eastAsia="en-GB"/>
        </w:rPr>
        <w:t>Source: Intermodal Strategy Romania 2020</w:t>
      </w:r>
    </w:p>
  </w:footnote>
  <w:footnote w:id="35">
    <w:p w:rsidR="008B57DD" w:rsidRDefault="008B57DD" w:rsidP="00660414">
      <w:pPr>
        <w:pStyle w:val="FootnoteText"/>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w:t>
      </w:r>
      <w:r w:rsidRPr="008D55A7">
        <w:rPr>
          <w:rFonts w:asciiTheme="minorHAnsi" w:hAnsiTheme="minorHAnsi"/>
          <w:sz w:val="16"/>
          <w:szCs w:val="16"/>
          <w:lang w:eastAsia="en-GB"/>
        </w:rPr>
        <w:t>Source: DIOMIS – Evolution of intermodal rail/road traffic in Central and Eastern European Countries by 2020, UIC, March 2010</w:t>
      </w:r>
    </w:p>
  </w:footnote>
  <w:footnote w:id="36">
    <w:p w:rsidR="008B57DD" w:rsidRPr="008D55A7" w:rsidRDefault="008B57DD" w:rsidP="00660414">
      <w:pPr>
        <w:pStyle w:val="FootnoteText"/>
        <w:rPr>
          <w:rFonts w:asciiTheme="minorHAnsi" w:hAnsiTheme="minorHAnsi"/>
          <w:sz w:val="16"/>
          <w:szCs w:val="16"/>
        </w:rPr>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AECOM 24 count, March 2013</w:t>
      </w:r>
    </w:p>
  </w:footnote>
  <w:footnote w:id="37">
    <w:p w:rsidR="008B57DD" w:rsidRPr="008D55A7" w:rsidRDefault="008B57DD" w:rsidP="00660414">
      <w:pPr>
        <w:pStyle w:val="FootnoteText"/>
        <w:rPr>
          <w:rFonts w:asciiTheme="minorHAnsi" w:hAnsiTheme="minorHAnsi"/>
          <w:sz w:val="16"/>
          <w:szCs w:val="16"/>
        </w:rPr>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Source – Constantza port handbook</w:t>
      </w:r>
    </w:p>
  </w:footnote>
  <w:footnote w:id="38">
    <w:p w:rsidR="008B57DD" w:rsidRPr="001903F0" w:rsidRDefault="008B57DD" w:rsidP="00433238">
      <w:pPr>
        <w:pStyle w:val="FootnoteText"/>
      </w:pPr>
      <w:r w:rsidRPr="001903F0">
        <w:footnoteRef/>
      </w:r>
      <w:r>
        <w:t xml:space="preserve"> Extract from EC DG Regio letter </w:t>
      </w:r>
      <w:r w:rsidRPr="001903F0">
        <w:t>E2/RI/ds (2013) 3331276</w:t>
      </w:r>
      <w:r>
        <w:t xml:space="preserve"> on 27/09/2014</w:t>
      </w:r>
    </w:p>
  </w:footnote>
  <w:footnote w:id="39">
    <w:p w:rsidR="008B57DD" w:rsidRPr="00EB283E" w:rsidRDefault="008B57DD" w:rsidP="00433238">
      <w:pPr>
        <w:pStyle w:val="FootnoteText"/>
        <w:rPr>
          <w:lang w:val="en-US"/>
        </w:rPr>
      </w:pPr>
      <w:r>
        <w:rPr>
          <w:rStyle w:val="FootnoteReference"/>
        </w:rPr>
        <w:footnoteRef/>
      </w:r>
      <w:r>
        <w:t xml:space="preserve"> </w:t>
      </w:r>
      <w:r>
        <w:rPr>
          <w:lang w:val="en-US"/>
        </w:rPr>
        <w:t>Romanian Government letter no. 57338 submitted to European Commission on 09/12/2013</w:t>
      </w:r>
    </w:p>
  </w:footnote>
  <w:footnote w:id="40">
    <w:p w:rsidR="008B57DD" w:rsidRPr="00722269" w:rsidRDefault="008B57DD" w:rsidP="00433238">
      <w:pPr>
        <w:pStyle w:val="FootnoteText"/>
        <w:rPr>
          <w:lang w:val="en-US"/>
        </w:rPr>
      </w:pPr>
      <w:r>
        <w:rPr>
          <w:rStyle w:val="FootnoteReference"/>
        </w:rPr>
        <w:footnoteRef/>
      </w:r>
      <w:r>
        <w:t xml:space="preserve"> </w:t>
      </w:r>
      <w:r>
        <w:rPr>
          <w:lang w:val="en-US"/>
        </w:rPr>
        <w:t>MT DG SMAE letter no. 8179 on 11.03.2014</w:t>
      </w:r>
    </w:p>
  </w:footnote>
  <w:footnote w:id="41">
    <w:p w:rsidR="008B57DD" w:rsidRPr="00581594" w:rsidRDefault="008B57DD" w:rsidP="00433238">
      <w:pPr>
        <w:pStyle w:val="FootnoteText"/>
        <w:rPr>
          <w:lang w:val="en-US"/>
        </w:rPr>
      </w:pPr>
      <w:r>
        <w:rPr>
          <w:rStyle w:val="FootnoteReference"/>
        </w:rPr>
        <w:footnoteRef/>
      </w:r>
      <w:r>
        <w:t xml:space="preserve"> </w:t>
      </w:r>
      <w:r>
        <w:rPr>
          <w:lang w:val="en-US"/>
        </w:rPr>
        <w:t>AECOM was informed by MT that the National co-financing for the EU Funded projects (Cohesion Funds and European Regional Development Fund), part of the 2014-2020 Operational Programme – Transport, is to be considered at 25% of the total eligible costs; a national co-financing rate of 15% is to be considered for the CEF programme</w:t>
      </w:r>
    </w:p>
  </w:footnote>
  <w:footnote w:id="42">
    <w:p w:rsidR="008B57DD" w:rsidRPr="0097100F" w:rsidRDefault="008B57DD" w:rsidP="00433238">
      <w:pPr>
        <w:pStyle w:val="FootnoteText"/>
        <w:rPr>
          <w:lang w:val="en-US"/>
        </w:rPr>
      </w:pPr>
      <w:r>
        <w:rPr>
          <w:rStyle w:val="FootnoteReference"/>
        </w:rPr>
        <w:footnoteRef/>
      </w:r>
      <w:r>
        <w:t xml:space="preserve"> </w:t>
      </w:r>
      <w:r>
        <w:rPr>
          <w:lang w:val="en-US"/>
        </w:rPr>
        <w:t>MT letter no. 26515 submitted to Ministry of Finance on 11/06/2013</w:t>
      </w:r>
    </w:p>
  </w:footnote>
  <w:footnote w:id="43">
    <w:p w:rsidR="008B57DD" w:rsidRPr="00D927E7" w:rsidRDefault="008B57DD" w:rsidP="00433238">
      <w:pPr>
        <w:pStyle w:val="FootnoteText"/>
        <w:rPr>
          <w:lang w:val="en-US"/>
        </w:rPr>
      </w:pPr>
      <w:r>
        <w:rPr>
          <w:rStyle w:val="FootnoteReference"/>
        </w:rPr>
        <w:footnoteRef/>
      </w:r>
      <w:r>
        <w:t xml:space="preserve"> </w:t>
      </w:r>
      <w:r w:rsidRPr="00D927E7">
        <w:t>http://cnp.ro/user/repository/prognoza_macroeconomica_2014--2017.pdf</w:t>
      </w:r>
    </w:p>
  </w:footnote>
  <w:footnote w:id="44">
    <w:p w:rsidR="008B57DD" w:rsidRPr="00EB283E" w:rsidRDefault="008B57DD" w:rsidP="006F73D1">
      <w:pPr>
        <w:pStyle w:val="FootnoteText"/>
        <w:rPr>
          <w:lang w:val="en-US"/>
        </w:rPr>
      </w:pPr>
      <w:r>
        <w:rPr>
          <w:rStyle w:val="FootnoteReference"/>
        </w:rPr>
        <w:footnoteRef/>
      </w:r>
      <w:r>
        <w:t xml:space="preserve"> </w:t>
      </w:r>
      <w:r>
        <w:rPr>
          <w:lang w:val="en-US"/>
        </w:rPr>
        <w:t>Romanian Government letter no. 57338 submitted to European Commission on 09/12/2013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588" w:rsidRDefault="004F158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4F1588">
      <w:rPr>
        <w:bCs/>
        <w:noProof/>
      </w:rPr>
      <w:t>20</w:t>
    </w:r>
    <w:r w:rsidRPr="00BD6C66">
      <w:rPr>
        <w:bCs/>
      </w:rPr>
      <w:fldChar w:fldCharType="end"/>
    </w:r>
  </w:p>
  <w:p w:rsidR="008B57DD" w:rsidRDefault="008B57DD">
    <w:pPr>
      <w:pStyle w:val="Header"/>
      <w:rPr>
        <w:vanish/>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4F1588">
      <w:rPr>
        <w:bCs/>
        <w:noProof/>
      </w:rPr>
      <w:t>90</w:t>
    </w:r>
    <w:r w:rsidRPr="00BD6C66">
      <w:rPr>
        <w:bCs/>
      </w:rPr>
      <w:fldChar w:fldCharType="end"/>
    </w:r>
  </w:p>
  <w:p w:rsidR="008B57DD" w:rsidRDefault="008B57DD">
    <w:pPr>
      <w:pStyle w:val="Header"/>
      <w:rPr>
        <w:vanish/>
      </w:rPr>
    </w:pPr>
  </w:p>
  <w:p w:rsidR="008B57DD" w:rsidRDefault="008B57DD"/>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sidRPr="00BD6C66">
      <w:rPr>
        <w:bCs/>
      </w:rPr>
      <w:t>Draft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4F1588">
      <w:rPr>
        <w:bCs/>
        <w:noProof/>
      </w:rPr>
      <w:t>119</w:t>
    </w:r>
    <w:r w:rsidRPr="00BD6C66">
      <w:rPr>
        <w:bCs/>
      </w:rPr>
      <w:fldChar w:fldCharType="end"/>
    </w:r>
  </w:p>
  <w:p w:rsidR="008B57DD" w:rsidRDefault="008B57DD">
    <w:pPr>
      <w:pStyle w:val="Header"/>
      <w:rPr>
        <w:vanish/>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sidRPr="00BD6C66">
      <w:rPr>
        <w:bCs/>
      </w:rPr>
      <w:t>Draft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4F1588">
      <w:rPr>
        <w:bCs/>
        <w:noProof/>
      </w:rPr>
      <w:t>140</w:t>
    </w:r>
    <w:r w:rsidRPr="00BD6C66">
      <w:rPr>
        <w:bCs/>
      </w:rPr>
      <w:fldChar w:fldCharType="end"/>
    </w:r>
  </w:p>
  <w:p w:rsidR="008B57DD" w:rsidRDefault="008B57DD">
    <w:pPr>
      <w:pStyle w:val="Header"/>
      <w:rPr>
        <w:vanish/>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BB4250">
      <w:rPr>
        <w:bCs/>
        <w:noProof/>
      </w:rPr>
      <w:t>193</w:t>
    </w:r>
    <w:r w:rsidRPr="00BD6C66">
      <w:rPr>
        <w:bCs/>
      </w:rPr>
      <w:fldChar w:fldCharType="end"/>
    </w:r>
  </w:p>
  <w:p w:rsidR="008B57DD" w:rsidRDefault="008B57DD">
    <w:pPr>
      <w:pStyle w:val="Header"/>
      <w:rPr>
        <w:vanish/>
      </w:rPr>
    </w:pPr>
  </w:p>
  <w:p w:rsidR="008B57DD" w:rsidRDefault="008B57DD"/>
  <w:p w:rsidR="008B57DD" w:rsidRDefault="008B57DD"/>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7613DE">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BB4250">
      <w:rPr>
        <w:bCs/>
        <w:noProof/>
      </w:rPr>
      <w:t>220</w:t>
    </w:r>
    <w:r w:rsidRPr="00BD6C66">
      <w:rPr>
        <w:bCs/>
      </w:rPr>
      <w:fldChar w:fldCharType="end"/>
    </w:r>
  </w:p>
  <w:p w:rsidR="008B57DD" w:rsidRDefault="008B57DD">
    <w:pPr>
      <w:pStyle w:val="Header"/>
      <w:rPr>
        <w:vanis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291" w:type="dxa"/>
      <w:tblLayout w:type="fixed"/>
      <w:tblCellMar>
        <w:left w:w="0" w:type="dxa"/>
        <w:right w:w="0" w:type="dxa"/>
      </w:tblCellMar>
      <w:tblLook w:val="01E0" w:firstRow="1" w:lastRow="1" w:firstColumn="1" w:lastColumn="1" w:noHBand="0" w:noVBand="0"/>
    </w:tblPr>
    <w:tblGrid>
      <w:gridCol w:w="2155"/>
      <w:gridCol w:w="2937"/>
      <w:gridCol w:w="170"/>
      <w:gridCol w:w="3328"/>
      <w:gridCol w:w="170"/>
      <w:gridCol w:w="1531"/>
    </w:tblGrid>
    <w:tr w:rsidR="008B57DD" w:rsidRPr="00A0326F" w:rsidTr="00B12539">
      <w:tc>
        <w:tcPr>
          <w:tcW w:w="2155" w:type="dxa"/>
        </w:tcPr>
        <w:p w:rsidR="008B57DD" w:rsidRPr="00A0326F" w:rsidRDefault="008B57DD" w:rsidP="00B12539">
          <w:pPr>
            <w:pStyle w:val="Header"/>
            <w:rPr>
              <w:szCs w:val="16"/>
            </w:rPr>
          </w:pPr>
        </w:p>
      </w:tc>
      <w:tc>
        <w:tcPr>
          <w:tcW w:w="2937" w:type="dxa"/>
        </w:tcPr>
        <w:p w:rsidR="008B57DD" w:rsidRPr="00A0326F" w:rsidRDefault="008B57DD" w:rsidP="00B12539">
          <w:pPr>
            <w:pStyle w:val="Header"/>
            <w:rPr>
              <w:b/>
              <w:sz w:val="24"/>
              <w:szCs w:val="24"/>
            </w:rPr>
          </w:pPr>
          <w:r w:rsidRPr="00A0326F">
            <w:rPr>
              <w:b/>
              <w:sz w:val="24"/>
              <w:szCs w:val="24"/>
            </w:rPr>
            <w:t>Transportation</w:t>
          </w:r>
        </w:p>
        <w:p w:rsidR="008B57DD" w:rsidRPr="00A0326F" w:rsidRDefault="008B57DD" w:rsidP="00B12539">
          <w:pPr>
            <w:pStyle w:val="Header"/>
            <w:rPr>
              <w:b/>
              <w:sz w:val="24"/>
              <w:szCs w:val="24"/>
            </w:rPr>
          </w:pPr>
        </w:p>
      </w:tc>
      <w:tc>
        <w:tcPr>
          <w:tcW w:w="170" w:type="dxa"/>
        </w:tcPr>
        <w:p w:rsidR="008B57DD" w:rsidRPr="00A0326F" w:rsidRDefault="008B57DD" w:rsidP="00B12539">
          <w:pPr>
            <w:pStyle w:val="Header"/>
            <w:rPr>
              <w:szCs w:val="16"/>
            </w:rPr>
          </w:pPr>
        </w:p>
      </w:tc>
      <w:tc>
        <w:tcPr>
          <w:tcW w:w="3328" w:type="dxa"/>
        </w:tcPr>
        <w:p w:rsidR="008B57DD" w:rsidRPr="00D2638C" w:rsidRDefault="008B57DD" w:rsidP="00B12539">
          <w:pPr>
            <w:pStyle w:val="Header"/>
            <w:rPr>
              <w:sz w:val="18"/>
              <w:szCs w:val="18"/>
              <w:lang w:val="ro-RO"/>
            </w:rPr>
          </w:pPr>
          <w:r>
            <w:rPr>
              <w:sz w:val="18"/>
              <w:szCs w:val="18"/>
            </w:rPr>
            <w:t>Government of Romania</w:t>
          </w:r>
        </w:p>
        <w:p w:rsidR="008B57DD" w:rsidRPr="00A0326F" w:rsidRDefault="008B57DD" w:rsidP="00B12539">
          <w:pPr>
            <w:pStyle w:val="Header"/>
            <w:rPr>
              <w:sz w:val="18"/>
              <w:szCs w:val="18"/>
            </w:rPr>
          </w:pPr>
          <w:r>
            <w:rPr>
              <w:sz w:val="18"/>
              <w:szCs w:val="18"/>
            </w:rPr>
            <w:t>Ministry of Transport</w:t>
          </w:r>
        </w:p>
      </w:tc>
      <w:tc>
        <w:tcPr>
          <w:tcW w:w="170" w:type="dxa"/>
        </w:tcPr>
        <w:p w:rsidR="008B57DD" w:rsidRPr="00A0326F" w:rsidRDefault="008B57DD" w:rsidP="00B12539">
          <w:pPr>
            <w:pStyle w:val="Header"/>
            <w:rPr>
              <w:szCs w:val="16"/>
            </w:rPr>
          </w:pPr>
        </w:p>
      </w:tc>
      <w:tc>
        <w:tcPr>
          <w:tcW w:w="1531" w:type="dxa"/>
        </w:tcPr>
        <w:p w:rsidR="008B57DD" w:rsidRPr="00A0326F" w:rsidRDefault="004F1588" w:rsidP="00B12539">
          <w:pPr>
            <w:pStyle w:val="Header"/>
            <w:rPr>
              <w:sz w:val="18"/>
              <w:szCs w:val="18"/>
            </w:rPr>
          </w:pPr>
          <w:r>
            <w:rPr>
              <w:sz w:val="18"/>
              <w:szCs w:val="18"/>
            </w:rPr>
            <w:t>Febru</w:t>
          </w:r>
          <w:r w:rsidR="008B57DD">
            <w:rPr>
              <w:sz w:val="18"/>
              <w:szCs w:val="18"/>
            </w:rPr>
            <w:t>ary 2015</w:t>
          </w:r>
        </w:p>
      </w:tc>
    </w:tr>
  </w:tbl>
  <w:p w:rsidR="008B57DD" w:rsidRPr="005C4DB7" w:rsidRDefault="008B57DD" w:rsidP="00B12539">
    <w:pPr>
      <w:pStyle w:val="Header"/>
    </w:pPr>
    <w:r>
      <w:rPr>
        <w:noProof/>
        <w:sz w:val="20"/>
        <w:lang w:val="ro-RO" w:eastAsia="ro-RO"/>
      </w:rPr>
      <w:drawing>
        <wp:anchor distT="0" distB="0" distL="114300" distR="114300" simplePos="0" relativeHeight="251658240" behindDoc="1" locked="1" layoutInCell="1" allowOverlap="1" wp14:anchorId="416C654D" wp14:editId="767722D2">
          <wp:simplePos x="0" y="0"/>
          <wp:positionH relativeFrom="page">
            <wp:posOffset>-103505</wp:posOffset>
          </wp:positionH>
          <wp:positionV relativeFrom="page">
            <wp:posOffset>-286385</wp:posOffset>
          </wp:positionV>
          <wp:extent cx="1686560" cy="1104900"/>
          <wp:effectExtent l="19050" t="0" r="8890" b="0"/>
          <wp:wrapNone/>
          <wp:docPr id="89" name="Picture 24"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a:srcRect/>
                  <a:stretch>
                    <a:fillRect/>
                  </a:stretch>
                </pic:blipFill>
                <pic:spPr bwMode="auto">
                  <a:xfrm>
                    <a:off x="0" y="0"/>
                    <a:ext cx="1686560" cy="1104900"/>
                  </a:xfrm>
                  <a:prstGeom prst="rect">
                    <a:avLst/>
                  </a:prstGeom>
                  <a:noFill/>
                  <a:ln w="9525">
                    <a:noFill/>
                    <a:miter lim="800000"/>
                    <a:headEnd/>
                    <a:tailEnd/>
                  </a:ln>
                </pic:spPr>
              </pic:pic>
            </a:graphicData>
          </a:graphic>
        </wp:anchor>
      </w:drawing>
    </w:r>
  </w:p>
  <w:p w:rsidR="008B57DD" w:rsidRPr="005C4DB7" w:rsidRDefault="008B57DD" w:rsidP="00B12539">
    <w:pPr>
      <w:pStyle w:val="Header"/>
      <w:rPr>
        <w:vanish/>
      </w:rPr>
    </w:pPr>
    <w:r>
      <w:rPr>
        <w:noProof/>
        <w:sz w:val="20"/>
        <w:lang w:val="ro-RO" w:eastAsia="ro-RO"/>
      </w:rPr>
      <w:drawing>
        <wp:anchor distT="0" distB="0" distL="114300" distR="114300" simplePos="0" relativeHeight="251668480" behindDoc="1" locked="1" layoutInCell="1" allowOverlap="1" wp14:anchorId="537FC90D" wp14:editId="6850CDD0">
          <wp:simplePos x="0" y="0"/>
          <wp:positionH relativeFrom="page">
            <wp:posOffset>7157720</wp:posOffset>
          </wp:positionH>
          <wp:positionV relativeFrom="page">
            <wp:posOffset>10290175</wp:posOffset>
          </wp:positionV>
          <wp:extent cx="177165" cy="179705"/>
          <wp:effectExtent l="19050" t="0" r="0" b="0"/>
          <wp:wrapNone/>
          <wp:docPr id="90" name="Picture 90"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2"/>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7456" behindDoc="1" locked="1" layoutInCell="1" allowOverlap="1" wp14:anchorId="7EF49972" wp14:editId="08AFB868">
          <wp:simplePos x="0" y="0"/>
          <wp:positionH relativeFrom="page">
            <wp:posOffset>231140</wp:posOffset>
          </wp:positionH>
          <wp:positionV relativeFrom="page">
            <wp:posOffset>10290175</wp:posOffset>
          </wp:positionV>
          <wp:extent cx="177165" cy="175895"/>
          <wp:effectExtent l="19050" t="0" r="0" b="0"/>
          <wp:wrapNone/>
          <wp:docPr id="91"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3"/>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6432" behindDoc="1" locked="1" layoutInCell="1" allowOverlap="1" wp14:anchorId="58422959" wp14:editId="7D3924AE">
          <wp:simplePos x="0" y="0"/>
          <wp:positionH relativeFrom="page">
            <wp:posOffset>7157720</wp:posOffset>
          </wp:positionH>
          <wp:positionV relativeFrom="page">
            <wp:posOffset>7863205</wp:posOffset>
          </wp:positionV>
          <wp:extent cx="177800" cy="175895"/>
          <wp:effectExtent l="19050" t="0" r="0" b="0"/>
          <wp:wrapNone/>
          <wp:docPr id="94"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3360" behindDoc="1" locked="1" layoutInCell="1" allowOverlap="1" wp14:anchorId="14410FE4" wp14:editId="1F0B47DE">
          <wp:simplePos x="0" y="0"/>
          <wp:positionH relativeFrom="page">
            <wp:posOffset>226695</wp:posOffset>
          </wp:positionH>
          <wp:positionV relativeFrom="page">
            <wp:posOffset>7863205</wp:posOffset>
          </wp:positionV>
          <wp:extent cx="177165" cy="179705"/>
          <wp:effectExtent l="19050" t="0" r="0" b="0"/>
          <wp:wrapNone/>
          <wp:docPr id="104"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5408" behindDoc="1" locked="1" layoutInCell="1" allowOverlap="1" wp14:anchorId="0ED0BF4E" wp14:editId="7947DAE4">
          <wp:simplePos x="0" y="0"/>
          <wp:positionH relativeFrom="page">
            <wp:posOffset>7157720</wp:posOffset>
          </wp:positionH>
          <wp:positionV relativeFrom="page">
            <wp:posOffset>6012815</wp:posOffset>
          </wp:positionV>
          <wp:extent cx="177165" cy="175895"/>
          <wp:effectExtent l="19050" t="0" r="0" b="0"/>
          <wp:wrapNone/>
          <wp:docPr id="171"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2336" behindDoc="1" locked="1" layoutInCell="1" allowOverlap="1" wp14:anchorId="54A54893" wp14:editId="63DE10E2">
          <wp:simplePos x="0" y="0"/>
          <wp:positionH relativeFrom="page">
            <wp:posOffset>227965</wp:posOffset>
          </wp:positionH>
          <wp:positionV relativeFrom="page">
            <wp:posOffset>6012815</wp:posOffset>
          </wp:positionV>
          <wp:extent cx="177165" cy="179705"/>
          <wp:effectExtent l="19050" t="0" r="0" b="0"/>
          <wp:wrapNone/>
          <wp:docPr id="172"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4384" behindDoc="1" locked="1" layoutInCell="1" allowOverlap="1" wp14:anchorId="593A9401" wp14:editId="374CC567">
          <wp:simplePos x="0" y="0"/>
          <wp:positionH relativeFrom="page">
            <wp:posOffset>7157720</wp:posOffset>
          </wp:positionH>
          <wp:positionV relativeFrom="page">
            <wp:posOffset>4162425</wp:posOffset>
          </wp:positionV>
          <wp:extent cx="177800" cy="175895"/>
          <wp:effectExtent l="19050" t="0" r="0" b="0"/>
          <wp:wrapNone/>
          <wp:docPr id="173"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1312" behindDoc="1" locked="1" layoutInCell="1" allowOverlap="1" wp14:anchorId="173DCE7F" wp14:editId="39279BF4">
          <wp:simplePos x="0" y="0"/>
          <wp:positionH relativeFrom="page">
            <wp:posOffset>226695</wp:posOffset>
          </wp:positionH>
          <wp:positionV relativeFrom="page">
            <wp:posOffset>4162425</wp:posOffset>
          </wp:positionV>
          <wp:extent cx="177165" cy="179705"/>
          <wp:effectExtent l="19050" t="0" r="0" b="0"/>
          <wp:wrapNone/>
          <wp:docPr id="174"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60288" behindDoc="1" locked="1" layoutInCell="1" allowOverlap="1" wp14:anchorId="3F96B3DC" wp14:editId="137EDF0F">
          <wp:simplePos x="0" y="0"/>
          <wp:positionH relativeFrom="page">
            <wp:posOffset>7157720</wp:posOffset>
          </wp:positionH>
          <wp:positionV relativeFrom="page">
            <wp:posOffset>2311400</wp:posOffset>
          </wp:positionV>
          <wp:extent cx="177800" cy="175895"/>
          <wp:effectExtent l="19050" t="0" r="0" b="0"/>
          <wp:wrapNone/>
          <wp:docPr id="175"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9264" behindDoc="1" locked="1" layoutInCell="1" allowOverlap="1" wp14:anchorId="053FF7A7" wp14:editId="020C73CD">
          <wp:simplePos x="0" y="0"/>
          <wp:positionH relativeFrom="page">
            <wp:posOffset>226695</wp:posOffset>
          </wp:positionH>
          <wp:positionV relativeFrom="page">
            <wp:posOffset>2311400</wp:posOffset>
          </wp:positionV>
          <wp:extent cx="177800" cy="180340"/>
          <wp:effectExtent l="19050" t="0" r="0" b="0"/>
          <wp:wrapNone/>
          <wp:docPr id="176"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800" cy="180340"/>
                  </a:xfrm>
                  <a:prstGeom prst="rect">
                    <a:avLst/>
                  </a:prstGeom>
                  <a:noFill/>
                  <a:ln w="9525">
                    <a:noFill/>
                    <a:miter lim="800000"/>
                    <a:headEnd/>
                    <a:tailEnd/>
                  </a:ln>
                </pic:spPr>
              </pic:pic>
            </a:graphicData>
          </a:graphic>
        </wp:anchor>
      </w:drawing>
    </w:r>
  </w:p>
  <w:p w:rsidR="008B57DD" w:rsidRPr="008F04A3" w:rsidRDefault="008B57DD" w:rsidP="00B12539">
    <w:pPr>
      <w:pStyle w:val="Header"/>
      <w:rPr>
        <w:szCs w:val="16"/>
      </w:rPr>
    </w:pPr>
  </w:p>
  <w:p w:rsidR="008B57DD" w:rsidRDefault="008B57DD" w:rsidP="00EF7388"/>
  <w:p w:rsidR="008B57DD" w:rsidRPr="005C4DB7" w:rsidRDefault="008B57DD">
    <w:pPr>
      <w:pStyle w:val="Header"/>
      <w:rPr>
        <w:vanish/>
      </w:rPr>
    </w:pPr>
    <w:r>
      <w:rPr>
        <w:noProof/>
        <w:sz w:val="20"/>
        <w:lang w:val="ro-RO" w:eastAsia="ro-RO"/>
      </w:rPr>
      <w:drawing>
        <wp:anchor distT="0" distB="0" distL="114300" distR="114300" simplePos="0" relativeHeight="251655168" behindDoc="1" locked="1" layoutInCell="1" allowOverlap="1" wp14:anchorId="32C32071" wp14:editId="02C065E6">
          <wp:simplePos x="0" y="0"/>
          <wp:positionH relativeFrom="page">
            <wp:posOffset>7157720</wp:posOffset>
          </wp:positionH>
          <wp:positionV relativeFrom="page">
            <wp:posOffset>10290175</wp:posOffset>
          </wp:positionV>
          <wp:extent cx="177165" cy="179705"/>
          <wp:effectExtent l="19050" t="0" r="0" b="0"/>
          <wp:wrapNone/>
          <wp:docPr id="177"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2"/>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4144" behindDoc="1" locked="1" layoutInCell="1" allowOverlap="1" wp14:anchorId="2A11E0AD" wp14:editId="0AE52891">
          <wp:simplePos x="0" y="0"/>
          <wp:positionH relativeFrom="page">
            <wp:posOffset>231140</wp:posOffset>
          </wp:positionH>
          <wp:positionV relativeFrom="page">
            <wp:posOffset>10290175</wp:posOffset>
          </wp:positionV>
          <wp:extent cx="177165" cy="175895"/>
          <wp:effectExtent l="19050" t="0" r="0" b="0"/>
          <wp:wrapNone/>
          <wp:docPr id="178"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3"/>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3120" behindDoc="1" locked="1" layoutInCell="1" allowOverlap="1" wp14:anchorId="1451F362" wp14:editId="26F2ACA0">
          <wp:simplePos x="0" y="0"/>
          <wp:positionH relativeFrom="page">
            <wp:posOffset>7157720</wp:posOffset>
          </wp:positionH>
          <wp:positionV relativeFrom="page">
            <wp:posOffset>7863205</wp:posOffset>
          </wp:positionV>
          <wp:extent cx="177800" cy="175895"/>
          <wp:effectExtent l="19050" t="0" r="0" b="0"/>
          <wp:wrapNone/>
          <wp:docPr id="179"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0048" behindDoc="1" locked="1" layoutInCell="1" allowOverlap="1" wp14:anchorId="46D54E8A" wp14:editId="0032EADD">
          <wp:simplePos x="0" y="0"/>
          <wp:positionH relativeFrom="page">
            <wp:posOffset>226695</wp:posOffset>
          </wp:positionH>
          <wp:positionV relativeFrom="page">
            <wp:posOffset>7863205</wp:posOffset>
          </wp:positionV>
          <wp:extent cx="177165" cy="179705"/>
          <wp:effectExtent l="19050" t="0" r="0" b="0"/>
          <wp:wrapNone/>
          <wp:docPr id="180"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2096" behindDoc="1" locked="1" layoutInCell="1" allowOverlap="1" wp14:anchorId="3C68D4E3" wp14:editId="1CBBCF93">
          <wp:simplePos x="0" y="0"/>
          <wp:positionH relativeFrom="page">
            <wp:posOffset>7157720</wp:posOffset>
          </wp:positionH>
          <wp:positionV relativeFrom="page">
            <wp:posOffset>6012815</wp:posOffset>
          </wp:positionV>
          <wp:extent cx="177165" cy="175895"/>
          <wp:effectExtent l="19050" t="0" r="0" b="0"/>
          <wp:wrapNone/>
          <wp:docPr id="181"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49024" behindDoc="1" locked="1" layoutInCell="1" allowOverlap="1" wp14:anchorId="6C170AB9" wp14:editId="4B03509F">
          <wp:simplePos x="0" y="0"/>
          <wp:positionH relativeFrom="page">
            <wp:posOffset>227965</wp:posOffset>
          </wp:positionH>
          <wp:positionV relativeFrom="page">
            <wp:posOffset>6012815</wp:posOffset>
          </wp:positionV>
          <wp:extent cx="177165" cy="179705"/>
          <wp:effectExtent l="19050" t="0" r="0" b="0"/>
          <wp:wrapNone/>
          <wp:docPr id="182"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51072" behindDoc="1" locked="1" layoutInCell="1" allowOverlap="1" wp14:anchorId="5938AF83" wp14:editId="6EB226EE">
          <wp:simplePos x="0" y="0"/>
          <wp:positionH relativeFrom="page">
            <wp:posOffset>7157720</wp:posOffset>
          </wp:positionH>
          <wp:positionV relativeFrom="page">
            <wp:posOffset>4162425</wp:posOffset>
          </wp:positionV>
          <wp:extent cx="177800" cy="175895"/>
          <wp:effectExtent l="19050" t="0" r="0" b="0"/>
          <wp:wrapNone/>
          <wp:docPr id="183"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48000" behindDoc="1" locked="1" layoutInCell="1" allowOverlap="1" wp14:anchorId="438C5958" wp14:editId="7A4C598F">
          <wp:simplePos x="0" y="0"/>
          <wp:positionH relativeFrom="page">
            <wp:posOffset>226695</wp:posOffset>
          </wp:positionH>
          <wp:positionV relativeFrom="page">
            <wp:posOffset>4162425</wp:posOffset>
          </wp:positionV>
          <wp:extent cx="177165" cy="179705"/>
          <wp:effectExtent l="19050" t="0" r="0" b="0"/>
          <wp:wrapNone/>
          <wp:docPr id="184"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46976" behindDoc="1" locked="1" layoutInCell="1" allowOverlap="1" wp14:anchorId="5E14C5EC" wp14:editId="5DF9DC0E">
          <wp:simplePos x="0" y="0"/>
          <wp:positionH relativeFrom="page">
            <wp:posOffset>7157720</wp:posOffset>
          </wp:positionH>
          <wp:positionV relativeFrom="page">
            <wp:posOffset>2311400</wp:posOffset>
          </wp:positionV>
          <wp:extent cx="177800" cy="175895"/>
          <wp:effectExtent l="19050" t="0" r="0" b="0"/>
          <wp:wrapNone/>
          <wp:docPr id="185"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sz w:val="20"/>
        <w:lang w:val="ro-RO" w:eastAsia="ro-RO"/>
      </w:rPr>
      <w:drawing>
        <wp:anchor distT="0" distB="0" distL="114300" distR="114300" simplePos="0" relativeHeight="251645952" behindDoc="1" locked="1" layoutInCell="1" allowOverlap="1" wp14:anchorId="557BDF73" wp14:editId="0C381ADE">
          <wp:simplePos x="0" y="0"/>
          <wp:positionH relativeFrom="page">
            <wp:posOffset>226695</wp:posOffset>
          </wp:positionH>
          <wp:positionV relativeFrom="page">
            <wp:posOffset>2311400</wp:posOffset>
          </wp:positionV>
          <wp:extent cx="177800" cy="180340"/>
          <wp:effectExtent l="19050" t="0" r="0" b="0"/>
          <wp:wrapNone/>
          <wp:docPr id="186"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800" cy="180340"/>
                  </a:xfrm>
                  <a:prstGeom prst="rect">
                    <a:avLst/>
                  </a:prstGeom>
                  <a:noFill/>
                  <a:ln w="9525">
                    <a:noFill/>
                    <a:miter lim="800000"/>
                    <a:headEnd/>
                    <a:tailEnd/>
                  </a:ln>
                </pic:spPr>
              </pic:pic>
            </a:graphicData>
          </a:graphic>
        </wp:anchor>
      </w:drawing>
    </w:r>
  </w:p>
  <w:p w:rsidR="008B57DD" w:rsidRPr="005C4DB7" w:rsidRDefault="008B57DD">
    <w:pPr>
      <w:pStyle w:val="Header"/>
      <w:rPr>
        <w:vanish/>
      </w:rPr>
    </w:pPr>
  </w:p>
  <w:p w:rsidR="008B57DD" w:rsidRPr="008F04A3" w:rsidRDefault="008B57DD">
    <w:pPr>
      <w:pStyle w:val="Header"/>
      <w:rPr>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BB4250">
      <w:rPr>
        <w:bCs/>
        <w:noProof/>
      </w:rPr>
      <w:t>347</w:t>
    </w:r>
    <w:r w:rsidRPr="00BD6C66">
      <w:rPr>
        <w:bCs/>
      </w:rPr>
      <w:fldChar w:fldCharType="end"/>
    </w:r>
  </w:p>
  <w:p w:rsidR="008B57DD" w:rsidRDefault="008B57DD">
    <w:pPr>
      <w:pStyle w:val="Header"/>
      <w:rPr>
        <w:vanish/>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BB4250">
      <w:rPr>
        <w:bCs/>
        <w:noProof/>
      </w:rPr>
      <w:t>349</w:t>
    </w:r>
    <w:r w:rsidRPr="00BD6C66">
      <w:rPr>
        <w:bCs/>
      </w:rPr>
      <w:fldChar w:fldCharType="end"/>
    </w:r>
  </w:p>
  <w:p w:rsidR="008B57DD" w:rsidRDefault="008B57DD">
    <w:pPr>
      <w:pStyle w:val="Header"/>
      <w:rPr>
        <w:vanish/>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BB4250">
      <w:rPr>
        <w:bCs/>
        <w:noProof/>
      </w:rPr>
      <w:t>395</w:t>
    </w:r>
    <w:r w:rsidRPr="00BD6C66">
      <w:rPr>
        <w:bCs/>
      </w:rPr>
      <w:fldChar w:fldCharType="end"/>
    </w:r>
  </w:p>
  <w:p w:rsidR="008B57DD" w:rsidRDefault="008B57DD">
    <w:pPr>
      <w:pStyle w:val="Header"/>
      <w:rPr>
        <w:vanish/>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492</w:t>
    </w:r>
    <w:r w:rsidRPr="00BD6C66">
      <w:rPr>
        <w:bCs/>
      </w:rPr>
      <w:fldChar w:fldCharType="end"/>
    </w:r>
  </w:p>
  <w:p w:rsidR="008B57DD" w:rsidRDefault="008B57DD">
    <w:pPr>
      <w:pStyle w:val="Header"/>
      <w:rPr>
        <w:vanish/>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522</w:t>
    </w:r>
    <w:r w:rsidRPr="00BD6C66">
      <w:rPr>
        <w:bCs/>
      </w:rPr>
      <w:fldChar w:fldCharType="end"/>
    </w:r>
  </w:p>
  <w:p w:rsidR="008B57DD" w:rsidRDefault="008B57DD">
    <w:pPr>
      <w:pStyle w:val="Header"/>
      <w:rPr>
        <w:vanish/>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545</w:t>
    </w:r>
    <w:r w:rsidRPr="00BD6C66">
      <w:rPr>
        <w:bCs/>
      </w:rPr>
      <w:fldChar w:fldCharType="end"/>
    </w:r>
  </w:p>
  <w:p w:rsidR="008B57DD" w:rsidRDefault="008B57DD">
    <w:pPr>
      <w:pStyle w:val="Header"/>
      <w:rPr>
        <w:vanish/>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588" w:rsidRDefault="004F1588">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551</w:t>
    </w:r>
    <w:r w:rsidRPr="00BD6C66">
      <w:rPr>
        <w:bCs/>
      </w:rPr>
      <w:fldChar w:fldCharType="end"/>
    </w:r>
  </w:p>
  <w:p w:rsidR="008B57DD" w:rsidRDefault="008B57DD">
    <w:pPr>
      <w:pStyle w:val="Header"/>
      <w:rPr>
        <w:vanish/>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596</w:t>
    </w:r>
    <w:r w:rsidRPr="00BD6C66">
      <w:rPr>
        <w:bCs/>
      </w:rPr>
      <w:fldChar w:fldCharType="end"/>
    </w:r>
  </w:p>
  <w:p w:rsidR="008B57DD" w:rsidRDefault="008B57DD">
    <w:pPr>
      <w:pStyle w:val="Header"/>
      <w:rPr>
        <w:vanish/>
      </w:rPr>
    </w:pPr>
  </w:p>
  <w:p w:rsidR="008B57DD" w:rsidRDefault="008B57DD"/>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w:t>
    </w:r>
    <w:r w:rsidRPr="00BD6C66">
      <w:rPr>
        <w:bCs/>
      </w:rPr>
      <w:t xml:space="preserve"> Final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599</w:t>
    </w:r>
    <w:r w:rsidRPr="00BD6C66">
      <w:rPr>
        <w:bCs/>
      </w:rPr>
      <w:fldChar w:fldCharType="end"/>
    </w:r>
  </w:p>
  <w:p w:rsidR="008B57DD" w:rsidRDefault="008B57DD">
    <w:pPr>
      <w:pStyle w:val="Header"/>
      <w:rPr>
        <w:vanish/>
      </w:rPr>
    </w:pPr>
  </w:p>
  <w:p w:rsidR="008B57DD" w:rsidRDefault="008B57DD"/>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290447" w:rsidRDefault="008B57DD" w:rsidP="00E01E44">
    <w:pPr>
      <w:pStyle w:val="Header"/>
      <w:jc w:val="center"/>
      <w:rPr>
        <w:bCs/>
      </w:rPr>
    </w:pPr>
    <w:r w:rsidRPr="00290447">
      <w:rPr>
        <w:bCs/>
      </w:rPr>
      <w:t>AECOM</w:t>
    </w:r>
    <w:r w:rsidRPr="00290447">
      <w:rPr>
        <w:b/>
        <w:bCs/>
      </w:rPr>
      <w:t xml:space="preserve">                                                              </w:t>
    </w:r>
    <w:r>
      <w:rPr>
        <w:bCs/>
      </w:rPr>
      <w:t>Revised</w:t>
    </w:r>
    <w:r w:rsidRPr="00290447">
      <w:rPr>
        <w:bCs/>
      </w:rPr>
      <w:t xml:space="preserve"> Final Report on the Master Plan Short, Medium and Long Term</w:t>
    </w:r>
    <w:r w:rsidRPr="00290447">
      <w:rPr>
        <w:bCs/>
      </w:rPr>
      <w:tab/>
    </w:r>
    <w:r w:rsidRPr="00290447">
      <w:rPr>
        <w:bCs/>
      </w:rPr>
      <w:fldChar w:fldCharType="begin"/>
    </w:r>
    <w:r w:rsidRPr="00290447">
      <w:rPr>
        <w:bCs/>
      </w:rPr>
      <w:instrText xml:space="preserve"> PAGE </w:instrText>
    </w:r>
    <w:r w:rsidRPr="00290447">
      <w:rPr>
        <w:bCs/>
      </w:rPr>
      <w:fldChar w:fldCharType="separate"/>
    </w:r>
    <w:r>
      <w:rPr>
        <w:bCs/>
        <w:noProof/>
      </w:rPr>
      <w:t>605</w:t>
    </w:r>
    <w:r w:rsidRPr="00290447">
      <w:rPr>
        <w:bCs/>
      </w:rPr>
      <w:fldChar w:fldCharType="end"/>
    </w:r>
  </w:p>
  <w:p w:rsidR="008B57DD" w:rsidRDefault="008B57DD">
    <w:pPr>
      <w:pStyle w:val="Header"/>
      <w:rPr>
        <w:vanish/>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ind w:left="-360"/>
    </w:pPr>
    <w:r>
      <w:rPr>
        <w:noProof/>
        <w:lang w:val="ro-RO" w:eastAsia="ro-RO"/>
      </w:rPr>
      <w:drawing>
        <wp:anchor distT="0" distB="0" distL="114300" distR="114300" simplePos="0" relativeHeight="251669504" behindDoc="0" locked="0" layoutInCell="1" allowOverlap="1" wp14:anchorId="0B4799DB" wp14:editId="54E60F05">
          <wp:simplePos x="0" y="0"/>
          <wp:positionH relativeFrom="column">
            <wp:align>center</wp:align>
          </wp:positionH>
          <wp:positionV relativeFrom="paragraph">
            <wp:posOffset>114300</wp:posOffset>
          </wp:positionV>
          <wp:extent cx="6267450" cy="933450"/>
          <wp:effectExtent l="19050" t="0" r="0" b="0"/>
          <wp:wrapTopAndBottom/>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6274435" cy="929640"/>
                  </a:xfrm>
                  <a:prstGeom prst="rect">
                    <a:avLst/>
                  </a:prstGeom>
                  <a:noFill/>
                  <a:ln w="9525">
                    <a:noFill/>
                    <a:miter lim="800000"/>
                    <a:headEnd/>
                    <a:tailEnd/>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ind w:lef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rsidP="00361223">
    <w:pPr>
      <w:pStyle w:val="Header"/>
      <w:rPr>
        <w:rStyle w:val="PageNumber"/>
      </w:rPr>
    </w:pPr>
    <w:r w:rsidRPr="004E1903">
      <w:rPr>
        <w:bCs/>
      </w:rPr>
      <w:t>AECOM</w:t>
    </w:r>
    <w:r>
      <w:rPr>
        <w:b/>
        <w:bCs/>
      </w:rPr>
      <w:t xml:space="preserve">                                                              </w:t>
    </w:r>
    <w:r>
      <w:t>Revised</w:t>
    </w:r>
    <w:r w:rsidRPr="00BD6C66">
      <w:t xml:space="preserve"> Final Report on the Master Plan Short, Medium and Long Term</w:t>
    </w:r>
    <w:r>
      <w:tab/>
    </w:r>
    <w:r>
      <w:rPr>
        <w:rStyle w:val="PageNumber"/>
      </w:rPr>
      <w:fldChar w:fldCharType="begin"/>
    </w:r>
    <w:r>
      <w:rPr>
        <w:rStyle w:val="PageNumber"/>
      </w:rPr>
      <w:instrText xml:space="preserve"> PAGE </w:instrText>
    </w:r>
    <w:r>
      <w:rPr>
        <w:rStyle w:val="PageNumber"/>
      </w:rPr>
      <w:fldChar w:fldCharType="separate"/>
    </w:r>
    <w:r w:rsidR="004F1588">
      <w:rPr>
        <w:rStyle w:val="PageNumber"/>
        <w:noProof/>
      </w:rPr>
      <w:t>10</w:t>
    </w:r>
    <w:r>
      <w:rPr>
        <w:rStyle w:val="PageNumber"/>
      </w:rPr>
      <w:fldChar w:fldCharType="end"/>
    </w:r>
  </w:p>
  <w:p w:rsidR="008B57DD" w:rsidRDefault="008B57DD">
    <w:pPr>
      <w:pStyle w:val="Header"/>
      <w:ind w:lef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pPr>
      <w:pStyle w:val="Header"/>
      <w:rPr>
        <w:rStyle w:val="PageNumber"/>
      </w:rPr>
    </w:pPr>
    <w:r w:rsidRPr="004E1903">
      <w:rPr>
        <w:bCs/>
      </w:rPr>
      <w:t>AECOM</w:t>
    </w:r>
    <w:r>
      <w:rPr>
        <w:b/>
        <w:bCs/>
      </w:rPr>
      <w:t xml:space="preserve">                                                              </w:t>
    </w:r>
    <w:r>
      <w:t>Revised</w:t>
    </w:r>
    <w:r w:rsidRPr="00BD6C66">
      <w:t xml:space="preserve"> Final Report on the Master Plan Short, Medium and Long Term</w:t>
    </w:r>
    <w:r>
      <w:tab/>
    </w:r>
    <w:r>
      <w:rPr>
        <w:rStyle w:val="PageNumber"/>
      </w:rPr>
      <w:fldChar w:fldCharType="begin"/>
    </w:r>
    <w:r>
      <w:rPr>
        <w:rStyle w:val="PageNumber"/>
      </w:rPr>
      <w:instrText xml:space="preserve"> PAGE </w:instrText>
    </w:r>
    <w:r>
      <w:rPr>
        <w:rStyle w:val="PageNumber"/>
      </w:rPr>
      <w:fldChar w:fldCharType="separate"/>
    </w:r>
    <w:r w:rsidR="004F1588">
      <w:rPr>
        <w:rStyle w:val="PageNumber"/>
        <w:noProof/>
      </w:rPr>
      <w:t>11</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Default="008B57D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7DD" w:rsidRPr="00BD6C66" w:rsidRDefault="008B57DD" w:rsidP="00BD6C66">
    <w:pPr>
      <w:pStyle w:val="Header"/>
      <w:rPr>
        <w:bCs/>
      </w:rPr>
    </w:pPr>
    <w:r w:rsidRPr="00BD6C66">
      <w:rPr>
        <w:bCs/>
      </w:rPr>
      <w:t>AECOM</w:t>
    </w:r>
    <w:r w:rsidRPr="00BD6C66">
      <w:rPr>
        <w:b/>
        <w:bCs/>
      </w:rPr>
      <w:t xml:space="preserve">                                                              </w:t>
    </w:r>
    <w:r>
      <w:rPr>
        <w:bCs/>
      </w:rPr>
      <w:t>Revised Final</w:t>
    </w:r>
    <w:r w:rsidRPr="00BD6C66">
      <w:rPr>
        <w:bCs/>
      </w:rPr>
      <w:t xml:space="preserve"> Report on the Master Plan Short, Medium and Long Term</w:t>
    </w:r>
    <w:r w:rsidRPr="00BD6C66">
      <w:rPr>
        <w:bCs/>
      </w:rPr>
      <w:tab/>
    </w:r>
    <w:r w:rsidRPr="00BD6C66">
      <w:rPr>
        <w:bCs/>
      </w:rPr>
      <w:fldChar w:fldCharType="begin"/>
    </w:r>
    <w:r w:rsidRPr="00BD6C66">
      <w:rPr>
        <w:bCs/>
      </w:rPr>
      <w:instrText xml:space="preserve"> PAGE </w:instrText>
    </w:r>
    <w:r w:rsidRPr="00BD6C66">
      <w:rPr>
        <w:bCs/>
      </w:rPr>
      <w:fldChar w:fldCharType="separate"/>
    </w:r>
    <w:r w:rsidR="004F1588">
      <w:rPr>
        <w:bCs/>
        <w:noProof/>
      </w:rPr>
      <w:t>14</w:t>
    </w:r>
    <w:r w:rsidRPr="00BD6C66">
      <w:rPr>
        <w:bCs/>
      </w:rPr>
      <w:fldChar w:fldCharType="end"/>
    </w:r>
  </w:p>
  <w:p w:rsidR="008B57DD" w:rsidRDefault="008B57DD">
    <w:pPr>
      <w:pStyle w:val="Header"/>
      <w:rPr>
        <w:vanish/>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896C458"/>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97E5D74"/>
    <w:lvl w:ilvl="0">
      <w:start w:val="1"/>
      <w:numFmt w:val="decimal"/>
      <w:pStyle w:val="ListNumber4"/>
      <w:lvlText w:val="%1."/>
      <w:lvlJc w:val="left"/>
      <w:pPr>
        <w:tabs>
          <w:tab w:val="num" w:pos="1209"/>
        </w:tabs>
        <w:ind w:left="1209" w:hanging="360"/>
      </w:pPr>
    </w:lvl>
  </w:abstractNum>
  <w:abstractNum w:abstractNumId="2">
    <w:nsid w:val="FFFFFF7F"/>
    <w:multiLevelType w:val="singleLevel"/>
    <w:tmpl w:val="8F600356"/>
    <w:lvl w:ilvl="0">
      <w:start w:val="1"/>
      <w:numFmt w:val="decimal"/>
      <w:pStyle w:val="ListNumber2"/>
      <w:lvlText w:val="%1."/>
      <w:lvlJc w:val="left"/>
      <w:pPr>
        <w:tabs>
          <w:tab w:val="num" w:pos="643"/>
        </w:tabs>
        <w:ind w:left="643" w:hanging="360"/>
      </w:pPr>
    </w:lvl>
  </w:abstractNum>
  <w:abstractNum w:abstractNumId="3">
    <w:nsid w:val="FFFFFF80"/>
    <w:multiLevelType w:val="singleLevel"/>
    <w:tmpl w:val="637E3ED2"/>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23DC28B0"/>
    <w:lvl w:ilvl="0">
      <w:start w:val="1"/>
      <w:numFmt w:val="bullet"/>
      <w:pStyle w:val="ListBullet4"/>
      <w:lvlText w:val=""/>
      <w:lvlJc w:val="left"/>
      <w:pPr>
        <w:tabs>
          <w:tab w:val="num" w:pos="1209"/>
        </w:tabs>
        <w:ind w:left="1209" w:hanging="360"/>
      </w:pPr>
      <w:rPr>
        <w:rFonts w:ascii="Symbol" w:hAnsi="Symbol" w:hint="default"/>
      </w:rPr>
    </w:lvl>
  </w:abstractNum>
  <w:abstractNum w:abstractNumId="5">
    <w:nsid w:val="FFFFFF82"/>
    <w:multiLevelType w:val="singleLevel"/>
    <w:tmpl w:val="69A2CB54"/>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EBF2335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4F28AEA"/>
    <w:lvl w:ilvl="0">
      <w:start w:val="1"/>
      <w:numFmt w:val="decimal"/>
      <w:pStyle w:val="ListNumber"/>
      <w:lvlText w:val="%1."/>
      <w:lvlJc w:val="left"/>
      <w:pPr>
        <w:tabs>
          <w:tab w:val="num" w:pos="360"/>
        </w:tabs>
        <w:ind w:left="360" w:hanging="360"/>
      </w:pPr>
    </w:lvl>
  </w:abstractNum>
  <w:abstractNum w:abstractNumId="8">
    <w:nsid w:val="FFFFFF89"/>
    <w:multiLevelType w:val="singleLevel"/>
    <w:tmpl w:val="852EAA82"/>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8F2E2F"/>
    <w:multiLevelType w:val="hybridMultilevel"/>
    <w:tmpl w:val="DF34594E"/>
    <w:lvl w:ilvl="0" w:tplc="B748D9EA">
      <w:start w:val="1"/>
      <w:numFmt w:val="bullet"/>
      <w:lvlText w:val=""/>
      <w:lvlJc w:val="left"/>
      <w:pPr>
        <w:ind w:left="720" w:hanging="360"/>
      </w:pPr>
      <w:rPr>
        <w:rFonts w:ascii="Symbol" w:hAnsi="Symbol" w:hint="default"/>
      </w:rPr>
    </w:lvl>
    <w:lvl w:ilvl="1" w:tplc="9FF6522C" w:tentative="1">
      <w:start w:val="1"/>
      <w:numFmt w:val="bullet"/>
      <w:lvlText w:val="o"/>
      <w:lvlJc w:val="left"/>
      <w:pPr>
        <w:ind w:left="1440" w:hanging="360"/>
      </w:pPr>
      <w:rPr>
        <w:rFonts w:ascii="Courier New" w:hAnsi="Courier New" w:cs="Courier New" w:hint="default"/>
      </w:rPr>
    </w:lvl>
    <w:lvl w:ilvl="2" w:tplc="BB2C165C" w:tentative="1">
      <w:start w:val="1"/>
      <w:numFmt w:val="bullet"/>
      <w:lvlText w:val=""/>
      <w:lvlJc w:val="left"/>
      <w:pPr>
        <w:ind w:left="2160" w:hanging="360"/>
      </w:pPr>
      <w:rPr>
        <w:rFonts w:ascii="Wingdings" w:hAnsi="Wingdings" w:hint="default"/>
      </w:rPr>
    </w:lvl>
    <w:lvl w:ilvl="3" w:tplc="268AC4C6" w:tentative="1">
      <w:start w:val="1"/>
      <w:numFmt w:val="bullet"/>
      <w:lvlText w:val=""/>
      <w:lvlJc w:val="left"/>
      <w:pPr>
        <w:ind w:left="2880" w:hanging="360"/>
      </w:pPr>
      <w:rPr>
        <w:rFonts w:ascii="Symbol" w:hAnsi="Symbol" w:hint="default"/>
      </w:rPr>
    </w:lvl>
    <w:lvl w:ilvl="4" w:tplc="56E2818A" w:tentative="1">
      <w:start w:val="1"/>
      <w:numFmt w:val="bullet"/>
      <w:lvlText w:val="o"/>
      <w:lvlJc w:val="left"/>
      <w:pPr>
        <w:ind w:left="3600" w:hanging="360"/>
      </w:pPr>
      <w:rPr>
        <w:rFonts w:ascii="Courier New" w:hAnsi="Courier New" w:cs="Courier New" w:hint="default"/>
      </w:rPr>
    </w:lvl>
    <w:lvl w:ilvl="5" w:tplc="0908BCBE" w:tentative="1">
      <w:start w:val="1"/>
      <w:numFmt w:val="bullet"/>
      <w:lvlText w:val=""/>
      <w:lvlJc w:val="left"/>
      <w:pPr>
        <w:ind w:left="4320" w:hanging="360"/>
      </w:pPr>
      <w:rPr>
        <w:rFonts w:ascii="Wingdings" w:hAnsi="Wingdings" w:hint="default"/>
      </w:rPr>
    </w:lvl>
    <w:lvl w:ilvl="6" w:tplc="4890109E" w:tentative="1">
      <w:start w:val="1"/>
      <w:numFmt w:val="bullet"/>
      <w:lvlText w:val=""/>
      <w:lvlJc w:val="left"/>
      <w:pPr>
        <w:ind w:left="5040" w:hanging="360"/>
      </w:pPr>
      <w:rPr>
        <w:rFonts w:ascii="Symbol" w:hAnsi="Symbol" w:hint="default"/>
      </w:rPr>
    </w:lvl>
    <w:lvl w:ilvl="7" w:tplc="C6203C22" w:tentative="1">
      <w:start w:val="1"/>
      <w:numFmt w:val="bullet"/>
      <w:lvlText w:val="o"/>
      <w:lvlJc w:val="left"/>
      <w:pPr>
        <w:ind w:left="5760" w:hanging="360"/>
      </w:pPr>
      <w:rPr>
        <w:rFonts w:ascii="Courier New" w:hAnsi="Courier New" w:cs="Courier New" w:hint="default"/>
      </w:rPr>
    </w:lvl>
    <w:lvl w:ilvl="8" w:tplc="2D58CEB0" w:tentative="1">
      <w:start w:val="1"/>
      <w:numFmt w:val="bullet"/>
      <w:lvlText w:val=""/>
      <w:lvlJc w:val="left"/>
      <w:pPr>
        <w:ind w:left="6480" w:hanging="360"/>
      </w:pPr>
      <w:rPr>
        <w:rFonts w:ascii="Wingdings" w:hAnsi="Wingdings" w:hint="default"/>
      </w:rPr>
    </w:lvl>
  </w:abstractNum>
  <w:abstractNum w:abstractNumId="10">
    <w:nsid w:val="04ED1F71"/>
    <w:multiLevelType w:val="hybridMultilevel"/>
    <w:tmpl w:val="B9E4D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7113F21"/>
    <w:multiLevelType w:val="hybridMultilevel"/>
    <w:tmpl w:val="714A9F88"/>
    <w:lvl w:ilvl="0" w:tplc="08090001">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2">
    <w:nsid w:val="0AB97ED4"/>
    <w:multiLevelType w:val="singleLevel"/>
    <w:tmpl w:val="EA509A22"/>
    <w:lvl w:ilvl="0">
      <w:start w:val="1"/>
      <w:numFmt w:val="decimal"/>
      <w:pStyle w:val="SecDivider"/>
      <w:lvlText w:val="%1"/>
      <w:lvlJc w:val="left"/>
      <w:pPr>
        <w:tabs>
          <w:tab w:val="num" w:pos="567"/>
        </w:tabs>
        <w:ind w:left="567" w:hanging="567"/>
      </w:pPr>
    </w:lvl>
  </w:abstractNum>
  <w:abstractNum w:abstractNumId="13">
    <w:nsid w:val="0DB453A6"/>
    <w:multiLevelType w:val="hybridMultilevel"/>
    <w:tmpl w:val="7EF88CF2"/>
    <w:lvl w:ilvl="0" w:tplc="66B8FA5E">
      <w:start w:val="1"/>
      <w:numFmt w:val="bullet"/>
      <w:pStyle w:val="Bullet"/>
      <w:lvlText w:val=""/>
      <w:lvlJc w:val="left"/>
      <w:pPr>
        <w:ind w:left="1551" w:hanging="360"/>
      </w:pPr>
      <w:rPr>
        <w:rFonts w:ascii="Symbol" w:hAnsi="Symbol" w:hint="default"/>
      </w:rPr>
    </w:lvl>
    <w:lvl w:ilvl="1" w:tplc="7AE41224">
      <w:start w:val="1"/>
      <w:numFmt w:val="decimal"/>
      <w:lvlText w:val="%2."/>
      <w:lvlJc w:val="left"/>
      <w:pPr>
        <w:tabs>
          <w:tab w:val="num" w:pos="2271"/>
        </w:tabs>
        <w:ind w:left="2271" w:hanging="360"/>
      </w:pPr>
    </w:lvl>
    <w:lvl w:ilvl="2" w:tplc="2E4C85A0">
      <w:start w:val="1"/>
      <w:numFmt w:val="decimal"/>
      <w:lvlText w:val="%3."/>
      <w:lvlJc w:val="left"/>
      <w:pPr>
        <w:tabs>
          <w:tab w:val="num" w:pos="2991"/>
        </w:tabs>
        <w:ind w:left="2991" w:hanging="360"/>
      </w:pPr>
    </w:lvl>
    <w:lvl w:ilvl="3" w:tplc="BDB66AEA">
      <w:start w:val="1"/>
      <w:numFmt w:val="decimal"/>
      <w:lvlText w:val="%4."/>
      <w:lvlJc w:val="left"/>
      <w:pPr>
        <w:tabs>
          <w:tab w:val="num" w:pos="3711"/>
        </w:tabs>
        <w:ind w:left="3711" w:hanging="360"/>
      </w:pPr>
    </w:lvl>
    <w:lvl w:ilvl="4" w:tplc="03BED4AA">
      <w:start w:val="1"/>
      <w:numFmt w:val="decimal"/>
      <w:lvlText w:val="%5."/>
      <w:lvlJc w:val="left"/>
      <w:pPr>
        <w:tabs>
          <w:tab w:val="num" w:pos="4431"/>
        </w:tabs>
        <w:ind w:left="4431" w:hanging="360"/>
      </w:pPr>
    </w:lvl>
    <w:lvl w:ilvl="5" w:tplc="3F2A965C">
      <w:start w:val="1"/>
      <w:numFmt w:val="decimal"/>
      <w:lvlText w:val="%6."/>
      <w:lvlJc w:val="left"/>
      <w:pPr>
        <w:tabs>
          <w:tab w:val="num" w:pos="5151"/>
        </w:tabs>
        <w:ind w:left="5151" w:hanging="360"/>
      </w:pPr>
    </w:lvl>
    <w:lvl w:ilvl="6" w:tplc="DBE80F38">
      <w:start w:val="1"/>
      <w:numFmt w:val="decimal"/>
      <w:lvlText w:val="%7."/>
      <w:lvlJc w:val="left"/>
      <w:pPr>
        <w:tabs>
          <w:tab w:val="num" w:pos="5871"/>
        </w:tabs>
        <w:ind w:left="5871" w:hanging="360"/>
      </w:pPr>
    </w:lvl>
    <w:lvl w:ilvl="7" w:tplc="3BAEFF0A">
      <w:start w:val="1"/>
      <w:numFmt w:val="decimal"/>
      <w:lvlText w:val="%8."/>
      <w:lvlJc w:val="left"/>
      <w:pPr>
        <w:tabs>
          <w:tab w:val="num" w:pos="6591"/>
        </w:tabs>
        <w:ind w:left="6591" w:hanging="360"/>
      </w:pPr>
    </w:lvl>
    <w:lvl w:ilvl="8" w:tplc="ABB26FEC">
      <w:start w:val="1"/>
      <w:numFmt w:val="decimal"/>
      <w:lvlText w:val="%9."/>
      <w:lvlJc w:val="left"/>
      <w:pPr>
        <w:tabs>
          <w:tab w:val="num" w:pos="7311"/>
        </w:tabs>
        <w:ind w:left="7311" w:hanging="360"/>
      </w:pPr>
    </w:lvl>
  </w:abstractNum>
  <w:abstractNum w:abstractNumId="14">
    <w:nsid w:val="0E865A1B"/>
    <w:multiLevelType w:val="multilevel"/>
    <w:tmpl w:val="253851EA"/>
    <w:lvl w:ilvl="0">
      <w:start w:val="1"/>
      <w:numFmt w:val="decimal"/>
      <w:pStyle w:val="Hdg1"/>
      <w:lvlText w:val="%1"/>
      <w:lvlJc w:val="left"/>
      <w:pPr>
        <w:tabs>
          <w:tab w:val="num" w:pos="680"/>
        </w:tabs>
        <w:ind w:left="680" w:hanging="680"/>
      </w:pPr>
      <w:rPr>
        <w:rFonts w:hint="default"/>
      </w:rPr>
    </w:lvl>
    <w:lvl w:ilvl="1">
      <w:start w:val="1"/>
      <w:numFmt w:val="decimal"/>
      <w:pStyle w:val="Hdg2"/>
      <w:lvlText w:val="%1.%2"/>
      <w:lvlJc w:val="left"/>
      <w:pPr>
        <w:tabs>
          <w:tab w:val="num" w:pos="2138"/>
        </w:tabs>
        <w:ind w:left="2098" w:hanging="680"/>
      </w:pPr>
      <w:rPr>
        <w:rFonts w:hint="default"/>
      </w:rPr>
    </w:lvl>
    <w:lvl w:ilvl="2">
      <w:start w:val="1"/>
      <w:numFmt w:val="decimal"/>
      <w:pStyle w:val="NumberedParas"/>
      <w:lvlText w:val="%1.%2.%3"/>
      <w:lvlJc w:val="left"/>
      <w:pPr>
        <w:tabs>
          <w:tab w:val="num" w:pos="2150"/>
        </w:tabs>
        <w:ind w:left="1390" w:hanging="68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pStyle w:val="Hdg4"/>
      <w:lvlText w:val="%1.%2.%3.%4"/>
      <w:lvlJc w:val="left"/>
      <w:pPr>
        <w:tabs>
          <w:tab w:val="num" w:pos="1800"/>
        </w:tabs>
        <w:ind w:left="680" w:hanging="680"/>
      </w:pPr>
      <w:rPr>
        <w:rFonts w:ascii="Arial Narrow" w:hAnsi="Arial Narrow"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5">
    <w:nsid w:val="0E8B2995"/>
    <w:multiLevelType w:val="hybridMultilevel"/>
    <w:tmpl w:val="0BBCA9EE"/>
    <w:lvl w:ilvl="0" w:tplc="08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2020462"/>
    <w:multiLevelType w:val="hybridMultilevel"/>
    <w:tmpl w:val="9668AA58"/>
    <w:lvl w:ilvl="0" w:tplc="51A484C8">
      <w:start w:val="1"/>
      <w:numFmt w:val="bullet"/>
      <w:lvlText w:val=""/>
      <w:lvlJc w:val="left"/>
      <w:pPr>
        <w:ind w:left="720" w:hanging="360"/>
      </w:pPr>
      <w:rPr>
        <w:rFonts w:ascii="Symbol" w:hAnsi="Symbol" w:hint="default"/>
      </w:rPr>
    </w:lvl>
    <w:lvl w:ilvl="1" w:tplc="56568B4E">
      <w:start w:val="1"/>
      <w:numFmt w:val="decimal"/>
      <w:lvlText w:val="%2."/>
      <w:lvlJc w:val="left"/>
      <w:pPr>
        <w:tabs>
          <w:tab w:val="num" w:pos="1440"/>
        </w:tabs>
        <w:ind w:left="1440" w:hanging="360"/>
      </w:pPr>
    </w:lvl>
    <w:lvl w:ilvl="2" w:tplc="B5D2B902">
      <w:start w:val="1"/>
      <w:numFmt w:val="decimal"/>
      <w:lvlText w:val="%3."/>
      <w:lvlJc w:val="left"/>
      <w:pPr>
        <w:tabs>
          <w:tab w:val="num" w:pos="2160"/>
        </w:tabs>
        <w:ind w:left="2160" w:hanging="360"/>
      </w:pPr>
    </w:lvl>
    <w:lvl w:ilvl="3" w:tplc="2FF641D2">
      <w:start w:val="1"/>
      <w:numFmt w:val="decimal"/>
      <w:lvlText w:val="%4."/>
      <w:lvlJc w:val="left"/>
      <w:pPr>
        <w:tabs>
          <w:tab w:val="num" w:pos="2880"/>
        </w:tabs>
        <w:ind w:left="2880" w:hanging="360"/>
      </w:pPr>
    </w:lvl>
    <w:lvl w:ilvl="4" w:tplc="712C3F12">
      <w:start w:val="1"/>
      <w:numFmt w:val="decimal"/>
      <w:lvlText w:val="%5."/>
      <w:lvlJc w:val="left"/>
      <w:pPr>
        <w:tabs>
          <w:tab w:val="num" w:pos="3600"/>
        </w:tabs>
        <w:ind w:left="3600" w:hanging="360"/>
      </w:pPr>
    </w:lvl>
    <w:lvl w:ilvl="5" w:tplc="E4960BE4">
      <w:start w:val="1"/>
      <w:numFmt w:val="decimal"/>
      <w:lvlText w:val="%6."/>
      <w:lvlJc w:val="left"/>
      <w:pPr>
        <w:tabs>
          <w:tab w:val="num" w:pos="4320"/>
        </w:tabs>
        <w:ind w:left="4320" w:hanging="360"/>
      </w:pPr>
    </w:lvl>
    <w:lvl w:ilvl="6" w:tplc="66EE0EB0">
      <w:start w:val="1"/>
      <w:numFmt w:val="decimal"/>
      <w:lvlText w:val="%7."/>
      <w:lvlJc w:val="left"/>
      <w:pPr>
        <w:tabs>
          <w:tab w:val="num" w:pos="5040"/>
        </w:tabs>
        <w:ind w:left="5040" w:hanging="360"/>
      </w:pPr>
    </w:lvl>
    <w:lvl w:ilvl="7" w:tplc="DDC67D98">
      <w:start w:val="1"/>
      <w:numFmt w:val="decimal"/>
      <w:lvlText w:val="%8."/>
      <w:lvlJc w:val="left"/>
      <w:pPr>
        <w:tabs>
          <w:tab w:val="num" w:pos="5760"/>
        </w:tabs>
        <w:ind w:left="5760" w:hanging="360"/>
      </w:pPr>
    </w:lvl>
    <w:lvl w:ilvl="8" w:tplc="B85ADD3A">
      <w:start w:val="1"/>
      <w:numFmt w:val="decimal"/>
      <w:lvlText w:val="%9."/>
      <w:lvlJc w:val="left"/>
      <w:pPr>
        <w:tabs>
          <w:tab w:val="num" w:pos="6480"/>
        </w:tabs>
        <w:ind w:left="6480" w:hanging="360"/>
      </w:pPr>
    </w:lvl>
  </w:abstractNum>
  <w:abstractNum w:abstractNumId="17">
    <w:nsid w:val="13B941D3"/>
    <w:multiLevelType w:val="hybridMultilevel"/>
    <w:tmpl w:val="E4A664EA"/>
    <w:lvl w:ilvl="0" w:tplc="B8ECC78E">
      <w:start w:val="1"/>
      <w:numFmt w:val="lowerRoman"/>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DB6D11"/>
    <w:multiLevelType w:val="hybridMultilevel"/>
    <w:tmpl w:val="C51ECCC2"/>
    <w:lvl w:ilvl="0" w:tplc="676AD1A2">
      <w:start w:val="1"/>
      <w:numFmt w:val="bullet"/>
      <w:lvlText w:val=""/>
      <w:lvlJc w:val="left"/>
      <w:pPr>
        <w:ind w:left="720" w:hanging="360"/>
      </w:pPr>
      <w:rPr>
        <w:rFonts w:ascii="Symbol" w:hAnsi="Symbol" w:hint="default"/>
      </w:rPr>
    </w:lvl>
    <w:lvl w:ilvl="1" w:tplc="C1A8065C" w:tentative="1">
      <w:start w:val="1"/>
      <w:numFmt w:val="bullet"/>
      <w:lvlText w:val="o"/>
      <w:lvlJc w:val="left"/>
      <w:pPr>
        <w:ind w:left="1440" w:hanging="360"/>
      </w:pPr>
      <w:rPr>
        <w:rFonts w:ascii="Courier New" w:hAnsi="Courier New" w:cs="Courier New" w:hint="default"/>
      </w:rPr>
    </w:lvl>
    <w:lvl w:ilvl="2" w:tplc="46105F16" w:tentative="1">
      <w:start w:val="1"/>
      <w:numFmt w:val="bullet"/>
      <w:lvlText w:val=""/>
      <w:lvlJc w:val="left"/>
      <w:pPr>
        <w:ind w:left="2160" w:hanging="360"/>
      </w:pPr>
      <w:rPr>
        <w:rFonts w:ascii="Wingdings" w:hAnsi="Wingdings" w:hint="default"/>
      </w:rPr>
    </w:lvl>
    <w:lvl w:ilvl="3" w:tplc="45F65002" w:tentative="1">
      <w:start w:val="1"/>
      <w:numFmt w:val="bullet"/>
      <w:lvlText w:val=""/>
      <w:lvlJc w:val="left"/>
      <w:pPr>
        <w:ind w:left="2880" w:hanging="360"/>
      </w:pPr>
      <w:rPr>
        <w:rFonts w:ascii="Symbol" w:hAnsi="Symbol" w:hint="default"/>
      </w:rPr>
    </w:lvl>
    <w:lvl w:ilvl="4" w:tplc="BE7E9D1E" w:tentative="1">
      <w:start w:val="1"/>
      <w:numFmt w:val="bullet"/>
      <w:lvlText w:val="o"/>
      <w:lvlJc w:val="left"/>
      <w:pPr>
        <w:ind w:left="3600" w:hanging="360"/>
      </w:pPr>
      <w:rPr>
        <w:rFonts w:ascii="Courier New" w:hAnsi="Courier New" w:cs="Courier New" w:hint="default"/>
      </w:rPr>
    </w:lvl>
    <w:lvl w:ilvl="5" w:tplc="FA6A6E68" w:tentative="1">
      <w:start w:val="1"/>
      <w:numFmt w:val="bullet"/>
      <w:lvlText w:val=""/>
      <w:lvlJc w:val="left"/>
      <w:pPr>
        <w:ind w:left="4320" w:hanging="360"/>
      </w:pPr>
      <w:rPr>
        <w:rFonts w:ascii="Wingdings" w:hAnsi="Wingdings" w:hint="default"/>
      </w:rPr>
    </w:lvl>
    <w:lvl w:ilvl="6" w:tplc="0704A890" w:tentative="1">
      <w:start w:val="1"/>
      <w:numFmt w:val="bullet"/>
      <w:lvlText w:val=""/>
      <w:lvlJc w:val="left"/>
      <w:pPr>
        <w:ind w:left="5040" w:hanging="360"/>
      </w:pPr>
      <w:rPr>
        <w:rFonts w:ascii="Symbol" w:hAnsi="Symbol" w:hint="default"/>
      </w:rPr>
    </w:lvl>
    <w:lvl w:ilvl="7" w:tplc="4770F35E" w:tentative="1">
      <w:start w:val="1"/>
      <w:numFmt w:val="bullet"/>
      <w:lvlText w:val="o"/>
      <w:lvlJc w:val="left"/>
      <w:pPr>
        <w:ind w:left="5760" w:hanging="360"/>
      </w:pPr>
      <w:rPr>
        <w:rFonts w:ascii="Courier New" w:hAnsi="Courier New" w:cs="Courier New" w:hint="default"/>
      </w:rPr>
    </w:lvl>
    <w:lvl w:ilvl="8" w:tplc="1904F652" w:tentative="1">
      <w:start w:val="1"/>
      <w:numFmt w:val="bullet"/>
      <w:lvlText w:val=""/>
      <w:lvlJc w:val="left"/>
      <w:pPr>
        <w:ind w:left="6480" w:hanging="360"/>
      </w:pPr>
      <w:rPr>
        <w:rFonts w:ascii="Wingdings" w:hAnsi="Wingdings" w:hint="default"/>
      </w:rPr>
    </w:lvl>
  </w:abstractNum>
  <w:abstractNum w:abstractNumId="19">
    <w:nsid w:val="14913AEF"/>
    <w:multiLevelType w:val="hybridMultilevel"/>
    <w:tmpl w:val="4FBAF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63F3395"/>
    <w:multiLevelType w:val="hybridMultilevel"/>
    <w:tmpl w:val="50A67402"/>
    <w:lvl w:ilvl="0" w:tplc="08090001">
      <w:start w:val="1"/>
      <w:numFmt w:val="bullet"/>
      <w:pStyle w:val="BulletLevel2"/>
      <w:lvlText w:val="-"/>
      <w:lvlJc w:val="left"/>
      <w:pPr>
        <w:tabs>
          <w:tab w:val="num" w:pos="454"/>
        </w:tabs>
        <w:ind w:left="454" w:hanging="227"/>
      </w:pPr>
      <w:rPr>
        <w:rFont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nsid w:val="16697CA6"/>
    <w:multiLevelType w:val="hybridMultilevel"/>
    <w:tmpl w:val="0166E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91F6C76"/>
    <w:multiLevelType w:val="hybridMultilevel"/>
    <w:tmpl w:val="34CE1ADA"/>
    <w:lvl w:ilvl="0" w:tplc="08090001">
      <w:start w:val="1"/>
      <w:numFmt w:val="bullet"/>
      <w:pStyle w:val="TN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B1D5093"/>
    <w:multiLevelType w:val="hybridMultilevel"/>
    <w:tmpl w:val="C308A620"/>
    <w:lvl w:ilvl="0" w:tplc="737CEFB2">
      <w:start w:val="1"/>
      <w:numFmt w:val="bullet"/>
      <w:lvlText w:val=""/>
      <w:lvlJc w:val="left"/>
      <w:pPr>
        <w:ind w:left="1284" w:hanging="360"/>
      </w:pPr>
      <w:rPr>
        <w:rFonts w:ascii="Symbol" w:hAnsi="Symbol" w:hint="default"/>
      </w:rPr>
    </w:lvl>
    <w:lvl w:ilvl="1" w:tplc="04090003" w:tentative="1">
      <w:start w:val="1"/>
      <w:numFmt w:val="bullet"/>
      <w:lvlText w:val="o"/>
      <w:lvlJc w:val="left"/>
      <w:pPr>
        <w:ind w:left="2004" w:hanging="360"/>
      </w:pPr>
      <w:rPr>
        <w:rFonts w:ascii="Courier New" w:hAnsi="Courier New" w:cs="Courier New" w:hint="default"/>
      </w:rPr>
    </w:lvl>
    <w:lvl w:ilvl="2" w:tplc="04090005" w:tentative="1">
      <w:start w:val="1"/>
      <w:numFmt w:val="bullet"/>
      <w:lvlText w:val=""/>
      <w:lvlJc w:val="left"/>
      <w:pPr>
        <w:ind w:left="2724" w:hanging="360"/>
      </w:pPr>
      <w:rPr>
        <w:rFonts w:ascii="Wingdings" w:hAnsi="Wingdings" w:hint="default"/>
      </w:rPr>
    </w:lvl>
    <w:lvl w:ilvl="3" w:tplc="04090001" w:tentative="1">
      <w:start w:val="1"/>
      <w:numFmt w:val="bullet"/>
      <w:lvlText w:val=""/>
      <w:lvlJc w:val="left"/>
      <w:pPr>
        <w:ind w:left="3444" w:hanging="360"/>
      </w:pPr>
      <w:rPr>
        <w:rFonts w:ascii="Symbol" w:hAnsi="Symbol" w:hint="default"/>
      </w:rPr>
    </w:lvl>
    <w:lvl w:ilvl="4" w:tplc="04090003" w:tentative="1">
      <w:start w:val="1"/>
      <w:numFmt w:val="bullet"/>
      <w:lvlText w:val="o"/>
      <w:lvlJc w:val="left"/>
      <w:pPr>
        <w:ind w:left="4164" w:hanging="360"/>
      </w:pPr>
      <w:rPr>
        <w:rFonts w:ascii="Courier New" w:hAnsi="Courier New" w:cs="Courier New" w:hint="default"/>
      </w:rPr>
    </w:lvl>
    <w:lvl w:ilvl="5" w:tplc="04090005" w:tentative="1">
      <w:start w:val="1"/>
      <w:numFmt w:val="bullet"/>
      <w:lvlText w:val=""/>
      <w:lvlJc w:val="left"/>
      <w:pPr>
        <w:ind w:left="4884" w:hanging="360"/>
      </w:pPr>
      <w:rPr>
        <w:rFonts w:ascii="Wingdings" w:hAnsi="Wingdings" w:hint="default"/>
      </w:rPr>
    </w:lvl>
    <w:lvl w:ilvl="6" w:tplc="04090001" w:tentative="1">
      <w:start w:val="1"/>
      <w:numFmt w:val="bullet"/>
      <w:lvlText w:val=""/>
      <w:lvlJc w:val="left"/>
      <w:pPr>
        <w:ind w:left="5604" w:hanging="360"/>
      </w:pPr>
      <w:rPr>
        <w:rFonts w:ascii="Symbol" w:hAnsi="Symbol" w:hint="default"/>
      </w:rPr>
    </w:lvl>
    <w:lvl w:ilvl="7" w:tplc="04090003" w:tentative="1">
      <w:start w:val="1"/>
      <w:numFmt w:val="bullet"/>
      <w:lvlText w:val="o"/>
      <w:lvlJc w:val="left"/>
      <w:pPr>
        <w:ind w:left="6324" w:hanging="360"/>
      </w:pPr>
      <w:rPr>
        <w:rFonts w:ascii="Courier New" w:hAnsi="Courier New" w:cs="Courier New" w:hint="default"/>
      </w:rPr>
    </w:lvl>
    <w:lvl w:ilvl="8" w:tplc="04090005" w:tentative="1">
      <w:start w:val="1"/>
      <w:numFmt w:val="bullet"/>
      <w:lvlText w:val=""/>
      <w:lvlJc w:val="left"/>
      <w:pPr>
        <w:ind w:left="7044" w:hanging="360"/>
      </w:pPr>
      <w:rPr>
        <w:rFonts w:ascii="Wingdings" w:hAnsi="Wingdings" w:hint="default"/>
      </w:rPr>
    </w:lvl>
  </w:abstractNum>
  <w:abstractNum w:abstractNumId="24">
    <w:nsid w:val="1CCA1ABF"/>
    <w:multiLevelType w:val="hybridMultilevel"/>
    <w:tmpl w:val="B3264C24"/>
    <w:lvl w:ilvl="0" w:tplc="08090001">
      <w:start w:val="1"/>
      <w:numFmt w:val="bullet"/>
      <w:lvlText w:val=""/>
      <w:lvlJc w:val="left"/>
      <w:pPr>
        <w:ind w:left="1931" w:hanging="360"/>
      </w:pPr>
      <w:rPr>
        <w:rFonts w:ascii="Symbol" w:hAnsi="Symbol"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25">
    <w:nsid w:val="1EFD19E8"/>
    <w:multiLevelType w:val="hybridMultilevel"/>
    <w:tmpl w:val="404E39F8"/>
    <w:lvl w:ilvl="0" w:tplc="04090001">
      <w:start w:val="1"/>
      <w:numFmt w:val="bullet"/>
      <w:lvlText w:val=""/>
      <w:lvlJc w:val="left"/>
      <w:pPr>
        <w:ind w:left="1400" w:hanging="360"/>
      </w:pPr>
      <w:rPr>
        <w:rFonts w:ascii="Wingdings" w:hAnsi="Wingdings" w:hint="default"/>
        <w:color w:val="auto"/>
        <w:sz w:val="24"/>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26">
    <w:nsid w:val="20673B3C"/>
    <w:multiLevelType w:val="hybridMultilevel"/>
    <w:tmpl w:val="63400858"/>
    <w:lvl w:ilvl="0" w:tplc="0809000F">
      <w:start w:val="1"/>
      <w:numFmt w:val="bullet"/>
      <w:lvlText w:val=""/>
      <w:lvlJc w:val="left"/>
      <w:pPr>
        <w:ind w:left="720" w:hanging="360"/>
      </w:pPr>
      <w:rPr>
        <w:rFonts w:ascii="Symbol" w:hAnsi="Symbol"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7">
    <w:nsid w:val="217378D5"/>
    <w:multiLevelType w:val="hybridMultilevel"/>
    <w:tmpl w:val="B3762C8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nsid w:val="231D4B4A"/>
    <w:multiLevelType w:val="hybridMultilevel"/>
    <w:tmpl w:val="2E1EB800"/>
    <w:lvl w:ilvl="0" w:tplc="04090003">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E77545"/>
    <w:multiLevelType w:val="hybridMultilevel"/>
    <w:tmpl w:val="3CB08EFA"/>
    <w:lvl w:ilvl="0" w:tplc="95B862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8F3279C"/>
    <w:multiLevelType w:val="hybridMultilevel"/>
    <w:tmpl w:val="AAA40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DC80906"/>
    <w:multiLevelType w:val="hybridMultilevel"/>
    <w:tmpl w:val="C4DCA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F1B5283"/>
    <w:multiLevelType w:val="hybridMultilevel"/>
    <w:tmpl w:val="144C1886"/>
    <w:lvl w:ilvl="0" w:tplc="04090003">
      <w:start w:val="1"/>
      <w:numFmt w:val="bullet"/>
      <w:lvlText w:val="o"/>
      <w:lvlJc w:val="left"/>
      <w:pPr>
        <w:ind w:left="1400" w:hanging="360"/>
      </w:pPr>
      <w:rPr>
        <w:rFonts w:ascii="Courier New" w:hAnsi="Courier New" w:cs="Courier New" w:hint="default"/>
      </w:rPr>
    </w:lvl>
    <w:lvl w:ilvl="1" w:tplc="08090003">
      <w:start w:val="1"/>
      <w:numFmt w:val="bullet"/>
      <w:lvlText w:val="o"/>
      <w:lvlJc w:val="left"/>
      <w:pPr>
        <w:ind w:left="2120" w:hanging="360"/>
      </w:pPr>
      <w:rPr>
        <w:rFonts w:ascii="Courier New" w:hAnsi="Courier New" w:cs="Courier New" w:hint="default"/>
      </w:rPr>
    </w:lvl>
    <w:lvl w:ilvl="2" w:tplc="08090005">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3">
    <w:nsid w:val="2F4C2C4D"/>
    <w:multiLevelType w:val="hybridMultilevel"/>
    <w:tmpl w:val="85547470"/>
    <w:lvl w:ilvl="0" w:tplc="A0BAA9A8">
      <w:start w:val="1"/>
      <w:numFmt w:val="decimal"/>
      <w:pStyle w:val="TNHeading1"/>
      <w:lvlText w:val="%1."/>
      <w:lvlJc w:val="left"/>
      <w:pPr>
        <w:ind w:left="720" w:hanging="360"/>
      </w:pPr>
    </w:lvl>
    <w:lvl w:ilvl="1" w:tplc="402E9718" w:tentative="1">
      <w:start w:val="1"/>
      <w:numFmt w:val="lowerLetter"/>
      <w:lvlText w:val="%2."/>
      <w:lvlJc w:val="left"/>
      <w:pPr>
        <w:ind w:left="1440" w:hanging="360"/>
      </w:pPr>
    </w:lvl>
    <w:lvl w:ilvl="2" w:tplc="08C6EC50" w:tentative="1">
      <w:start w:val="1"/>
      <w:numFmt w:val="lowerRoman"/>
      <w:lvlText w:val="%3."/>
      <w:lvlJc w:val="right"/>
      <w:pPr>
        <w:ind w:left="2160" w:hanging="180"/>
      </w:pPr>
    </w:lvl>
    <w:lvl w:ilvl="3" w:tplc="5FE6766A" w:tentative="1">
      <w:start w:val="1"/>
      <w:numFmt w:val="decimal"/>
      <w:lvlText w:val="%4."/>
      <w:lvlJc w:val="left"/>
      <w:pPr>
        <w:ind w:left="2880" w:hanging="360"/>
      </w:pPr>
    </w:lvl>
    <w:lvl w:ilvl="4" w:tplc="47AE313A" w:tentative="1">
      <w:start w:val="1"/>
      <w:numFmt w:val="lowerLetter"/>
      <w:lvlText w:val="%5."/>
      <w:lvlJc w:val="left"/>
      <w:pPr>
        <w:ind w:left="3600" w:hanging="360"/>
      </w:pPr>
    </w:lvl>
    <w:lvl w:ilvl="5" w:tplc="FBD01E04" w:tentative="1">
      <w:start w:val="1"/>
      <w:numFmt w:val="lowerRoman"/>
      <w:lvlText w:val="%6."/>
      <w:lvlJc w:val="right"/>
      <w:pPr>
        <w:ind w:left="4320" w:hanging="180"/>
      </w:pPr>
    </w:lvl>
    <w:lvl w:ilvl="6" w:tplc="D69EE94E" w:tentative="1">
      <w:start w:val="1"/>
      <w:numFmt w:val="decimal"/>
      <w:lvlText w:val="%7."/>
      <w:lvlJc w:val="left"/>
      <w:pPr>
        <w:ind w:left="5040" w:hanging="360"/>
      </w:pPr>
    </w:lvl>
    <w:lvl w:ilvl="7" w:tplc="050E63AA" w:tentative="1">
      <w:start w:val="1"/>
      <w:numFmt w:val="lowerLetter"/>
      <w:lvlText w:val="%8."/>
      <w:lvlJc w:val="left"/>
      <w:pPr>
        <w:ind w:left="5760" w:hanging="360"/>
      </w:pPr>
    </w:lvl>
    <w:lvl w:ilvl="8" w:tplc="F592851E" w:tentative="1">
      <w:start w:val="1"/>
      <w:numFmt w:val="lowerRoman"/>
      <w:lvlText w:val="%9."/>
      <w:lvlJc w:val="right"/>
      <w:pPr>
        <w:ind w:left="6480" w:hanging="180"/>
      </w:pPr>
    </w:lvl>
  </w:abstractNum>
  <w:abstractNum w:abstractNumId="34">
    <w:nsid w:val="31596317"/>
    <w:multiLevelType w:val="hybridMultilevel"/>
    <w:tmpl w:val="112C0772"/>
    <w:lvl w:ilvl="0" w:tplc="04090001">
      <w:start w:val="1"/>
      <w:numFmt w:val="bullet"/>
      <w:lvlText w:val="o"/>
      <w:lvlJc w:val="left"/>
      <w:pPr>
        <w:ind w:left="433" w:hanging="433"/>
      </w:pPr>
      <w:rPr>
        <w:rFonts w:ascii="Courier New" w:hAnsi="Courier New" w:hint="default"/>
      </w:rPr>
    </w:lvl>
    <w:lvl w:ilvl="1" w:tplc="E3A4A3DE">
      <w:start w:val="1"/>
      <w:numFmt w:val="bullet"/>
      <w:pStyle w:val="BulletLevel1"/>
      <w:lvlText w:val="o"/>
      <w:lvlJc w:val="left"/>
      <w:pPr>
        <w:ind w:left="1931" w:hanging="360"/>
      </w:pPr>
      <w:rPr>
        <w:rFonts w:ascii="Courier New" w:hAnsi="Courier New" w:cs="Courier New" w:hint="default"/>
      </w:rPr>
    </w:lvl>
    <w:lvl w:ilvl="2" w:tplc="04090005">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5">
    <w:nsid w:val="34B83E81"/>
    <w:multiLevelType w:val="hybridMultilevel"/>
    <w:tmpl w:val="2B585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4D91C88"/>
    <w:multiLevelType w:val="hybridMultilevel"/>
    <w:tmpl w:val="A63AAB2C"/>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7">
    <w:nsid w:val="37015407"/>
    <w:multiLevelType w:val="hybridMultilevel"/>
    <w:tmpl w:val="949CC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374F0FE0"/>
    <w:multiLevelType w:val="hybridMultilevel"/>
    <w:tmpl w:val="8034B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72410E"/>
    <w:multiLevelType w:val="hybridMultilevel"/>
    <w:tmpl w:val="B6C43524"/>
    <w:lvl w:ilvl="0" w:tplc="F800E17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9566096"/>
    <w:multiLevelType w:val="hybridMultilevel"/>
    <w:tmpl w:val="71961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3DC57B2E"/>
    <w:multiLevelType w:val="hybridMultilevel"/>
    <w:tmpl w:val="6220FB92"/>
    <w:lvl w:ilvl="0" w:tplc="04090001">
      <w:start w:val="1"/>
      <w:numFmt w:val="bullet"/>
      <w:pStyle w:val="Bullet1"/>
      <w:lvlText w:val="-"/>
      <w:lvlJc w:val="left"/>
      <w:pPr>
        <w:ind w:left="360" w:hanging="360"/>
      </w:pPr>
      <w:rPr>
        <w:rFonts w:ascii="Arial"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3E4D3ED3"/>
    <w:multiLevelType w:val="hybridMultilevel"/>
    <w:tmpl w:val="CD388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425E490D"/>
    <w:multiLevelType w:val="hybridMultilevel"/>
    <w:tmpl w:val="921E27B6"/>
    <w:lvl w:ilvl="0" w:tplc="04090001">
      <w:start w:val="1"/>
      <w:numFmt w:val="decimal"/>
      <w:pStyle w:val="Style12"/>
      <w:lvlText w:val="%1.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4">
    <w:nsid w:val="4449569E"/>
    <w:multiLevelType w:val="hybridMultilevel"/>
    <w:tmpl w:val="68EA38F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nsid w:val="48146642"/>
    <w:multiLevelType w:val="hybridMultilevel"/>
    <w:tmpl w:val="986E4AE0"/>
    <w:lvl w:ilvl="0" w:tplc="299EF69A">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nsid w:val="48DD02B4"/>
    <w:multiLevelType w:val="hybridMultilevel"/>
    <w:tmpl w:val="E760D922"/>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7">
    <w:nsid w:val="48E37269"/>
    <w:multiLevelType w:val="hybridMultilevel"/>
    <w:tmpl w:val="DBE0CEEE"/>
    <w:lvl w:ilvl="0" w:tplc="08090001">
      <w:start w:val="1"/>
      <w:numFmt w:val="bullet"/>
      <w:lvlText w:val=""/>
      <w:lvlJc w:val="left"/>
      <w:pPr>
        <w:ind w:left="720" w:hanging="360"/>
      </w:pPr>
      <w:rPr>
        <w:rFonts w:ascii="Symbol" w:hAnsi="Symbol" w:hint="default"/>
      </w:rPr>
    </w:lvl>
    <w:lvl w:ilvl="1" w:tplc="08090003">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4BAE0B31"/>
    <w:multiLevelType w:val="hybridMultilevel"/>
    <w:tmpl w:val="9A5E9AC8"/>
    <w:lvl w:ilvl="0" w:tplc="08090001">
      <w:start w:val="1"/>
      <w:numFmt w:val="upperLetter"/>
      <w:lvlText w:val="%1."/>
      <w:lvlJc w:val="left"/>
      <w:pPr>
        <w:ind w:left="927" w:hanging="360"/>
      </w:pPr>
      <w:rPr>
        <w:rFonts w:hint="default"/>
      </w:rPr>
    </w:lvl>
    <w:lvl w:ilvl="1" w:tplc="08090003" w:tentative="1">
      <w:start w:val="1"/>
      <w:numFmt w:val="lowerLetter"/>
      <w:lvlText w:val="%2."/>
      <w:lvlJc w:val="left"/>
      <w:pPr>
        <w:ind w:left="1647" w:hanging="360"/>
      </w:pPr>
    </w:lvl>
    <w:lvl w:ilvl="2" w:tplc="08090005" w:tentative="1">
      <w:start w:val="1"/>
      <w:numFmt w:val="lowerRoman"/>
      <w:lvlText w:val="%3."/>
      <w:lvlJc w:val="right"/>
      <w:pPr>
        <w:ind w:left="2367" w:hanging="180"/>
      </w:pPr>
    </w:lvl>
    <w:lvl w:ilvl="3" w:tplc="08090001" w:tentative="1">
      <w:start w:val="1"/>
      <w:numFmt w:val="decimal"/>
      <w:lvlText w:val="%4."/>
      <w:lvlJc w:val="left"/>
      <w:pPr>
        <w:ind w:left="3087" w:hanging="360"/>
      </w:pPr>
    </w:lvl>
    <w:lvl w:ilvl="4" w:tplc="08090003" w:tentative="1">
      <w:start w:val="1"/>
      <w:numFmt w:val="lowerLetter"/>
      <w:lvlText w:val="%5."/>
      <w:lvlJc w:val="left"/>
      <w:pPr>
        <w:ind w:left="3807" w:hanging="360"/>
      </w:pPr>
    </w:lvl>
    <w:lvl w:ilvl="5" w:tplc="08090005" w:tentative="1">
      <w:start w:val="1"/>
      <w:numFmt w:val="lowerRoman"/>
      <w:lvlText w:val="%6."/>
      <w:lvlJc w:val="right"/>
      <w:pPr>
        <w:ind w:left="4527" w:hanging="180"/>
      </w:pPr>
    </w:lvl>
    <w:lvl w:ilvl="6" w:tplc="08090001" w:tentative="1">
      <w:start w:val="1"/>
      <w:numFmt w:val="decimal"/>
      <w:lvlText w:val="%7."/>
      <w:lvlJc w:val="left"/>
      <w:pPr>
        <w:ind w:left="5247" w:hanging="360"/>
      </w:pPr>
    </w:lvl>
    <w:lvl w:ilvl="7" w:tplc="08090003" w:tentative="1">
      <w:start w:val="1"/>
      <w:numFmt w:val="lowerLetter"/>
      <w:lvlText w:val="%8."/>
      <w:lvlJc w:val="left"/>
      <w:pPr>
        <w:ind w:left="5967" w:hanging="360"/>
      </w:pPr>
    </w:lvl>
    <w:lvl w:ilvl="8" w:tplc="08090005" w:tentative="1">
      <w:start w:val="1"/>
      <w:numFmt w:val="lowerRoman"/>
      <w:lvlText w:val="%9."/>
      <w:lvlJc w:val="right"/>
      <w:pPr>
        <w:ind w:left="6687" w:hanging="180"/>
      </w:pPr>
    </w:lvl>
  </w:abstractNum>
  <w:abstractNum w:abstractNumId="49">
    <w:nsid w:val="4FA23CF4"/>
    <w:multiLevelType w:val="hybridMultilevel"/>
    <w:tmpl w:val="5CDCE846"/>
    <w:lvl w:ilvl="0" w:tplc="08090001">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50D12A2E"/>
    <w:multiLevelType w:val="hybridMultilevel"/>
    <w:tmpl w:val="9ADEAA88"/>
    <w:lvl w:ilvl="0" w:tplc="CE02B496">
      <w:start w:val="1"/>
      <w:numFmt w:val="bullet"/>
      <w:lvlText w:val="o"/>
      <w:lvlJc w:val="left"/>
      <w:pPr>
        <w:ind w:left="1571" w:hanging="360"/>
      </w:pPr>
      <w:rPr>
        <w:rFonts w:ascii="Courier New" w:hAnsi="Courier New" w:cs="Courier New"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1">
    <w:nsid w:val="51FE31EC"/>
    <w:multiLevelType w:val="hybridMultilevel"/>
    <w:tmpl w:val="F3209272"/>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2">
    <w:nsid w:val="536F20C3"/>
    <w:multiLevelType w:val="hybridMultilevel"/>
    <w:tmpl w:val="AAECAA7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3">
    <w:nsid w:val="53942A4C"/>
    <w:multiLevelType w:val="hybridMultilevel"/>
    <w:tmpl w:val="C846A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54382A6B"/>
    <w:multiLevelType w:val="hybridMultilevel"/>
    <w:tmpl w:val="F8FA2710"/>
    <w:lvl w:ilvl="0" w:tplc="B962929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56A06EB8"/>
    <w:multiLevelType w:val="hybridMultilevel"/>
    <w:tmpl w:val="38ECFF5A"/>
    <w:lvl w:ilvl="0" w:tplc="04090005">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6">
    <w:nsid w:val="56A41AC4"/>
    <w:multiLevelType w:val="hybridMultilevel"/>
    <w:tmpl w:val="4178224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7">
    <w:nsid w:val="56DF71E7"/>
    <w:multiLevelType w:val="hybridMultilevel"/>
    <w:tmpl w:val="1BEA681C"/>
    <w:lvl w:ilvl="0" w:tplc="04090001">
      <w:start w:val="1"/>
      <w:numFmt w:val="decimal"/>
      <w:pStyle w:val="Style17"/>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8">
    <w:nsid w:val="592D5ABB"/>
    <w:multiLevelType w:val="hybridMultilevel"/>
    <w:tmpl w:val="FE3284E8"/>
    <w:lvl w:ilvl="0" w:tplc="DF403B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AF06E83"/>
    <w:multiLevelType w:val="hybridMultilevel"/>
    <w:tmpl w:val="F37C773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60">
    <w:nsid w:val="5D264C9A"/>
    <w:multiLevelType w:val="hybridMultilevel"/>
    <w:tmpl w:val="CEB46FF2"/>
    <w:lvl w:ilvl="0" w:tplc="82603CCC">
      <w:start w:val="1"/>
      <w:numFmt w:val="bullet"/>
      <w:lvlText w:val=""/>
      <w:lvlJc w:val="left"/>
      <w:pPr>
        <w:ind w:left="720" w:hanging="360"/>
      </w:pPr>
      <w:rPr>
        <w:rFonts w:ascii="Symbol" w:hAnsi="Symbol" w:hint="default"/>
      </w:rPr>
    </w:lvl>
    <w:lvl w:ilvl="1" w:tplc="D7D214FC" w:tentative="1">
      <w:start w:val="1"/>
      <w:numFmt w:val="bullet"/>
      <w:lvlText w:val="o"/>
      <w:lvlJc w:val="left"/>
      <w:pPr>
        <w:ind w:left="1440" w:hanging="360"/>
      </w:pPr>
      <w:rPr>
        <w:rFonts w:ascii="Courier New" w:hAnsi="Courier New" w:cs="Courier New" w:hint="default"/>
      </w:rPr>
    </w:lvl>
    <w:lvl w:ilvl="2" w:tplc="52A85FC0" w:tentative="1">
      <w:start w:val="1"/>
      <w:numFmt w:val="bullet"/>
      <w:lvlText w:val=""/>
      <w:lvlJc w:val="left"/>
      <w:pPr>
        <w:ind w:left="2160" w:hanging="360"/>
      </w:pPr>
      <w:rPr>
        <w:rFonts w:ascii="Wingdings" w:hAnsi="Wingdings" w:hint="default"/>
      </w:rPr>
    </w:lvl>
    <w:lvl w:ilvl="3" w:tplc="CD4ED274" w:tentative="1">
      <w:start w:val="1"/>
      <w:numFmt w:val="bullet"/>
      <w:lvlText w:val=""/>
      <w:lvlJc w:val="left"/>
      <w:pPr>
        <w:ind w:left="2880" w:hanging="360"/>
      </w:pPr>
      <w:rPr>
        <w:rFonts w:ascii="Symbol" w:hAnsi="Symbol" w:hint="default"/>
      </w:rPr>
    </w:lvl>
    <w:lvl w:ilvl="4" w:tplc="3522CA86" w:tentative="1">
      <w:start w:val="1"/>
      <w:numFmt w:val="bullet"/>
      <w:lvlText w:val="o"/>
      <w:lvlJc w:val="left"/>
      <w:pPr>
        <w:ind w:left="3600" w:hanging="360"/>
      </w:pPr>
      <w:rPr>
        <w:rFonts w:ascii="Courier New" w:hAnsi="Courier New" w:cs="Courier New" w:hint="default"/>
      </w:rPr>
    </w:lvl>
    <w:lvl w:ilvl="5" w:tplc="3104B0B2" w:tentative="1">
      <w:start w:val="1"/>
      <w:numFmt w:val="bullet"/>
      <w:lvlText w:val=""/>
      <w:lvlJc w:val="left"/>
      <w:pPr>
        <w:ind w:left="4320" w:hanging="360"/>
      </w:pPr>
      <w:rPr>
        <w:rFonts w:ascii="Wingdings" w:hAnsi="Wingdings" w:hint="default"/>
      </w:rPr>
    </w:lvl>
    <w:lvl w:ilvl="6" w:tplc="1CA43F54" w:tentative="1">
      <w:start w:val="1"/>
      <w:numFmt w:val="bullet"/>
      <w:lvlText w:val=""/>
      <w:lvlJc w:val="left"/>
      <w:pPr>
        <w:ind w:left="5040" w:hanging="360"/>
      </w:pPr>
      <w:rPr>
        <w:rFonts w:ascii="Symbol" w:hAnsi="Symbol" w:hint="default"/>
      </w:rPr>
    </w:lvl>
    <w:lvl w:ilvl="7" w:tplc="E4E02802" w:tentative="1">
      <w:start w:val="1"/>
      <w:numFmt w:val="bullet"/>
      <w:lvlText w:val="o"/>
      <w:lvlJc w:val="left"/>
      <w:pPr>
        <w:ind w:left="5760" w:hanging="360"/>
      </w:pPr>
      <w:rPr>
        <w:rFonts w:ascii="Courier New" w:hAnsi="Courier New" w:cs="Courier New" w:hint="default"/>
      </w:rPr>
    </w:lvl>
    <w:lvl w:ilvl="8" w:tplc="4B602B08" w:tentative="1">
      <w:start w:val="1"/>
      <w:numFmt w:val="bullet"/>
      <w:lvlText w:val=""/>
      <w:lvlJc w:val="left"/>
      <w:pPr>
        <w:ind w:left="6480" w:hanging="360"/>
      </w:pPr>
      <w:rPr>
        <w:rFonts w:ascii="Wingdings" w:hAnsi="Wingdings" w:hint="default"/>
      </w:rPr>
    </w:lvl>
  </w:abstractNum>
  <w:abstractNum w:abstractNumId="61">
    <w:nsid w:val="5EC61468"/>
    <w:multiLevelType w:val="hybridMultilevel"/>
    <w:tmpl w:val="3E32697C"/>
    <w:lvl w:ilvl="0" w:tplc="37366A58">
      <w:start w:val="1"/>
      <w:numFmt w:val="bullet"/>
      <w:lvlText w:val=""/>
      <w:lvlJc w:val="left"/>
      <w:pPr>
        <w:ind w:left="720" w:hanging="360"/>
      </w:pPr>
      <w:rPr>
        <w:rFonts w:ascii="Symbol" w:hAnsi="Symbol" w:hint="default"/>
      </w:rPr>
    </w:lvl>
    <w:lvl w:ilvl="1" w:tplc="50928370" w:tentative="1">
      <w:start w:val="1"/>
      <w:numFmt w:val="bullet"/>
      <w:lvlText w:val="o"/>
      <w:lvlJc w:val="left"/>
      <w:pPr>
        <w:ind w:left="1440" w:hanging="360"/>
      </w:pPr>
      <w:rPr>
        <w:rFonts w:ascii="Courier New" w:hAnsi="Courier New" w:cs="Courier New" w:hint="default"/>
      </w:rPr>
    </w:lvl>
    <w:lvl w:ilvl="2" w:tplc="FF2027E0" w:tentative="1">
      <w:start w:val="1"/>
      <w:numFmt w:val="bullet"/>
      <w:lvlText w:val=""/>
      <w:lvlJc w:val="left"/>
      <w:pPr>
        <w:ind w:left="2160" w:hanging="360"/>
      </w:pPr>
      <w:rPr>
        <w:rFonts w:ascii="Wingdings" w:hAnsi="Wingdings" w:hint="default"/>
      </w:rPr>
    </w:lvl>
    <w:lvl w:ilvl="3" w:tplc="1E087376" w:tentative="1">
      <w:start w:val="1"/>
      <w:numFmt w:val="bullet"/>
      <w:lvlText w:val=""/>
      <w:lvlJc w:val="left"/>
      <w:pPr>
        <w:ind w:left="2880" w:hanging="360"/>
      </w:pPr>
      <w:rPr>
        <w:rFonts w:ascii="Symbol" w:hAnsi="Symbol" w:hint="default"/>
      </w:rPr>
    </w:lvl>
    <w:lvl w:ilvl="4" w:tplc="14FC5AE6" w:tentative="1">
      <w:start w:val="1"/>
      <w:numFmt w:val="bullet"/>
      <w:lvlText w:val="o"/>
      <w:lvlJc w:val="left"/>
      <w:pPr>
        <w:ind w:left="3600" w:hanging="360"/>
      </w:pPr>
      <w:rPr>
        <w:rFonts w:ascii="Courier New" w:hAnsi="Courier New" w:cs="Courier New" w:hint="default"/>
      </w:rPr>
    </w:lvl>
    <w:lvl w:ilvl="5" w:tplc="A2D6896A" w:tentative="1">
      <w:start w:val="1"/>
      <w:numFmt w:val="bullet"/>
      <w:lvlText w:val=""/>
      <w:lvlJc w:val="left"/>
      <w:pPr>
        <w:ind w:left="4320" w:hanging="360"/>
      </w:pPr>
      <w:rPr>
        <w:rFonts w:ascii="Wingdings" w:hAnsi="Wingdings" w:hint="default"/>
      </w:rPr>
    </w:lvl>
    <w:lvl w:ilvl="6" w:tplc="266EAC8A" w:tentative="1">
      <w:start w:val="1"/>
      <w:numFmt w:val="bullet"/>
      <w:lvlText w:val=""/>
      <w:lvlJc w:val="left"/>
      <w:pPr>
        <w:ind w:left="5040" w:hanging="360"/>
      </w:pPr>
      <w:rPr>
        <w:rFonts w:ascii="Symbol" w:hAnsi="Symbol" w:hint="default"/>
      </w:rPr>
    </w:lvl>
    <w:lvl w:ilvl="7" w:tplc="A23420FE" w:tentative="1">
      <w:start w:val="1"/>
      <w:numFmt w:val="bullet"/>
      <w:lvlText w:val="o"/>
      <w:lvlJc w:val="left"/>
      <w:pPr>
        <w:ind w:left="5760" w:hanging="360"/>
      </w:pPr>
      <w:rPr>
        <w:rFonts w:ascii="Courier New" w:hAnsi="Courier New" w:cs="Courier New" w:hint="default"/>
      </w:rPr>
    </w:lvl>
    <w:lvl w:ilvl="8" w:tplc="1EA899F6" w:tentative="1">
      <w:start w:val="1"/>
      <w:numFmt w:val="bullet"/>
      <w:lvlText w:val=""/>
      <w:lvlJc w:val="left"/>
      <w:pPr>
        <w:ind w:left="6480" w:hanging="360"/>
      </w:pPr>
      <w:rPr>
        <w:rFonts w:ascii="Wingdings" w:hAnsi="Wingdings" w:hint="default"/>
      </w:rPr>
    </w:lvl>
  </w:abstractNum>
  <w:abstractNum w:abstractNumId="62">
    <w:nsid w:val="609878A1"/>
    <w:multiLevelType w:val="hybridMultilevel"/>
    <w:tmpl w:val="41B056F8"/>
    <w:lvl w:ilvl="0" w:tplc="C2BE97D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61FC561C"/>
    <w:multiLevelType w:val="multilevel"/>
    <w:tmpl w:val="450AE35C"/>
    <w:lvl w:ilvl="0">
      <w:start w:val="3"/>
      <w:numFmt w:val="decimal"/>
      <w:lvlText w:val="%1"/>
      <w:lvlJc w:val="left"/>
      <w:pPr>
        <w:ind w:left="525" w:hanging="525"/>
      </w:pPr>
      <w:rPr>
        <w:rFonts w:hint="default"/>
      </w:rPr>
    </w:lvl>
    <w:lvl w:ilvl="1">
      <w:start w:val="2"/>
      <w:numFmt w:val="decimal"/>
      <w:lvlText w:val="%1.%2"/>
      <w:lvlJc w:val="left"/>
      <w:pPr>
        <w:ind w:left="1215" w:hanging="525"/>
      </w:pPr>
      <w:rPr>
        <w:rFonts w:hint="default"/>
      </w:rPr>
    </w:lvl>
    <w:lvl w:ilvl="2">
      <w:start w:val="1"/>
      <w:numFmt w:val="decimal"/>
      <w:pStyle w:val="Style11"/>
      <w:lvlText w:val="%1.%2.%3"/>
      <w:lvlJc w:val="left"/>
      <w:pPr>
        <w:ind w:left="210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840" w:hanging="1080"/>
      </w:pPr>
      <w:rPr>
        <w:rFonts w:hint="default"/>
      </w:rPr>
    </w:lvl>
    <w:lvl w:ilvl="5">
      <w:start w:val="1"/>
      <w:numFmt w:val="decimal"/>
      <w:lvlText w:val="%1.%2.%3.%4.%5.%6"/>
      <w:lvlJc w:val="left"/>
      <w:pPr>
        <w:ind w:left="4890" w:hanging="1440"/>
      </w:pPr>
      <w:rPr>
        <w:rFonts w:hint="default"/>
      </w:rPr>
    </w:lvl>
    <w:lvl w:ilvl="6">
      <w:start w:val="1"/>
      <w:numFmt w:val="decimal"/>
      <w:lvlText w:val="%1.%2.%3.%4.%5.%6.%7"/>
      <w:lvlJc w:val="left"/>
      <w:pPr>
        <w:ind w:left="5580" w:hanging="1440"/>
      </w:pPr>
      <w:rPr>
        <w:rFonts w:hint="default"/>
      </w:rPr>
    </w:lvl>
    <w:lvl w:ilvl="7">
      <w:start w:val="1"/>
      <w:numFmt w:val="decimal"/>
      <w:lvlText w:val="%1.%2.%3.%4.%5.%6.%7.%8"/>
      <w:lvlJc w:val="left"/>
      <w:pPr>
        <w:ind w:left="6630" w:hanging="1800"/>
      </w:pPr>
      <w:rPr>
        <w:rFonts w:hint="default"/>
      </w:rPr>
    </w:lvl>
    <w:lvl w:ilvl="8">
      <w:start w:val="1"/>
      <w:numFmt w:val="decimal"/>
      <w:lvlText w:val="%1.%2.%3.%4.%5.%6.%7.%8.%9"/>
      <w:lvlJc w:val="left"/>
      <w:pPr>
        <w:ind w:left="7320" w:hanging="1800"/>
      </w:pPr>
      <w:rPr>
        <w:rFonts w:hint="default"/>
      </w:rPr>
    </w:lvl>
  </w:abstractNum>
  <w:abstractNum w:abstractNumId="64">
    <w:nsid w:val="62B92BDC"/>
    <w:multiLevelType w:val="hybridMultilevel"/>
    <w:tmpl w:val="A39C0620"/>
    <w:lvl w:ilvl="0" w:tplc="5F048E44">
      <w:start w:val="1"/>
      <w:numFmt w:val="bullet"/>
      <w:lvlText w:val=""/>
      <w:lvlJc w:val="left"/>
      <w:pPr>
        <w:ind w:left="720" w:hanging="360"/>
      </w:pPr>
      <w:rPr>
        <w:rFonts w:ascii="Symbol" w:hAnsi="Symbol" w:hint="default"/>
      </w:rPr>
    </w:lvl>
    <w:lvl w:ilvl="1" w:tplc="41EE92B4" w:tentative="1">
      <w:start w:val="1"/>
      <w:numFmt w:val="bullet"/>
      <w:lvlText w:val="o"/>
      <w:lvlJc w:val="left"/>
      <w:pPr>
        <w:ind w:left="1440" w:hanging="360"/>
      </w:pPr>
      <w:rPr>
        <w:rFonts w:ascii="Courier New" w:hAnsi="Courier New" w:cs="Courier New" w:hint="default"/>
      </w:rPr>
    </w:lvl>
    <w:lvl w:ilvl="2" w:tplc="92263134" w:tentative="1">
      <w:start w:val="1"/>
      <w:numFmt w:val="bullet"/>
      <w:lvlText w:val=""/>
      <w:lvlJc w:val="left"/>
      <w:pPr>
        <w:ind w:left="2160" w:hanging="360"/>
      </w:pPr>
      <w:rPr>
        <w:rFonts w:ascii="Wingdings" w:hAnsi="Wingdings" w:hint="default"/>
      </w:rPr>
    </w:lvl>
    <w:lvl w:ilvl="3" w:tplc="1856F20C" w:tentative="1">
      <w:start w:val="1"/>
      <w:numFmt w:val="bullet"/>
      <w:lvlText w:val=""/>
      <w:lvlJc w:val="left"/>
      <w:pPr>
        <w:ind w:left="2880" w:hanging="360"/>
      </w:pPr>
      <w:rPr>
        <w:rFonts w:ascii="Symbol" w:hAnsi="Symbol" w:hint="default"/>
      </w:rPr>
    </w:lvl>
    <w:lvl w:ilvl="4" w:tplc="5A386964" w:tentative="1">
      <w:start w:val="1"/>
      <w:numFmt w:val="bullet"/>
      <w:lvlText w:val="o"/>
      <w:lvlJc w:val="left"/>
      <w:pPr>
        <w:ind w:left="3600" w:hanging="360"/>
      </w:pPr>
      <w:rPr>
        <w:rFonts w:ascii="Courier New" w:hAnsi="Courier New" w:cs="Courier New" w:hint="default"/>
      </w:rPr>
    </w:lvl>
    <w:lvl w:ilvl="5" w:tplc="BD563602" w:tentative="1">
      <w:start w:val="1"/>
      <w:numFmt w:val="bullet"/>
      <w:lvlText w:val=""/>
      <w:lvlJc w:val="left"/>
      <w:pPr>
        <w:ind w:left="4320" w:hanging="360"/>
      </w:pPr>
      <w:rPr>
        <w:rFonts w:ascii="Wingdings" w:hAnsi="Wingdings" w:hint="default"/>
      </w:rPr>
    </w:lvl>
    <w:lvl w:ilvl="6" w:tplc="5A98E538" w:tentative="1">
      <w:start w:val="1"/>
      <w:numFmt w:val="bullet"/>
      <w:lvlText w:val=""/>
      <w:lvlJc w:val="left"/>
      <w:pPr>
        <w:ind w:left="5040" w:hanging="360"/>
      </w:pPr>
      <w:rPr>
        <w:rFonts w:ascii="Symbol" w:hAnsi="Symbol" w:hint="default"/>
      </w:rPr>
    </w:lvl>
    <w:lvl w:ilvl="7" w:tplc="52EC7E54" w:tentative="1">
      <w:start w:val="1"/>
      <w:numFmt w:val="bullet"/>
      <w:lvlText w:val="o"/>
      <w:lvlJc w:val="left"/>
      <w:pPr>
        <w:ind w:left="5760" w:hanging="360"/>
      </w:pPr>
      <w:rPr>
        <w:rFonts w:ascii="Courier New" w:hAnsi="Courier New" w:cs="Courier New" w:hint="default"/>
      </w:rPr>
    </w:lvl>
    <w:lvl w:ilvl="8" w:tplc="BAB671AA" w:tentative="1">
      <w:start w:val="1"/>
      <w:numFmt w:val="bullet"/>
      <w:lvlText w:val=""/>
      <w:lvlJc w:val="left"/>
      <w:pPr>
        <w:ind w:left="6480" w:hanging="360"/>
      </w:pPr>
      <w:rPr>
        <w:rFonts w:ascii="Wingdings" w:hAnsi="Wingdings" w:hint="default"/>
      </w:rPr>
    </w:lvl>
  </w:abstractNum>
  <w:abstractNum w:abstractNumId="65">
    <w:nsid w:val="6D03517A"/>
    <w:multiLevelType w:val="hybridMultilevel"/>
    <w:tmpl w:val="1F52EC74"/>
    <w:lvl w:ilvl="0" w:tplc="4FE8FEC2">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66">
    <w:nsid w:val="71FE6A9E"/>
    <w:multiLevelType w:val="hybridMultilevel"/>
    <w:tmpl w:val="80DA9EB8"/>
    <w:lvl w:ilvl="0" w:tplc="D7A8FA0C">
      <w:start w:val="1"/>
      <w:numFmt w:val="lowerRoman"/>
      <w:lvlText w:val="(%1)"/>
      <w:lvlJc w:val="left"/>
      <w:pPr>
        <w:ind w:left="1287" w:hanging="720"/>
      </w:pPr>
      <w:rPr>
        <w:rFonts w:hint="default"/>
      </w:rPr>
    </w:lvl>
    <w:lvl w:ilvl="1" w:tplc="6168504A" w:tentative="1">
      <w:start w:val="1"/>
      <w:numFmt w:val="lowerLetter"/>
      <w:lvlText w:val="%2."/>
      <w:lvlJc w:val="left"/>
      <w:pPr>
        <w:ind w:left="1647" w:hanging="360"/>
      </w:pPr>
    </w:lvl>
    <w:lvl w:ilvl="2" w:tplc="75F0F77E" w:tentative="1">
      <w:start w:val="1"/>
      <w:numFmt w:val="lowerRoman"/>
      <w:lvlText w:val="%3."/>
      <w:lvlJc w:val="right"/>
      <w:pPr>
        <w:ind w:left="2367" w:hanging="180"/>
      </w:pPr>
    </w:lvl>
    <w:lvl w:ilvl="3" w:tplc="33B0721A" w:tentative="1">
      <w:start w:val="1"/>
      <w:numFmt w:val="decimal"/>
      <w:lvlText w:val="%4."/>
      <w:lvlJc w:val="left"/>
      <w:pPr>
        <w:ind w:left="3087" w:hanging="360"/>
      </w:pPr>
    </w:lvl>
    <w:lvl w:ilvl="4" w:tplc="D55A6E5C" w:tentative="1">
      <w:start w:val="1"/>
      <w:numFmt w:val="lowerLetter"/>
      <w:lvlText w:val="%5."/>
      <w:lvlJc w:val="left"/>
      <w:pPr>
        <w:ind w:left="3807" w:hanging="360"/>
      </w:pPr>
    </w:lvl>
    <w:lvl w:ilvl="5" w:tplc="4E64B872" w:tentative="1">
      <w:start w:val="1"/>
      <w:numFmt w:val="lowerRoman"/>
      <w:lvlText w:val="%6."/>
      <w:lvlJc w:val="right"/>
      <w:pPr>
        <w:ind w:left="4527" w:hanging="180"/>
      </w:pPr>
    </w:lvl>
    <w:lvl w:ilvl="6" w:tplc="A6C43ED4" w:tentative="1">
      <w:start w:val="1"/>
      <w:numFmt w:val="decimal"/>
      <w:lvlText w:val="%7."/>
      <w:lvlJc w:val="left"/>
      <w:pPr>
        <w:ind w:left="5247" w:hanging="360"/>
      </w:pPr>
    </w:lvl>
    <w:lvl w:ilvl="7" w:tplc="CA942004" w:tentative="1">
      <w:start w:val="1"/>
      <w:numFmt w:val="lowerLetter"/>
      <w:lvlText w:val="%8."/>
      <w:lvlJc w:val="left"/>
      <w:pPr>
        <w:ind w:left="5967" w:hanging="360"/>
      </w:pPr>
    </w:lvl>
    <w:lvl w:ilvl="8" w:tplc="B6960884" w:tentative="1">
      <w:start w:val="1"/>
      <w:numFmt w:val="lowerRoman"/>
      <w:lvlText w:val="%9."/>
      <w:lvlJc w:val="right"/>
      <w:pPr>
        <w:ind w:left="6687" w:hanging="180"/>
      </w:pPr>
    </w:lvl>
  </w:abstractNum>
  <w:abstractNum w:abstractNumId="67">
    <w:nsid w:val="73D74049"/>
    <w:multiLevelType w:val="hybridMultilevel"/>
    <w:tmpl w:val="C6B6BECE"/>
    <w:lvl w:ilvl="0" w:tplc="67FA81FE">
      <w:numFmt w:val="bullet"/>
      <w:lvlText w:val=""/>
      <w:lvlJc w:val="left"/>
      <w:pPr>
        <w:ind w:left="1440" w:hanging="720"/>
      </w:pPr>
      <w:rPr>
        <w:rFonts w:ascii="Symbol" w:eastAsia="Times New Roman"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
    <w:nsid w:val="770546D7"/>
    <w:multiLevelType w:val="hybridMultilevel"/>
    <w:tmpl w:val="F2C4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7315ADA"/>
    <w:multiLevelType w:val="hybridMultilevel"/>
    <w:tmpl w:val="71FC6552"/>
    <w:lvl w:ilvl="0" w:tplc="04090005">
      <w:start w:val="1"/>
      <w:numFmt w:val="bullet"/>
      <w:lvlText w:val=""/>
      <w:lvlJc w:val="left"/>
      <w:pPr>
        <w:ind w:left="2393" w:hanging="360"/>
      </w:pPr>
      <w:rPr>
        <w:rFonts w:ascii="Wingdings" w:hAnsi="Wingdings" w:hint="default"/>
      </w:rPr>
    </w:lvl>
    <w:lvl w:ilvl="1" w:tplc="04090003" w:tentative="1">
      <w:start w:val="1"/>
      <w:numFmt w:val="bullet"/>
      <w:lvlText w:val="o"/>
      <w:lvlJc w:val="left"/>
      <w:pPr>
        <w:ind w:left="3113" w:hanging="360"/>
      </w:pPr>
      <w:rPr>
        <w:rFonts w:ascii="Courier New" w:hAnsi="Courier New" w:cs="Courier New" w:hint="default"/>
      </w:rPr>
    </w:lvl>
    <w:lvl w:ilvl="2" w:tplc="04090005" w:tentative="1">
      <w:start w:val="1"/>
      <w:numFmt w:val="bullet"/>
      <w:lvlText w:val=""/>
      <w:lvlJc w:val="left"/>
      <w:pPr>
        <w:ind w:left="3833" w:hanging="360"/>
      </w:pPr>
      <w:rPr>
        <w:rFonts w:ascii="Wingdings" w:hAnsi="Wingdings" w:hint="default"/>
      </w:rPr>
    </w:lvl>
    <w:lvl w:ilvl="3" w:tplc="04090001" w:tentative="1">
      <w:start w:val="1"/>
      <w:numFmt w:val="bullet"/>
      <w:lvlText w:val=""/>
      <w:lvlJc w:val="left"/>
      <w:pPr>
        <w:ind w:left="4553" w:hanging="360"/>
      </w:pPr>
      <w:rPr>
        <w:rFonts w:ascii="Symbol" w:hAnsi="Symbol" w:hint="default"/>
      </w:rPr>
    </w:lvl>
    <w:lvl w:ilvl="4" w:tplc="04090003" w:tentative="1">
      <w:start w:val="1"/>
      <w:numFmt w:val="bullet"/>
      <w:lvlText w:val="o"/>
      <w:lvlJc w:val="left"/>
      <w:pPr>
        <w:ind w:left="5273" w:hanging="360"/>
      </w:pPr>
      <w:rPr>
        <w:rFonts w:ascii="Courier New" w:hAnsi="Courier New" w:cs="Courier New" w:hint="default"/>
      </w:rPr>
    </w:lvl>
    <w:lvl w:ilvl="5" w:tplc="04090005" w:tentative="1">
      <w:start w:val="1"/>
      <w:numFmt w:val="bullet"/>
      <w:lvlText w:val=""/>
      <w:lvlJc w:val="left"/>
      <w:pPr>
        <w:ind w:left="5993" w:hanging="360"/>
      </w:pPr>
      <w:rPr>
        <w:rFonts w:ascii="Wingdings" w:hAnsi="Wingdings" w:hint="default"/>
      </w:rPr>
    </w:lvl>
    <w:lvl w:ilvl="6" w:tplc="04090001" w:tentative="1">
      <w:start w:val="1"/>
      <w:numFmt w:val="bullet"/>
      <w:lvlText w:val=""/>
      <w:lvlJc w:val="left"/>
      <w:pPr>
        <w:ind w:left="6713" w:hanging="360"/>
      </w:pPr>
      <w:rPr>
        <w:rFonts w:ascii="Symbol" w:hAnsi="Symbol" w:hint="default"/>
      </w:rPr>
    </w:lvl>
    <w:lvl w:ilvl="7" w:tplc="04090003" w:tentative="1">
      <w:start w:val="1"/>
      <w:numFmt w:val="bullet"/>
      <w:lvlText w:val="o"/>
      <w:lvlJc w:val="left"/>
      <w:pPr>
        <w:ind w:left="7433" w:hanging="360"/>
      </w:pPr>
      <w:rPr>
        <w:rFonts w:ascii="Courier New" w:hAnsi="Courier New" w:cs="Courier New" w:hint="default"/>
      </w:rPr>
    </w:lvl>
    <w:lvl w:ilvl="8" w:tplc="04090005" w:tentative="1">
      <w:start w:val="1"/>
      <w:numFmt w:val="bullet"/>
      <w:lvlText w:val=""/>
      <w:lvlJc w:val="left"/>
      <w:pPr>
        <w:ind w:left="8153" w:hanging="360"/>
      </w:pPr>
      <w:rPr>
        <w:rFonts w:ascii="Wingdings" w:hAnsi="Wingdings" w:hint="default"/>
      </w:rPr>
    </w:lvl>
  </w:abstractNum>
  <w:abstractNum w:abstractNumId="70">
    <w:nsid w:val="7787451B"/>
    <w:multiLevelType w:val="hybridMultilevel"/>
    <w:tmpl w:val="C744394A"/>
    <w:lvl w:ilvl="0" w:tplc="39B65890">
      <w:start w:val="1"/>
      <w:numFmt w:val="bullet"/>
      <w:lvlText w:val=""/>
      <w:lvlJc w:val="left"/>
      <w:pPr>
        <w:ind w:left="720" w:hanging="360"/>
      </w:pPr>
      <w:rPr>
        <w:rFonts w:ascii="Symbol" w:hAnsi="Symbol" w:hint="default"/>
      </w:rPr>
    </w:lvl>
    <w:lvl w:ilvl="1" w:tplc="16E6E342">
      <w:start w:val="1"/>
      <w:numFmt w:val="bullet"/>
      <w:lvlText w:val=""/>
      <w:lvlJc w:val="left"/>
      <w:pPr>
        <w:ind w:left="1440" w:hanging="360"/>
      </w:pPr>
      <w:rPr>
        <w:rFonts w:ascii="Symbol" w:hAnsi="Symbol" w:hint="default"/>
      </w:rPr>
    </w:lvl>
    <w:lvl w:ilvl="2" w:tplc="13644B1E">
      <w:start w:val="1"/>
      <w:numFmt w:val="bullet"/>
      <w:lvlText w:val=""/>
      <w:lvlJc w:val="left"/>
      <w:pPr>
        <w:ind w:left="2160" w:hanging="360"/>
      </w:pPr>
      <w:rPr>
        <w:rFonts w:ascii="Wingdings" w:hAnsi="Wingdings" w:hint="default"/>
      </w:rPr>
    </w:lvl>
    <w:lvl w:ilvl="3" w:tplc="388C9B6A" w:tentative="1">
      <w:start w:val="1"/>
      <w:numFmt w:val="bullet"/>
      <w:lvlText w:val=""/>
      <w:lvlJc w:val="left"/>
      <w:pPr>
        <w:ind w:left="2880" w:hanging="360"/>
      </w:pPr>
      <w:rPr>
        <w:rFonts w:ascii="Symbol" w:hAnsi="Symbol" w:hint="default"/>
      </w:rPr>
    </w:lvl>
    <w:lvl w:ilvl="4" w:tplc="D60E8630" w:tentative="1">
      <w:start w:val="1"/>
      <w:numFmt w:val="bullet"/>
      <w:lvlText w:val="o"/>
      <w:lvlJc w:val="left"/>
      <w:pPr>
        <w:ind w:left="3600" w:hanging="360"/>
      </w:pPr>
      <w:rPr>
        <w:rFonts w:ascii="Courier New" w:hAnsi="Courier New" w:cs="Courier New" w:hint="default"/>
      </w:rPr>
    </w:lvl>
    <w:lvl w:ilvl="5" w:tplc="7EA4DEF2" w:tentative="1">
      <w:start w:val="1"/>
      <w:numFmt w:val="bullet"/>
      <w:lvlText w:val=""/>
      <w:lvlJc w:val="left"/>
      <w:pPr>
        <w:ind w:left="4320" w:hanging="360"/>
      </w:pPr>
      <w:rPr>
        <w:rFonts w:ascii="Wingdings" w:hAnsi="Wingdings" w:hint="default"/>
      </w:rPr>
    </w:lvl>
    <w:lvl w:ilvl="6" w:tplc="94366BE4" w:tentative="1">
      <w:start w:val="1"/>
      <w:numFmt w:val="bullet"/>
      <w:lvlText w:val=""/>
      <w:lvlJc w:val="left"/>
      <w:pPr>
        <w:ind w:left="5040" w:hanging="360"/>
      </w:pPr>
      <w:rPr>
        <w:rFonts w:ascii="Symbol" w:hAnsi="Symbol" w:hint="default"/>
      </w:rPr>
    </w:lvl>
    <w:lvl w:ilvl="7" w:tplc="94CCDA20" w:tentative="1">
      <w:start w:val="1"/>
      <w:numFmt w:val="bullet"/>
      <w:lvlText w:val="o"/>
      <w:lvlJc w:val="left"/>
      <w:pPr>
        <w:ind w:left="5760" w:hanging="360"/>
      </w:pPr>
      <w:rPr>
        <w:rFonts w:ascii="Courier New" w:hAnsi="Courier New" w:cs="Courier New" w:hint="default"/>
      </w:rPr>
    </w:lvl>
    <w:lvl w:ilvl="8" w:tplc="B9D21C8C" w:tentative="1">
      <w:start w:val="1"/>
      <w:numFmt w:val="bullet"/>
      <w:lvlText w:val=""/>
      <w:lvlJc w:val="left"/>
      <w:pPr>
        <w:ind w:left="6480" w:hanging="360"/>
      </w:pPr>
      <w:rPr>
        <w:rFonts w:ascii="Wingdings" w:hAnsi="Wingdings" w:hint="default"/>
      </w:rPr>
    </w:lvl>
  </w:abstractNum>
  <w:abstractNum w:abstractNumId="71">
    <w:nsid w:val="795B5AA3"/>
    <w:multiLevelType w:val="hybridMultilevel"/>
    <w:tmpl w:val="7A3A6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7AF139CB"/>
    <w:multiLevelType w:val="hybridMultilevel"/>
    <w:tmpl w:val="7FEAA6C0"/>
    <w:lvl w:ilvl="0" w:tplc="04090001">
      <w:start w:val="1"/>
      <w:numFmt w:val="bullet"/>
      <w:lvlText w:val="o"/>
      <w:lvlJc w:val="left"/>
      <w:pPr>
        <w:ind w:left="433" w:hanging="433"/>
      </w:pPr>
      <w:rPr>
        <w:rFonts w:ascii="Courier New" w:hAnsi="Courier New" w:hint="default"/>
      </w:rPr>
    </w:lvl>
    <w:lvl w:ilvl="1" w:tplc="8F6E0E50">
      <w:start w:val="1"/>
      <w:numFmt w:val="bullet"/>
      <w:lvlText w:val=""/>
      <w:lvlJc w:val="left"/>
      <w:pPr>
        <w:ind w:left="1931" w:hanging="360"/>
      </w:pPr>
      <w:rPr>
        <w:rFonts w:ascii="Symbol" w:hAnsi="Symbol" w:hint="default"/>
      </w:rPr>
    </w:lvl>
    <w:lvl w:ilvl="2" w:tplc="04090005">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3">
    <w:nsid w:val="7F651BA3"/>
    <w:multiLevelType w:val="hybridMultilevel"/>
    <w:tmpl w:val="85FEE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20"/>
  </w:num>
  <w:num w:numId="4">
    <w:abstractNumId w:val="3"/>
  </w:num>
  <w:num w:numId="5">
    <w:abstractNumId w:val="14"/>
  </w:num>
  <w:num w:numId="6">
    <w:abstractNumId w:val="8"/>
  </w:num>
  <w:num w:numId="7">
    <w:abstractNumId w:val="6"/>
  </w:num>
  <w:num w:numId="8">
    <w:abstractNumId w:val="5"/>
  </w:num>
  <w:num w:numId="9">
    <w:abstractNumId w:val="4"/>
  </w:num>
  <w:num w:numId="10">
    <w:abstractNumId w:val="7"/>
  </w:num>
  <w:num w:numId="11">
    <w:abstractNumId w:val="2"/>
  </w:num>
  <w:num w:numId="12">
    <w:abstractNumId w:val="1"/>
  </w:num>
  <w:num w:numId="13">
    <w:abstractNumId w:val="0"/>
  </w:num>
  <w:num w:numId="14">
    <w:abstractNumId w:val="41"/>
  </w:num>
  <w:num w:numId="15">
    <w:abstractNumId w:val="22"/>
  </w:num>
  <w:num w:numId="16">
    <w:abstractNumId w:val="33"/>
  </w:num>
  <w:num w:numId="17">
    <w:abstractNumId w:val="34"/>
  </w:num>
  <w:num w:numId="18">
    <w:abstractNumId w:val="24"/>
  </w:num>
  <w:num w:numId="19">
    <w:abstractNumId w:val="70"/>
  </w:num>
  <w:num w:numId="20">
    <w:abstractNumId w:val="47"/>
  </w:num>
  <w:num w:numId="21">
    <w:abstractNumId w:val="27"/>
  </w:num>
  <w:num w:numId="22">
    <w:abstractNumId w:val="11"/>
  </w:num>
  <w:num w:numId="23">
    <w:abstractNumId w:val="68"/>
  </w:num>
  <w:num w:numId="24">
    <w:abstractNumId w:val="66"/>
  </w:num>
  <w:num w:numId="25">
    <w:abstractNumId w:val="58"/>
  </w:num>
  <w:num w:numId="26">
    <w:abstractNumId w:val="23"/>
  </w:num>
  <w:num w:numId="27">
    <w:abstractNumId w:val="48"/>
  </w:num>
  <w:num w:numId="28">
    <w:abstractNumId w:val="63"/>
  </w:num>
  <w:num w:numId="29">
    <w:abstractNumId w:val="57"/>
  </w:num>
  <w:num w:numId="30">
    <w:abstractNumId w:val="43"/>
  </w:num>
  <w:num w:numId="3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num>
  <w:num w:numId="33">
    <w:abstractNumId w:val="40"/>
  </w:num>
  <w:num w:numId="34">
    <w:abstractNumId w:val="49"/>
  </w:num>
  <w:num w:numId="35">
    <w:abstractNumId w:val="9"/>
  </w:num>
  <w:num w:numId="36">
    <w:abstractNumId w:val="61"/>
  </w:num>
  <w:num w:numId="37">
    <w:abstractNumId w:val="31"/>
  </w:num>
  <w:num w:numId="38">
    <w:abstractNumId w:val="60"/>
  </w:num>
  <w:num w:numId="39">
    <w:abstractNumId w:val="18"/>
  </w:num>
  <w:num w:numId="40">
    <w:abstractNumId w:val="64"/>
  </w:num>
  <w:num w:numId="41">
    <w:abstractNumId w:val="21"/>
  </w:num>
  <w:num w:numId="42">
    <w:abstractNumId w:val="71"/>
  </w:num>
  <w:num w:numId="43">
    <w:abstractNumId w:val="30"/>
  </w:num>
  <w:num w:numId="44">
    <w:abstractNumId w:val="37"/>
  </w:num>
  <w:num w:numId="4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54"/>
  </w:num>
  <w:num w:numId="55">
    <w:abstractNumId w:val="73"/>
  </w:num>
  <w:num w:numId="56">
    <w:abstractNumId w:val="53"/>
  </w:num>
  <w:num w:numId="57">
    <w:abstractNumId w:val="10"/>
  </w:num>
  <w:num w:numId="58">
    <w:abstractNumId w:val="67"/>
  </w:num>
  <w:num w:numId="59">
    <w:abstractNumId w:val="32"/>
  </w:num>
  <w:num w:numId="60">
    <w:abstractNumId w:val="15"/>
  </w:num>
  <w:num w:numId="61">
    <w:abstractNumId w:val="39"/>
  </w:num>
  <w:num w:numId="62">
    <w:abstractNumId w:val="29"/>
  </w:num>
  <w:num w:numId="6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
  </w:num>
  <w:num w:numId="65">
    <w:abstractNumId w:val="35"/>
  </w:num>
  <w:num w:numId="66">
    <w:abstractNumId w:val="38"/>
  </w:num>
  <w:num w:numId="67">
    <w:abstractNumId w:val="62"/>
  </w:num>
  <w:num w:numId="6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7"/>
  </w:num>
  <w:num w:numId="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9"/>
  </w:num>
  <w:num w:numId="72">
    <w:abstractNumId w:val="42"/>
  </w:num>
  <w:num w:numId="73">
    <w:abstractNumId w:val="52"/>
  </w:num>
  <w:num w:numId="74">
    <w:abstractNumId w:val="72"/>
  </w:num>
  <w:num w:numId="75">
    <w:abstractNumId w:val="50"/>
  </w:num>
  <w:num w:numId="76">
    <w:abstractNumId w:val="46"/>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90"/>
  <w:displayHorizontalDrawingGridEvery w:val="2"/>
  <w:noPunctuationKerning/>
  <w:characterSpacingControl w:val="doNotCompress"/>
  <w:hdrShapeDefaults>
    <o:shapedefaults v:ext="edit" spidmax="18433">
      <o:colormru v:ext="edit" colors="#63c1df,#7ddc1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2CE8"/>
    <w:rsid w:val="000003EC"/>
    <w:rsid w:val="0000041C"/>
    <w:rsid w:val="00000465"/>
    <w:rsid w:val="00000908"/>
    <w:rsid w:val="000011D1"/>
    <w:rsid w:val="000012E9"/>
    <w:rsid w:val="00001C2F"/>
    <w:rsid w:val="00002DC2"/>
    <w:rsid w:val="0000353A"/>
    <w:rsid w:val="000037BB"/>
    <w:rsid w:val="00003A6E"/>
    <w:rsid w:val="00003DCF"/>
    <w:rsid w:val="00004029"/>
    <w:rsid w:val="00004657"/>
    <w:rsid w:val="00004CB9"/>
    <w:rsid w:val="00004EF9"/>
    <w:rsid w:val="00005AA0"/>
    <w:rsid w:val="00005CEE"/>
    <w:rsid w:val="00006982"/>
    <w:rsid w:val="000074C8"/>
    <w:rsid w:val="00007B9F"/>
    <w:rsid w:val="0001180B"/>
    <w:rsid w:val="00012FC8"/>
    <w:rsid w:val="000142DE"/>
    <w:rsid w:val="000151B9"/>
    <w:rsid w:val="000156F8"/>
    <w:rsid w:val="00015B86"/>
    <w:rsid w:val="0001625F"/>
    <w:rsid w:val="000164E2"/>
    <w:rsid w:val="00016653"/>
    <w:rsid w:val="00016C1F"/>
    <w:rsid w:val="00017CA1"/>
    <w:rsid w:val="0002025A"/>
    <w:rsid w:val="00020CCF"/>
    <w:rsid w:val="000212E3"/>
    <w:rsid w:val="00022331"/>
    <w:rsid w:val="00022837"/>
    <w:rsid w:val="00022BD2"/>
    <w:rsid w:val="00022CB7"/>
    <w:rsid w:val="00023103"/>
    <w:rsid w:val="000234AE"/>
    <w:rsid w:val="000241C8"/>
    <w:rsid w:val="0002439C"/>
    <w:rsid w:val="00024702"/>
    <w:rsid w:val="0002490A"/>
    <w:rsid w:val="000252F2"/>
    <w:rsid w:val="00027128"/>
    <w:rsid w:val="0002713A"/>
    <w:rsid w:val="00027169"/>
    <w:rsid w:val="000272EC"/>
    <w:rsid w:val="000279A9"/>
    <w:rsid w:val="00027D2B"/>
    <w:rsid w:val="00027D86"/>
    <w:rsid w:val="00030224"/>
    <w:rsid w:val="000302F5"/>
    <w:rsid w:val="00030794"/>
    <w:rsid w:val="00030A8B"/>
    <w:rsid w:val="00031CD2"/>
    <w:rsid w:val="00032006"/>
    <w:rsid w:val="000332E8"/>
    <w:rsid w:val="00033A1B"/>
    <w:rsid w:val="00033D6E"/>
    <w:rsid w:val="0003450C"/>
    <w:rsid w:val="000345D9"/>
    <w:rsid w:val="0003464C"/>
    <w:rsid w:val="00034E3E"/>
    <w:rsid w:val="00034FAE"/>
    <w:rsid w:val="0003518E"/>
    <w:rsid w:val="0003539F"/>
    <w:rsid w:val="0003590A"/>
    <w:rsid w:val="00035F29"/>
    <w:rsid w:val="00036281"/>
    <w:rsid w:val="00037EB3"/>
    <w:rsid w:val="00040599"/>
    <w:rsid w:val="000423B6"/>
    <w:rsid w:val="00043373"/>
    <w:rsid w:val="000433E8"/>
    <w:rsid w:val="00043741"/>
    <w:rsid w:val="00043D7B"/>
    <w:rsid w:val="00044613"/>
    <w:rsid w:val="000449BE"/>
    <w:rsid w:val="00045287"/>
    <w:rsid w:val="000453B7"/>
    <w:rsid w:val="0004607D"/>
    <w:rsid w:val="00046635"/>
    <w:rsid w:val="00046D05"/>
    <w:rsid w:val="00046D7E"/>
    <w:rsid w:val="00047122"/>
    <w:rsid w:val="00047826"/>
    <w:rsid w:val="000502EE"/>
    <w:rsid w:val="00050585"/>
    <w:rsid w:val="00050A3F"/>
    <w:rsid w:val="00051131"/>
    <w:rsid w:val="0005170B"/>
    <w:rsid w:val="00051885"/>
    <w:rsid w:val="000523DE"/>
    <w:rsid w:val="0005387B"/>
    <w:rsid w:val="00053ABD"/>
    <w:rsid w:val="00053D40"/>
    <w:rsid w:val="00053F44"/>
    <w:rsid w:val="00054D15"/>
    <w:rsid w:val="00055CD4"/>
    <w:rsid w:val="000562AC"/>
    <w:rsid w:val="00056944"/>
    <w:rsid w:val="00056D3C"/>
    <w:rsid w:val="00057AF9"/>
    <w:rsid w:val="00060F63"/>
    <w:rsid w:val="000622EE"/>
    <w:rsid w:val="0006236E"/>
    <w:rsid w:val="00062EB2"/>
    <w:rsid w:val="00063ACB"/>
    <w:rsid w:val="00063AE8"/>
    <w:rsid w:val="0006427D"/>
    <w:rsid w:val="0006495B"/>
    <w:rsid w:val="00064A78"/>
    <w:rsid w:val="00064E2F"/>
    <w:rsid w:val="00064FFD"/>
    <w:rsid w:val="000650F4"/>
    <w:rsid w:val="00065A36"/>
    <w:rsid w:val="00066342"/>
    <w:rsid w:val="0006666D"/>
    <w:rsid w:val="00066A46"/>
    <w:rsid w:val="00066AA9"/>
    <w:rsid w:val="00066B8A"/>
    <w:rsid w:val="0007037D"/>
    <w:rsid w:val="000707EB"/>
    <w:rsid w:val="00070810"/>
    <w:rsid w:val="00070986"/>
    <w:rsid w:val="00071DA8"/>
    <w:rsid w:val="000726E9"/>
    <w:rsid w:val="00072717"/>
    <w:rsid w:val="00072747"/>
    <w:rsid w:val="00072886"/>
    <w:rsid w:val="000737A8"/>
    <w:rsid w:val="000737D4"/>
    <w:rsid w:val="00073B53"/>
    <w:rsid w:val="0007451C"/>
    <w:rsid w:val="0007468B"/>
    <w:rsid w:val="000746FD"/>
    <w:rsid w:val="00074766"/>
    <w:rsid w:val="00074975"/>
    <w:rsid w:val="00074BEA"/>
    <w:rsid w:val="000757A6"/>
    <w:rsid w:val="00077C93"/>
    <w:rsid w:val="000804DE"/>
    <w:rsid w:val="00080B8D"/>
    <w:rsid w:val="000810ED"/>
    <w:rsid w:val="00081428"/>
    <w:rsid w:val="00081C02"/>
    <w:rsid w:val="00081CCF"/>
    <w:rsid w:val="000827A3"/>
    <w:rsid w:val="00082AF7"/>
    <w:rsid w:val="000839EA"/>
    <w:rsid w:val="00083A2F"/>
    <w:rsid w:val="000845C3"/>
    <w:rsid w:val="000846C9"/>
    <w:rsid w:val="00084C32"/>
    <w:rsid w:val="00084CC7"/>
    <w:rsid w:val="00085226"/>
    <w:rsid w:val="0008577B"/>
    <w:rsid w:val="00085EBF"/>
    <w:rsid w:val="00086754"/>
    <w:rsid w:val="00086CA3"/>
    <w:rsid w:val="00086DB7"/>
    <w:rsid w:val="00086F4F"/>
    <w:rsid w:val="00087008"/>
    <w:rsid w:val="00087823"/>
    <w:rsid w:val="00090266"/>
    <w:rsid w:val="00091D50"/>
    <w:rsid w:val="000920BD"/>
    <w:rsid w:val="00092199"/>
    <w:rsid w:val="000923B2"/>
    <w:rsid w:val="0009241B"/>
    <w:rsid w:val="000943DD"/>
    <w:rsid w:val="000944F7"/>
    <w:rsid w:val="00095AE4"/>
    <w:rsid w:val="00096141"/>
    <w:rsid w:val="0009759C"/>
    <w:rsid w:val="000977EE"/>
    <w:rsid w:val="00097EC1"/>
    <w:rsid w:val="000A02CA"/>
    <w:rsid w:val="000A0AC4"/>
    <w:rsid w:val="000A1C77"/>
    <w:rsid w:val="000A1E47"/>
    <w:rsid w:val="000A2DCE"/>
    <w:rsid w:val="000A3AD5"/>
    <w:rsid w:val="000A4A25"/>
    <w:rsid w:val="000A4DA7"/>
    <w:rsid w:val="000A5E9D"/>
    <w:rsid w:val="000A6CA6"/>
    <w:rsid w:val="000A739B"/>
    <w:rsid w:val="000A7981"/>
    <w:rsid w:val="000B0FF4"/>
    <w:rsid w:val="000B1635"/>
    <w:rsid w:val="000B16E3"/>
    <w:rsid w:val="000B196E"/>
    <w:rsid w:val="000B1A42"/>
    <w:rsid w:val="000B1F06"/>
    <w:rsid w:val="000B3620"/>
    <w:rsid w:val="000B3F3A"/>
    <w:rsid w:val="000B5539"/>
    <w:rsid w:val="000B686C"/>
    <w:rsid w:val="000B6899"/>
    <w:rsid w:val="000B6E92"/>
    <w:rsid w:val="000B7298"/>
    <w:rsid w:val="000B7979"/>
    <w:rsid w:val="000C190F"/>
    <w:rsid w:val="000C1E5A"/>
    <w:rsid w:val="000C1FE8"/>
    <w:rsid w:val="000C263E"/>
    <w:rsid w:val="000C2FB6"/>
    <w:rsid w:val="000C34E5"/>
    <w:rsid w:val="000C3A82"/>
    <w:rsid w:val="000C4055"/>
    <w:rsid w:val="000C409E"/>
    <w:rsid w:val="000C534C"/>
    <w:rsid w:val="000C6316"/>
    <w:rsid w:val="000C65D4"/>
    <w:rsid w:val="000C6C14"/>
    <w:rsid w:val="000C7865"/>
    <w:rsid w:val="000D0299"/>
    <w:rsid w:val="000D03CB"/>
    <w:rsid w:val="000D0ABD"/>
    <w:rsid w:val="000D1456"/>
    <w:rsid w:val="000D1732"/>
    <w:rsid w:val="000D18A1"/>
    <w:rsid w:val="000D27CD"/>
    <w:rsid w:val="000D317C"/>
    <w:rsid w:val="000D44DC"/>
    <w:rsid w:val="000D45A4"/>
    <w:rsid w:val="000D5C6C"/>
    <w:rsid w:val="000D5F23"/>
    <w:rsid w:val="000D63BF"/>
    <w:rsid w:val="000D6F2B"/>
    <w:rsid w:val="000D76A6"/>
    <w:rsid w:val="000D7A86"/>
    <w:rsid w:val="000D7B25"/>
    <w:rsid w:val="000E02F4"/>
    <w:rsid w:val="000E0BAB"/>
    <w:rsid w:val="000E11C3"/>
    <w:rsid w:val="000E1D94"/>
    <w:rsid w:val="000E25C8"/>
    <w:rsid w:val="000E2BD3"/>
    <w:rsid w:val="000E2E37"/>
    <w:rsid w:val="000E2F4B"/>
    <w:rsid w:val="000E3F7C"/>
    <w:rsid w:val="000E42C4"/>
    <w:rsid w:val="000E42DA"/>
    <w:rsid w:val="000E47B7"/>
    <w:rsid w:val="000E618C"/>
    <w:rsid w:val="000E637A"/>
    <w:rsid w:val="000E69D4"/>
    <w:rsid w:val="000E6A9C"/>
    <w:rsid w:val="000E719E"/>
    <w:rsid w:val="000E7FA9"/>
    <w:rsid w:val="000F072D"/>
    <w:rsid w:val="000F08BB"/>
    <w:rsid w:val="000F1991"/>
    <w:rsid w:val="000F240F"/>
    <w:rsid w:val="000F2DC6"/>
    <w:rsid w:val="000F3F60"/>
    <w:rsid w:val="000F4484"/>
    <w:rsid w:val="000F4524"/>
    <w:rsid w:val="000F4699"/>
    <w:rsid w:val="000F52C7"/>
    <w:rsid w:val="000F542D"/>
    <w:rsid w:val="000F6545"/>
    <w:rsid w:val="000F68E8"/>
    <w:rsid w:val="000F6DCA"/>
    <w:rsid w:val="000F70E4"/>
    <w:rsid w:val="000F73D3"/>
    <w:rsid w:val="000F7CED"/>
    <w:rsid w:val="000F7FA4"/>
    <w:rsid w:val="00100900"/>
    <w:rsid w:val="00100F8F"/>
    <w:rsid w:val="00101D24"/>
    <w:rsid w:val="0010290A"/>
    <w:rsid w:val="00102AD3"/>
    <w:rsid w:val="001035A9"/>
    <w:rsid w:val="00103AAE"/>
    <w:rsid w:val="00103FBA"/>
    <w:rsid w:val="001040D3"/>
    <w:rsid w:val="0010489E"/>
    <w:rsid w:val="001048CF"/>
    <w:rsid w:val="00104AB1"/>
    <w:rsid w:val="0010511A"/>
    <w:rsid w:val="001065D4"/>
    <w:rsid w:val="00106999"/>
    <w:rsid w:val="00106F4A"/>
    <w:rsid w:val="00106FE4"/>
    <w:rsid w:val="001071D0"/>
    <w:rsid w:val="001074FA"/>
    <w:rsid w:val="00111041"/>
    <w:rsid w:val="001117BC"/>
    <w:rsid w:val="00111960"/>
    <w:rsid w:val="00111F33"/>
    <w:rsid w:val="00113442"/>
    <w:rsid w:val="001134C7"/>
    <w:rsid w:val="001139DA"/>
    <w:rsid w:val="00113C3C"/>
    <w:rsid w:val="00114A8F"/>
    <w:rsid w:val="00115591"/>
    <w:rsid w:val="001156A0"/>
    <w:rsid w:val="00116812"/>
    <w:rsid w:val="00116D03"/>
    <w:rsid w:val="00116F40"/>
    <w:rsid w:val="00117D64"/>
    <w:rsid w:val="00120389"/>
    <w:rsid w:val="001206BC"/>
    <w:rsid w:val="001211EC"/>
    <w:rsid w:val="00121A67"/>
    <w:rsid w:val="00121ABA"/>
    <w:rsid w:val="00121E15"/>
    <w:rsid w:val="00121EB1"/>
    <w:rsid w:val="00121FF5"/>
    <w:rsid w:val="001230DE"/>
    <w:rsid w:val="00123496"/>
    <w:rsid w:val="001237AD"/>
    <w:rsid w:val="001238D4"/>
    <w:rsid w:val="00123B45"/>
    <w:rsid w:val="00123EC2"/>
    <w:rsid w:val="0012418E"/>
    <w:rsid w:val="00124345"/>
    <w:rsid w:val="00124373"/>
    <w:rsid w:val="0012488D"/>
    <w:rsid w:val="00124C91"/>
    <w:rsid w:val="001268CB"/>
    <w:rsid w:val="00126AB4"/>
    <w:rsid w:val="001277BA"/>
    <w:rsid w:val="00127949"/>
    <w:rsid w:val="0013006D"/>
    <w:rsid w:val="00130461"/>
    <w:rsid w:val="00131640"/>
    <w:rsid w:val="001318AE"/>
    <w:rsid w:val="00131985"/>
    <w:rsid w:val="00132691"/>
    <w:rsid w:val="00132792"/>
    <w:rsid w:val="0013282C"/>
    <w:rsid w:val="00132E00"/>
    <w:rsid w:val="00132F9C"/>
    <w:rsid w:val="0013361A"/>
    <w:rsid w:val="00133A36"/>
    <w:rsid w:val="0013459C"/>
    <w:rsid w:val="00135680"/>
    <w:rsid w:val="00136409"/>
    <w:rsid w:val="00136C96"/>
    <w:rsid w:val="001376F0"/>
    <w:rsid w:val="00137704"/>
    <w:rsid w:val="001379DB"/>
    <w:rsid w:val="00137D3D"/>
    <w:rsid w:val="001412A6"/>
    <w:rsid w:val="001419E9"/>
    <w:rsid w:val="001421E5"/>
    <w:rsid w:val="00142343"/>
    <w:rsid w:val="00142400"/>
    <w:rsid w:val="00142ECE"/>
    <w:rsid w:val="0014311B"/>
    <w:rsid w:val="0014352E"/>
    <w:rsid w:val="001436B5"/>
    <w:rsid w:val="001436BD"/>
    <w:rsid w:val="00144AE5"/>
    <w:rsid w:val="001453E7"/>
    <w:rsid w:val="00146DA0"/>
    <w:rsid w:val="00147246"/>
    <w:rsid w:val="0014753D"/>
    <w:rsid w:val="00147B0A"/>
    <w:rsid w:val="001505AB"/>
    <w:rsid w:val="00150937"/>
    <w:rsid w:val="00150EF8"/>
    <w:rsid w:val="00154069"/>
    <w:rsid w:val="001546F4"/>
    <w:rsid w:val="001548C0"/>
    <w:rsid w:val="00154B42"/>
    <w:rsid w:val="00155154"/>
    <w:rsid w:val="00155322"/>
    <w:rsid w:val="00155BA5"/>
    <w:rsid w:val="00156F6E"/>
    <w:rsid w:val="00157950"/>
    <w:rsid w:val="00157BC9"/>
    <w:rsid w:val="001605CF"/>
    <w:rsid w:val="00160730"/>
    <w:rsid w:val="0016213E"/>
    <w:rsid w:val="00163246"/>
    <w:rsid w:val="00163823"/>
    <w:rsid w:val="0016418E"/>
    <w:rsid w:val="001648D1"/>
    <w:rsid w:val="0016529A"/>
    <w:rsid w:val="00165378"/>
    <w:rsid w:val="001662BF"/>
    <w:rsid w:val="00166499"/>
    <w:rsid w:val="00167269"/>
    <w:rsid w:val="00167E88"/>
    <w:rsid w:val="00167F0C"/>
    <w:rsid w:val="00170180"/>
    <w:rsid w:val="00170C2E"/>
    <w:rsid w:val="00170DC6"/>
    <w:rsid w:val="00171213"/>
    <w:rsid w:val="00171657"/>
    <w:rsid w:val="00171C10"/>
    <w:rsid w:val="001720FA"/>
    <w:rsid w:val="00172578"/>
    <w:rsid w:val="0017378C"/>
    <w:rsid w:val="001737EE"/>
    <w:rsid w:val="0017437D"/>
    <w:rsid w:val="00174544"/>
    <w:rsid w:val="001745C6"/>
    <w:rsid w:val="0017464C"/>
    <w:rsid w:val="00175951"/>
    <w:rsid w:val="00175EC1"/>
    <w:rsid w:val="00176557"/>
    <w:rsid w:val="001767FA"/>
    <w:rsid w:val="00176D96"/>
    <w:rsid w:val="00176F08"/>
    <w:rsid w:val="00180A6D"/>
    <w:rsid w:val="00180DEB"/>
    <w:rsid w:val="00181925"/>
    <w:rsid w:val="00181E57"/>
    <w:rsid w:val="001825E4"/>
    <w:rsid w:val="0018268E"/>
    <w:rsid w:val="00182B59"/>
    <w:rsid w:val="00182F95"/>
    <w:rsid w:val="0018508A"/>
    <w:rsid w:val="001852F7"/>
    <w:rsid w:val="001856D6"/>
    <w:rsid w:val="00185902"/>
    <w:rsid w:val="00185F7F"/>
    <w:rsid w:val="0018658C"/>
    <w:rsid w:val="00186857"/>
    <w:rsid w:val="00187C7F"/>
    <w:rsid w:val="001903F0"/>
    <w:rsid w:val="00190619"/>
    <w:rsid w:val="00190718"/>
    <w:rsid w:val="00190957"/>
    <w:rsid w:val="00190E6D"/>
    <w:rsid w:val="00191D63"/>
    <w:rsid w:val="00191E7E"/>
    <w:rsid w:val="0019351A"/>
    <w:rsid w:val="00193A63"/>
    <w:rsid w:val="00193BE2"/>
    <w:rsid w:val="00194205"/>
    <w:rsid w:val="00194879"/>
    <w:rsid w:val="00194CD7"/>
    <w:rsid w:val="00194D1C"/>
    <w:rsid w:val="00196209"/>
    <w:rsid w:val="0019685E"/>
    <w:rsid w:val="001970D4"/>
    <w:rsid w:val="001975D9"/>
    <w:rsid w:val="001977BF"/>
    <w:rsid w:val="00197C8E"/>
    <w:rsid w:val="001A0089"/>
    <w:rsid w:val="001A0147"/>
    <w:rsid w:val="001A0485"/>
    <w:rsid w:val="001A059E"/>
    <w:rsid w:val="001A0982"/>
    <w:rsid w:val="001A1849"/>
    <w:rsid w:val="001A1BCE"/>
    <w:rsid w:val="001A2A99"/>
    <w:rsid w:val="001A3731"/>
    <w:rsid w:val="001A376F"/>
    <w:rsid w:val="001A4D6F"/>
    <w:rsid w:val="001A4DE2"/>
    <w:rsid w:val="001A6027"/>
    <w:rsid w:val="001A63E8"/>
    <w:rsid w:val="001A6A18"/>
    <w:rsid w:val="001B024D"/>
    <w:rsid w:val="001B0360"/>
    <w:rsid w:val="001B03D2"/>
    <w:rsid w:val="001B0EFE"/>
    <w:rsid w:val="001B1396"/>
    <w:rsid w:val="001B1902"/>
    <w:rsid w:val="001B1CEB"/>
    <w:rsid w:val="001B2599"/>
    <w:rsid w:val="001B27BD"/>
    <w:rsid w:val="001B297A"/>
    <w:rsid w:val="001B333E"/>
    <w:rsid w:val="001B35C1"/>
    <w:rsid w:val="001B4059"/>
    <w:rsid w:val="001B4B80"/>
    <w:rsid w:val="001B504B"/>
    <w:rsid w:val="001B5A29"/>
    <w:rsid w:val="001B68C3"/>
    <w:rsid w:val="001B6A6D"/>
    <w:rsid w:val="001B7BC7"/>
    <w:rsid w:val="001C0CEF"/>
    <w:rsid w:val="001C1121"/>
    <w:rsid w:val="001C1841"/>
    <w:rsid w:val="001C20E2"/>
    <w:rsid w:val="001C2655"/>
    <w:rsid w:val="001C2918"/>
    <w:rsid w:val="001C2CCD"/>
    <w:rsid w:val="001C39B7"/>
    <w:rsid w:val="001C3A18"/>
    <w:rsid w:val="001C3D46"/>
    <w:rsid w:val="001C4BF3"/>
    <w:rsid w:val="001C4CC7"/>
    <w:rsid w:val="001C4DBF"/>
    <w:rsid w:val="001C5578"/>
    <w:rsid w:val="001C5C72"/>
    <w:rsid w:val="001C6C5F"/>
    <w:rsid w:val="001C6C79"/>
    <w:rsid w:val="001C7144"/>
    <w:rsid w:val="001C7398"/>
    <w:rsid w:val="001C75DD"/>
    <w:rsid w:val="001C7B2E"/>
    <w:rsid w:val="001D028A"/>
    <w:rsid w:val="001D09C0"/>
    <w:rsid w:val="001D09C1"/>
    <w:rsid w:val="001D0D5F"/>
    <w:rsid w:val="001D15BC"/>
    <w:rsid w:val="001D2470"/>
    <w:rsid w:val="001D2D54"/>
    <w:rsid w:val="001D31BE"/>
    <w:rsid w:val="001D33CE"/>
    <w:rsid w:val="001D3454"/>
    <w:rsid w:val="001D349F"/>
    <w:rsid w:val="001D3979"/>
    <w:rsid w:val="001D44F5"/>
    <w:rsid w:val="001D46D0"/>
    <w:rsid w:val="001D4BCC"/>
    <w:rsid w:val="001D5AE6"/>
    <w:rsid w:val="001D6657"/>
    <w:rsid w:val="001D7EA6"/>
    <w:rsid w:val="001D7EB9"/>
    <w:rsid w:val="001E0A77"/>
    <w:rsid w:val="001E1503"/>
    <w:rsid w:val="001E1676"/>
    <w:rsid w:val="001E2614"/>
    <w:rsid w:val="001E29DC"/>
    <w:rsid w:val="001E31AF"/>
    <w:rsid w:val="001E336B"/>
    <w:rsid w:val="001E394D"/>
    <w:rsid w:val="001E3B26"/>
    <w:rsid w:val="001E3DF6"/>
    <w:rsid w:val="001E484A"/>
    <w:rsid w:val="001E4DEA"/>
    <w:rsid w:val="001E4FE7"/>
    <w:rsid w:val="001E5191"/>
    <w:rsid w:val="001E5C63"/>
    <w:rsid w:val="001E62CD"/>
    <w:rsid w:val="001E71F2"/>
    <w:rsid w:val="001E7AE4"/>
    <w:rsid w:val="001F1EDF"/>
    <w:rsid w:val="001F2194"/>
    <w:rsid w:val="001F230C"/>
    <w:rsid w:val="001F2417"/>
    <w:rsid w:val="001F3C61"/>
    <w:rsid w:val="001F3E53"/>
    <w:rsid w:val="001F440F"/>
    <w:rsid w:val="001F47C8"/>
    <w:rsid w:val="001F4E95"/>
    <w:rsid w:val="001F5B4C"/>
    <w:rsid w:val="001F5CE4"/>
    <w:rsid w:val="00200021"/>
    <w:rsid w:val="00200A40"/>
    <w:rsid w:val="00200A52"/>
    <w:rsid w:val="00201196"/>
    <w:rsid w:val="002013E4"/>
    <w:rsid w:val="00201692"/>
    <w:rsid w:val="002019E7"/>
    <w:rsid w:val="002034ED"/>
    <w:rsid w:val="00203812"/>
    <w:rsid w:val="00204050"/>
    <w:rsid w:val="00205860"/>
    <w:rsid w:val="0020592E"/>
    <w:rsid w:val="0020630D"/>
    <w:rsid w:val="002065E7"/>
    <w:rsid w:val="00206CFA"/>
    <w:rsid w:val="00207803"/>
    <w:rsid w:val="00210338"/>
    <w:rsid w:val="0021037A"/>
    <w:rsid w:val="00210415"/>
    <w:rsid w:val="002105DF"/>
    <w:rsid w:val="00212A37"/>
    <w:rsid w:val="00213286"/>
    <w:rsid w:val="002136A0"/>
    <w:rsid w:val="002138FA"/>
    <w:rsid w:val="00214874"/>
    <w:rsid w:val="00214CAD"/>
    <w:rsid w:val="00215905"/>
    <w:rsid w:val="002168A5"/>
    <w:rsid w:val="00216BF1"/>
    <w:rsid w:val="00216E73"/>
    <w:rsid w:val="0022146E"/>
    <w:rsid w:val="00221979"/>
    <w:rsid w:val="00221E61"/>
    <w:rsid w:val="0022280A"/>
    <w:rsid w:val="00222A61"/>
    <w:rsid w:val="00222BD2"/>
    <w:rsid w:val="00222FA0"/>
    <w:rsid w:val="00223169"/>
    <w:rsid w:val="00223C15"/>
    <w:rsid w:val="00223CC4"/>
    <w:rsid w:val="00223F24"/>
    <w:rsid w:val="002240A3"/>
    <w:rsid w:val="002242BC"/>
    <w:rsid w:val="00225120"/>
    <w:rsid w:val="00225605"/>
    <w:rsid w:val="00225665"/>
    <w:rsid w:val="00225CCD"/>
    <w:rsid w:val="00226206"/>
    <w:rsid w:val="0022641A"/>
    <w:rsid w:val="0022690D"/>
    <w:rsid w:val="0023054F"/>
    <w:rsid w:val="0023112D"/>
    <w:rsid w:val="00231585"/>
    <w:rsid w:val="002315B0"/>
    <w:rsid w:val="00231E93"/>
    <w:rsid w:val="002322C2"/>
    <w:rsid w:val="002329D1"/>
    <w:rsid w:val="00232D61"/>
    <w:rsid w:val="002336F4"/>
    <w:rsid w:val="0023429B"/>
    <w:rsid w:val="00235350"/>
    <w:rsid w:val="00235570"/>
    <w:rsid w:val="00235828"/>
    <w:rsid w:val="00235B51"/>
    <w:rsid w:val="002366CD"/>
    <w:rsid w:val="00240486"/>
    <w:rsid w:val="002404FC"/>
    <w:rsid w:val="00240F25"/>
    <w:rsid w:val="00241154"/>
    <w:rsid w:val="002416B0"/>
    <w:rsid w:val="00241795"/>
    <w:rsid w:val="00241B1E"/>
    <w:rsid w:val="0024231D"/>
    <w:rsid w:val="00244C85"/>
    <w:rsid w:val="00244C86"/>
    <w:rsid w:val="002459C0"/>
    <w:rsid w:val="00245A76"/>
    <w:rsid w:val="00245B19"/>
    <w:rsid w:val="002470EF"/>
    <w:rsid w:val="002477FD"/>
    <w:rsid w:val="002479D3"/>
    <w:rsid w:val="00247D6E"/>
    <w:rsid w:val="00247EED"/>
    <w:rsid w:val="002501F2"/>
    <w:rsid w:val="00250781"/>
    <w:rsid w:val="00250816"/>
    <w:rsid w:val="002510D7"/>
    <w:rsid w:val="002511D5"/>
    <w:rsid w:val="0025252B"/>
    <w:rsid w:val="00252A98"/>
    <w:rsid w:val="00253BF4"/>
    <w:rsid w:val="00253F7F"/>
    <w:rsid w:val="0025424A"/>
    <w:rsid w:val="00254269"/>
    <w:rsid w:val="00254D82"/>
    <w:rsid w:val="0025558C"/>
    <w:rsid w:val="00255661"/>
    <w:rsid w:val="00256433"/>
    <w:rsid w:val="00256A8F"/>
    <w:rsid w:val="00257237"/>
    <w:rsid w:val="00260470"/>
    <w:rsid w:val="00260E44"/>
    <w:rsid w:val="00260FE4"/>
    <w:rsid w:val="00262078"/>
    <w:rsid w:val="00262E21"/>
    <w:rsid w:val="002630EE"/>
    <w:rsid w:val="00263449"/>
    <w:rsid w:val="00263AD6"/>
    <w:rsid w:val="002640E6"/>
    <w:rsid w:val="00264CEB"/>
    <w:rsid w:val="002652C4"/>
    <w:rsid w:val="0026608D"/>
    <w:rsid w:val="00266302"/>
    <w:rsid w:val="00267220"/>
    <w:rsid w:val="00267578"/>
    <w:rsid w:val="00267789"/>
    <w:rsid w:val="00267AC7"/>
    <w:rsid w:val="002703F1"/>
    <w:rsid w:val="0027078F"/>
    <w:rsid w:val="00270E2C"/>
    <w:rsid w:val="0027124E"/>
    <w:rsid w:val="0027145E"/>
    <w:rsid w:val="00271B61"/>
    <w:rsid w:val="00272142"/>
    <w:rsid w:val="002729EE"/>
    <w:rsid w:val="00272BA3"/>
    <w:rsid w:val="00272C34"/>
    <w:rsid w:val="00272D61"/>
    <w:rsid w:val="00272E17"/>
    <w:rsid w:val="002730AB"/>
    <w:rsid w:val="002733FD"/>
    <w:rsid w:val="00273D5E"/>
    <w:rsid w:val="00273F89"/>
    <w:rsid w:val="002743DF"/>
    <w:rsid w:val="0027613D"/>
    <w:rsid w:val="0027740F"/>
    <w:rsid w:val="002776D2"/>
    <w:rsid w:val="00277C1F"/>
    <w:rsid w:val="00277DCC"/>
    <w:rsid w:val="00277DD7"/>
    <w:rsid w:val="00280968"/>
    <w:rsid w:val="00281A1E"/>
    <w:rsid w:val="00282115"/>
    <w:rsid w:val="00282864"/>
    <w:rsid w:val="002838E5"/>
    <w:rsid w:val="00283C25"/>
    <w:rsid w:val="00284366"/>
    <w:rsid w:val="0028436A"/>
    <w:rsid w:val="00284926"/>
    <w:rsid w:val="00284D05"/>
    <w:rsid w:val="00284E6D"/>
    <w:rsid w:val="002852F5"/>
    <w:rsid w:val="002855CE"/>
    <w:rsid w:val="00285F07"/>
    <w:rsid w:val="0028648A"/>
    <w:rsid w:val="00286521"/>
    <w:rsid w:val="00286E6F"/>
    <w:rsid w:val="00287B9C"/>
    <w:rsid w:val="00290447"/>
    <w:rsid w:val="00290E00"/>
    <w:rsid w:val="00291402"/>
    <w:rsid w:val="0029257A"/>
    <w:rsid w:val="00292E1E"/>
    <w:rsid w:val="00293D44"/>
    <w:rsid w:val="0029469F"/>
    <w:rsid w:val="00295103"/>
    <w:rsid w:val="00295E3E"/>
    <w:rsid w:val="002977BE"/>
    <w:rsid w:val="00297D1E"/>
    <w:rsid w:val="00297DB5"/>
    <w:rsid w:val="002A01A2"/>
    <w:rsid w:val="002A041E"/>
    <w:rsid w:val="002A050B"/>
    <w:rsid w:val="002A0510"/>
    <w:rsid w:val="002A1911"/>
    <w:rsid w:val="002A193F"/>
    <w:rsid w:val="002A2DE9"/>
    <w:rsid w:val="002A4010"/>
    <w:rsid w:val="002A469F"/>
    <w:rsid w:val="002A53CA"/>
    <w:rsid w:val="002A57D0"/>
    <w:rsid w:val="002A5845"/>
    <w:rsid w:val="002A5C7B"/>
    <w:rsid w:val="002A6045"/>
    <w:rsid w:val="002A6678"/>
    <w:rsid w:val="002A6723"/>
    <w:rsid w:val="002A71E7"/>
    <w:rsid w:val="002A74AB"/>
    <w:rsid w:val="002A74F7"/>
    <w:rsid w:val="002A7F5B"/>
    <w:rsid w:val="002B0C91"/>
    <w:rsid w:val="002B1649"/>
    <w:rsid w:val="002B1841"/>
    <w:rsid w:val="002B1857"/>
    <w:rsid w:val="002B18DC"/>
    <w:rsid w:val="002B1FF1"/>
    <w:rsid w:val="002B2600"/>
    <w:rsid w:val="002B3187"/>
    <w:rsid w:val="002B3319"/>
    <w:rsid w:val="002B3B68"/>
    <w:rsid w:val="002B3E78"/>
    <w:rsid w:val="002B687F"/>
    <w:rsid w:val="002B6DD0"/>
    <w:rsid w:val="002B7120"/>
    <w:rsid w:val="002B7908"/>
    <w:rsid w:val="002B7D36"/>
    <w:rsid w:val="002C0114"/>
    <w:rsid w:val="002C0B41"/>
    <w:rsid w:val="002C2AA2"/>
    <w:rsid w:val="002C2B37"/>
    <w:rsid w:val="002C3056"/>
    <w:rsid w:val="002C3338"/>
    <w:rsid w:val="002C33B7"/>
    <w:rsid w:val="002C34D9"/>
    <w:rsid w:val="002C3833"/>
    <w:rsid w:val="002C3953"/>
    <w:rsid w:val="002C3970"/>
    <w:rsid w:val="002C4FDB"/>
    <w:rsid w:val="002C5788"/>
    <w:rsid w:val="002C5CE9"/>
    <w:rsid w:val="002C5D60"/>
    <w:rsid w:val="002C6C9A"/>
    <w:rsid w:val="002C70B8"/>
    <w:rsid w:val="002C70CC"/>
    <w:rsid w:val="002D0305"/>
    <w:rsid w:val="002D0546"/>
    <w:rsid w:val="002D1041"/>
    <w:rsid w:val="002D1042"/>
    <w:rsid w:val="002D1963"/>
    <w:rsid w:val="002D1B0D"/>
    <w:rsid w:val="002D1BC4"/>
    <w:rsid w:val="002D1EE3"/>
    <w:rsid w:val="002D2479"/>
    <w:rsid w:val="002D2F5B"/>
    <w:rsid w:val="002D30EF"/>
    <w:rsid w:val="002D379C"/>
    <w:rsid w:val="002D3A8A"/>
    <w:rsid w:val="002D6371"/>
    <w:rsid w:val="002D663D"/>
    <w:rsid w:val="002D730F"/>
    <w:rsid w:val="002D79FA"/>
    <w:rsid w:val="002E05E9"/>
    <w:rsid w:val="002E0D31"/>
    <w:rsid w:val="002E13F4"/>
    <w:rsid w:val="002E184F"/>
    <w:rsid w:val="002E1D60"/>
    <w:rsid w:val="002E2017"/>
    <w:rsid w:val="002E20B4"/>
    <w:rsid w:val="002E263A"/>
    <w:rsid w:val="002E26EE"/>
    <w:rsid w:val="002E2FF1"/>
    <w:rsid w:val="002E3429"/>
    <w:rsid w:val="002E35DA"/>
    <w:rsid w:val="002E4530"/>
    <w:rsid w:val="002E4795"/>
    <w:rsid w:val="002E4E54"/>
    <w:rsid w:val="002E5ACA"/>
    <w:rsid w:val="002E5C1C"/>
    <w:rsid w:val="002E699C"/>
    <w:rsid w:val="002E71BD"/>
    <w:rsid w:val="002E7698"/>
    <w:rsid w:val="002E7D4A"/>
    <w:rsid w:val="002E7EBF"/>
    <w:rsid w:val="002F07AC"/>
    <w:rsid w:val="002F091A"/>
    <w:rsid w:val="002F1C65"/>
    <w:rsid w:val="002F1F3A"/>
    <w:rsid w:val="002F26C2"/>
    <w:rsid w:val="002F2AF3"/>
    <w:rsid w:val="002F4995"/>
    <w:rsid w:val="002F503C"/>
    <w:rsid w:val="002F55C6"/>
    <w:rsid w:val="002F5BAD"/>
    <w:rsid w:val="002F77BE"/>
    <w:rsid w:val="002F7F63"/>
    <w:rsid w:val="0030005E"/>
    <w:rsid w:val="0030011B"/>
    <w:rsid w:val="0030172E"/>
    <w:rsid w:val="0030267E"/>
    <w:rsid w:val="00302D11"/>
    <w:rsid w:val="00303183"/>
    <w:rsid w:val="00303233"/>
    <w:rsid w:val="00303455"/>
    <w:rsid w:val="00303623"/>
    <w:rsid w:val="00303832"/>
    <w:rsid w:val="00303FD1"/>
    <w:rsid w:val="00305009"/>
    <w:rsid w:val="00305B03"/>
    <w:rsid w:val="00310063"/>
    <w:rsid w:val="0031034E"/>
    <w:rsid w:val="0031044F"/>
    <w:rsid w:val="003104E3"/>
    <w:rsid w:val="00310DFD"/>
    <w:rsid w:val="00311396"/>
    <w:rsid w:val="00311808"/>
    <w:rsid w:val="00312144"/>
    <w:rsid w:val="0031259B"/>
    <w:rsid w:val="00312F7F"/>
    <w:rsid w:val="0031304F"/>
    <w:rsid w:val="0031338C"/>
    <w:rsid w:val="00313EA2"/>
    <w:rsid w:val="00314167"/>
    <w:rsid w:val="003148E7"/>
    <w:rsid w:val="003161B2"/>
    <w:rsid w:val="003162EF"/>
    <w:rsid w:val="003175C1"/>
    <w:rsid w:val="00317B8B"/>
    <w:rsid w:val="00320855"/>
    <w:rsid w:val="003215F1"/>
    <w:rsid w:val="00321EDB"/>
    <w:rsid w:val="0032295C"/>
    <w:rsid w:val="00322F3B"/>
    <w:rsid w:val="003235B6"/>
    <w:rsid w:val="00323A13"/>
    <w:rsid w:val="003256E4"/>
    <w:rsid w:val="00326C79"/>
    <w:rsid w:val="00327570"/>
    <w:rsid w:val="00327582"/>
    <w:rsid w:val="00327878"/>
    <w:rsid w:val="00327F59"/>
    <w:rsid w:val="0033030A"/>
    <w:rsid w:val="003308A6"/>
    <w:rsid w:val="00330B28"/>
    <w:rsid w:val="00330C80"/>
    <w:rsid w:val="003310EB"/>
    <w:rsid w:val="00331249"/>
    <w:rsid w:val="003315B1"/>
    <w:rsid w:val="003330AA"/>
    <w:rsid w:val="00334277"/>
    <w:rsid w:val="003347FD"/>
    <w:rsid w:val="003349F2"/>
    <w:rsid w:val="003352CB"/>
    <w:rsid w:val="003354AD"/>
    <w:rsid w:val="003357DC"/>
    <w:rsid w:val="00336277"/>
    <w:rsid w:val="0033648A"/>
    <w:rsid w:val="00336DA1"/>
    <w:rsid w:val="00336E6E"/>
    <w:rsid w:val="0033767F"/>
    <w:rsid w:val="00337F98"/>
    <w:rsid w:val="00340716"/>
    <w:rsid w:val="00340866"/>
    <w:rsid w:val="00340A5C"/>
    <w:rsid w:val="00340DCD"/>
    <w:rsid w:val="003413CA"/>
    <w:rsid w:val="003421B2"/>
    <w:rsid w:val="00342E97"/>
    <w:rsid w:val="0034424A"/>
    <w:rsid w:val="003442D3"/>
    <w:rsid w:val="0034461D"/>
    <w:rsid w:val="0034469D"/>
    <w:rsid w:val="00346551"/>
    <w:rsid w:val="00346877"/>
    <w:rsid w:val="00346BF2"/>
    <w:rsid w:val="00347503"/>
    <w:rsid w:val="003475A5"/>
    <w:rsid w:val="00347654"/>
    <w:rsid w:val="0034768B"/>
    <w:rsid w:val="003477EF"/>
    <w:rsid w:val="00347B2F"/>
    <w:rsid w:val="00350633"/>
    <w:rsid w:val="003509CC"/>
    <w:rsid w:val="00352183"/>
    <w:rsid w:val="00353100"/>
    <w:rsid w:val="00353F3F"/>
    <w:rsid w:val="00355254"/>
    <w:rsid w:val="003556E7"/>
    <w:rsid w:val="00355B5F"/>
    <w:rsid w:val="00355BF6"/>
    <w:rsid w:val="003565E9"/>
    <w:rsid w:val="003575B9"/>
    <w:rsid w:val="003576AB"/>
    <w:rsid w:val="0036061E"/>
    <w:rsid w:val="003607DF"/>
    <w:rsid w:val="00360AD7"/>
    <w:rsid w:val="00360D3E"/>
    <w:rsid w:val="00360E6A"/>
    <w:rsid w:val="00360FD7"/>
    <w:rsid w:val="00360FFF"/>
    <w:rsid w:val="00361223"/>
    <w:rsid w:val="00361407"/>
    <w:rsid w:val="00361844"/>
    <w:rsid w:val="00362172"/>
    <w:rsid w:val="003634F2"/>
    <w:rsid w:val="00363565"/>
    <w:rsid w:val="0036401A"/>
    <w:rsid w:val="0036441D"/>
    <w:rsid w:val="00364AFA"/>
    <w:rsid w:val="00364CAD"/>
    <w:rsid w:val="003661D6"/>
    <w:rsid w:val="00366AFD"/>
    <w:rsid w:val="00366DC8"/>
    <w:rsid w:val="003675AC"/>
    <w:rsid w:val="00367B9F"/>
    <w:rsid w:val="00367BDF"/>
    <w:rsid w:val="00370481"/>
    <w:rsid w:val="00371B2E"/>
    <w:rsid w:val="003725E3"/>
    <w:rsid w:val="00372C44"/>
    <w:rsid w:val="00373204"/>
    <w:rsid w:val="00374011"/>
    <w:rsid w:val="00374E41"/>
    <w:rsid w:val="0037599B"/>
    <w:rsid w:val="003759FB"/>
    <w:rsid w:val="00375ECE"/>
    <w:rsid w:val="00376DAB"/>
    <w:rsid w:val="00377D02"/>
    <w:rsid w:val="00380C72"/>
    <w:rsid w:val="0038165B"/>
    <w:rsid w:val="00381A2B"/>
    <w:rsid w:val="00382E09"/>
    <w:rsid w:val="00383CA3"/>
    <w:rsid w:val="003843BB"/>
    <w:rsid w:val="00384C5F"/>
    <w:rsid w:val="00384E90"/>
    <w:rsid w:val="003850BC"/>
    <w:rsid w:val="00386174"/>
    <w:rsid w:val="003867C1"/>
    <w:rsid w:val="00387697"/>
    <w:rsid w:val="00387777"/>
    <w:rsid w:val="00387B23"/>
    <w:rsid w:val="00387C25"/>
    <w:rsid w:val="00387ECD"/>
    <w:rsid w:val="00390494"/>
    <w:rsid w:val="00390719"/>
    <w:rsid w:val="00390991"/>
    <w:rsid w:val="003918B3"/>
    <w:rsid w:val="00391A14"/>
    <w:rsid w:val="00393122"/>
    <w:rsid w:val="003939CB"/>
    <w:rsid w:val="003944FB"/>
    <w:rsid w:val="00395199"/>
    <w:rsid w:val="00395569"/>
    <w:rsid w:val="00395A9E"/>
    <w:rsid w:val="00396790"/>
    <w:rsid w:val="00397991"/>
    <w:rsid w:val="00397A7F"/>
    <w:rsid w:val="003A0F96"/>
    <w:rsid w:val="003A1229"/>
    <w:rsid w:val="003A1984"/>
    <w:rsid w:val="003A1A16"/>
    <w:rsid w:val="003A307F"/>
    <w:rsid w:val="003A33B0"/>
    <w:rsid w:val="003A37B4"/>
    <w:rsid w:val="003A4143"/>
    <w:rsid w:val="003A4C26"/>
    <w:rsid w:val="003A54E1"/>
    <w:rsid w:val="003A59F6"/>
    <w:rsid w:val="003A5F05"/>
    <w:rsid w:val="003A6B41"/>
    <w:rsid w:val="003A6FC1"/>
    <w:rsid w:val="003A7D54"/>
    <w:rsid w:val="003B0A53"/>
    <w:rsid w:val="003B1A80"/>
    <w:rsid w:val="003B1AAE"/>
    <w:rsid w:val="003B207B"/>
    <w:rsid w:val="003B21C2"/>
    <w:rsid w:val="003B252B"/>
    <w:rsid w:val="003B3044"/>
    <w:rsid w:val="003B3092"/>
    <w:rsid w:val="003B39A9"/>
    <w:rsid w:val="003B3F8F"/>
    <w:rsid w:val="003B43C6"/>
    <w:rsid w:val="003B4C34"/>
    <w:rsid w:val="003B4D12"/>
    <w:rsid w:val="003B50F0"/>
    <w:rsid w:val="003B5193"/>
    <w:rsid w:val="003B56CF"/>
    <w:rsid w:val="003B5BB6"/>
    <w:rsid w:val="003B5DAA"/>
    <w:rsid w:val="003B6B60"/>
    <w:rsid w:val="003B6DBC"/>
    <w:rsid w:val="003B6F28"/>
    <w:rsid w:val="003B791F"/>
    <w:rsid w:val="003C12FC"/>
    <w:rsid w:val="003C146A"/>
    <w:rsid w:val="003C1E12"/>
    <w:rsid w:val="003C249B"/>
    <w:rsid w:val="003C2CC1"/>
    <w:rsid w:val="003C2E38"/>
    <w:rsid w:val="003C2EF2"/>
    <w:rsid w:val="003C308B"/>
    <w:rsid w:val="003C3757"/>
    <w:rsid w:val="003C43EE"/>
    <w:rsid w:val="003C4E37"/>
    <w:rsid w:val="003C527C"/>
    <w:rsid w:val="003C5CF6"/>
    <w:rsid w:val="003C5E78"/>
    <w:rsid w:val="003C68E3"/>
    <w:rsid w:val="003C699F"/>
    <w:rsid w:val="003C6A8E"/>
    <w:rsid w:val="003C6AC4"/>
    <w:rsid w:val="003C716A"/>
    <w:rsid w:val="003C7C59"/>
    <w:rsid w:val="003C7FCD"/>
    <w:rsid w:val="003D0553"/>
    <w:rsid w:val="003D065E"/>
    <w:rsid w:val="003D08F3"/>
    <w:rsid w:val="003D0BEA"/>
    <w:rsid w:val="003D0F1E"/>
    <w:rsid w:val="003D12B2"/>
    <w:rsid w:val="003D1697"/>
    <w:rsid w:val="003D16DD"/>
    <w:rsid w:val="003D186D"/>
    <w:rsid w:val="003D22EE"/>
    <w:rsid w:val="003D3762"/>
    <w:rsid w:val="003D3DA5"/>
    <w:rsid w:val="003D4307"/>
    <w:rsid w:val="003D4FBF"/>
    <w:rsid w:val="003D549D"/>
    <w:rsid w:val="003D5B03"/>
    <w:rsid w:val="003D5E0C"/>
    <w:rsid w:val="003D7077"/>
    <w:rsid w:val="003D71AD"/>
    <w:rsid w:val="003D7939"/>
    <w:rsid w:val="003D7B22"/>
    <w:rsid w:val="003D7CD6"/>
    <w:rsid w:val="003D7D8C"/>
    <w:rsid w:val="003E0038"/>
    <w:rsid w:val="003E00EE"/>
    <w:rsid w:val="003E19AF"/>
    <w:rsid w:val="003E1EA4"/>
    <w:rsid w:val="003E2BA9"/>
    <w:rsid w:val="003E3675"/>
    <w:rsid w:val="003E4375"/>
    <w:rsid w:val="003E4A22"/>
    <w:rsid w:val="003E4B2D"/>
    <w:rsid w:val="003E6226"/>
    <w:rsid w:val="003E70FA"/>
    <w:rsid w:val="003E78A0"/>
    <w:rsid w:val="003E7ADF"/>
    <w:rsid w:val="003E7F6D"/>
    <w:rsid w:val="003F13DA"/>
    <w:rsid w:val="003F150B"/>
    <w:rsid w:val="003F1A56"/>
    <w:rsid w:val="003F1E9C"/>
    <w:rsid w:val="003F2776"/>
    <w:rsid w:val="003F353F"/>
    <w:rsid w:val="003F3FC5"/>
    <w:rsid w:val="003F5046"/>
    <w:rsid w:val="003F5FCA"/>
    <w:rsid w:val="003F63E3"/>
    <w:rsid w:val="003F7896"/>
    <w:rsid w:val="003F7B82"/>
    <w:rsid w:val="003F7E10"/>
    <w:rsid w:val="003F7F35"/>
    <w:rsid w:val="00400615"/>
    <w:rsid w:val="004009E6"/>
    <w:rsid w:val="0040102A"/>
    <w:rsid w:val="004016D7"/>
    <w:rsid w:val="004017C9"/>
    <w:rsid w:val="00402444"/>
    <w:rsid w:val="00402592"/>
    <w:rsid w:val="00402992"/>
    <w:rsid w:val="00403290"/>
    <w:rsid w:val="004044F4"/>
    <w:rsid w:val="00404523"/>
    <w:rsid w:val="00405EBE"/>
    <w:rsid w:val="00405F7C"/>
    <w:rsid w:val="00407EFB"/>
    <w:rsid w:val="00410866"/>
    <w:rsid w:val="00411A85"/>
    <w:rsid w:val="00411BD2"/>
    <w:rsid w:val="00411FC4"/>
    <w:rsid w:val="00412A60"/>
    <w:rsid w:val="00413367"/>
    <w:rsid w:val="00413CBF"/>
    <w:rsid w:val="004145CB"/>
    <w:rsid w:val="00414827"/>
    <w:rsid w:val="00414E98"/>
    <w:rsid w:val="00414F2D"/>
    <w:rsid w:val="00414F60"/>
    <w:rsid w:val="00414F6D"/>
    <w:rsid w:val="00415C83"/>
    <w:rsid w:val="00416248"/>
    <w:rsid w:val="00416C1D"/>
    <w:rsid w:val="00416FCD"/>
    <w:rsid w:val="00417BE7"/>
    <w:rsid w:val="00417D23"/>
    <w:rsid w:val="004210A9"/>
    <w:rsid w:val="00422803"/>
    <w:rsid w:val="00423CB4"/>
    <w:rsid w:val="00424440"/>
    <w:rsid w:val="00424A1E"/>
    <w:rsid w:val="00424AE3"/>
    <w:rsid w:val="00425B96"/>
    <w:rsid w:val="00426039"/>
    <w:rsid w:val="004261DD"/>
    <w:rsid w:val="0043009D"/>
    <w:rsid w:val="00430343"/>
    <w:rsid w:val="004306C6"/>
    <w:rsid w:val="0043095B"/>
    <w:rsid w:val="00430ECE"/>
    <w:rsid w:val="00431F7C"/>
    <w:rsid w:val="00432017"/>
    <w:rsid w:val="004324AB"/>
    <w:rsid w:val="00433238"/>
    <w:rsid w:val="00434394"/>
    <w:rsid w:val="004344F4"/>
    <w:rsid w:val="00435213"/>
    <w:rsid w:val="00435B17"/>
    <w:rsid w:val="00435B6E"/>
    <w:rsid w:val="00436ED3"/>
    <w:rsid w:val="00436F28"/>
    <w:rsid w:val="004400BC"/>
    <w:rsid w:val="00440AA8"/>
    <w:rsid w:val="0044132B"/>
    <w:rsid w:val="00442622"/>
    <w:rsid w:val="00442966"/>
    <w:rsid w:val="004429B4"/>
    <w:rsid w:val="004436FB"/>
    <w:rsid w:val="00443F48"/>
    <w:rsid w:val="00444513"/>
    <w:rsid w:val="00445BD2"/>
    <w:rsid w:val="00447397"/>
    <w:rsid w:val="0044752E"/>
    <w:rsid w:val="00450385"/>
    <w:rsid w:val="0045095C"/>
    <w:rsid w:val="00450B56"/>
    <w:rsid w:val="00450C9F"/>
    <w:rsid w:val="00450E0F"/>
    <w:rsid w:val="004523B2"/>
    <w:rsid w:val="00452E52"/>
    <w:rsid w:val="00452F8C"/>
    <w:rsid w:val="004532D5"/>
    <w:rsid w:val="00453DC5"/>
    <w:rsid w:val="00454372"/>
    <w:rsid w:val="00454E45"/>
    <w:rsid w:val="00454FF2"/>
    <w:rsid w:val="0045515B"/>
    <w:rsid w:val="004555D7"/>
    <w:rsid w:val="00455E90"/>
    <w:rsid w:val="0045713E"/>
    <w:rsid w:val="00457EBC"/>
    <w:rsid w:val="004618BC"/>
    <w:rsid w:val="004619A5"/>
    <w:rsid w:val="00461DE3"/>
    <w:rsid w:val="00463540"/>
    <w:rsid w:val="00464B2A"/>
    <w:rsid w:val="00464F80"/>
    <w:rsid w:val="004659AB"/>
    <w:rsid w:val="004659EB"/>
    <w:rsid w:val="00466596"/>
    <w:rsid w:val="00466956"/>
    <w:rsid w:val="004676A9"/>
    <w:rsid w:val="00467942"/>
    <w:rsid w:val="0047030B"/>
    <w:rsid w:val="00470BA4"/>
    <w:rsid w:val="00471129"/>
    <w:rsid w:val="00471287"/>
    <w:rsid w:val="00471438"/>
    <w:rsid w:val="00472BB3"/>
    <w:rsid w:val="00473DCB"/>
    <w:rsid w:val="00473E62"/>
    <w:rsid w:val="0047459B"/>
    <w:rsid w:val="00475637"/>
    <w:rsid w:val="004761AD"/>
    <w:rsid w:val="004765B3"/>
    <w:rsid w:val="00476AD7"/>
    <w:rsid w:val="00477151"/>
    <w:rsid w:val="0047749A"/>
    <w:rsid w:val="00477710"/>
    <w:rsid w:val="00477A95"/>
    <w:rsid w:val="00480083"/>
    <w:rsid w:val="004807AA"/>
    <w:rsid w:val="00481724"/>
    <w:rsid w:val="00481781"/>
    <w:rsid w:val="00482459"/>
    <w:rsid w:val="00482A84"/>
    <w:rsid w:val="00482D4F"/>
    <w:rsid w:val="00483D9F"/>
    <w:rsid w:val="00484438"/>
    <w:rsid w:val="00484CF0"/>
    <w:rsid w:val="00484F2B"/>
    <w:rsid w:val="00485F16"/>
    <w:rsid w:val="00486526"/>
    <w:rsid w:val="00486B8F"/>
    <w:rsid w:val="0048749E"/>
    <w:rsid w:val="004876F7"/>
    <w:rsid w:val="004878AE"/>
    <w:rsid w:val="00490CCC"/>
    <w:rsid w:val="00490FB2"/>
    <w:rsid w:val="00491006"/>
    <w:rsid w:val="0049129B"/>
    <w:rsid w:val="0049209B"/>
    <w:rsid w:val="00493002"/>
    <w:rsid w:val="00494419"/>
    <w:rsid w:val="004945D6"/>
    <w:rsid w:val="00494918"/>
    <w:rsid w:val="00494E16"/>
    <w:rsid w:val="00495A31"/>
    <w:rsid w:val="0049632F"/>
    <w:rsid w:val="004964E3"/>
    <w:rsid w:val="004967B6"/>
    <w:rsid w:val="00496F90"/>
    <w:rsid w:val="0049775B"/>
    <w:rsid w:val="00497CED"/>
    <w:rsid w:val="004A0BAE"/>
    <w:rsid w:val="004A0C8A"/>
    <w:rsid w:val="004A11BE"/>
    <w:rsid w:val="004A1800"/>
    <w:rsid w:val="004A28FE"/>
    <w:rsid w:val="004A28FF"/>
    <w:rsid w:val="004A2D51"/>
    <w:rsid w:val="004A42D8"/>
    <w:rsid w:val="004A45AB"/>
    <w:rsid w:val="004A60B7"/>
    <w:rsid w:val="004A61A7"/>
    <w:rsid w:val="004A6DAF"/>
    <w:rsid w:val="004A6E2D"/>
    <w:rsid w:val="004A6E61"/>
    <w:rsid w:val="004A7CDA"/>
    <w:rsid w:val="004B0DD7"/>
    <w:rsid w:val="004B0E87"/>
    <w:rsid w:val="004B24B4"/>
    <w:rsid w:val="004B2BA9"/>
    <w:rsid w:val="004B3312"/>
    <w:rsid w:val="004B3579"/>
    <w:rsid w:val="004B3603"/>
    <w:rsid w:val="004B4966"/>
    <w:rsid w:val="004B63BE"/>
    <w:rsid w:val="004B6735"/>
    <w:rsid w:val="004B7761"/>
    <w:rsid w:val="004B78BE"/>
    <w:rsid w:val="004B7E64"/>
    <w:rsid w:val="004C0656"/>
    <w:rsid w:val="004C0EB4"/>
    <w:rsid w:val="004C0F10"/>
    <w:rsid w:val="004C12DE"/>
    <w:rsid w:val="004C1475"/>
    <w:rsid w:val="004C1939"/>
    <w:rsid w:val="004C28E1"/>
    <w:rsid w:val="004C3C36"/>
    <w:rsid w:val="004C3E66"/>
    <w:rsid w:val="004C4DAB"/>
    <w:rsid w:val="004C4E7A"/>
    <w:rsid w:val="004C52CC"/>
    <w:rsid w:val="004C5B65"/>
    <w:rsid w:val="004C684E"/>
    <w:rsid w:val="004C705A"/>
    <w:rsid w:val="004C72F0"/>
    <w:rsid w:val="004C7E9E"/>
    <w:rsid w:val="004D05C0"/>
    <w:rsid w:val="004D0D02"/>
    <w:rsid w:val="004D0E1E"/>
    <w:rsid w:val="004D147A"/>
    <w:rsid w:val="004D173A"/>
    <w:rsid w:val="004D17A7"/>
    <w:rsid w:val="004D190B"/>
    <w:rsid w:val="004D21E0"/>
    <w:rsid w:val="004D2512"/>
    <w:rsid w:val="004D3969"/>
    <w:rsid w:val="004D3DAF"/>
    <w:rsid w:val="004D42C1"/>
    <w:rsid w:val="004D431C"/>
    <w:rsid w:val="004D4463"/>
    <w:rsid w:val="004D5D58"/>
    <w:rsid w:val="004D65CF"/>
    <w:rsid w:val="004D6FBD"/>
    <w:rsid w:val="004D7C11"/>
    <w:rsid w:val="004E12DB"/>
    <w:rsid w:val="004E1903"/>
    <w:rsid w:val="004E2855"/>
    <w:rsid w:val="004E3886"/>
    <w:rsid w:val="004E42C4"/>
    <w:rsid w:val="004E46A3"/>
    <w:rsid w:val="004E5723"/>
    <w:rsid w:val="004E5EA2"/>
    <w:rsid w:val="004E5F21"/>
    <w:rsid w:val="004E69FA"/>
    <w:rsid w:val="004E6F57"/>
    <w:rsid w:val="004E6FC8"/>
    <w:rsid w:val="004F04DA"/>
    <w:rsid w:val="004F1142"/>
    <w:rsid w:val="004F14DF"/>
    <w:rsid w:val="004F1588"/>
    <w:rsid w:val="004F201D"/>
    <w:rsid w:val="004F240A"/>
    <w:rsid w:val="004F2A1E"/>
    <w:rsid w:val="004F2CBF"/>
    <w:rsid w:val="004F2E3C"/>
    <w:rsid w:val="004F3B77"/>
    <w:rsid w:val="004F3D28"/>
    <w:rsid w:val="004F44E3"/>
    <w:rsid w:val="004F540C"/>
    <w:rsid w:val="004F61DD"/>
    <w:rsid w:val="004F76C8"/>
    <w:rsid w:val="005005D7"/>
    <w:rsid w:val="0050065A"/>
    <w:rsid w:val="005019DC"/>
    <w:rsid w:val="005026B8"/>
    <w:rsid w:val="00502742"/>
    <w:rsid w:val="00502E16"/>
    <w:rsid w:val="005030A0"/>
    <w:rsid w:val="00504622"/>
    <w:rsid w:val="005046FE"/>
    <w:rsid w:val="00504786"/>
    <w:rsid w:val="005048D1"/>
    <w:rsid w:val="00504C03"/>
    <w:rsid w:val="00505677"/>
    <w:rsid w:val="00505771"/>
    <w:rsid w:val="00505D39"/>
    <w:rsid w:val="005068D9"/>
    <w:rsid w:val="00506D9F"/>
    <w:rsid w:val="0050700F"/>
    <w:rsid w:val="00507897"/>
    <w:rsid w:val="00507F3F"/>
    <w:rsid w:val="0051031F"/>
    <w:rsid w:val="005104DC"/>
    <w:rsid w:val="00510C4C"/>
    <w:rsid w:val="00511679"/>
    <w:rsid w:val="00511BBC"/>
    <w:rsid w:val="005121FE"/>
    <w:rsid w:val="00512AB4"/>
    <w:rsid w:val="00513643"/>
    <w:rsid w:val="005139DE"/>
    <w:rsid w:val="00513FE5"/>
    <w:rsid w:val="0051441C"/>
    <w:rsid w:val="00514778"/>
    <w:rsid w:val="00516019"/>
    <w:rsid w:val="005160CD"/>
    <w:rsid w:val="00516B9E"/>
    <w:rsid w:val="005171B0"/>
    <w:rsid w:val="005174D9"/>
    <w:rsid w:val="005178A9"/>
    <w:rsid w:val="00520202"/>
    <w:rsid w:val="0052294B"/>
    <w:rsid w:val="00522D86"/>
    <w:rsid w:val="00522D88"/>
    <w:rsid w:val="00522E56"/>
    <w:rsid w:val="0052310E"/>
    <w:rsid w:val="0052311B"/>
    <w:rsid w:val="00523243"/>
    <w:rsid w:val="00523F2E"/>
    <w:rsid w:val="00523FB9"/>
    <w:rsid w:val="005254BC"/>
    <w:rsid w:val="00525964"/>
    <w:rsid w:val="00525E09"/>
    <w:rsid w:val="00526255"/>
    <w:rsid w:val="00526355"/>
    <w:rsid w:val="005268D5"/>
    <w:rsid w:val="005276F0"/>
    <w:rsid w:val="00527EF3"/>
    <w:rsid w:val="00530AD9"/>
    <w:rsid w:val="00531354"/>
    <w:rsid w:val="00531B62"/>
    <w:rsid w:val="0053212A"/>
    <w:rsid w:val="00533406"/>
    <w:rsid w:val="0053364D"/>
    <w:rsid w:val="0053429B"/>
    <w:rsid w:val="005348BA"/>
    <w:rsid w:val="00534C4A"/>
    <w:rsid w:val="00534D7A"/>
    <w:rsid w:val="00535A3D"/>
    <w:rsid w:val="005362DD"/>
    <w:rsid w:val="00536E0F"/>
    <w:rsid w:val="005371D9"/>
    <w:rsid w:val="00537B73"/>
    <w:rsid w:val="00537BEA"/>
    <w:rsid w:val="00541431"/>
    <w:rsid w:val="00541903"/>
    <w:rsid w:val="00541B5B"/>
    <w:rsid w:val="005424F8"/>
    <w:rsid w:val="005426E1"/>
    <w:rsid w:val="00543A82"/>
    <w:rsid w:val="00544220"/>
    <w:rsid w:val="00544482"/>
    <w:rsid w:val="00545384"/>
    <w:rsid w:val="005463CA"/>
    <w:rsid w:val="00546A34"/>
    <w:rsid w:val="005471A0"/>
    <w:rsid w:val="0054738A"/>
    <w:rsid w:val="005473D5"/>
    <w:rsid w:val="00550EE8"/>
    <w:rsid w:val="005510BD"/>
    <w:rsid w:val="005521C3"/>
    <w:rsid w:val="0055373B"/>
    <w:rsid w:val="0055512D"/>
    <w:rsid w:val="005611B8"/>
    <w:rsid w:val="00561CF9"/>
    <w:rsid w:val="00561EA4"/>
    <w:rsid w:val="005627CD"/>
    <w:rsid w:val="00563BA3"/>
    <w:rsid w:val="00564D92"/>
    <w:rsid w:val="00564F26"/>
    <w:rsid w:val="00565486"/>
    <w:rsid w:val="00565700"/>
    <w:rsid w:val="005659D2"/>
    <w:rsid w:val="00565A60"/>
    <w:rsid w:val="005661E5"/>
    <w:rsid w:val="005664CF"/>
    <w:rsid w:val="00566A0B"/>
    <w:rsid w:val="005674F8"/>
    <w:rsid w:val="00570173"/>
    <w:rsid w:val="00570AB0"/>
    <w:rsid w:val="00570AD6"/>
    <w:rsid w:val="00570C95"/>
    <w:rsid w:val="005715BC"/>
    <w:rsid w:val="00571AB5"/>
    <w:rsid w:val="00571F1F"/>
    <w:rsid w:val="005732B3"/>
    <w:rsid w:val="00573EEA"/>
    <w:rsid w:val="00573F04"/>
    <w:rsid w:val="00574113"/>
    <w:rsid w:val="005742D6"/>
    <w:rsid w:val="00574C02"/>
    <w:rsid w:val="00574C35"/>
    <w:rsid w:val="00574E5D"/>
    <w:rsid w:val="005759C1"/>
    <w:rsid w:val="00575DBD"/>
    <w:rsid w:val="00576CF8"/>
    <w:rsid w:val="0058033A"/>
    <w:rsid w:val="00580BDC"/>
    <w:rsid w:val="00581594"/>
    <w:rsid w:val="00581632"/>
    <w:rsid w:val="00581AD0"/>
    <w:rsid w:val="00581D4E"/>
    <w:rsid w:val="00581DD1"/>
    <w:rsid w:val="005825AC"/>
    <w:rsid w:val="005831AF"/>
    <w:rsid w:val="00583205"/>
    <w:rsid w:val="00583DCC"/>
    <w:rsid w:val="00583E6D"/>
    <w:rsid w:val="00583F68"/>
    <w:rsid w:val="0058505E"/>
    <w:rsid w:val="00585338"/>
    <w:rsid w:val="0058543C"/>
    <w:rsid w:val="0058550B"/>
    <w:rsid w:val="00586BAE"/>
    <w:rsid w:val="00586E02"/>
    <w:rsid w:val="00587770"/>
    <w:rsid w:val="0058791D"/>
    <w:rsid w:val="00587F25"/>
    <w:rsid w:val="00590861"/>
    <w:rsid w:val="005912A7"/>
    <w:rsid w:val="0059176D"/>
    <w:rsid w:val="00591D98"/>
    <w:rsid w:val="0059215B"/>
    <w:rsid w:val="0059217C"/>
    <w:rsid w:val="005921F5"/>
    <w:rsid w:val="0059318A"/>
    <w:rsid w:val="00593CFC"/>
    <w:rsid w:val="005952BE"/>
    <w:rsid w:val="00595704"/>
    <w:rsid w:val="00595761"/>
    <w:rsid w:val="00595D23"/>
    <w:rsid w:val="005961B6"/>
    <w:rsid w:val="005975AA"/>
    <w:rsid w:val="00597668"/>
    <w:rsid w:val="0059785B"/>
    <w:rsid w:val="005A008F"/>
    <w:rsid w:val="005A016E"/>
    <w:rsid w:val="005A0355"/>
    <w:rsid w:val="005A15F6"/>
    <w:rsid w:val="005A171D"/>
    <w:rsid w:val="005A1DBB"/>
    <w:rsid w:val="005A208E"/>
    <w:rsid w:val="005A2187"/>
    <w:rsid w:val="005A233F"/>
    <w:rsid w:val="005A30FF"/>
    <w:rsid w:val="005A341C"/>
    <w:rsid w:val="005A35B2"/>
    <w:rsid w:val="005A3AF3"/>
    <w:rsid w:val="005A663E"/>
    <w:rsid w:val="005A7A84"/>
    <w:rsid w:val="005A7E89"/>
    <w:rsid w:val="005B0ABC"/>
    <w:rsid w:val="005B1D10"/>
    <w:rsid w:val="005B2160"/>
    <w:rsid w:val="005B3AA8"/>
    <w:rsid w:val="005B3BC4"/>
    <w:rsid w:val="005B3FB4"/>
    <w:rsid w:val="005B5637"/>
    <w:rsid w:val="005B57A1"/>
    <w:rsid w:val="005B6D82"/>
    <w:rsid w:val="005B79D7"/>
    <w:rsid w:val="005B7D76"/>
    <w:rsid w:val="005B7E9D"/>
    <w:rsid w:val="005B7FE0"/>
    <w:rsid w:val="005C00B5"/>
    <w:rsid w:val="005C04B9"/>
    <w:rsid w:val="005C0BD4"/>
    <w:rsid w:val="005C1C85"/>
    <w:rsid w:val="005C2111"/>
    <w:rsid w:val="005C2648"/>
    <w:rsid w:val="005C2EB9"/>
    <w:rsid w:val="005C3E9C"/>
    <w:rsid w:val="005C4292"/>
    <w:rsid w:val="005C4DB7"/>
    <w:rsid w:val="005C4FAD"/>
    <w:rsid w:val="005C53D1"/>
    <w:rsid w:val="005C5524"/>
    <w:rsid w:val="005C575F"/>
    <w:rsid w:val="005C59AB"/>
    <w:rsid w:val="005C5B90"/>
    <w:rsid w:val="005C5E52"/>
    <w:rsid w:val="005C6899"/>
    <w:rsid w:val="005C6CC9"/>
    <w:rsid w:val="005C6ED4"/>
    <w:rsid w:val="005D0FB4"/>
    <w:rsid w:val="005D1872"/>
    <w:rsid w:val="005D278C"/>
    <w:rsid w:val="005D2CD6"/>
    <w:rsid w:val="005D40B9"/>
    <w:rsid w:val="005D4157"/>
    <w:rsid w:val="005D4C6C"/>
    <w:rsid w:val="005D6C97"/>
    <w:rsid w:val="005D7323"/>
    <w:rsid w:val="005D74DB"/>
    <w:rsid w:val="005D7F09"/>
    <w:rsid w:val="005E0815"/>
    <w:rsid w:val="005E09B8"/>
    <w:rsid w:val="005E0EC9"/>
    <w:rsid w:val="005E11ED"/>
    <w:rsid w:val="005E14E8"/>
    <w:rsid w:val="005E1925"/>
    <w:rsid w:val="005E1F75"/>
    <w:rsid w:val="005E2457"/>
    <w:rsid w:val="005E247E"/>
    <w:rsid w:val="005E2D24"/>
    <w:rsid w:val="005E39B6"/>
    <w:rsid w:val="005E3D7E"/>
    <w:rsid w:val="005E4051"/>
    <w:rsid w:val="005E42B5"/>
    <w:rsid w:val="005E43D1"/>
    <w:rsid w:val="005E4B13"/>
    <w:rsid w:val="005E50B3"/>
    <w:rsid w:val="005E53C0"/>
    <w:rsid w:val="005E5A90"/>
    <w:rsid w:val="005E5C35"/>
    <w:rsid w:val="005E6E55"/>
    <w:rsid w:val="005E70DE"/>
    <w:rsid w:val="005E72AA"/>
    <w:rsid w:val="005E7607"/>
    <w:rsid w:val="005E7DF0"/>
    <w:rsid w:val="005F0256"/>
    <w:rsid w:val="005F0A00"/>
    <w:rsid w:val="005F148B"/>
    <w:rsid w:val="005F14B1"/>
    <w:rsid w:val="005F26B4"/>
    <w:rsid w:val="005F27C3"/>
    <w:rsid w:val="005F2B05"/>
    <w:rsid w:val="005F53CF"/>
    <w:rsid w:val="005F6962"/>
    <w:rsid w:val="005F6EF2"/>
    <w:rsid w:val="006015EF"/>
    <w:rsid w:val="00601778"/>
    <w:rsid w:val="00602D42"/>
    <w:rsid w:val="006032FD"/>
    <w:rsid w:val="00603BBF"/>
    <w:rsid w:val="00603CBC"/>
    <w:rsid w:val="00603F47"/>
    <w:rsid w:val="00604286"/>
    <w:rsid w:val="00605502"/>
    <w:rsid w:val="006066DB"/>
    <w:rsid w:val="0060695E"/>
    <w:rsid w:val="00606D2D"/>
    <w:rsid w:val="00607472"/>
    <w:rsid w:val="006077FF"/>
    <w:rsid w:val="006107CB"/>
    <w:rsid w:val="00611121"/>
    <w:rsid w:val="006119A4"/>
    <w:rsid w:val="00611EFF"/>
    <w:rsid w:val="00612235"/>
    <w:rsid w:val="00612440"/>
    <w:rsid w:val="00612653"/>
    <w:rsid w:val="00613648"/>
    <w:rsid w:val="00613864"/>
    <w:rsid w:val="00613BBA"/>
    <w:rsid w:val="00613DB3"/>
    <w:rsid w:val="00614C13"/>
    <w:rsid w:val="00614D2B"/>
    <w:rsid w:val="00617666"/>
    <w:rsid w:val="006201C1"/>
    <w:rsid w:val="00620318"/>
    <w:rsid w:val="006203FC"/>
    <w:rsid w:val="0062099B"/>
    <w:rsid w:val="006209F6"/>
    <w:rsid w:val="00620A27"/>
    <w:rsid w:val="00620E5C"/>
    <w:rsid w:val="00620F1B"/>
    <w:rsid w:val="006223D0"/>
    <w:rsid w:val="00622BA9"/>
    <w:rsid w:val="00622CB6"/>
    <w:rsid w:val="00623327"/>
    <w:rsid w:val="00623B29"/>
    <w:rsid w:val="00623F14"/>
    <w:rsid w:val="0062501F"/>
    <w:rsid w:val="00625AD3"/>
    <w:rsid w:val="0062620B"/>
    <w:rsid w:val="00626266"/>
    <w:rsid w:val="006263F3"/>
    <w:rsid w:val="00627C5F"/>
    <w:rsid w:val="0063072C"/>
    <w:rsid w:val="00630CE5"/>
    <w:rsid w:val="00630D0E"/>
    <w:rsid w:val="0063121C"/>
    <w:rsid w:val="0063380A"/>
    <w:rsid w:val="00633D25"/>
    <w:rsid w:val="006345AC"/>
    <w:rsid w:val="00634635"/>
    <w:rsid w:val="00634B98"/>
    <w:rsid w:val="006356B7"/>
    <w:rsid w:val="006357B7"/>
    <w:rsid w:val="00635A53"/>
    <w:rsid w:val="00636F90"/>
    <w:rsid w:val="00637E62"/>
    <w:rsid w:val="0064005C"/>
    <w:rsid w:val="0064063D"/>
    <w:rsid w:val="006408C0"/>
    <w:rsid w:val="00640C2D"/>
    <w:rsid w:val="00642180"/>
    <w:rsid w:val="00642B34"/>
    <w:rsid w:val="00643931"/>
    <w:rsid w:val="00643F51"/>
    <w:rsid w:val="0064402B"/>
    <w:rsid w:val="0064624C"/>
    <w:rsid w:val="006464C7"/>
    <w:rsid w:val="0064724D"/>
    <w:rsid w:val="00647780"/>
    <w:rsid w:val="00647D98"/>
    <w:rsid w:val="00650546"/>
    <w:rsid w:val="00651587"/>
    <w:rsid w:val="006515B9"/>
    <w:rsid w:val="00652032"/>
    <w:rsid w:val="006521B1"/>
    <w:rsid w:val="00653229"/>
    <w:rsid w:val="00653D41"/>
    <w:rsid w:val="006545C7"/>
    <w:rsid w:val="006548C6"/>
    <w:rsid w:val="0065504E"/>
    <w:rsid w:val="00655B43"/>
    <w:rsid w:val="006601AB"/>
    <w:rsid w:val="00660414"/>
    <w:rsid w:val="00661367"/>
    <w:rsid w:val="006619A6"/>
    <w:rsid w:val="006619C8"/>
    <w:rsid w:val="00661E8E"/>
    <w:rsid w:val="00662702"/>
    <w:rsid w:val="00662A59"/>
    <w:rsid w:val="00662C43"/>
    <w:rsid w:val="00664864"/>
    <w:rsid w:val="006649F9"/>
    <w:rsid w:val="00664B00"/>
    <w:rsid w:val="0066554E"/>
    <w:rsid w:val="00665CFE"/>
    <w:rsid w:val="0066604E"/>
    <w:rsid w:val="006664EF"/>
    <w:rsid w:val="00666804"/>
    <w:rsid w:val="00667561"/>
    <w:rsid w:val="00670B46"/>
    <w:rsid w:val="00671191"/>
    <w:rsid w:val="0067253A"/>
    <w:rsid w:val="00672808"/>
    <w:rsid w:val="0067364C"/>
    <w:rsid w:val="00673DE2"/>
    <w:rsid w:val="00674E81"/>
    <w:rsid w:val="00675119"/>
    <w:rsid w:val="00675A18"/>
    <w:rsid w:val="0067618F"/>
    <w:rsid w:val="00676346"/>
    <w:rsid w:val="006765DD"/>
    <w:rsid w:val="00677A62"/>
    <w:rsid w:val="0068028C"/>
    <w:rsid w:val="00680ABC"/>
    <w:rsid w:val="00680FC4"/>
    <w:rsid w:val="00681022"/>
    <w:rsid w:val="0068161F"/>
    <w:rsid w:val="00681A21"/>
    <w:rsid w:val="00681D68"/>
    <w:rsid w:val="00682A9B"/>
    <w:rsid w:val="00682C1A"/>
    <w:rsid w:val="0068343A"/>
    <w:rsid w:val="00683E5F"/>
    <w:rsid w:val="0068464A"/>
    <w:rsid w:val="0068479A"/>
    <w:rsid w:val="00684FD6"/>
    <w:rsid w:val="006853AB"/>
    <w:rsid w:val="006856DA"/>
    <w:rsid w:val="00685A9D"/>
    <w:rsid w:val="00685DEA"/>
    <w:rsid w:val="00686AD9"/>
    <w:rsid w:val="00686BC8"/>
    <w:rsid w:val="00686C14"/>
    <w:rsid w:val="00690F3E"/>
    <w:rsid w:val="006921BA"/>
    <w:rsid w:val="00692F29"/>
    <w:rsid w:val="00693414"/>
    <w:rsid w:val="00693705"/>
    <w:rsid w:val="00693C4B"/>
    <w:rsid w:val="00693CEB"/>
    <w:rsid w:val="006945A8"/>
    <w:rsid w:val="00694745"/>
    <w:rsid w:val="00694ED6"/>
    <w:rsid w:val="0069696B"/>
    <w:rsid w:val="00696C1B"/>
    <w:rsid w:val="00697F46"/>
    <w:rsid w:val="006A082F"/>
    <w:rsid w:val="006A0E5A"/>
    <w:rsid w:val="006A0E7C"/>
    <w:rsid w:val="006A1307"/>
    <w:rsid w:val="006A164D"/>
    <w:rsid w:val="006A17C3"/>
    <w:rsid w:val="006A1894"/>
    <w:rsid w:val="006A20C0"/>
    <w:rsid w:val="006A2DE4"/>
    <w:rsid w:val="006A3C1A"/>
    <w:rsid w:val="006A3F3E"/>
    <w:rsid w:val="006A3F53"/>
    <w:rsid w:val="006A4D44"/>
    <w:rsid w:val="006A4E2C"/>
    <w:rsid w:val="006A4F00"/>
    <w:rsid w:val="006A599E"/>
    <w:rsid w:val="006A5C2C"/>
    <w:rsid w:val="006A5D3F"/>
    <w:rsid w:val="006A62DB"/>
    <w:rsid w:val="006A65CC"/>
    <w:rsid w:val="006A6637"/>
    <w:rsid w:val="006A7087"/>
    <w:rsid w:val="006B0310"/>
    <w:rsid w:val="006B1385"/>
    <w:rsid w:val="006B1A9A"/>
    <w:rsid w:val="006B2232"/>
    <w:rsid w:val="006B263F"/>
    <w:rsid w:val="006B2774"/>
    <w:rsid w:val="006B2B81"/>
    <w:rsid w:val="006B2D7E"/>
    <w:rsid w:val="006B2D82"/>
    <w:rsid w:val="006B2FB3"/>
    <w:rsid w:val="006B4126"/>
    <w:rsid w:val="006B4E68"/>
    <w:rsid w:val="006B515A"/>
    <w:rsid w:val="006B5555"/>
    <w:rsid w:val="006B569D"/>
    <w:rsid w:val="006B5FD1"/>
    <w:rsid w:val="006B624C"/>
    <w:rsid w:val="006B67BE"/>
    <w:rsid w:val="006B6A2F"/>
    <w:rsid w:val="006B6C51"/>
    <w:rsid w:val="006B74CE"/>
    <w:rsid w:val="006B7584"/>
    <w:rsid w:val="006B77AE"/>
    <w:rsid w:val="006B7808"/>
    <w:rsid w:val="006C0272"/>
    <w:rsid w:val="006C0DA0"/>
    <w:rsid w:val="006C1809"/>
    <w:rsid w:val="006C19B5"/>
    <w:rsid w:val="006C251C"/>
    <w:rsid w:val="006C36B4"/>
    <w:rsid w:val="006C3D8D"/>
    <w:rsid w:val="006C3F52"/>
    <w:rsid w:val="006C4833"/>
    <w:rsid w:val="006C4940"/>
    <w:rsid w:val="006C49FB"/>
    <w:rsid w:val="006C52DC"/>
    <w:rsid w:val="006C5D35"/>
    <w:rsid w:val="006C5E28"/>
    <w:rsid w:val="006C651A"/>
    <w:rsid w:val="006C6A22"/>
    <w:rsid w:val="006D01D5"/>
    <w:rsid w:val="006D03BB"/>
    <w:rsid w:val="006D163D"/>
    <w:rsid w:val="006D16C6"/>
    <w:rsid w:val="006D19C3"/>
    <w:rsid w:val="006D1AC0"/>
    <w:rsid w:val="006D20F3"/>
    <w:rsid w:val="006D2EF9"/>
    <w:rsid w:val="006D3361"/>
    <w:rsid w:val="006D3582"/>
    <w:rsid w:val="006D3585"/>
    <w:rsid w:val="006D394A"/>
    <w:rsid w:val="006D3E6F"/>
    <w:rsid w:val="006D40EF"/>
    <w:rsid w:val="006D4432"/>
    <w:rsid w:val="006D491B"/>
    <w:rsid w:val="006D4B89"/>
    <w:rsid w:val="006D50FA"/>
    <w:rsid w:val="006D6BAA"/>
    <w:rsid w:val="006D7375"/>
    <w:rsid w:val="006E200C"/>
    <w:rsid w:val="006E2F15"/>
    <w:rsid w:val="006E3BE3"/>
    <w:rsid w:val="006E41CD"/>
    <w:rsid w:val="006E45DB"/>
    <w:rsid w:val="006E5162"/>
    <w:rsid w:val="006E63C0"/>
    <w:rsid w:val="006E6F44"/>
    <w:rsid w:val="006F0918"/>
    <w:rsid w:val="006F0B66"/>
    <w:rsid w:val="006F17A0"/>
    <w:rsid w:val="006F17CC"/>
    <w:rsid w:val="006F1822"/>
    <w:rsid w:val="006F1B07"/>
    <w:rsid w:val="006F227D"/>
    <w:rsid w:val="006F2282"/>
    <w:rsid w:val="006F3065"/>
    <w:rsid w:val="006F3141"/>
    <w:rsid w:val="006F3682"/>
    <w:rsid w:val="006F36F1"/>
    <w:rsid w:val="006F4993"/>
    <w:rsid w:val="006F58A2"/>
    <w:rsid w:val="006F5C29"/>
    <w:rsid w:val="006F5C34"/>
    <w:rsid w:val="006F5E66"/>
    <w:rsid w:val="006F6A65"/>
    <w:rsid w:val="006F6D06"/>
    <w:rsid w:val="006F7132"/>
    <w:rsid w:val="006F73D1"/>
    <w:rsid w:val="006F78B3"/>
    <w:rsid w:val="007005A9"/>
    <w:rsid w:val="0070064A"/>
    <w:rsid w:val="00700F4F"/>
    <w:rsid w:val="007013C1"/>
    <w:rsid w:val="00701595"/>
    <w:rsid w:val="007015CF"/>
    <w:rsid w:val="00701D6D"/>
    <w:rsid w:val="00702F4F"/>
    <w:rsid w:val="007033CA"/>
    <w:rsid w:val="00703CE7"/>
    <w:rsid w:val="0070446A"/>
    <w:rsid w:val="00704552"/>
    <w:rsid w:val="00704D51"/>
    <w:rsid w:val="00704DCC"/>
    <w:rsid w:val="007060E5"/>
    <w:rsid w:val="00706288"/>
    <w:rsid w:val="00706D4F"/>
    <w:rsid w:val="0070720E"/>
    <w:rsid w:val="00707DB3"/>
    <w:rsid w:val="00707E2F"/>
    <w:rsid w:val="00707E5B"/>
    <w:rsid w:val="0071236F"/>
    <w:rsid w:val="007127A0"/>
    <w:rsid w:val="00713887"/>
    <w:rsid w:val="00713F9A"/>
    <w:rsid w:val="00714E26"/>
    <w:rsid w:val="00715181"/>
    <w:rsid w:val="00715256"/>
    <w:rsid w:val="007156E2"/>
    <w:rsid w:val="00715DF4"/>
    <w:rsid w:val="0071651C"/>
    <w:rsid w:val="00717255"/>
    <w:rsid w:val="0071741F"/>
    <w:rsid w:val="0072046C"/>
    <w:rsid w:val="007206AF"/>
    <w:rsid w:val="007215AF"/>
    <w:rsid w:val="0072188F"/>
    <w:rsid w:val="00722040"/>
    <w:rsid w:val="00722269"/>
    <w:rsid w:val="007245F6"/>
    <w:rsid w:val="00724C48"/>
    <w:rsid w:val="00724CC4"/>
    <w:rsid w:val="00725953"/>
    <w:rsid w:val="00725A00"/>
    <w:rsid w:val="00725A16"/>
    <w:rsid w:val="00725AFC"/>
    <w:rsid w:val="007265C1"/>
    <w:rsid w:val="007269FC"/>
    <w:rsid w:val="00726D1D"/>
    <w:rsid w:val="00730FF1"/>
    <w:rsid w:val="00731170"/>
    <w:rsid w:val="00731CEF"/>
    <w:rsid w:val="0073213D"/>
    <w:rsid w:val="00732C66"/>
    <w:rsid w:val="00732D5F"/>
    <w:rsid w:val="00733648"/>
    <w:rsid w:val="00733CF7"/>
    <w:rsid w:val="00734166"/>
    <w:rsid w:val="007346E8"/>
    <w:rsid w:val="00734F59"/>
    <w:rsid w:val="007352D1"/>
    <w:rsid w:val="007354AA"/>
    <w:rsid w:val="0073695A"/>
    <w:rsid w:val="00737271"/>
    <w:rsid w:val="00737514"/>
    <w:rsid w:val="00737AE5"/>
    <w:rsid w:val="00737E93"/>
    <w:rsid w:val="00740092"/>
    <w:rsid w:val="00740398"/>
    <w:rsid w:val="00741971"/>
    <w:rsid w:val="0074453B"/>
    <w:rsid w:val="00744963"/>
    <w:rsid w:val="007452DE"/>
    <w:rsid w:val="0074594C"/>
    <w:rsid w:val="007463E3"/>
    <w:rsid w:val="00746600"/>
    <w:rsid w:val="00746A04"/>
    <w:rsid w:val="00746A30"/>
    <w:rsid w:val="007471BA"/>
    <w:rsid w:val="00750252"/>
    <w:rsid w:val="00750C39"/>
    <w:rsid w:val="00751DE2"/>
    <w:rsid w:val="007522BD"/>
    <w:rsid w:val="007541FB"/>
    <w:rsid w:val="0075443D"/>
    <w:rsid w:val="00754DDC"/>
    <w:rsid w:val="0075520D"/>
    <w:rsid w:val="007552D0"/>
    <w:rsid w:val="00756586"/>
    <w:rsid w:val="007572DC"/>
    <w:rsid w:val="007600C2"/>
    <w:rsid w:val="00760DC0"/>
    <w:rsid w:val="007613DE"/>
    <w:rsid w:val="007617C1"/>
    <w:rsid w:val="007624B4"/>
    <w:rsid w:val="007625A3"/>
    <w:rsid w:val="00762D37"/>
    <w:rsid w:val="0076347C"/>
    <w:rsid w:val="0076367C"/>
    <w:rsid w:val="007636F6"/>
    <w:rsid w:val="007640FB"/>
    <w:rsid w:val="00764CC6"/>
    <w:rsid w:val="007655D3"/>
    <w:rsid w:val="00765CD6"/>
    <w:rsid w:val="007664B7"/>
    <w:rsid w:val="007667B6"/>
    <w:rsid w:val="00766DB6"/>
    <w:rsid w:val="00766E3F"/>
    <w:rsid w:val="00766FA5"/>
    <w:rsid w:val="00767488"/>
    <w:rsid w:val="007676C0"/>
    <w:rsid w:val="0077013B"/>
    <w:rsid w:val="00770231"/>
    <w:rsid w:val="00770C62"/>
    <w:rsid w:val="00770DA8"/>
    <w:rsid w:val="00771348"/>
    <w:rsid w:val="007717BB"/>
    <w:rsid w:val="007731EC"/>
    <w:rsid w:val="00773524"/>
    <w:rsid w:val="007746FC"/>
    <w:rsid w:val="00774FFE"/>
    <w:rsid w:val="0077525E"/>
    <w:rsid w:val="0077527F"/>
    <w:rsid w:val="007756F4"/>
    <w:rsid w:val="0077581A"/>
    <w:rsid w:val="007759BC"/>
    <w:rsid w:val="00775FFE"/>
    <w:rsid w:val="007763CA"/>
    <w:rsid w:val="00776E10"/>
    <w:rsid w:val="00776FB9"/>
    <w:rsid w:val="007776DD"/>
    <w:rsid w:val="00777A69"/>
    <w:rsid w:val="00777F23"/>
    <w:rsid w:val="0078013A"/>
    <w:rsid w:val="0078033F"/>
    <w:rsid w:val="007803F0"/>
    <w:rsid w:val="007806F6"/>
    <w:rsid w:val="00780D51"/>
    <w:rsid w:val="00780FF1"/>
    <w:rsid w:val="00781DE5"/>
    <w:rsid w:val="00781F30"/>
    <w:rsid w:val="00782493"/>
    <w:rsid w:val="00782716"/>
    <w:rsid w:val="00782FD4"/>
    <w:rsid w:val="00783E42"/>
    <w:rsid w:val="00784B21"/>
    <w:rsid w:val="00785926"/>
    <w:rsid w:val="00785B16"/>
    <w:rsid w:val="00785FE9"/>
    <w:rsid w:val="0078676C"/>
    <w:rsid w:val="007871BB"/>
    <w:rsid w:val="00787353"/>
    <w:rsid w:val="00787670"/>
    <w:rsid w:val="007910F8"/>
    <w:rsid w:val="007917B1"/>
    <w:rsid w:val="00791AFB"/>
    <w:rsid w:val="007924D1"/>
    <w:rsid w:val="007937C4"/>
    <w:rsid w:val="007954A8"/>
    <w:rsid w:val="00795F92"/>
    <w:rsid w:val="0079649F"/>
    <w:rsid w:val="00797DA6"/>
    <w:rsid w:val="007A0455"/>
    <w:rsid w:val="007A06E8"/>
    <w:rsid w:val="007A0772"/>
    <w:rsid w:val="007A0967"/>
    <w:rsid w:val="007A1041"/>
    <w:rsid w:val="007A274A"/>
    <w:rsid w:val="007A3A30"/>
    <w:rsid w:val="007A3F69"/>
    <w:rsid w:val="007A3FC1"/>
    <w:rsid w:val="007A41B9"/>
    <w:rsid w:val="007A45F2"/>
    <w:rsid w:val="007A4C88"/>
    <w:rsid w:val="007A5E11"/>
    <w:rsid w:val="007A5F6E"/>
    <w:rsid w:val="007A6235"/>
    <w:rsid w:val="007A6928"/>
    <w:rsid w:val="007A7B09"/>
    <w:rsid w:val="007B0519"/>
    <w:rsid w:val="007B05C7"/>
    <w:rsid w:val="007B0A18"/>
    <w:rsid w:val="007B11D2"/>
    <w:rsid w:val="007B204F"/>
    <w:rsid w:val="007B223F"/>
    <w:rsid w:val="007B2412"/>
    <w:rsid w:val="007B25FB"/>
    <w:rsid w:val="007B270D"/>
    <w:rsid w:val="007B28C6"/>
    <w:rsid w:val="007B3538"/>
    <w:rsid w:val="007B3E0A"/>
    <w:rsid w:val="007B4495"/>
    <w:rsid w:val="007B4C1E"/>
    <w:rsid w:val="007B4F56"/>
    <w:rsid w:val="007B516E"/>
    <w:rsid w:val="007B5FEE"/>
    <w:rsid w:val="007B6531"/>
    <w:rsid w:val="007B794C"/>
    <w:rsid w:val="007B79B3"/>
    <w:rsid w:val="007B7AB5"/>
    <w:rsid w:val="007C014A"/>
    <w:rsid w:val="007C06AC"/>
    <w:rsid w:val="007C1637"/>
    <w:rsid w:val="007C1F17"/>
    <w:rsid w:val="007C2A3F"/>
    <w:rsid w:val="007C2AA0"/>
    <w:rsid w:val="007C2E95"/>
    <w:rsid w:val="007C3203"/>
    <w:rsid w:val="007C386A"/>
    <w:rsid w:val="007C4595"/>
    <w:rsid w:val="007C49C3"/>
    <w:rsid w:val="007C51CB"/>
    <w:rsid w:val="007C5232"/>
    <w:rsid w:val="007C5361"/>
    <w:rsid w:val="007C5830"/>
    <w:rsid w:val="007C5D9C"/>
    <w:rsid w:val="007C62D6"/>
    <w:rsid w:val="007C6A94"/>
    <w:rsid w:val="007C7A7B"/>
    <w:rsid w:val="007D05DE"/>
    <w:rsid w:val="007D09C7"/>
    <w:rsid w:val="007D0C24"/>
    <w:rsid w:val="007D1D11"/>
    <w:rsid w:val="007D2EB3"/>
    <w:rsid w:val="007D3EC7"/>
    <w:rsid w:val="007D4D8E"/>
    <w:rsid w:val="007D50A4"/>
    <w:rsid w:val="007D616D"/>
    <w:rsid w:val="007D6298"/>
    <w:rsid w:val="007D6541"/>
    <w:rsid w:val="007D699F"/>
    <w:rsid w:val="007D6C87"/>
    <w:rsid w:val="007D6EF8"/>
    <w:rsid w:val="007D7440"/>
    <w:rsid w:val="007E00B3"/>
    <w:rsid w:val="007E0390"/>
    <w:rsid w:val="007E0514"/>
    <w:rsid w:val="007E0A7C"/>
    <w:rsid w:val="007E1284"/>
    <w:rsid w:val="007E1942"/>
    <w:rsid w:val="007E1E4D"/>
    <w:rsid w:val="007E1EAF"/>
    <w:rsid w:val="007E41CF"/>
    <w:rsid w:val="007E5174"/>
    <w:rsid w:val="007E647B"/>
    <w:rsid w:val="007E64D2"/>
    <w:rsid w:val="007E6868"/>
    <w:rsid w:val="007E6884"/>
    <w:rsid w:val="007E6B78"/>
    <w:rsid w:val="007E6E0C"/>
    <w:rsid w:val="007E7D82"/>
    <w:rsid w:val="007F0243"/>
    <w:rsid w:val="007F07B5"/>
    <w:rsid w:val="007F0E4C"/>
    <w:rsid w:val="007F12BD"/>
    <w:rsid w:val="007F1A4C"/>
    <w:rsid w:val="007F221D"/>
    <w:rsid w:val="007F2CA1"/>
    <w:rsid w:val="007F3C99"/>
    <w:rsid w:val="007F4AC9"/>
    <w:rsid w:val="007F4B08"/>
    <w:rsid w:val="007F4B6E"/>
    <w:rsid w:val="007F4D8B"/>
    <w:rsid w:val="007F567B"/>
    <w:rsid w:val="007F5E48"/>
    <w:rsid w:val="007F660B"/>
    <w:rsid w:val="007F6A1C"/>
    <w:rsid w:val="007F77DF"/>
    <w:rsid w:val="007F79B0"/>
    <w:rsid w:val="007F7C51"/>
    <w:rsid w:val="007F7CA9"/>
    <w:rsid w:val="008001C6"/>
    <w:rsid w:val="0080093D"/>
    <w:rsid w:val="00801481"/>
    <w:rsid w:val="008016FD"/>
    <w:rsid w:val="008017DF"/>
    <w:rsid w:val="00801A3B"/>
    <w:rsid w:val="00802061"/>
    <w:rsid w:val="00803416"/>
    <w:rsid w:val="00803D5A"/>
    <w:rsid w:val="00803D7E"/>
    <w:rsid w:val="00803EF5"/>
    <w:rsid w:val="0080433E"/>
    <w:rsid w:val="00804AD3"/>
    <w:rsid w:val="008050A1"/>
    <w:rsid w:val="008062E7"/>
    <w:rsid w:val="008066B6"/>
    <w:rsid w:val="00806844"/>
    <w:rsid w:val="0080787D"/>
    <w:rsid w:val="00807A1D"/>
    <w:rsid w:val="00807C21"/>
    <w:rsid w:val="00807CB1"/>
    <w:rsid w:val="00810A98"/>
    <w:rsid w:val="008117F5"/>
    <w:rsid w:val="00811A1B"/>
    <w:rsid w:val="00811A73"/>
    <w:rsid w:val="0081325A"/>
    <w:rsid w:val="0081363F"/>
    <w:rsid w:val="00813761"/>
    <w:rsid w:val="0081384F"/>
    <w:rsid w:val="00813B39"/>
    <w:rsid w:val="00813C60"/>
    <w:rsid w:val="0081471B"/>
    <w:rsid w:val="008150D0"/>
    <w:rsid w:val="00816061"/>
    <w:rsid w:val="008160E8"/>
    <w:rsid w:val="00816D09"/>
    <w:rsid w:val="00816F63"/>
    <w:rsid w:val="00820237"/>
    <w:rsid w:val="00820978"/>
    <w:rsid w:val="008217C3"/>
    <w:rsid w:val="00821B89"/>
    <w:rsid w:val="008222D3"/>
    <w:rsid w:val="0082286C"/>
    <w:rsid w:val="00822F6D"/>
    <w:rsid w:val="00823B22"/>
    <w:rsid w:val="00823E99"/>
    <w:rsid w:val="00823EAD"/>
    <w:rsid w:val="00824217"/>
    <w:rsid w:val="00824EA2"/>
    <w:rsid w:val="008250B9"/>
    <w:rsid w:val="00825319"/>
    <w:rsid w:val="00825E64"/>
    <w:rsid w:val="008261C0"/>
    <w:rsid w:val="00826908"/>
    <w:rsid w:val="00827422"/>
    <w:rsid w:val="00827B95"/>
    <w:rsid w:val="008301A4"/>
    <w:rsid w:val="008301C5"/>
    <w:rsid w:val="00830BA6"/>
    <w:rsid w:val="00830E9C"/>
    <w:rsid w:val="008312D4"/>
    <w:rsid w:val="00831EB9"/>
    <w:rsid w:val="00832421"/>
    <w:rsid w:val="00832979"/>
    <w:rsid w:val="00833DBA"/>
    <w:rsid w:val="00834C0F"/>
    <w:rsid w:val="0083546D"/>
    <w:rsid w:val="00835F86"/>
    <w:rsid w:val="008365AD"/>
    <w:rsid w:val="00836F6A"/>
    <w:rsid w:val="008376DD"/>
    <w:rsid w:val="00840C93"/>
    <w:rsid w:val="00841B50"/>
    <w:rsid w:val="00842B66"/>
    <w:rsid w:val="00843667"/>
    <w:rsid w:val="008439E4"/>
    <w:rsid w:val="00843E02"/>
    <w:rsid w:val="00844518"/>
    <w:rsid w:val="008445B8"/>
    <w:rsid w:val="00844803"/>
    <w:rsid w:val="00845372"/>
    <w:rsid w:val="00845720"/>
    <w:rsid w:val="0084675A"/>
    <w:rsid w:val="00846F68"/>
    <w:rsid w:val="00847360"/>
    <w:rsid w:val="00847B30"/>
    <w:rsid w:val="00847E3A"/>
    <w:rsid w:val="0085002E"/>
    <w:rsid w:val="008505F4"/>
    <w:rsid w:val="008509E4"/>
    <w:rsid w:val="0085138D"/>
    <w:rsid w:val="0085264B"/>
    <w:rsid w:val="00853512"/>
    <w:rsid w:val="00854BCD"/>
    <w:rsid w:val="0085594F"/>
    <w:rsid w:val="00855B75"/>
    <w:rsid w:val="00856B69"/>
    <w:rsid w:val="00856C2C"/>
    <w:rsid w:val="00857454"/>
    <w:rsid w:val="00857460"/>
    <w:rsid w:val="00857C8C"/>
    <w:rsid w:val="0086016C"/>
    <w:rsid w:val="00860177"/>
    <w:rsid w:val="008604BA"/>
    <w:rsid w:val="00861420"/>
    <w:rsid w:val="008643C7"/>
    <w:rsid w:val="00864A9F"/>
    <w:rsid w:val="0086543C"/>
    <w:rsid w:val="00865498"/>
    <w:rsid w:val="00865F48"/>
    <w:rsid w:val="0086620D"/>
    <w:rsid w:val="008665CB"/>
    <w:rsid w:val="00867A92"/>
    <w:rsid w:val="00867F0C"/>
    <w:rsid w:val="0087004B"/>
    <w:rsid w:val="008700DA"/>
    <w:rsid w:val="00870151"/>
    <w:rsid w:val="00871132"/>
    <w:rsid w:val="00871B02"/>
    <w:rsid w:val="008726F5"/>
    <w:rsid w:val="008729B0"/>
    <w:rsid w:val="00872BE2"/>
    <w:rsid w:val="00875292"/>
    <w:rsid w:val="00877DFF"/>
    <w:rsid w:val="00877F71"/>
    <w:rsid w:val="0088013B"/>
    <w:rsid w:val="0088052B"/>
    <w:rsid w:val="00880B9D"/>
    <w:rsid w:val="0088260C"/>
    <w:rsid w:val="00882B92"/>
    <w:rsid w:val="00882CAF"/>
    <w:rsid w:val="00883410"/>
    <w:rsid w:val="00883E2C"/>
    <w:rsid w:val="008847B9"/>
    <w:rsid w:val="00884CE7"/>
    <w:rsid w:val="00884E4D"/>
    <w:rsid w:val="00885478"/>
    <w:rsid w:val="008867F8"/>
    <w:rsid w:val="0088741E"/>
    <w:rsid w:val="0088757A"/>
    <w:rsid w:val="00887A9C"/>
    <w:rsid w:val="00887CAC"/>
    <w:rsid w:val="00887D8A"/>
    <w:rsid w:val="00890F7F"/>
    <w:rsid w:val="008926E7"/>
    <w:rsid w:val="008930D1"/>
    <w:rsid w:val="00893108"/>
    <w:rsid w:val="0089400B"/>
    <w:rsid w:val="0089415B"/>
    <w:rsid w:val="0089486B"/>
    <w:rsid w:val="008949A2"/>
    <w:rsid w:val="00894D16"/>
    <w:rsid w:val="00894F9D"/>
    <w:rsid w:val="00894FAB"/>
    <w:rsid w:val="008954FE"/>
    <w:rsid w:val="00896CC4"/>
    <w:rsid w:val="008972C3"/>
    <w:rsid w:val="0089755A"/>
    <w:rsid w:val="00897C58"/>
    <w:rsid w:val="008A0040"/>
    <w:rsid w:val="008A016E"/>
    <w:rsid w:val="008A0F79"/>
    <w:rsid w:val="008A1591"/>
    <w:rsid w:val="008A18DA"/>
    <w:rsid w:val="008A23AC"/>
    <w:rsid w:val="008A2CF6"/>
    <w:rsid w:val="008A320E"/>
    <w:rsid w:val="008A37B7"/>
    <w:rsid w:val="008A3B3D"/>
    <w:rsid w:val="008A444B"/>
    <w:rsid w:val="008A4A4C"/>
    <w:rsid w:val="008A50A7"/>
    <w:rsid w:val="008A565A"/>
    <w:rsid w:val="008A5714"/>
    <w:rsid w:val="008A57D2"/>
    <w:rsid w:val="008A6D8B"/>
    <w:rsid w:val="008A6FE7"/>
    <w:rsid w:val="008A788F"/>
    <w:rsid w:val="008A7A2C"/>
    <w:rsid w:val="008B0455"/>
    <w:rsid w:val="008B06FA"/>
    <w:rsid w:val="008B0F72"/>
    <w:rsid w:val="008B1554"/>
    <w:rsid w:val="008B1716"/>
    <w:rsid w:val="008B1EF7"/>
    <w:rsid w:val="008B23BC"/>
    <w:rsid w:val="008B241F"/>
    <w:rsid w:val="008B276B"/>
    <w:rsid w:val="008B30D8"/>
    <w:rsid w:val="008B30F6"/>
    <w:rsid w:val="008B341B"/>
    <w:rsid w:val="008B35AF"/>
    <w:rsid w:val="008B532C"/>
    <w:rsid w:val="008B572C"/>
    <w:rsid w:val="008B57DD"/>
    <w:rsid w:val="008B5A0F"/>
    <w:rsid w:val="008B6302"/>
    <w:rsid w:val="008B730D"/>
    <w:rsid w:val="008B7CC2"/>
    <w:rsid w:val="008B7EA6"/>
    <w:rsid w:val="008C0164"/>
    <w:rsid w:val="008C188E"/>
    <w:rsid w:val="008C1FDC"/>
    <w:rsid w:val="008C2559"/>
    <w:rsid w:val="008C26F1"/>
    <w:rsid w:val="008C2D63"/>
    <w:rsid w:val="008C2F1F"/>
    <w:rsid w:val="008C3813"/>
    <w:rsid w:val="008C3CB8"/>
    <w:rsid w:val="008C4C6E"/>
    <w:rsid w:val="008C68F0"/>
    <w:rsid w:val="008C71E8"/>
    <w:rsid w:val="008D0A19"/>
    <w:rsid w:val="008D0CD9"/>
    <w:rsid w:val="008D1593"/>
    <w:rsid w:val="008D2B31"/>
    <w:rsid w:val="008D2E48"/>
    <w:rsid w:val="008D2F0C"/>
    <w:rsid w:val="008D3444"/>
    <w:rsid w:val="008D3ECC"/>
    <w:rsid w:val="008D45D4"/>
    <w:rsid w:val="008D4B41"/>
    <w:rsid w:val="008D5934"/>
    <w:rsid w:val="008D5E44"/>
    <w:rsid w:val="008D6B26"/>
    <w:rsid w:val="008D7133"/>
    <w:rsid w:val="008D77B2"/>
    <w:rsid w:val="008E03B0"/>
    <w:rsid w:val="008E0503"/>
    <w:rsid w:val="008E1851"/>
    <w:rsid w:val="008E1DDC"/>
    <w:rsid w:val="008E2CFA"/>
    <w:rsid w:val="008E360A"/>
    <w:rsid w:val="008E385A"/>
    <w:rsid w:val="008E3A85"/>
    <w:rsid w:val="008E3BAB"/>
    <w:rsid w:val="008E428F"/>
    <w:rsid w:val="008E43DE"/>
    <w:rsid w:val="008E4498"/>
    <w:rsid w:val="008E48EE"/>
    <w:rsid w:val="008E49A8"/>
    <w:rsid w:val="008E514D"/>
    <w:rsid w:val="008E59B4"/>
    <w:rsid w:val="008E5CF9"/>
    <w:rsid w:val="008E627F"/>
    <w:rsid w:val="008E633D"/>
    <w:rsid w:val="008E77BB"/>
    <w:rsid w:val="008E783F"/>
    <w:rsid w:val="008F00B2"/>
    <w:rsid w:val="008F0332"/>
    <w:rsid w:val="008F04A3"/>
    <w:rsid w:val="008F0A48"/>
    <w:rsid w:val="008F1964"/>
    <w:rsid w:val="008F22B7"/>
    <w:rsid w:val="008F33CA"/>
    <w:rsid w:val="008F3589"/>
    <w:rsid w:val="008F399B"/>
    <w:rsid w:val="008F3ED0"/>
    <w:rsid w:val="008F40CA"/>
    <w:rsid w:val="008F4AD7"/>
    <w:rsid w:val="008F59FB"/>
    <w:rsid w:val="008F5DD3"/>
    <w:rsid w:val="008F5E3D"/>
    <w:rsid w:val="008F6043"/>
    <w:rsid w:val="008F66D7"/>
    <w:rsid w:val="008F66E8"/>
    <w:rsid w:val="008F66F2"/>
    <w:rsid w:val="008F6B7A"/>
    <w:rsid w:val="008F7ED9"/>
    <w:rsid w:val="00900D34"/>
    <w:rsid w:val="00900FAA"/>
    <w:rsid w:val="009011B9"/>
    <w:rsid w:val="00902188"/>
    <w:rsid w:val="00902E41"/>
    <w:rsid w:val="00903328"/>
    <w:rsid w:val="009034A2"/>
    <w:rsid w:val="00903960"/>
    <w:rsid w:val="00903BC5"/>
    <w:rsid w:val="00904628"/>
    <w:rsid w:val="00904B91"/>
    <w:rsid w:val="009051A3"/>
    <w:rsid w:val="00905362"/>
    <w:rsid w:val="00906511"/>
    <w:rsid w:val="00906550"/>
    <w:rsid w:val="009073B1"/>
    <w:rsid w:val="009074ED"/>
    <w:rsid w:val="00907719"/>
    <w:rsid w:val="00907D30"/>
    <w:rsid w:val="00907E19"/>
    <w:rsid w:val="009107C2"/>
    <w:rsid w:val="00910938"/>
    <w:rsid w:val="009109A3"/>
    <w:rsid w:val="00910FE4"/>
    <w:rsid w:val="00911BA8"/>
    <w:rsid w:val="00911C01"/>
    <w:rsid w:val="009121A7"/>
    <w:rsid w:val="0091240F"/>
    <w:rsid w:val="00913ADA"/>
    <w:rsid w:val="009140A3"/>
    <w:rsid w:val="00914F8F"/>
    <w:rsid w:val="00915275"/>
    <w:rsid w:val="00915642"/>
    <w:rsid w:val="00915675"/>
    <w:rsid w:val="009156D9"/>
    <w:rsid w:val="00916E39"/>
    <w:rsid w:val="009171BF"/>
    <w:rsid w:val="009176A5"/>
    <w:rsid w:val="00917A3A"/>
    <w:rsid w:val="00920E27"/>
    <w:rsid w:val="0092121D"/>
    <w:rsid w:val="00921F9C"/>
    <w:rsid w:val="009220E5"/>
    <w:rsid w:val="0092249B"/>
    <w:rsid w:val="00924294"/>
    <w:rsid w:val="009242B5"/>
    <w:rsid w:val="00924439"/>
    <w:rsid w:val="00925E59"/>
    <w:rsid w:val="0092655D"/>
    <w:rsid w:val="00926A0C"/>
    <w:rsid w:val="00926AA6"/>
    <w:rsid w:val="00926AF4"/>
    <w:rsid w:val="00926CDC"/>
    <w:rsid w:val="00927736"/>
    <w:rsid w:val="009302B1"/>
    <w:rsid w:val="00930697"/>
    <w:rsid w:val="009306BF"/>
    <w:rsid w:val="009306C0"/>
    <w:rsid w:val="00930C4D"/>
    <w:rsid w:val="009310DD"/>
    <w:rsid w:val="0093110B"/>
    <w:rsid w:val="00931680"/>
    <w:rsid w:val="009319B5"/>
    <w:rsid w:val="009319D0"/>
    <w:rsid w:val="00932320"/>
    <w:rsid w:val="00932EC0"/>
    <w:rsid w:val="009331EE"/>
    <w:rsid w:val="00933C17"/>
    <w:rsid w:val="00933F59"/>
    <w:rsid w:val="0093526B"/>
    <w:rsid w:val="00935C51"/>
    <w:rsid w:val="00935D97"/>
    <w:rsid w:val="009361C8"/>
    <w:rsid w:val="00937124"/>
    <w:rsid w:val="00937C4C"/>
    <w:rsid w:val="00937CD8"/>
    <w:rsid w:val="00937E5A"/>
    <w:rsid w:val="0094032C"/>
    <w:rsid w:val="0094075C"/>
    <w:rsid w:val="009407F7"/>
    <w:rsid w:val="00941426"/>
    <w:rsid w:val="009417FE"/>
    <w:rsid w:val="00942277"/>
    <w:rsid w:val="00942360"/>
    <w:rsid w:val="009432EA"/>
    <w:rsid w:val="00943968"/>
    <w:rsid w:val="009439DC"/>
    <w:rsid w:val="00944334"/>
    <w:rsid w:val="00944AD4"/>
    <w:rsid w:val="00944DED"/>
    <w:rsid w:val="0094542E"/>
    <w:rsid w:val="0094725A"/>
    <w:rsid w:val="009472EC"/>
    <w:rsid w:val="00947A41"/>
    <w:rsid w:val="00947E5B"/>
    <w:rsid w:val="00947FD3"/>
    <w:rsid w:val="0095008C"/>
    <w:rsid w:val="009501ED"/>
    <w:rsid w:val="00950F84"/>
    <w:rsid w:val="009511D0"/>
    <w:rsid w:val="00951EE5"/>
    <w:rsid w:val="009526D7"/>
    <w:rsid w:val="009534D9"/>
    <w:rsid w:val="00953A3E"/>
    <w:rsid w:val="00953E8C"/>
    <w:rsid w:val="00954C82"/>
    <w:rsid w:val="00955EBD"/>
    <w:rsid w:val="00956366"/>
    <w:rsid w:val="009567A2"/>
    <w:rsid w:val="009569A3"/>
    <w:rsid w:val="00957AAB"/>
    <w:rsid w:val="009609DB"/>
    <w:rsid w:val="00961272"/>
    <w:rsid w:val="009612B3"/>
    <w:rsid w:val="00961C05"/>
    <w:rsid w:val="00961D28"/>
    <w:rsid w:val="00964C70"/>
    <w:rsid w:val="009652AC"/>
    <w:rsid w:val="00965945"/>
    <w:rsid w:val="00965A84"/>
    <w:rsid w:val="00966736"/>
    <w:rsid w:val="0096715D"/>
    <w:rsid w:val="00967567"/>
    <w:rsid w:val="00967D3B"/>
    <w:rsid w:val="00967FAE"/>
    <w:rsid w:val="009706A8"/>
    <w:rsid w:val="0097100F"/>
    <w:rsid w:val="00971645"/>
    <w:rsid w:val="0097189B"/>
    <w:rsid w:val="00971CA3"/>
    <w:rsid w:val="00971D9A"/>
    <w:rsid w:val="0097226D"/>
    <w:rsid w:val="00972B55"/>
    <w:rsid w:val="00973323"/>
    <w:rsid w:val="00973BD2"/>
    <w:rsid w:val="00973E00"/>
    <w:rsid w:val="00974391"/>
    <w:rsid w:val="00975D1B"/>
    <w:rsid w:val="00976001"/>
    <w:rsid w:val="009763B8"/>
    <w:rsid w:val="0097654A"/>
    <w:rsid w:val="00976A84"/>
    <w:rsid w:val="009778DC"/>
    <w:rsid w:val="00980594"/>
    <w:rsid w:val="00980946"/>
    <w:rsid w:val="00980EDC"/>
    <w:rsid w:val="00981ACD"/>
    <w:rsid w:val="009827EA"/>
    <w:rsid w:val="00982F17"/>
    <w:rsid w:val="009836EE"/>
    <w:rsid w:val="00984992"/>
    <w:rsid w:val="00984F26"/>
    <w:rsid w:val="00986032"/>
    <w:rsid w:val="00986875"/>
    <w:rsid w:val="00987362"/>
    <w:rsid w:val="0098753C"/>
    <w:rsid w:val="0098789A"/>
    <w:rsid w:val="00987A0A"/>
    <w:rsid w:val="009902FD"/>
    <w:rsid w:val="00991038"/>
    <w:rsid w:val="009919E9"/>
    <w:rsid w:val="00992E58"/>
    <w:rsid w:val="00992E80"/>
    <w:rsid w:val="00992F37"/>
    <w:rsid w:val="00993414"/>
    <w:rsid w:val="00993738"/>
    <w:rsid w:val="00993804"/>
    <w:rsid w:val="00993DB6"/>
    <w:rsid w:val="009946A7"/>
    <w:rsid w:val="00996640"/>
    <w:rsid w:val="00996B9D"/>
    <w:rsid w:val="00997590"/>
    <w:rsid w:val="009A031E"/>
    <w:rsid w:val="009A22A8"/>
    <w:rsid w:val="009A438D"/>
    <w:rsid w:val="009A4BAE"/>
    <w:rsid w:val="009A5DA5"/>
    <w:rsid w:val="009A6332"/>
    <w:rsid w:val="009A63A9"/>
    <w:rsid w:val="009A6B13"/>
    <w:rsid w:val="009A7A1D"/>
    <w:rsid w:val="009B0774"/>
    <w:rsid w:val="009B124C"/>
    <w:rsid w:val="009B141E"/>
    <w:rsid w:val="009B168E"/>
    <w:rsid w:val="009B1EF8"/>
    <w:rsid w:val="009B2274"/>
    <w:rsid w:val="009B234A"/>
    <w:rsid w:val="009B2494"/>
    <w:rsid w:val="009B2512"/>
    <w:rsid w:val="009B36F7"/>
    <w:rsid w:val="009B4588"/>
    <w:rsid w:val="009B4DB1"/>
    <w:rsid w:val="009B4F5C"/>
    <w:rsid w:val="009B59F1"/>
    <w:rsid w:val="009B5B1F"/>
    <w:rsid w:val="009B6338"/>
    <w:rsid w:val="009B6E5B"/>
    <w:rsid w:val="009B7D32"/>
    <w:rsid w:val="009C075B"/>
    <w:rsid w:val="009C245D"/>
    <w:rsid w:val="009C2D5D"/>
    <w:rsid w:val="009C3AE2"/>
    <w:rsid w:val="009C3FDA"/>
    <w:rsid w:val="009C4944"/>
    <w:rsid w:val="009C59F2"/>
    <w:rsid w:val="009C6090"/>
    <w:rsid w:val="009C6212"/>
    <w:rsid w:val="009C64CC"/>
    <w:rsid w:val="009C6F43"/>
    <w:rsid w:val="009C7508"/>
    <w:rsid w:val="009C75EB"/>
    <w:rsid w:val="009C7C19"/>
    <w:rsid w:val="009D020C"/>
    <w:rsid w:val="009D19C4"/>
    <w:rsid w:val="009D1E63"/>
    <w:rsid w:val="009D2C08"/>
    <w:rsid w:val="009D2DC9"/>
    <w:rsid w:val="009D32B3"/>
    <w:rsid w:val="009D44C9"/>
    <w:rsid w:val="009D4D6D"/>
    <w:rsid w:val="009D4FDB"/>
    <w:rsid w:val="009D53C3"/>
    <w:rsid w:val="009D585C"/>
    <w:rsid w:val="009D5D54"/>
    <w:rsid w:val="009D66A2"/>
    <w:rsid w:val="009D6B75"/>
    <w:rsid w:val="009D6E7C"/>
    <w:rsid w:val="009D6E89"/>
    <w:rsid w:val="009D72F1"/>
    <w:rsid w:val="009D7853"/>
    <w:rsid w:val="009E03F7"/>
    <w:rsid w:val="009E2912"/>
    <w:rsid w:val="009E29FA"/>
    <w:rsid w:val="009E3256"/>
    <w:rsid w:val="009E38C1"/>
    <w:rsid w:val="009E3DDD"/>
    <w:rsid w:val="009E57AB"/>
    <w:rsid w:val="009E600E"/>
    <w:rsid w:val="009E68D5"/>
    <w:rsid w:val="009E6EB3"/>
    <w:rsid w:val="009E7125"/>
    <w:rsid w:val="009E72A2"/>
    <w:rsid w:val="009F0462"/>
    <w:rsid w:val="009F15A6"/>
    <w:rsid w:val="009F17DD"/>
    <w:rsid w:val="009F187B"/>
    <w:rsid w:val="009F1A91"/>
    <w:rsid w:val="009F1AEA"/>
    <w:rsid w:val="009F23DB"/>
    <w:rsid w:val="009F29E8"/>
    <w:rsid w:val="009F4041"/>
    <w:rsid w:val="009F43C9"/>
    <w:rsid w:val="009F5797"/>
    <w:rsid w:val="009F596C"/>
    <w:rsid w:val="009F5E6B"/>
    <w:rsid w:val="009F5FB5"/>
    <w:rsid w:val="009F674A"/>
    <w:rsid w:val="009F6E21"/>
    <w:rsid w:val="009F788B"/>
    <w:rsid w:val="009F796A"/>
    <w:rsid w:val="00A01277"/>
    <w:rsid w:val="00A013B9"/>
    <w:rsid w:val="00A01A5B"/>
    <w:rsid w:val="00A021B7"/>
    <w:rsid w:val="00A0261E"/>
    <w:rsid w:val="00A0266B"/>
    <w:rsid w:val="00A03666"/>
    <w:rsid w:val="00A039B1"/>
    <w:rsid w:val="00A05775"/>
    <w:rsid w:val="00A05974"/>
    <w:rsid w:val="00A05AD1"/>
    <w:rsid w:val="00A069D8"/>
    <w:rsid w:val="00A06A89"/>
    <w:rsid w:val="00A0713A"/>
    <w:rsid w:val="00A07886"/>
    <w:rsid w:val="00A079A3"/>
    <w:rsid w:val="00A105B2"/>
    <w:rsid w:val="00A108EF"/>
    <w:rsid w:val="00A10CC8"/>
    <w:rsid w:val="00A114B5"/>
    <w:rsid w:val="00A11919"/>
    <w:rsid w:val="00A12AB3"/>
    <w:rsid w:val="00A12ACF"/>
    <w:rsid w:val="00A13015"/>
    <w:rsid w:val="00A13358"/>
    <w:rsid w:val="00A136A7"/>
    <w:rsid w:val="00A13E13"/>
    <w:rsid w:val="00A141CC"/>
    <w:rsid w:val="00A14629"/>
    <w:rsid w:val="00A14AF7"/>
    <w:rsid w:val="00A14C26"/>
    <w:rsid w:val="00A14DB8"/>
    <w:rsid w:val="00A14FCE"/>
    <w:rsid w:val="00A15BD3"/>
    <w:rsid w:val="00A15BF9"/>
    <w:rsid w:val="00A15C61"/>
    <w:rsid w:val="00A15EE6"/>
    <w:rsid w:val="00A170A9"/>
    <w:rsid w:val="00A17609"/>
    <w:rsid w:val="00A20552"/>
    <w:rsid w:val="00A21ADD"/>
    <w:rsid w:val="00A237C9"/>
    <w:rsid w:val="00A23AFA"/>
    <w:rsid w:val="00A259F0"/>
    <w:rsid w:val="00A25B05"/>
    <w:rsid w:val="00A2645F"/>
    <w:rsid w:val="00A27C28"/>
    <w:rsid w:val="00A27E59"/>
    <w:rsid w:val="00A30293"/>
    <w:rsid w:val="00A30356"/>
    <w:rsid w:val="00A30728"/>
    <w:rsid w:val="00A3090C"/>
    <w:rsid w:val="00A3178A"/>
    <w:rsid w:val="00A33436"/>
    <w:rsid w:val="00A3490D"/>
    <w:rsid w:val="00A351E0"/>
    <w:rsid w:val="00A353BC"/>
    <w:rsid w:val="00A3566B"/>
    <w:rsid w:val="00A359DD"/>
    <w:rsid w:val="00A35DEE"/>
    <w:rsid w:val="00A365EC"/>
    <w:rsid w:val="00A3677C"/>
    <w:rsid w:val="00A37F5C"/>
    <w:rsid w:val="00A403AD"/>
    <w:rsid w:val="00A4081F"/>
    <w:rsid w:val="00A40A2D"/>
    <w:rsid w:val="00A40E9F"/>
    <w:rsid w:val="00A41FA7"/>
    <w:rsid w:val="00A422D8"/>
    <w:rsid w:val="00A42BF9"/>
    <w:rsid w:val="00A4392D"/>
    <w:rsid w:val="00A43B59"/>
    <w:rsid w:val="00A44157"/>
    <w:rsid w:val="00A44E32"/>
    <w:rsid w:val="00A45EDE"/>
    <w:rsid w:val="00A46073"/>
    <w:rsid w:val="00A464E9"/>
    <w:rsid w:val="00A46FF4"/>
    <w:rsid w:val="00A47B5D"/>
    <w:rsid w:val="00A50574"/>
    <w:rsid w:val="00A513E3"/>
    <w:rsid w:val="00A51717"/>
    <w:rsid w:val="00A520C7"/>
    <w:rsid w:val="00A52261"/>
    <w:rsid w:val="00A5355F"/>
    <w:rsid w:val="00A537D1"/>
    <w:rsid w:val="00A53FF1"/>
    <w:rsid w:val="00A545DD"/>
    <w:rsid w:val="00A54DB3"/>
    <w:rsid w:val="00A55358"/>
    <w:rsid w:val="00A566D5"/>
    <w:rsid w:val="00A567A0"/>
    <w:rsid w:val="00A56F55"/>
    <w:rsid w:val="00A57682"/>
    <w:rsid w:val="00A607ED"/>
    <w:rsid w:val="00A61670"/>
    <w:rsid w:val="00A618C8"/>
    <w:rsid w:val="00A61C22"/>
    <w:rsid w:val="00A62391"/>
    <w:rsid w:val="00A62791"/>
    <w:rsid w:val="00A62927"/>
    <w:rsid w:val="00A62A76"/>
    <w:rsid w:val="00A62C5E"/>
    <w:rsid w:val="00A63175"/>
    <w:rsid w:val="00A63B03"/>
    <w:rsid w:val="00A63F05"/>
    <w:rsid w:val="00A641F3"/>
    <w:rsid w:val="00A64919"/>
    <w:rsid w:val="00A64C47"/>
    <w:rsid w:val="00A64E11"/>
    <w:rsid w:val="00A65DDC"/>
    <w:rsid w:val="00A660E6"/>
    <w:rsid w:val="00A66D61"/>
    <w:rsid w:val="00A671FF"/>
    <w:rsid w:val="00A6742E"/>
    <w:rsid w:val="00A67746"/>
    <w:rsid w:val="00A67F19"/>
    <w:rsid w:val="00A701EF"/>
    <w:rsid w:val="00A70BBB"/>
    <w:rsid w:val="00A711A3"/>
    <w:rsid w:val="00A71451"/>
    <w:rsid w:val="00A73AED"/>
    <w:rsid w:val="00A7537A"/>
    <w:rsid w:val="00A7614F"/>
    <w:rsid w:val="00A7616C"/>
    <w:rsid w:val="00A76958"/>
    <w:rsid w:val="00A76A9D"/>
    <w:rsid w:val="00A77008"/>
    <w:rsid w:val="00A776BA"/>
    <w:rsid w:val="00A77888"/>
    <w:rsid w:val="00A7795A"/>
    <w:rsid w:val="00A77A84"/>
    <w:rsid w:val="00A80334"/>
    <w:rsid w:val="00A8173E"/>
    <w:rsid w:val="00A81760"/>
    <w:rsid w:val="00A817A7"/>
    <w:rsid w:val="00A82C6A"/>
    <w:rsid w:val="00A82E4A"/>
    <w:rsid w:val="00A82FD0"/>
    <w:rsid w:val="00A84792"/>
    <w:rsid w:val="00A85576"/>
    <w:rsid w:val="00A861B8"/>
    <w:rsid w:val="00A8653A"/>
    <w:rsid w:val="00A87B28"/>
    <w:rsid w:val="00A908F9"/>
    <w:rsid w:val="00A915D1"/>
    <w:rsid w:val="00A9177E"/>
    <w:rsid w:val="00A91C92"/>
    <w:rsid w:val="00A920FB"/>
    <w:rsid w:val="00A9224D"/>
    <w:rsid w:val="00A9226D"/>
    <w:rsid w:val="00A92BE0"/>
    <w:rsid w:val="00A930CB"/>
    <w:rsid w:val="00A93A1A"/>
    <w:rsid w:val="00A93D56"/>
    <w:rsid w:val="00A93FC3"/>
    <w:rsid w:val="00A94C64"/>
    <w:rsid w:val="00A951E1"/>
    <w:rsid w:val="00A95994"/>
    <w:rsid w:val="00A95EA0"/>
    <w:rsid w:val="00A961E4"/>
    <w:rsid w:val="00A962DD"/>
    <w:rsid w:val="00A9631B"/>
    <w:rsid w:val="00A96365"/>
    <w:rsid w:val="00A965E6"/>
    <w:rsid w:val="00A96B19"/>
    <w:rsid w:val="00A97913"/>
    <w:rsid w:val="00AA01FD"/>
    <w:rsid w:val="00AA0363"/>
    <w:rsid w:val="00AA0AE7"/>
    <w:rsid w:val="00AA0D4F"/>
    <w:rsid w:val="00AA0E09"/>
    <w:rsid w:val="00AA16A6"/>
    <w:rsid w:val="00AA19CD"/>
    <w:rsid w:val="00AA1A9F"/>
    <w:rsid w:val="00AA1AED"/>
    <w:rsid w:val="00AA1D84"/>
    <w:rsid w:val="00AA21F3"/>
    <w:rsid w:val="00AA2768"/>
    <w:rsid w:val="00AA2BD2"/>
    <w:rsid w:val="00AA3447"/>
    <w:rsid w:val="00AA3802"/>
    <w:rsid w:val="00AA3AEA"/>
    <w:rsid w:val="00AA3E36"/>
    <w:rsid w:val="00AA4C2C"/>
    <w:rsid w:val="00AA4D3F"/>
    <w:rsid w:val="00AA604D"/>
    <w:rsid w:val="00AA655F"/>
    <w:rsid w:val="00AA6888"/>
    <w:rsid w:val="00AA7322"/>
    <w:rsid w:val="00AA7549"/>
    <w:rsid w:val="00AA7CA7"/>
    <w:rsid w:val="00AA7E1B"/>
    <w:rsid w:val="00AB0D53"/>
    <w:rsid w:val="00AB1571"/>
    <w:rsid w:val="00AB1ECE"/>
    <w:rsid w:val="00AB268F"/>
    <w:rsid w:val="00AB2722"/>
    <w:rsid w:val="00AB29A9"/>
    <w:rsid w:val="00AB2B01"/>
    <w:rsid w:val="00AB4073"/>
    <w:rsid w:val="00AB427F"/>
    <w:rsid w:val="00AB440F"/>
    <w:rsid w:val="00AB49F0"/>
    <w:rsid w:val="00AB4C57"/>
    <w:rsid w:val="00AB6BD1"/>
    <w:rsid w:val="00AB6F09"/>
    <w:rsid w:val="00AB702F"/>
    <w:rsid w:val="00AB75DA"/>
    <w:rsid w:val="00AB7BB0"/>
    <w:rsid w:val="00AB7BCE"/>
    <w:rsid w:val="00AB7F46"/>
    <w:rsid w:val="00AC03A8"/>
    <w:rsid w:val="00AC05B7"/>
    <w:rsid w:val="00AC0A84"/>
    <w:rsid w:val="00AC15FA"/>
    <w:rsid w:val="00AC165F"/>
    <w:rsid w:val="00AC192C"/>
    <w:rsid w:val="00AC2266"/>
    <w:rsid w:val="00AC3668"/>
    <w:rsid w:val="00AC3B25"/>
    <w:rsid w:val="00AC3C5B"/>
    <w:rsid w:val="00AC3FF1"/>
    <w:rsid w:val="00AC4B1B"/>
    <w:rsid w:val="00AC536E"/>
    <w:rsid w:val="00AC57ED"/>
    <w:rsid w:val="00AC6BF8"/>
    <w:rsid w:val="00AC6C89"/>
    <w:rsid w:val="00AC7BDB"/>
    <w:rsid w:val="00AD0C6B"/>
    <w:rsid w:val="00AD0F2C"/>
    <w:rsid w:val="00AD1534"/>
    <w:rsid w:val="00AD1CA2"/>
    <w:rsid w:val="00AD209F"/>
    <w:rsid w:val="00AD347D"/>
    <w:rsid w:val="00AD3830"/>
    <w:rsid w:val="00AD3A23"/>
    <w:rsid w:val="00AD4084"/>
    <w:rsid w:val="00AD41C6"/>
    <w:rsid w:val="00AD4259"/>
    <w:rsid w:val="00AD4385"/>
    <w:rsid w:val="00AD4782"/>
    <w:rsid w:val="00AD49CD"/>
    <w:rsid w:val="00AD5023"/>
    <w:rsid w:val="00AD5CC2"/>
    <w:rsid w:val="00AD5F89"/>
    <w:rsid w:val="00AD65D9"/>
    <w:rsid w:val="00AD72D8"/>
    <w:rsid w:val="00AD753C"/>
    <w:rsid w:val="00AD7E4C"/>
    <w:rsid w:val="00AE00F7"/>
    <w:rsid w:val="00AE0228"/>
    <w:rsid w:val="00AE0552"/>
    <w:rsid w:val="00AE0E79"/>
    <w:rsid w:val="00AE12A0"/>
    <w:rsid w:val="00AE1799"/>
    <w:rsid w:val="00AE190F"/>
    <w:rsid w:val="00AE1F55"/>
    <w:rsid w:val="00AE20CF"/>
    <w:rsid w:val="00AE2118"/>
    <w:rsid w:val="00AE252B"/>
    <w:rsid w:val="00AE27D7"/>
    <w:rsid w:val="00AE2C38"/>
    <w:rsid w:val="00AE2D20"/>
    <w:rsid w:val="00AE31E9"/>
    <w:rsid w:val="00AE3365"/>
    <w:rsid w:val="00AE33A3"/>
    <w:rsid w:val="00AE3E28"/>
    <w:rsid w:val="00AE4092"/>
    <w:rsid w:val="00AE4A82"/>
    <w:rsid w:val="00AE51D6"/>
    <w:rsid w:val="00AE5613"/>
    <w:rsid w:val="00AE5AAF"/>
    <w:rsid w:val="00AE7A11"/>
    <w:rsid w:val="00AF01DA"/>
    <w:rsid w:val="00AF02B3"/>
    <w:rsid w:val="00AF0387"/>
    <w:rsid w:val="00AF03D6"/>
    <w:rsid w:val="00AF08B5"/>
    <w:rsid w:val="00AF08DA"/>
    <w:rsid w:val="00AF09CD"/>
    <w:rsid w:val="00AF0A4B"/>
    <w:rsid w:val="00AF1471"/>
    <w:rsid w:val="00AF150D"/>
    <w:rsid w:val="00AF1D9F"/>
    <w:rsid w:val="00AF1DF5"/>
    <w:rsid w:val="00AF2E7B"/>
    <w:rsid w:val="00AF4178"/>
    <w:rsid w:val="00AF4318"/>
    <w:rsid w:val="00AF44DD"/>
    <w:rsid w:val="00AF4A89"/>
    <w:rsid w:val="00AF5294"/>
    <w:rsid w:val="00AF69D9"/>
    <w:rsid w:val="00AF710A"/>
    <w:rsid w:val="00AF7A6F"/>
    <w:rsid w:val="00AF7A9D"/>
    <w:rsid w:val="00B00014"/>
    <w:rsid w:val="00B00984"/>
    <w:rsid w:val="00B014F3"/>
    <w:rsid w:val="00B0150A"/>
    <w:rsid w:val="00B01953"/>
    <w:rsid w:val="00B01AF4"/>
    <w:rsid w:val="00B025E4"/>
    <w:rsid w:val="00B02C4C"/>
    <w:rsid w:val="00B02D1E"/>
    <w:rsid w:val="00B0370E"/>
    <w:rsid w:val="00B03D43"/>
    <w:rsid w:val="00B04907"/>
    <w:rsid w:val="00B05A8F"/>
    <w:rsid w:val="00B06FC7"/>
    <w:rsid w:val="00B07417"/>
    <w:rsid w:val="00B0787B"/>
    <w:rsid w:val="00B07E15"/>
    <w:rsid w:val="00B10E5E"/>
    <w:rsid w:val="00B12074"/>
    <w:rsid w:val="00B12539"/>
    <w:rsid w:val="00B12994"/>
    <w:rsid w:val="00B13604"/>
    <w:rsid w:val="00B13E5E"/>
    <w:rsid w:val="00B1452C"/>
    <w:rsid w:val="00B14568"/>
    <w:rsid w:val="00B14651"/>
    <w:rsid w:val="00B146FB"/>
    <w:rsid w:val="00B15AB9"/>
    <w:rsid w:val="00B20B5E"/>
    <w:rsid w:val="00B220D4"/>
    <w:rsid w:val="00B2241E"/>
    <w:rsid w:val="00B22A08"/>
    <w:rsid w:val="00B22A61"/>
    <w:rsid w:val="00B22FE3"/>
    <w:rsid w:val="00B2415D"/>
    <w:rsid w:val="00B2468A"/>
    <w:rsid w:val="00B24766"/>
    <w:rsid w:val="00B24B87"/>
    <w:rsid w:val="00B24D90"/>
    <w:rsid w:val="00B25000"/>
    <w:rsid w:val="00B2530F"/>
    <w:rsid w:val="00B2543B"/>
    <w:rsid w:val="00B25716"/>
    <w:rsid w:val="00B26A0B"/>
    <w:rsid w:val="00B26C39"/>
    <w:rsid w:val="00B26E81"/>
    <w:rsid w:val="00B273A1"/>
    <w:rsid w:val="00B302A3"/>
    <w:rsid w:val="00B3088C"/>
    <w:rsid w:val="00B30A59"/>
    <w:rsid w:val="00B3165F"/>
    <w:rsid w:val="00B31C8A"/>
    <w:rsid w:val="00B32057"/>
    <w:rsid w:val="00B32596"/>
    <w:rsid w:val="00B327A4"/>
    <w:rsid w:val="00B3386A"/>
    <w:rsid w:val="00B34644"/>
    <w:rsid w:val="00B34787"/>
    <w:rsid w:val="00B34F59"/>
    <w:rsid w:val="00B354DC"/>
    <w:rsid w:val="00B36103"/>
    <w:rsid w:val="00B3629B"/>
    <w:rsid w:val="00B363C9"/>
    <w:rsid w:val="00B36825"/>
    <w:rsid w:val="00B36A59"/>
    <w:rsid w:val="00B378BC"/>
    <w:rsid w:val="00B37E42"/>
    <w:rsid w:val="00B40A47"/>
    <w:rsid w:val="00B41175"/>
    <w:rsid w:val="00B415E7"/>
    <w:rsid w:val="00B41B3C"/>
    <w:rsid w:val="00B41FE5"/>
    <w:rsid w:val="00B4220A"/>
    <w:rsid w:val="00B428CB"/>
    <w:rsid w:val="00B4463D"/>
    <w:rsid w:val="00B45235"/>
    <w:rsid w:val="00B454B4"/>
    <w:rsid w:val="00B455BD"/>
    <w:rsid w:val="00B466DB"/>
    <w:rsid w:val="00B46772"/>
    <w:rsid w:val="00B473A0"/>
    <w:rsid w:val="00B47C97"/>
    <w:rsid w:val="00B47D0A"/>
    <w:rsid w:val="00B47D9B"/>
    <w:rsid w:val="00B52AA9"/>
    <w:rsid w:val="00B52C9A"/>
    <w:rsid w:val="00B53006"/>
    <w:rsid w:val="00B5349F"/>
    <w:rsid w:val="00B53B02"/>
    <w:rsid w:val="00B53DB2"/>
    <w:rsid w:val="00B53E96"/>
    <w:rsid w:val="00B546BE"/>
    <w:rsid w:val="00B54B11"/>
    <w:rsid w:val="00B54FD0"/>
    <w:rsid w:val="00B55050"/>
    <w:rsid w:val="00B553D7"/>
    <w:rsid w:val="00B55466"/>
    <w:rsid w:val="00B554BB"/>
    <w:rsid w:val="00B55B0A"/>
    <w:rsid w:val="00B56145"/>
    <w:rsid w:val="00B5640F"/>
    <w:rsid w:val="00B602BC"/>
    <w:rsid w:val="00B60AAF"/>
    <w:rsid w:val="00B615C3"/>
    <w:rsid w:val="00B61808"/>
    <w:rsid w:val="00B619D4"/>
    <w:rsid w:val="00B61B2D"/>
    <w:rsid w:val="00B62CF0"/>
    <w:rsid w:val="00B63950"/>
    <w:rsid w:val="00B639E7"/>
    <w:rsid w:val="00B64002"/>
    <w:rsid w:val="00B6418A"/>
    <w:rsid w:val="00B64364"/>
    <w:rsid w:val="00B65E43"/>
    <w:rsid w:val="00B65E92"/>
    <w:rsid w:val="00B6616F"/>
    <w:rsid w:val="00B6695E"/>
    <w:rsid w:val="00B67804"/>
    <w:rsid w:val="00B678F1"/>
    <w:rsid w:val="00B67B25"/>
    <w:rsid w:val="00B7097A"/>
    <w:rsid w:val="00B70AC0"/>
    <w:rsid w:val="00B715BF"/>
    <w:rsid w:val="00B72167"/>
    <w:rsid w:val="00B72BC5"/>
    <w:rsid w:val="00B73862"/>
    <w:rsid w:val="00B73A29"/>
    <w:rsid w:val="00B74053"/>
    <w:rsid w:val="00B74ADD"/>
    <w:rsid w:val="00B74BF9"/>
    <w:rsid w:val="00B76767"/>
    <w:rsid w:val="00B767A7"/>
    <w:rsid w:val="00B80CC4"/>
    <w:rsid w:val="00B8132B"/>
    <w:rsid w:val="00B81383"/>
    <w:rsid w:val="00B8188B"/>
    <w:rsid w:val="00B81936"/>
    <w:rsid w:val="00B81C61"/>
    <w:rsid w:val="00B821EB"/>
    <w:rsid w:val="00B82333"/>
    <w:rsid w:val="00B82418"/>
    <w:rsid w:val="00B82908"/>
    <w:rsid w:val="00B829B4"/>
    <w:rsid w:val="00B82DEA"/>
    <w:rsid w:val="00B82F65"/>
    <w:rsid w:val="00B82FAC"/>
    <w:rsid w:val="00B8360E"/>
    <w:rsid w:val="00B83B58"/>
    <w:rsid w:val="00B85B72"/>
    <w:rsid w:val="00B85C70"/>
    <w:rsid w:val="00B8610E"/>
    <w:rsid w:val="00B87433"/>
    <w:rsid w:val="00B87C45"/>
    <w:rsid w:val="00B90277"/>
    <w:rsid w:val="00B90AAF"/>
    <w:rsid w:val="00B91B45"/>
    <w:rsid w:val="00B92619"/>
    <w:rsid w:val="00B92F3F"/>
    <w:rsid w:val="00B9324F"/>
    <w:rsid w:val="00B936C9"/>
    <w:rsid w:val="00B938C7"/>
    <w:rsid w:val="00B93BDE"/>
    <w:rsid w:val="00B9442F"/>
    <w:rsid w:val="00B9514C"/>
    <w:rsid w:val="00B9515E"/>
    <w:rsid w:val="00B951AF"/>
    <w:rsid w:val="00B9602F"/>
    <w:rsid w:val="00B96D9F"/>
    <w:rsid w:val="00B96E47"/>
    <w:rsid w:val="00B970C7"/>
    <w:rsid w:val="00B9715D"/>
    <w:rsid w:val="00B97D56"/>
    <w:rsid w:val="00BA020E"/>
    <w:rsid w:val="00BA03A0"/>
    <w:rsid w:val="00BA11C9"/>
    <w:rsid w:val="00BA30DE"/>
    <w:rsid w:val="00BA345A"/>
    <w:rsid w:val="00BA353A"/>
    <w:rsid w:val="00BA392F"/>
    <w:rsid w:val="00BA40D7"/>
    <w:rsid w:val="00BA5744"/>
    <w:rsid w:val="00BA6384"/>
    <w:rsid w:val="00BA6865"/>
    <w:rsid w:val="00BA6E3A"/>
    <w:rsid w:val="00BA704A"/>
    <w:rsid w:val="00BA786A"/>
    <w:rsid w:val="00BA78D4"/>
    <w:rsid w:val="00BA7D67"/>
    <w:rsid w:val="00BA7EB2"/>
    <w:rsid w:val="00BA7EDD"/>
    <w:rsid w:val="00BB0507"/>
    <w:rsid w:val="00BB0520"/>
    <w:rsid w:val="00BB0D5D"/>
    <w:rsid w:val="00BB0EF7"/>
    <w:rsid w:val="00BB1309"/>
    <w:rsid w:val="00BB16F2"/>
    <w:rsid w:val="00BB1E4E"/>
    <w:rsid w:val="00BB2031"/>
    <w:rsid w:val="00BB272B"/>
    <w:rsid w:val="00BB2F90"/>
    <w:rsid w:val="00BB302A"/>
    <w:rsid w:val="00BB304F"/>
    <w:rsid w:val="00BB3623"/>
    <w:rsid w:val="00BB3B53"/>
    <w:rsid w:val="00BB4250"/>
    <w:rsid w:val="00BB55C8"/>
    <w:rsid w:val="00BB5ABE"/>
    <w:rsid w:val="00BB5CBE"/>
    <w:rsid w:val="00BB658F"/>
    <w:rsid w:val="00BB7967"/>
    <w:rsid w:val="00BC0923"/>
    <w:rsid w:val="00BC15F7"/>
    <w:rsid w:val="00BC2B81"/>
    <w:rsid w:val="00BC3787"/>
    <w:rsid w:val="00BC4156"/>
    <w:rsid w:val="00BC48E0"/>
    <w:rsid w:val="00BC4C38"/>
    <w:rsid w:val="00BC51F8"/>
    <w:rsid w:val="00BC524F"/>
    <w:rsid w:val="00BC5948"/>
    <w:rsid w:val="00BC66FB"/>
    <w:rsid w:val="00BC68E0"/>
    <w:rsid w:val="00BC695D"/>
    <w:rsid w:val="00BC7702"/>
    <w:rsid w:val="00BC7AB7"/>
    <w:rsid w:val="00BD12FD"/>
    <w:rsid w:val="00BD13E6"/>
    <w:rsid w:val="00BD1C1F"/>
    <w:rsid w:val="00BD2B7B"/>
    <w:rsid w:val="00BD2FE1"/>
    <w:rsid w:val="00BD34F1"/>
    <w:rsid w:val="00BD353A"/>
    <w:rsid w:val="00BD42D5"/>
    <w:rsid w:val="00BD49F8"/>
    <w:rsid w:val="00BD49F9"/>
    <w:rsid w:val="00BD5142"/>
    <w:rsid w:val="00BD5899"/>
    <w:rsid w:val="00BD5FE4"/>
    <w:rsid w:val="00BD6228"/>
    <w:rsid w:val="00BD6820"/>
    <w:rsid w:val="00BD6C66"/>
    <w:rsid w:val="00BD7BB6"/>
    <w:rsid w:val="00BE0C7A"/>
    <w:rsid w:val="00BE10C3"/>
    <w:rsid w:val="00BE10D6"/>
    <w:rsid w:val="00BE3B3E"/>
    <w:rsid w:val="00BE3BA0"/>
    <w:rsid w:val="00BE4573"/>
    <w:rsid w:val="00BE50BB"/>
    <w:rsid w:val="00BE5CEA"/>
    <w:rsid w:val="00BE6000"/>
    <w:rsid w:val="00BE6231"/>
    <w:rsid w:val="00BE6900"/>
    <w:rsid w:val="00BE78C1"/>
    <w:rsid w:val="00BE7A7F"/>
    <w:rsid w:val="00BF0F58"/>
    <w:rsid w:val="00BF11AA"/>
    <w:rsid w:val="00BF14E8"/>
    <w:rsid w:val="00BF1D5B"/>
    <w:rsid w:val="00BF1E21"/>
    <w:rsid w:val="00BF247A"/>
    <w:rsid w:val="00BF2B98"/>
    <w:rsid w:val="00BF2FB1"/>
    <w:rsid w:val="00BF323D"/>
    <w:rsid w:val="00BF32DD"/>
    <w:rsid w:val="00BF3E32"/>
    <w:rsid w:val="00BF405F"/>
    <w:rsid w:val="00BF4C41"/>
    <w:rsid w:val="00BF5E81"/>
    <w:rsid w:val="00BF6364"/>
    <w:rsid w:val="00BF6671"/>
    <w:rsid w:val="00BF67D8"/>
    <w:rsid w:val="00C00495"/>
    <w:rsid w:val="00C00631"/>
    <w:rsid w:val="00C00910"/>
    <w:rsid w:val="00C009AC"/>
    <w:rsid w:val="00C02082"/>
    <w:rsid w:val="00C022B8"/>
    <w:rsid w:val="00C0285A"/>
    <w:rsid w:val="00C03C64"/>
    <w:rsid w:val="00C0577B"/>
    <w:rsid w:val="00C06080"/>
    <w:rsid w:val="00C06C59"/>
    <w:rsid w:val="00C0773F"/>
    <w:rsid w:val="00C10043"/>
    <w:rsid w:val="00C11153"/>
    <w:rsid w:val="00C11E6A"/>
    <w:rsid w:val="00C120AC"/>
    <w:rsid w:val="00C168ED"/>
    <w:rsid w:val="00C17393"/>
    <w:rsid w:val="00C174B8"/>
    <w:rsid w:val="00C17648"/>
    <w:rsid w:val="00C1774A"/>
    <w:rsid w:val="00C17D65"/>
    <w:rsid w:val="00C206E6"/>
    <w:rsid w:val="00C210F5"/>
    <w:rsid w:val="00C211FB"/>
    <w:rsid w:val="00C21353"/>
    <w:rsid w:val="00C21463"/>
    <w:rsid w:val="00C215E6"/>
    <w:rsid w:val="00C21772"/>
    <w:rsid w:val="00C22569"/>
    <w:rsid w:val="00C22A4C"/>
    <w:rsid w:val="00C22FFC"/>
    <w:rsid w:val="00C23058"/>
    <w:rsid w:val="00C23098"/>
    <w:rsid w:val="00C23D76"/>
    <w:rsid w:val="00C23E31"/>
    <w:rsid w:val="00C244BF"/>
    <w:rsid w:val="00C245AC"/>
    <w:rsid w:val="00C247AD"/>
    <w:rsid w:val="00C25EDE"/>
    <w:rsid w:val="00C27D4A"/>
    <w:rsid w:val="00C30956"/>
    <w:rsid w:val="00C31220"/>
    <w:rsid w:val="00C31CEE"/>
    <w:rsid w:val="00C32117"/>
    <w:rsid w:val="00C33065"/>
    <w:rsid w:val="00C33327"/>
    <w:rsid w:val="00C334C7"/>
    <w:rsid w:val="00C33FA0"/>
    <w:rsid w:val="00C349FA"/>
    <w:rsid w:val="00C34EED"/>
    <w:rsid w:val="00C3588D"/>
    <w:rsid w:val="00C35DF0"/>
    <w:rsid w:val="00C36011"/>
    <w:rsid w:val="00C360FD"/>
    <w:rsid w:val="00C363D6"/>
    <w:rsid w:val="00C36A5B"/>
    <w:rsid w:val="00C36ECE"/>
    <w:rsid w:val="00C37577"/>
    <w:rsid w:val="00C376C0"/>
    <w:rsid w:val="00C3798C"/>
    <w:rsid w:val="00C40481"/>
    <w:rsid w:val="00C411BD"/>
    <w:rsid w:val="00C411DD"/>
    <w:rsid w:val="00C41A44"/>
    <w:rsid w:val="00C42791"/>
    <w:rsid w:val="00C4291D"/>
    <w:rsid w:val="00C43841"/>
    <w:rsid w:val="00C439EA"/>
    <w:rsid w:val="00C43F11"/>
    <w:rsid w:val="00C44D85"/>
    <w:rsid w:val="00C45171"/>
    <w:rsid w:val="00C4525C"/>
    <w:rsid w:val="00C458BC"/>
    <w:rsid w:val="00C46678"/>
    <w:rsid w:val="00C46F13"/>
    <w:rsid w:val="00C4770E"/>
    <w:rsid w:val="00C47EE6"/>
    <w:rsid w:val="00C50BF0"/>
    <w:rsid w:val="00C52031"/>
    <w:rsid w:val="00C52B9C"/>
    <w:rsid w:val="00C52E93"/>
    <w:rsid w:val="00C53781"/>
    <w:rsid w:val="00C53E73"/>
    <w:rsid w:val="00C5446A"/>
    <w:rsid w:val="00C5494D"/>
    <w:rsid w:val="00C549C6"/>
    <w:rsid w:val="00C55651"/>
    <w:rsid w:val="00C56097"/>
    <w:rsid w:val="00C572B3"/>
    <w:rsid w:val="00C574DE"/>
    <w:rsid w:val="00C57B62"/>
    <w:rsid w:val="00C57FB7"/>
    <w:rsid w:val="00C600B4"/>
    <w:rsid w:val="00C603C3"/>
    <w:rsid w:val="00C60B5E"/>
    <w:rsid w:val="00C61DDC"/>
    <w:rsid w:val="00C62980"/>
    <w:rsid w:val="00C63BB3"/>
    <w:rsid w:val="00C646D3"/>
    <w:rsid w:val="00C67698"/>
    <w:rsid w:val="00C7055E"/>
    <w:rsid w:val="00C70A7C"/>
    <w:rsid w:val="00C70CCD"/>
    <w:rsid w:val="00C71090"/>
    <w:rsid w:val="00C7334E"/>
    <w:rsid w:val="00C734A1"/>
    <w:rsid w:val="00C7359F"/>
    <w:rsid w:val="00C738D8"/>
    <w:rsid w:val="00C743CA"/>
    <w:rsid w:val="00C74879"/>
    <w:rsid w:val="00C74DB6"/>
    <w:rsid w:val="00C762FB"/>
    <w:rsid w:val="00C76475"/>
    <w:rsid w:val="00C77430"/>
    <w:rsid w:val="00C7756A"/>
    <w:rsid w:val="00C77599"/>
    <w:rsid w:val="00C77EDF"/>
    <w:rsid w:val="00C802B4"/>
    <w:rsid w:val="00C8147D"/>
    <w:rsid w:val="00C8176F"/>
    <w:rsid w:val="00C81A95"/>
    <w:rsid w:val="00C824CB"/>
    <w:rsid w:val="00C82E30"/>
    <w:rsid w:val="00C839F3"/>
    <w:rsid w:val="00C84992"/>
    <w:rsid w:val="00C85989"/>
    <w:rsid w:val="00C85C15"/>
    <w:rsid w:val="00C8675F"/>
    <w:rsid w:val="00C86AA3"/>
    <w:rsid w:val="00C86EA8"/>
    <w:rsid w:val="00C87C68"/>
    <w:rsid w:val="00C90172"/>
    <w:rsid w:val="00C904D1"/>
    <w:rsid w:val="00C90578"/>
    <w:rsid w:val="00C905F7"/>
    <w:rsid w:val="00C90844"/>
    <w:rsid w:val="00C90885"/>
    <w:rsid w:val="00C90BA4"/>
    <w:rsid w:val="00C90F87"/>
    <w:rsid w:val="00C92BFD"/>
    <w:rsid w:val="00C941CD"/>
    <w:rsid w:val="00C95020"/>
    <w:rsid w:val="00C95D95"/>
    <w:rsid w:val="00C961CE"/>
    <w:rsid w:val="00C96DB1"/>
    <w:rsid w:val="00C9799C"/>
    <w:rsid w:val="00CA039E"/>
    <w:rsid w:val="00CA19C1"/>
    <w:rsid w:val="00CA226C"/>
    <w:rsid w:val="00CA2AC1"/>
    <w:rsid w:val="00CA2E48"/>
    <w:rsid w:val="00CA326F"/>
    <w:rsid w:val="00CA3495"/>
    <w:rsid w:val="00CA3C9A"/>
    <w:rsid w:val="00CA3EC4"/>
    <w:rsid w:val="00CA4001"/>
    <w:rsid w:val="00CA467B"/>
    <w:rsid w:val="00CA569F"/>
    <w:rsid w:val="00CA5E97"/>
    <w:rsid w:val="00CA62D0"/>
    <w:rsid w:val="00CA6A86"/>
    <w:rsid w:val="00CA718F"/>
    <w:rsid w:val="00CA7E14"/>
    <w:rsid w:val="00CA7E9D"/>
    <w:rsid w:val="00CB00FD"/>
    <w:rsid w:val="00CB0ABA"/>
    <w:rsid w:val="00CB1E0F"/>
    <w:rsid w:val="00CB2616"/>
    <w:rsid w:val="00CB2640"/>
    <w:rsid w:val="00CB2816"/>
    <w:rsid w:val="00CB2A3F"/>
    <w:rsid w:val="00CB2DBF"/>
    <w:rsid w:val="00CB378D"/>
    <w:rsid w:val="00CB38C4"/>
    <w:rsid w:val="00CB3C1E"/>
    <w:rsid w:val="00CB429F"/>
    <w:rsid w:val="00CB4BAB"/>
    <w:rsid w:val="00CB50D5"/>
    <w:rsid w:val="00CB52D3"/>
    <w:rsid w:val="00CB5C14"/>
    <w:rsid w:val="00CB64C6"/>
    <w:rsid w:val="00CB67EF"/>
    <w:rsid w:val="00CB693F"/>
    <w:rsid w:val="00CB6B62"/>
    <w:rsid w:val="00CB6F4F"/>
    <w:rsid w:val="00CB716F"/>
    <w:rsid w:val="00CC0117"/>
    <w:rsid w:val="00CC020E"/>
    <w:rsid w:val="00CC058C"/>
    <w:rsid w:val="00CC0BF1"/>
    <w:rsid w:val="00CC0C91"/>
    <w:rsid w:val="00CC0F49"/>
    <w:rsid w:val="00CC1738"/>
    <w:rsid w:val="00CC28D0"/>
    <w:rsid w:val="00CC2D1D"/>
    <w:rsid w:val="00CC3EA6"/>
    <w:rsid w:val="00CC5349"/>
    <w:rsid w:val="00CC5785"/>
    <w:rsid w:val="00CC5CC5"/>
    <w:rsid w:val="00CC642D"/>
    <w:rsid w:val="00CC7737"/>
    <w:rsid w:val="00CC77D7"/>
    <w:rsid w:val="00CC7C8F"/>
    <w:rsid w:val="00CC7DEF"/>
    <w:rsid w:val="00CC7F52"/>
    <w:rsid w:val="00CD0522"/>
    <w:rsid w:val="00CD1EC5"/>
    <w:rsid w:val="00CD2414"/>
    <w:rsid w:val="00CD2A02"/>
    <w:rsid w:val="00CD313E"/>
    <w:rsid w:val="00CD374C"/>
    <w:rsid w:val="00CD3EDA"/>
    <w:rsid w:val="00CD43BC"/>
    <w:rsid w:val="00CD4965"/>
    <w:rsid w:val="00CD4EB1"/>
    <w:rsid w:val="00CD548E"/>
    <w:rsid w:val="00CD575F"/>
    <w:rsid w:val="00CD588C"/>
    <w:rsid w:val="00CD5D71"/>
    <w:rsid w:val="00CD62A3"/>
    <w:rsid w:val="00CD696A"/>
    <w:rsid w:val="00CD6996"/>
    <w:rsid w:val="00CD70AE"/>
    <w:rsid w:val="00CD7E8F"/>
    <w:rsid w:val="00CE00EF"/>
    <w:rsid w:val="00CE0ADA"/>
    <w:rsid w:val="00CE0CCA"/>
    <w:rsid w:val="00CE19B4"/>
    <w:rsid w:val="00CE302C"/>
    <w:rsid w:val="00CE30E3"/>
    <w:rsid w:val="00CE46FD"/>
    <w:rsid w:val="00CE57B1"/>
    <w:rsid w:val="00CE5C7C"/>
    <w:rsid w:val="00CE5E94"/>
    <w:rsid w:val="00CE6283"/>
    <w:rsid w:val="00CE6798"/>
    <w:rsid w:val="00CE6EB0"/>
    <w:rsid w:val="00CE705B"/>
    <w:rsid w:val="00CE7257"/>
    <w:rsid w:val="00CE7334"/>
    <w:rsid w:val="00CF08C7"/>
    <w:rsid w:val="00CF0A3A"/>
    <w:rsid w:val="00CF1286"/>
    <w:rsid w:val="00CF1560"/>
    <w:rsid w:val="00CF18F3"/>
    <w:rsid w:val="00CF19E8"/>
    <w:rsid w:val="00CF1F3E"/>
    <w:rsid w:val="00CF1F7E"/>
    <w:rsid w:val="00CF2511"/>
    <w:rsid w:val="00CF2F5F"/>
    <w:rsid w:val="00CF3A5E"/>
    <w:rsid w:val="00CF3AE2"/>
    <w:rsid w:val="00CF4687"/>
    <w:rsid w:val="00CF4D86"/>
    <w:rsid w:val="00CF5A59"/>
    <w:rsid w:val="00CF5B7B"/>
    <w:rsid w:val="00CF5E86"/>
    <w:rsid w:val="00CF672D"/>
    <w:rsid w:val="00CF6834"/>
    <w:rsid w:val="00CF71B2"/>
    <w:rsid w:val="00CF7640"/>
    <w:rsid w:val="00D01004"/>
    <w:rsid w:val="00D0172C"/>
    <w:rsid w:val="00D02107"/>
    <w:rsid w:val="00D02176"/>
    <w:rsid w:val="00D02F75"/>
    <w:rsid w:val="00D03C4F"/>
    <w:rsid w:val="00D03E10"/>
    <w:rsid w:val="00D03FA4"/>
    <w:rsid w:val="00D047CC"/>
    <w:rsid w:val="00D048FA"/>
    <w:rsid w:val="00D049DC"/>
    <w:rsid w:val="00D04ACB"/>
    <w:rsid w:val="00D05927"/>
    <w:rsid w:val="00D06787"/>
    <w:rsid w:val="00D06CB5"/>
    <w:rsid w:val="00D10859"/>
    <w:rsid w:val="00D11697"/>
    <w:rsid w:val="00D11E99"/>
    <w:rsid w:val="00D1221F"/>
    <w:rsid w:val="00D12EAA"/>
    <w:rsid w:val="00D1469C"/>
    <w:rsid w:val="00D1513F"/>
    <w:rsid w:val="00D15379"/>
    <w:rsid w:val="00D1572E"/>
    <w:rsid w:val="00D15E67"/>
    <w:rsid w:val="00D17B42"/>
    <w:rsid w:val="00D17C32"/>
    <w:rsid w:val="00D17E48"/>
    <w:rsid w:val="00D22CE8"/>
    <w:rsid w:val="00D23529"/>
    <w:rsid w:val="00D264A4"/>
    <w:rsid w:val="00D26C91"/>
    <w:rsid w:val="00D26EFA"/>
    <w:rsid w:val="00D279D1"/>
    <w:rsid w:val="00D27E8A"/>
    <w:rsid w:val="00D30080"/>
    <w:rsid w:val="00D304E3"/>
    <w:rsid w:val="00D317CE"/>
    <w:rsid w:val="00D32430"/>
    <w:rsid w:val="00D32793"/>
    <w:rsid w:val="00D327BA"/>
    <w:rsid w:val="00D329B1"/>
    <w:rsid w:val="00D32BB3"/>
    <w:rsid w:val="00D331CD"/>
    <w:rsid w:val="00D337DB"/>
    <w:rsid w:val="00D3409A"/>
    <w:rsid w:val="00D34AD4"/>
    <w:rsid w:val="00D34F18"/>
    <w:rsid w:val="00D35EC7"/>
    <w:rsid w:val="00D36056"/>
    <w:rsid w:val="00D363FA"/>
    <w:rsid w:val="00D37548"/>
    <w:rsid w:val="00D415DE"/>
    <w:rsid w:val="00D41B57"/>
    <w:rsid w:val="00D41E5A"/>
    <w:rsid w:val="00D43081"/>
    <w:rsid w:val="00D4343E"/>
    <w:rsid w:val="00D43E9D"/>
    <w:rsid w:val="00D43FEF"/>
    <w:rsid w:val="00D44DCF"/>
    <w:rsid w:val="00D459FC"/>
    <w:rsid w:val="00D46239"/>
    <w:rsid w:val="00D463F9"/>
    <w:rsid w:val="00D4758D"/>
    <w:rsid w:val="00D478BE"/>
    <w:rsid w:val="00D50B45"/>
    <w:rsid w:val="00D51664"/>
    <w:rsid w:val="00D516A8"/>
    <w:rsid w:val="00D5170D"/>
    <w:rsid w:val="00D52049"/>
    <w:rsid w:val="00D52470"/>
    <w:rsid w:val="00D52480"/>
    <w:rsid w:val="00D52671"/>
    <w:rsid w:val="00D5314D"/>
    <w:rsid w:val="00D53596"/>
    <w:rsid w:val="00D53793"/>
    <w:rsid w:val="00D538DC"/>
    <w:rsid w:val="00D54C92"/>
    <w:rsid w:val="00D5608F"/>
    <w:rsid w:val="00D56638"/>
    <w:rsid w:val="00D56C20"/>
    <w:rsid w:val="00D57D7E"/>
    <w:rsid w:val="00D6038C"/>
    <w:rsid w:val="00D61125"/>
    <w:rsid w:val="00D61276"/>
    <w:rsid w:val="00D615C2"/>
    <w:rsid w:val="00D617E6"/>
    <w:rsid w:val="00D61F0C"/>
    <w:rsid w:val="00D6241F"/>
    <w:rsid w:val="00D624CC"/>
    <w:rsid w:val="00D63216"/>
    <w:rsid w:val="00D6344B"/>
    <w:rsid w:val="00D6347F"/>
    <w:rsid w:val="00D640A6"/>
    <w:rsid w:val="00D6527F"/>
    <w:rsid w:val="00D65668"/>
    <w:rsid w:val="00D65B6A"/>
    <w:rsid w:val="00D65C81"/>
    <w:rsid w:val="00D66BEB"/>
    <w:rsid w:val="00D66C73"/>
    <w:rsid w:val="00D70087"/>
    <w:rsid w:val="00D7086D"/>
    <w:rsid w:val="00D70BD0"/>
    <w:rsid w:val="00D71144"/>
    <w:rsid w:val="00D71608"/>
    <w:rsid w:val="00D7313A"/>
    <w:rsid w:val="00D73308"/>
    <w:rsid w:val="00D7356B"/>
    <w:rsid w:val="00D73EC4"/>
    <w:rsid w:val="00D74230"/>
    <w:rsid w:val="00D74478"/>
    <w:rsid w:val="00D74B2B"/>
    <w:rsid w:val="00D74E79"/>
    <w:rsid w:val="00D75949"/>
    <w:rsid w:val="00D75D17"/>
    <w:rsid w:val="00D7664D"/>
    <w:rsid w:val="00D76FBF"/>
    <w:rsid w:val="00D77B61"/>
    <w:rsid w:val="00D77BF2"/>
    <w:rsid w:val="00D77F7A"/>
    <w:rsid w:val="00D8099B"/>
    <w:rsid w:val="00D809E6"/>
    <w:rsid w:val="00D809EF"/>
    <w:rsid w:val="00D8102E"/>
    <w:rsid w:val="00D81D06"/>
    <w:rsid w:val="00D836BA"/>
    <w:rsid w:val="00D8385A"/>
    <w:rsid w:val="00D83C97"/>
    <w:rsid w:val="00D8472B"/>
    <w:rsid w:val="00D84776"/>
    <w:rsid w:val="00D85891"/>
    <w:rsid w:val="00D85FD5"/>
    <w:rsid w:val="00D8735B"/>
    <w:rsid w:val="00D8751B"/>
    <w:rsid w:val="00D905FC"/>
    <w:rsid w:val="00D91238"/>
    <w:rsid w:val="00D91B86"/>
    <w:rsid w:val="00D91C1D"/>
    <w:rsid w:val="00D92358"/>
    <w:rsid w:val="00D9273A"/>
    <w:rsid w:val="00D927E7"/>
    <w:rsid w:val="00D932D5"/>
    <w:rsid w:val="00D94843"/>
    <w:rsid w:val="00D94BB6"/>
    <w:rsid w:val="00D94E0C"/>
    <w:rsid w:val="00D950C8"/>
    <w:rsid w:val="00D9521A"/>
    <w:rsid w:val="00D9526A"/>
    <w:rsid w:val="00D9544A"/>
    <w:rsid w:val="00D966E4"/>
    <w:rsid w:val="00D972C3"/>
    <w:rsid w:val="00D97670"/>
    <w:rsid w:val="00D97BF8"/>
    <w:rsid w:val="00DA064D"/>
    <w:rsid w:val="00DA07F5"/>
    <w:rsid w:val="00DA0FFC"/>
    <w:rsid w:val="00DA31B7"/>
    <w:rsid w:val="00DA3322"/>
    <w:rsid w:val="00DA3409"/>
    <w:rsid w:val="00DA3AD4"/>
    <w:rsid w:val="00DA3ECD"/>
    <w:rsid w:val="00DA4133"/>
    <w:rsid w:val="00DA4A97"/>
    <w:rsid w:val="00DA523B"/>
    <w:rsid w:val="00DA7075"/>
    <w:rsid w:val="00DB017C"/>
    <w:rsid w:val="00DB0259"/>
    <w:rsid w:val="00DB02EC"/>
    <w:rsid w:val="00DB040C"/>
    <w:rsid w:val="00DB04F4"/>
    <w:rsid w:val="00DB0547"/>
    <w:rsid w:val="00DB1011"/>
    <w:rsid w:val="00DB1139"/>
    <w:rsid w:val="00DB2A9A"/>
    <w:rsid w:val="00DB33AB"/>
    <w:rsid w:val="00DB37D8"/>
    <w:rsid w:val="00DB3C19"/>
    <w:rsid w:val="00DB3EC3"/>
    <w:rsid w:val="00DB3FB2"/>
    <w:rsid w:val="00DB4015"/>
    <w:rsid w:val="00DB4B53"/>
    <w:rsid w:val="00DB53EF"/>
    <w:rsid w:val="00DB5948"/>
    <w:rsid w:val="00DB6919"/>
    <w:rsid w:val="00DB73BB"/>
    <w:rsid w:val="00DB75D7"/>
    <w:rsid w:val="00DC0415"/>
    <w:rsid w:val="00DC267E"/>
    <w:rsid w:val="00DC336C"/>
    <w:rsid w:val="00DC3723"/>
    <w:rsid w:val="00DC3878"/>
    <w:rsid w:val="00DC43CC"/>
    <w:rsid w:val="00DC49E0"/>
    <w:rsid w:val="00DC6203"/>
    <w:rsid w:val="00DC6315"/>
    <w:rsid w:val="00DC6933"/>
    <w:rsid w:val="00DC6CC1"/>
    <w:rsid w:val="00DC6E5A"/>
    <w:rsid w:val="00DD01FB"/>
    <w:rsid w:val="00DD0EC6"/>
    <w:rsid w:val="00DD0ED7"/>
    <w:rsid w:val="00DD1C13"/>
    <w:rsid w:val="00DD2122"/>
    <w:rsid w:val="00DD2DF3"/>
    <w:rsid w:val="00DD2EF5"/>
    <w:rsid w:val="00DD3305"/>
    <w:rsid w:val="00DD3424"/>
    <w:rsid w:val="00DD5398"/>
    <w:rsid w:val="00DD55E8"/>
    <w:rsid w:val="00DD636E"/>
    <w:rsid w:val="00DD6906"/>
    <w:rsid w:val="00DD7860"/>
    <w:rsid w:val="00DE0CAB"/>
    <w:rsid w:val="00DE12AC"/>
    <w:rsid w:val="00DE18B2"/>
    <w:rsid w:val="00DE1DEE"/>
    <w:rsid w:val="00DE2058"/>
    <w:rsid w:val="00DE24D2"/>
    <w:rsid w:val="00DE269D"/>
    <w:rsid w:val="00DE2759"/>
    <w:rsid w:val="00DE3DB0"/>
    <w:rsid w:val="00DE3DFC"/>
    <w:rsid w:val="00DE4497"/>
    <w:rsid w:val="00DE4CA6"/>
    <w:rsid w:val="00DE4CCB"/>
    <w:rsid w:val="00DE54F1"/>
    <w:rsid w:val="00DE555D"/>
    <w:rsid w:val="00DE5B19"/>
    <w:rsid w:val="00DE5D8F"/>
    <w:rsid w:val="00DE62A6"/>
    <w:rsid w:val="00DE6B8A"/>
    <w:rsid w:val="00DE712B"/>
    <w:rsid w:val="00DE7366"/>
    <w:rsid w:val="00DE7654"/>
    <w:rsid w:val="00DE7A6F"/>
    <w:rsid w:val="00DE7B7A"/>
    <w:rsid w:val="00DE7BAC"/>
    <w:rsid w:val="00DE7EC9"/>
    <w:rsid w:val="00DF00E4"/>
    <w:rsid w:val="00DF0E59"/>
    <w:rsid w:val="00DF10D5"/>
    <w:rsid w:val="00DF2F02"/>
    <w:rsid w:val="00DF30EF"/>
    <w:rsid w:val="00DF38E6"/>
    <w:rsid w:val="00DF3C16"/>
    <w:rsid w:val="00DF4033"/>
    <w:rsid w:val="00DF4134"/>
    <w:rsid w:val="00DF4234"/>
    <w:rsid w:val="00DF48E5"/>
    <w:rsid w:val="00DF5004"/>
    <w:rsid w:val="00DF5C60"/>
    <w:rsid w:val="00DF609D"/>
    <w:rsid w:val="00DF6303"/>
    <w:rsid w:val="00DF6825"/>
    <w:rsid w:val="00DF6BBE"/>
    <w:rsid w:val="00DF6C59"/>
    <w:rsid w:val="00DF6F3F"/>
    <w:rsid w:val="00DF73AB"/>
    <w:rsid w:val="00E00050"/>
    <w:rsid w:val="00E00F8D"/>
    <w:rsid w:val="00E017A3"/>
    <w:rsid w:val="00E01D03"/>
    <w:rsid w:val="00E01E44"/>
    <w:rsid w:val="00E02B39"/>
    <w:rsid w:val="00E03CB1"/>
    <w:rsid w:val="00E05F04"/>
    <w:rsid w:val="00E05F93"/>
    <w:rsid w:val="00E06020"/>
    <w:rsid w:val="00E065B6"/>
    <w:rsid w:val="00E06852"/>
    <w:rsid w:val="00E074C9"/>
    <w:rsid w:val="00E076BE"/>
    <w:rsid w:val="00E07A21"/>
    <w:rsid w:val="00E10557"/>
    <w:rsid w:val="00E10990"/>
    <w:rsid w:val="00E13395"/>
    <w:rsid w:val="00E13499"/>
    <w:rsid w:val="00E13C17"/>
    <w:rsid w:val="00E13E60"/>
    <w:rsid w:val="00E1488D"/>
    <w:rsid w:val="00E148B6"/>
    <w:rsid w:val="00E14DB6"/>
    <w:rsid w:val="00E15055"/>
    <w:rsid w:val="00E15784"/>
    <w:rsid w:val="00E15EF9"/>
    <w:rsid w:val="00E163C8"/>
    <w:rsid w:val="00E16929"/>
    <w:rsid w:val="00E16DFE"/>
    <w:rsid w:val="00E171F5"/>
    <w:rsid w:val="00E1733D"/>
    <w:rsid w:val="00E1757E"/>
    <w:rsid w:val="00E2054B"/>
    <w:rsid w:val="00E208CC"/>
    <w:rsid w:val="00E20948"/>
    <w:rsid w:val="00E2139C"/>
    <w:rsid w:val="00E21530"/>
    <w:rsid w:val="00E219F6"/>
    <w:rsid w:val="00E21A52"/>
    <w:rsid w:val="00E21DE5"/>
    <w:rsid w:val="00E22A82"/>
    <w:rsid w:val="00E22C12"/>
    <w:rsid w:val="00E2376D"/>
    <w:rsid w:val="00E23EDA"/>
    <w:rsid w:val="00E24593"/>
    <w:rsid w:val="00E2480D"/>
    <w:rsid w:val="00E26B63"/>
    <w:rsid w:val="00E270B6"/>
    <w:rsid w:val="00E30262"/>
    <w:rsid w:val="00E30E05"/>
    <w:rsid w:val="00E30E5C"/>
    <w:rsid w:val="00E32176"/>
    <w:rsid w:val="00E3294E"/>
    <w:rsid w:val="00E333C8"/>
    <w:rsid w:val="00E33D31"/>
    <w:rsid w:val="00E33DD9"/>
    <w:rsid w:val="00E34E3F"/>
    <w:rsid w:val="00E359D5"/>
    <w:rsid w:val="00E370D5"/>
    <w:rsid w:val="00E37387"/>
    <w:rsid w:val="00E37C9E"/>
    <w:rsid w:val="00E40881"/>
    <w:rsid w:val="00E41718"/>
    <w:rsid w:val="00E41C95"/>
    <w:rsid w:val="00E42291"/>
    <w:rsid w:val="00E42F5C"/>
    <w:rsid w:val="00E42F7F"/>
    <w:rsid w:val="00E438D1"/>
    <w:rsid w:val="00E44163"/>
    <w:rsid w:val="00E44639"/>
    <w:rsid w:val="00E45598"/>
    <w:rsid w:val="00E459C4"/>
    <w:rsid w:val="00E470BA"/>
    <w:rsid w:val="00E51C70"/>
    <w:rsid w:val="00E531DB"/>
    <w:rsid w:val="00E5336D"/>
    <w:rsid w:val="00E534D1"/>
    <w:rsid w:val="00E5363A"/>
    <w:rsid w:val="00E537FB"/>
    <w:rsid w:val="00E550B7"/>
    <w:rsid w:val="00E555B4"/>
    <w:rsid w:val="00E55B11"/>
    <w:rsid w:val="00E55C3A"/>
    <w:rsid w:val="00E55EED"/>
    <w:rsid w:val="00E563FF"/>
    <w:rsid w:val="00E573A4"/>
    <w:rsid w:val="00E57599"/>
    <w:rsid w:val="00E579D4"/>
    <w:rsid w:val="00E57A74"/>
    <w:rsid w:val="00E57AE8"/>
    <w:rsid w:val="00E60933"/>
    <w:rsid w:val="00E60F0C"/>
    <w:rsid w:val="00E615E6"/>
    <w:rsid w:val="00E6172B"/>
    <w:rsid w:val="00E62B74"/>
    <w:rsid w:val="00E62BD8"/>
    <w:rsid w:val="00E63296"/>
    <w:rsid w:val="00E63EFC"/>
    <w:rsid w:val="00E6494D"/>
    <w:rsid w:val="00E64961"/>
    <w:rsid w:val="00E64F22"/>
    <w:rsid w:val="00E651CA"/>
    <w:rsid w:val="00E6696A"/>
    <w:rsid w:val="00E66E90"/>
    <w:rsid w:val="00E671B9"/>
    <w:rsid w:val="00E67206"/>
    <w:rsid w:val="00E6739C"/>
    <w:rsid w:val="00E67635"/>
    <w:rsid w:val="00E711AB"/>
    <w:rsid w:val="00E714FF"/>
    <w:rsid w:val="00E71A7C"/>
    <w:rsid w:val="00E71F2A"/>
    <w:rsid w:val="00E725B2"/>
    <w:rsid w:val="00E72DA8"/>
    <w:rsid w:val="00E7333E"/>
    <w:rsid w:val="00E73BFD"/>
    <w:rsid w:val="00E73E2C"/>
    <w:rsid w:val="00E74277"/>
    <w:rsid w:val="00E74493"/>
    <w:rsid w:val="00E74785"/>
    <w:rsid w:val="00E751DE"/>
    <w:rsid w:val="00E76FA9"/>
    <w:rsid w:val="00E77074"/>
    <w:rsid w:val="00E775D5"/>
    <w:rsid w:val="00E804CF"/>
    <w:rsid w:val="00E80BF4"/>
    <w:rsid w:val="00E81679"/>
    <w:rsid w:val="00E8273A"/>
    <w:rsid w:val="00E8438A"/>
    <w:rsid w:val="00E844E8"/>
    <w:rsid w:val="00E846D2"/>
    <w:rsid w:val="00E84D8F"/>
    <w:rsid w:val="00E84DC0"/>
    <w:rsid w:val="00E84F7A"/>
    <w:rsid w:val="00E85317"/>
    <w:rsid w:val="00E85E29"/>
    <w:rsid w:val="00E86D8F"/>
    <w:rsid w:val="00E8705D"/>
    <w:rsid w:val="00E87136"/>
    <w:rsid w:val="00E8725B"/>
    <w:rsid w:val="00E87636"/>
    <w:rsid w:val="00E90131"/>
    <w:rsid w:val="00E90457"/>
    <w:rsid w:val="00E9081E"/>
    <w:rsid w:val="00E91A24"/>
    <w:rsid w:val="00E91C28"/>
    <w:rsid w:val="00E92761"/>
    <w:rsid w:val="00E93017"/>
    <w:rsid w:val="00E938A7"/>
    <w:rsid w:val="00E938DA"/>
    <w:rsid w:val="00E945A4"/>
    <w:rsid w:val="00E964BD"/>
    <w:rsid w:val="00E9660A"/>
    <w:rsid w:val="00E96C82"/>
    <w:rsid w:val="00E96F94"/>
    <w:rsid w:val="00E97080"/>
    <w:rsid w:val="00E97D2C"/>
    <w:rsid w:val="00E97D75"/>
    <w:rsid w:val="00EA00A7"/>
    <w:rsid w:val="00EA072C"/>
    <w:rsid w:val="00EA1002"/>
    <w:rsid w:val="00EA26C2"/>
    <w:rsid w:val="00EA28F6"/>
    <w:rsid w:val="00EA2CB4"/>
    <w:rsid w:val="00EA311D"/>
    <w:rsid w:val="00EA4201"/>
    <w:rsid w:val="00EA4D1E"/>
    <w:rsid w:val="00EA4F06"/>
    <w:rsid w:val="00EA54EB"/>
    <w:rsid w:val="00EA58D5"/>
    <w:rsid w:val="00EA5CC2"/>
    <w:rsid w:val="00EA5D90"/>
    <w:rsid w:val="00EA5DD2"/>
    <w:rsid w:val="00EA5FC3"/>
    <w:rsid w:val="00EA6288"/>
    <w:rsid w:val="00EA667E"/>
    <w:rsid w:val="00EA72CB"/>
    <w:rsid w:val="00EB034C"/>
    <w:rsid w:val="00EB06AF"/>
    <w:rsid w:val="00EB07AA"/>
    <w:rsid w:val="00EB07E4"/>
    <w:rsid w:val="00EB19A4"/>
    <w:rsid w:val="00EB1B9C"/>
    <w:rsid w:val="00EB1FD7"/>
    <w:rsid w:val="00EB2046"/>
    <w:rsid w:val="00EB283E"/>
    <w:rsid w:val="00EB2CA9"/>
    <w:rsid w:val="00EB3418"/>
    <w:rsid w:val="00EB4CEB"/>
    <w:rsid w:val="00EB4CEF"/>
    <w:rsid w:val="00EB4F09"/>
    <w:rsid w:val="00EB59D7"/>
    <w:rsid w:val="00EB5C9B"/>
    <w:rsid w:val="00EB614B"/>
    <w:rsid w:val="00EB64E4"/>
    <w:rsid w:val="00EB6569"/>
    <w:rsid w:val="00EB6EC9"/>
    <w:rsid w:val="00EB7D9B"/>
    <w:rsid w:val="00EC0349"/>
    <w:rsid w:val="00EC058D"/>
    <w:rsid w:val="00EC0935"/>
    <w:rsid w:val="00EC0ECC"/>
    <w:rsid w:val="00EC1118"/>
    <w:rsid w:val="00EC125F"/>
    <w:rsid w:val="00EC1B78"/>
    <w:rsid w:val="00EC1D22"/>
    <w:rsid w:val="00EC2836"/>
    <w:rsid w:val="00EC30C2"/>
    <w:rsid w:val="00EC34E7"/>
    <w:rsid w:val="00EC3552"/>
    <w:rsid w:val="00EC3970"/>
    <w:rsid w:val="00EC46E4"/>
    <w:rsid w:val="00EC4750"/>
    <w:rsid w:val="00EC52AA"/>
    <w:rsid w:val="00EC5C39"/>
    <w:rsid w:val="00EC60A4"/>
    <w:rsid w:val="00EC61FF"/>
    <w:rsid w:val="00EC76A0"/>
    <w:rsid w:val="00ED0189"/>
    <w:rsid w:val="00ED09D5"/>
    <w:rsid w:val="00ED0BBE"/>
    <w:rsid w:val="00ED1059"/>
    <w:rsid w:val="00ED121F"/>
    <w:rsid w:val="00ED1223"/>
    <w:rsid w:val="00ED2419"/>
    <w:rsid w:val="00ED25F1"/>
    <w:rsid w:val="00ED2875"/>
    <w:rsid w:val="00ED2C99"/>
    <w:rsid w:val="00ED2EC2"/>
    <w:rsid w:val="00ED365E"/>
    <w:rsid w:val="00ED42FD"/>
    <w:rsid w:val="00ED4969"/>
    <w:rsid w:val="00ED50F3"/>
    <w:rsid w:val="00ED5444"/>
    <w:rsid w:val="00ED6B47"/>
    <w:rsid w:val="00EE0CA5"/>
    <w:rsid w:val="00EE0D95"/>
    <w:rsid w:val="00EE1049"/>
    <w:rsid w:val="00EE1213"/>
    <w:rsid w:val="00EE18C5"/>
    <w:rsid w:val="00EE1906"/>
    <w:rsid w:val="00EE1998"/>
    <w:rsid w:val="00EE21E0"/>
    <w:rsid w:val="00EE2821"/>
    <w:rsid w:val="00EE2D05"/>
    <w:rsid w:val="00EE3261"/>
    <w:rsid w:val="00EE3BDE"/>
    <w:rsid w:val="00EE4A3A"/>
    <w:rsid w:val="00EE4A4C"/>
    <w:rsid w:val="00EE4EF9"/>
    <w:rsid w:val="00EE5359"/>
    <w:rsid w:val="00EE539E"/>
    <w:rsid w:val="00EE54F2"/>
    <w:rsid w:val="00EE6144"/>
    <w:rsid w:val="00EE64B9"/>
    <w:rsid w:val="00EE6A71"/>
    <w:rsid w:val="00EE6BB3"/>
    <w:rsid w:val="00EE6BC4"/>
    <w:rsid w:val="00EE7797"/>
    <w:rsid w:val="00EE7D6E"/>
    <w:rsid w:val="00EF0531"/>
    <w:rsid w:val="00EF06EA"/>
    <w:rsid w:val="00EF0F9B"/>
    <w:rsid w:val="00EF101A"/>
    <w:rsid w:val="00EF116B"/>
    <w:rsid w:val="00EF128C"/>
    <w:rsid w:val="00EF17B6"/>
    <w:rsid w:val="00EF22B3"/>
    <w:rsid w:val="00EF2481"/>
    <w:rsid w:val="00EF2543"/>
    <w:rsid w:val="00EF257D"/>
    <w:rsid w:val="00EF26B3"/>
    <w:rsid w:val="00EF348E"/>
    <w:rsid w:val="00EF3B4B"/>
    <w:rsid w:val="00EF3D43"/>
    <w:rsid w:val="00EF615A"/>
    <w:rsid w:val="00EF720D"/>
    <w:rsid w:val="00EF734D"/>
    <w:rsid w:val="00EF7388"/>
    <w:rsid w:val="00EF7547"/>
    <w:rsid w:val="00EF7D47"/>
    <w:rsid w:val="00EF7F6A"/>
    <w:rsid w:val="00F00576"/>
    <w:rsid w:val="00F0059B"/>
    <w:rsid w:val="00F008FA"/>
    <w:rsid w:val="00F00B23"/>
    <w:rsid w:val="00F00CB8"/>
    <w:rsid w:val="00F0102E"/>
    <w:rsid w:val="00F01096"/>
    <w:rsid w:val="00F02039"/>
    <w:rsid w:val="00F0254C"/>
    <w:rsid w:val="00F02D83"/>
    <w:rsid w:val="00F038D9"/>
    <w:rsid w:val="00F0434C"/>
    <w:rsid w:val="00F04981"/>
    <w:rsid w:val="00F05049"/>
    <w:rsid w:val="00F05B60"/>
    <w:rsid w:val="00F06197"/>
    <w:rsid w:val="00F062E6"/>
    <w:rsid w:val="00F10963"/>
    <w:rsid w:val="00F10DEC"/>
    <w:rsid w:val="00F11997"/>
    <w:rsid w:val="00F12411"/>
    <w:rsid w:val="00F125DD"/>
    <w:rsid w:val="00F1269F"/>
    <w:rsid w:val="00F140CE"/>
    <w:rsid w:val="00F141D2"/>
    <w:rsid w:val="00F14309"/>
    <w:rsid w:val="00F147AF"/>
    <w:rsid w:val="00F14D54"/>
    <w:rsid w:val="00F14D5C"/>
    <w:rsid w:val="00F15014"/>
    <w:rsid w:val="00F153F1"/>
    <w:rsid w:val="00F1569C"/>
    <w:rsid w:val="00F15FAF"/>
    <w:rsid w:val="00F1758D"/>
    <w:rsid w:val="00F17B06"/>
    <w:rsid w:val="00F20104"/>
    <w:rsid w:val="00F20702"/>
    <w:rsid w:val="00F20805"/>
    <w:rsid w:val="00F21385"/>
    <w:rsid w:val="00F2154D"/>
    <w:rsid w:val="00F21963"/>
    <w:rsid w:val="00F21A4E"/>
    <w:rsid w:val="00F223D4"/>
    <w:rsid w:val="00F2331F"/>
    <w:rsid w:val="00F23330"/>
    <w:rsid w:val="00F23AB0"/>
    <w:rsid w:val="00F23B29"/>
    <w:rsid w:val="00F247E7"/>
    <w:rsid w:val="00F24B63"/>
    <w:rsid w:val="00F24E99"/>
    <w:rsid w:val="00F25474"/>
    <w:rsid w:val="00F25E6B"/>
    <w:rsid w:val="00F25FE7"/>
    <w:rsid w:val="00F26328"/>
    <w:rsid w:val="00F26DED"/>
    <w:rsid w:val="00F27F18"/>
    <w:rsid w:val="00F30D59"/>
    <w:rsid w:val="00F31487"/>
    <w:rsid w:val="00F31AD8"/>
    <w:rsid w:val="00F33E2F"/>
    <w:rsid w:val="00F3406E"/>
    <w:rsid w:val="00F34570"/>
    <w:rsid w:val="00F346AA"/>
    <w:rsid w:val="00F35B6B"/>
    <w:rsid w:val="00F400EB"/>
    <w:rsid w:val="00F4059A"/>
    <w:rsid w:val="00F41917"/>
    <w:rsid w:val="00F42314"/>
    <w:rsid w:val="00F42AE1"/>
    <w:rsid w:val="00F43632"/>
    <w:rsid w:val="00F43F62"/>
    <w:rsid w:val="00F448B4"/>
    <w:rsid w:val="00F46321"/>
    <w:rsid w:val="00F46439"/>
    <w:rsid w:val="00F468A5"/>
    <w:rsid w:val="00F47202"/>
    <w:rsid w:val="00F47401"/>
    <w:rsid w:val="00F47715"/>
    <w:rsid w:val="00F50FFE"/>
    <w:rsid w:val="00F517C7"/>
    <w:rsid w:val="00F51D5F"/>
    <w:rsid w:val="00F525EA"/>
    <w:rsid w:val="00F52B75"/>
    <w:rsid w:val="00F54AEF"/>
    <w:rsid w:val="00F54DE0"/>
    <w:rsid w:val="00F54DFE"/>
    <w:rsid w:val="00F5512A"/>
    <w:rsid w:val="00F55668"/>
    <w:rsid w:val="00F55E8B"/>
    <w:rsid w:val="00F56D8B"/>
    <w:rsid w:val="00F56E7F"/>
    <w:rsid w:val="00F5799B"/>
    <w:rsid w:val="00F57AD5"/>
    <w:rsid w:val="00F57B22"/>
    <w:rsid w:val="00F60124"/>
    <w:rsid w:val="00F601B3"/>
    <w:rsid w:val="00F608FE"/>
    <w:rsid w:val="00F6160C"/>
    <w:rsid w:val="00F62BDF"/>
    <w:rsid w:val="00F6323E"/>
    <w:rsid w:val="00F6394F"/>
    <w:rsid w:val="00F63E9C"/>
    <w:rsid w:val="00F65684"/>
    <w:rsid w:val="00F65E9C"/>
    <w:rsid w:val="00F661F3"/>
    <w:rsid w:val="00F66AD9"/>
    <w:rsid w:val="00F66AE6"/>
    <w:rsid w:val="00F67065"/>
    <w:rsid w:val="00F677AF"/>
    <w:rsid w:val="00F700F8"/>
    <w:rsid w:val="00F70115"/>
    <w:rsid w:val="00F70139"/>
    <w:rsid w:val="00F702CC"/>
    <w:rsid w:val="00F70431"/>
    <w:rsid w:val="00F707B6"/>
    <w:rsid w:val="00F7167E"/>
    <w:rsid w:val="00F71686"/>
    <w:rsid w:val="00F72202"/>
    <w:rsid w:val="00F72286"/>
    <w:rsid w:val="00F7292E"/>
    <w:rsid w:val="00F72CAE"/>
    <w:rsid w:val="00F73520"/>
    <w:rsid w:val="00F73541"/>
    <w:rsid w:val="00F735FE"/>
    <w:rsid w:val="00F74261"/>
    <w:rsid w:val="00F744BA"/>
    <w:rsid w:val="00F74518"/>
    <w:rsid w:val="00F752EF"/>
    <w:rsid w:val="00F75656"/>
    <w:rsid w:val="00F75756"/>
    <w:rsid w:val="00F76AA9"/>
    <w:rsid w:val="00F77110"/>
    <w:rsid w:val="00F77B78"/>
    <w:rsid w:val="00F77CA0"/>
    <w:rsid w:val="00F81146"/>
    <w:rsid w:val="00F81483"/>
    <w:rsid w:val="00F81516"/>
    <w:rsid w:val="00F828E7"/>
    <w:rsid w:val="00F83589"/>
    <w:rsid w:val="00F83C57"/>
    <w:rsid w:val="00F83F04"/>
    <w:rsid w:val="00F846E9"/>
    <w:rsid w:val="00F84A81"/>
    <w:rsid w:val="00F862AB"/>
    <w:rsid w:val="00F866D0"/>
    <w:rsid w:val="00F86845"/>
    <w:rsid w:val="00F86BC3"/>
    <w:rsid w:val="00F86D66"/>
    <w:rsid w:val="00F87CF5"/>
    <w:rsid w:val="00F87E1B"/>
    <w:rsid w:val="00F900B1"/>
    <w:rsid w:val="00F90939"/>
    <w:rsid w:val="00F91D78"/>
    <w:rsid w:val="00F923DC"/>
    <w:rsid w:val="00F9264C"/>
    <w:rsid w:val="00F928B7"/>
    <w:rsid w:val="00F939EC"/>
    <w:rsid w:val="00F93EB0"/>
    <w:rsid w:val="00F9462A"/>
    <w:rsid w:val="00F95A61"/>
    <w:rsid w:val="00F95B50"/>
    <w:rsid w:val="00F95FAD"/>
    <w:rsid w:val="00F964E5"/>
    <w:rsid w:val="00F96EE3"/>
    <w:rsid w:val="00F979AC"/>
    <w:rsid w:val="00F97CFA"/>
    <w:rsid w:val="00F97F13"/>
    <w:rsid w:val="00FA0750"/>
    <w:rsid w:val="00FA0D69"/>
    <w:rsid w:val="00FA0D7C"/>
    <w:rsid w:val="00FA149E"/>
    <w:rsid w:val="00FA165F"/>
    <w:rsid w:val="00FA210B"/>
    <w:rsid w:val="00FA2582"/>
    <w:rsid w:val="00FA341E"/>
    <w:rsid w:val="00FA4874"/>
    <w:rsid w:val="00FA49D8"/>
    <w:rsid w:val="00FA50EF"/>
    <w:rsid w:val="00FA5869"/>
    <w:rsid w:val="00FA60BA"/>
    <w:rsid w:val="00FA62BF"/>
    <w:rsid w:val="00FA66AD"/>
    <w:rsid w:val="00FA6DB3"/>
    <w:rsid w:val="00FA6DDB"/>
    <w:rsid w:val="00FA7A79"/>
    <w:rsid w:val="00FB1EAD"/>
    <w:rsid w:val="00FB27D3"/>
    <w:rsid w:val="00FB2885"/>
    <w:rsid w:val="00FB450D"/>
    <w:rsid w:val="00FB4D53"/>
    <w:rsid w:val="00FB56ED"/>
    <w:rsid w:val="00FB5D71"/>
    <w:rsid w:val="00FB7438"/>
    <w:rsid w:val="00FB7A42"/>
    <w:rsid w:val="00FC04A4"/>
    <w:rsid w:val="00FC05C7"/>
    <w:rsid w:val="00FC05DE"/>
    <w:rsid w:val="00FC07B5"/>
    <w:rsid w:val="00FC0B14"/>
    <w:rsid w:val="00FC0CD5"/>
    <w:rsid w:val="00FC1047"/>
    <w:rsid w:val="00FC11D4"/>
    <w:rsid w:val="00FC1D83"/>
    <w:rsid w:val="00FC20AC"/>
    <w:rsid w:val="00FC29EE"/>
    <w:rsid w:val="00FC2A5B"/>
    <w:rsid w:val="00FC3E6A"/>
    <w:rsid w:val="00FC53C8"/>
    <w:rsid w:val="00FC78A3"/>
    <w:rsid w:val="00FD040A"/>
    <w:rsid w:val="00FD07B0"/>
    <w:rsid w:val="00FD0C69"/>
    <w:rsid w:val="00FD1545"/>
    <w:rsid w:val="00FD1FC3"/>
    <w:rsid w:val="00FD2463"/>
    <w:rsid w:val="00FD2E73"/>
    <w:rsid w:val="00FD3216"/>
    <w:rsid w:val="00FD34BC"/>
    <w:rsid w:val="00FD34D6"/>
    <w:rsid w:val="00FD34DC"/>
    <w:rsid w:val="00FD3FEC"/>
    <w:rsid w:val="00FD462C"/>
    <w:rsid w:val="00FD482E"/>
    <w:rsid w:val="00FD4B7F"/>
    <w:rsid w:val="00FD64E8"/>
    <w:rsid w:val="00FD6FFF"/>
    <w:rsid w:val="00FD7068"/>
    <w:rsid w:val="00FD710D"/>
    <w:rsid w:val="00FE07BF"/>
    <w:rsid w:val="00FE0BD5"/>
    <w:rsid w:val="00FE0CFC"/>
    <w:rsid w:val="00FE202E"/>
    <w:rsid w:val="00FE24EF"/>
    <w:rsid w:val="00FE2959"/>
    <w:rsid w:val="00FE3389"/>
    <w:rsid w:val="00FE3572"/>
    <w:rsid w:val="00FE3B62"/>
    <w:rsid w:val="00FE3D41"/>
    <w:rsid w:val="00FE3E0B"/>
    <w:rsid w:val="00FE3E32"/>
    <w:rsid w:val="00FE3F5B"/>
    <w:rsid w:val="00FE4A93"/>
    <w:rsid w:val="00FE5083"/>
    <w:rsid w:val="00FE687A"/>
    <w:rsid w:val="00FE6F92"/>
    <w:rsid w:val="00FE7152"/>
    <w:rsid w:val="00FF05E8"/>
    <w:rsid w:val="00FF08C7"/>
    <w:rsid w:val="00FF1964"/>
    <w:rsid w:val="00FF2491"/>
    <w:rsid w:val="00FF25E0"/>
    <w:rsid w:val="00FF2B3E"/>
    <w:rsid w:val="00FF310F"/>
    <w:rsid w:val="00FF386D"/>
    <w:rsid w:val="00FF3E72"/>
    <w:rsid w:val="00FF3EFB"/>
    <w:rsid w:val="00FF58D9"/>
    <w:rsid w:val="00FF5EE3"/>
    <w:rsid w:val="00FF6952"/>
    <w:rsid w:val="00FF76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colormru v:ext="edit" colors="#63c1df,#7ddc1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34A"/>
    <w:rPr>
      <w:rFonts w:ascii="Arial" w:hAnsi="Arial"/>
      <w:sz w:val="18"/>
      <w:szCs w:val="18"/>
      <w:lang w:val="en-GB"/>
    </w:rPr>
  </w:style>
  <w:style w:type="paragraph" w:styleId="Heading1">
    <w:name w:val="heading 1"/>
    <w:basedOn w:val="Normal"/>
    <w:next w:val="Body"/>
    <w:link w:val="Heading1Char"/>
    <w:qFormat/>
    <w:rsid w:val="00F70139"/>
    <w:pPr>
      <w:keepNext/>
      <w:framePr w:w="5052" w:h="1264" w:wrap="notBeside" w:vAnchor="page" w:hAnchor="margin" w:y="2088"/>
      <w:spacing w:line="360" w:lineRule="exact"/>
      <w:outlineLvl w:val="0"/>
    </w:pPr>
    <w:rPr>
      <w:rFonts w:cs="Arial"/>
      <w:bCs/>
      <w:kern w:val="28"/>
      <w:sz w:val="30"/>
      <w:szCs w:val="30"/>
    </w:rPr>
  </w:style>
  <w:style w:type="paragraph" w:styleId="Heading2">
    <w:name w:val="heading 2"/>
    <w:aliases w:val="Oscar Faber 2"/>
    <w:basedOn w:val="Normal"/>
    <w:next w:val="Body"/>
    <w:link w:val="Heading2Char"/>
    <w:qFormat/>
    <w:rsid w:val="00F43F62"/>
    <w:pPr>
      <w:keepNext/>
      <w:spacing w:before="120" w:line="230" w:lineRule="exact"/>
      <w:outlineLvl w:val="1"/>
    </w:pPr>
    <w:rPr>
      <w:b/>
    </w:rPr>
  </w:style>
  <w:style w:type="paragraph" w:styleId="Heading3">
    <w:name w:val="heading 3"/>
    <w:basedOn w:val="Normal"/>
    <w:next w:val="Body"/>
    <w:link w:val="Heading3Char"/>
    <w:uiPriority w:val="9"/>
    <w:qFormat/>
    <w:rsid w:val="00F43F62"/>
    <w:pPr>
      <w:keepNext/>
      <w:spacing w:before="120" w:line="230" w:lineRule="exact"/>
      <w:outlineLvl w:val="2"/>
    </w:pPr>
  </w:style>
  <w:style w:type="paragraph" w:styleId="Heading4">
    <w:name w:val="heading 4"/>
    <w:basedOn w:val="Normal"/>
    <w:next w:val="Body"/>
    <w:link w:val="Heading4Char"/>
    <w:uiPriority w:val="9"/>
    <w:qFormat/>
    <w:rsid w:val="00F43F62"/>
    <w:pPr>
      <w:keepNext/>
      <w:spacing w:before="120" w:line="230" w:lineRule="exact"/>
      <w:outlineLvl w:val="3"/>
    </w:pPr>
  </w:style>
  <w:style w:type="paragraph" w:styleId="Heading5">
    <w:name w:val="heading 5"/>
    <w:aliases w:val="Roman list,Lev 5,5 sub-bullet,sb,H5,Titre 1.1111,Aston T5,(Shift Ctrl 5),DO NOT USE_h5,h5,Block Label,T5,Titre5,heading 5,a),NCS-H5,Level 3 - i,Chapitre 1.1.1.1.,niveau 5,Sous-chapitre (niveau 4),Org Heading 3,Titre51,t5,Article,Level 3 - i1,H"/>
    <w:basedOn w:val="Normal"/>
    <w:next w:val="Normal"/>
    <w:link w:val="Heading5Char"/>
    <w:uiPriority w:val="9"/>
    <w:qFormat/>
    <w:rsid w:val="00FF6952"/>
    <w:pPr>
      <w:outlineLvl w:val="4"/>
    </w:pPr>
  </w:style>
  <w:style w:type="paragraph" w:styleId="Heading6">
    <w:name w:val="heading 6"/>
    <w:aliases w:val="subheading 4"/>
    <w:basedOn w:val="Normal"/>
    <w:next w:val="Normal"/>
    <w:link w:val="Heading6Char"/>
    <w:uiPriority w:val="9"/>
    <w:qFormat/>
    <w:rsid w:val="00FF6952"/>
    <w:pPr>
      <w:outlineLvl w:val="5"/>
    </w:pPr>
  </w:style>
  <w:style w:type="paragraph" w:styleId="Heading7">
    <w:name w:val="heading 7"/>
    <w:aliases w:val="letter list,lettered list,Lev 7,H7,Annexe2,Aston T7,(Shift Ctrl 7),T7,1.2.3.4.5.6.7.,Legal Level 1.1.,L7,Annexe 1,figure caption,Renvoi Bleu,Edf Titre 7,Heading 7 CFMU,Chapitre niveau 7,nul,h7,heading 7,Do Not Use3,7,ASAPHeading 7,req3"/>
    <w:basedOn w:val="Normal"/>
    <w:next w:val="Normal"/>
    <w:link w:val="Heading7Char"/>
    <w:uiPriority w:val="9"/>
    <w:qFormat/>
    <w:rsid w:val="008F33CA"/>
    <w:pPr>
      <w:outlineLvl w:val="6"/>
    </w:pPr>
    <w:rPr>
      <w:b/>
      <w:i/>
      <w:sz w:val="22"/>
    </w:rPr>
  </w:style>
  <w:style w:type="paragraph" w:styleId="Heading8">
    <w:name w:val="heading 8"/>
    <w:aliases w:val="Lev 8,Center Bold,action,Annexe3,Aston Légende,t,Text, action,T8,text,Legal Level 1.1.1.,Annexe 2,table caption,Renvoi Rouge,Edf Titre 8,Heading 8 CFMU,Chapitre niveau 8,h8,heading 8,Do Not Use2,Annexe 31,Annexe 32,Annexe 33,Annexe 34"/>
    <w:basedOn w:val="Normal"/>
    <w:next w:val="Normal"/>
    <w:link w:val="Heading8Char"/>
    <w:uiPriority w:val="9"/>
    <w:qFormat/>
    <w:rsid w:val="00FF6952"/>
    <w:pPr>
      <w:outlineLvl w:val="7"/>
    </w:pPr>
  </w:style>
  <w:style w:type="paragraph" w:styleId="Heading9">
    <w:name w:val="heading 9"/>
    <w:aliases w:val="Lev 9,progress,Annexe4, progress,App Heading,Legal Level 1.1.1.1.,Annexe 3,Renvoi Vert,Edf Titre 9,Heading 9 CFMU,Chapitre niveau 9,h9,RFP Reference,Do Not Use1,titre l1c1,titre l1c11,titre l1c12,titre l1c13,titre l1c14,Annexe 4,PIM 9"/>
    <w:basedOn w:val="Normal"/>
    <w:next w:val="Normal"/>
    <w:link w:val="Heading9Char"/>
    <w:uiPriority w:val="9"/>
    <w:qFormat/>
    <w:rsid w:val="00FF695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37704"/>
    <w:pPr>
      <w:tabs>
        <w:tab w:val="left" w:pos="3402"/>
        <w:tab w:val="right" w:pos="10291"/>
      </w:tabs>
      <w:spacing w:line="170" w:lineRule="atLeast"/>
    </w:pPr>
    <w:rPr>
      <w:sz w:val="14"/>
      <w:szCs w:val="14"/>
    </w:rPr>
  </w:style>
  <w:style w:type="paragraph" w:styleId="Footer">
    <w:name w:val="footer"/>
    <w:basedOn w:val="Normal"/>
    <w:link w:val="FooterChar"/>
    <w:rsid w:val="0045713E"/>
    <w:pPr>
      <w:tabs>
        <w:tab w:val="center" w:pos="5148"/>
        <w:tab w:val="right" w:pos="10291"/>
      </w:tabs>
      <w:spacing w:line="170" w:lineRule="atLeast"/>
    </w:pPr>
    <w:rPr>
      <w:sz w:val="14"/>
      <w:szCs w:val="14"/>
    </w:rPr>
  </w:style>
  <w:style w:type="paragraph" w:styleId="TOC1">
    <w:name w:val="toc 1"/>
    <w:basedOn w:val="Normal"/>
    <w:next w:val="Normal"/>
    <w:uiPriority w:val="39"/>
    <w:rsid w:val="00004CB9"/>
    <w:pPr>
      <w:tabs>
        <w:tab w:val="left" w:pos="680"/>
        <w:tab w:val="right" w:leader="dot" w:pos="10291"/>
      </w:tabs>
      <w:spacing w:before="180"/>
      <w:ind w:left="680" w:right="170" w:hanging="680"/>
    </w:pPr>
    <w:rPr>
      <w:b/>
    </w:rPr>
  </w:style>
  <w:style w:type="paragraph" w:styleId="TOC2">
    <w:name w:val="toc 2"/>
    <w:basedOn w:val="Normal"/>
    <w:next w:val="Normal"/>
    <w:uiPriority w:val="39"/>
    <w:rsid w:val="00004CB9"/>
    <w:pPr>
      <w:tabs>
        <w:tab w:val="left" w:pos="680"/>
        <w:tab w:val="right" w:leader="dot" w:pos="10291"/>
      </w:tabs>
      <w:ind w:left="1360" w:right="170" w:hanging="680"/>
    </w:pPr>
  </w:style>
  <w:style w:type="paragraph" w:styleId="TOC3">
    <w:name w:val="toc 3"/>
    <w:basedOn w:val="Normal"/>
    <w:next w:val="Normal"/>
    <w:uiPriority w:val="39"/>
    <w:rsid w:val="00004CB9"/>
    <w:pPr>
      <w:tabs>
        <w:tab w:val="left" w:pos="680"/>
        <w:tab w:val="right" w:leader="dot" w:pos="10291"/>
      </w:tabs>
      <w:ind w:left="1360" w:right="170" w:hanging="680"/>
    </w:pPr>
  </w:style>
  <w:style w:type="paragraph" w:styleId="TOC4">
    <w:name w:val="toc 4"/>
    <w:basedOn w:val="Normal"/>
    <w:next w:val="Normal"/>
    <w:uiPriority w:val="39"/>
    <w:rsid w:val="00FF6952"/>
    <w:pPr>
      <w:ind w:left="510"/>
    </w:pPr>
  </w:style>
  <w:style w:type="paragraph" w:styleId="TOC5">
    <w:name w:val="toc 5"/>
    <w:basedOn w:val="Normal"/>
    <w:next w:val="Normal"/>
    <w:uiPriority w:val="39"/>
    <w:rsid w:val="00FF6952"/>
    <w:pPr>
      <w:ind w:left="680"/>
    </w:pPr>
  </w:style>
  <w:style w:type="paragraph" w:styleId="TOC6">
    <w:name w:val="toc 6"/>
    <w:basedOn w:val="Normal"/>
    <w:next w:val="Normal"/>
    <w:uiPriority w:val="39"/>
    <w:rsid w:val="00FF6952"/>
    <w:pPr>
      <w:ind w:left="850"/>
    </w:pPr>
  </w:style>
  <w:style w:type="paragraph" w:styleId="TOC7">
    <w:name w:val="toc 7"/>
    <w:basedOn w:val="Normal"/>
    <w:next w:val="Normal"/>
    <w:uiPriority w:val="39"/>
    <w:rsid w:val="00FF6952"/>
    <w:pPr>
      <w:ind w:left="1020"/>
    </w:pPr>
  </w:style>
  <w:style w:type="paragraph" w:styleId="TOC8">
    <w:name w:val="toc 8"/>
    <w:basedOn w:val="Normal"/>
    <w:next w:val="Normal"/>
    <w:uiPriority w:val="39"/>
    <w:rsid w:val="00FF6952"/>
    <w:pPr>
      <w:ind w:left="1190"/>
    </w:pPr>
  </w:style>
  <w:style w:type="paragraph" w:styleId="TOC9">
    <w:name w:val="toc 9"/>
    <w:basedOn w:val="Normal"/>
    <w:next w:val="Normal"/>
    <w:uiPriority w:val="39"/>
    <w:rsid w:val="00FF6952"/>
    <w:pPr>
      <w:ind w:left="1360"/>
    </w:pPr>
  </w:style>
  <w:style w:type="character" w:styleId="PageNumber">
    <w:name w:val="page number"/>
    <w:basedOn w:val="DefaultParagraphFont"/>
    <w:rsid w:val="00FF6952"/>
  </w:style>
  <w:style w:type="paragraph" w:customStyle="1" w:styleId="SecDivider0">
    <w:name w:val="_SecDivider"/>
    <w:basedOn w:val="Normal"/>
    <w:next w:val="Body"/>
    <w:rsid w:val="003C1E12"/>
    <w:pPr>
      <w:keepNext/>
      <w:shd w:val="clear" w:color="FFFFFF" w:fill="auto"/>
      <w:tabs>
        <w:tab w:val="left" w:pos="2070"/>
      </w:tabs>
      <w:spacing w:after="360" w:line="360" w:lineRule="exact"/>
      <w:jc w:val="right"/>
    </w:pPr>
    <w:rPr>
      <w:b/>
      <w:color w:val="9E0880"/>
      <w:sz w:val="30"/>
      <w:szCs w:val="30"/>
      <w:lang w:val="ro-RO"/>
    </w:rPr>
  </w:style>
  <w:style w:type="paragraph" w:customStyle="1" w:styleId="SecDivider">
    <w:name w:val="_SecDivider#"/>
    <w:basedOn w:val="SecDivider0"/>
    <w:next w:val="Body"/>
    <w:rsid w:val="00FF6952"/>
    <w:pPr>
      <w:numPr>
        <w:numId w:val="1"/>
      </w:numPr>
      <w:tabs>
        <w:tab w:val="clear" w:pos="567"/>
        <w:tab w:val="left" w:pos="680"/>
      </w:tabs>
      <w:ind w:left="680" w:hanging="680"/>
    </w:pPr>
  </w:style>
  <w:style w:type="character" w:styleId="Hyperlink">
    <w:name w:val="Hyperlink"/>
    <w:basedOn w:val="DefaultParagraphFont"/>
    <w:uiPriority w:val="99"/>
    <w:rsid w:val="00FF6952"/>
    <w:rPr>
      <w:color w:val="0000FF"/>
      <w:u w:val="single"/>
    </w:rPr>
  </w:style>
  <w:style w:type="paragraph" w:customStyle="1" w:styleId="Hdg1">
    <w:name w:val="_Hdg1#"/>
    <w:basedOn w:val="Heading1"/>
    <w:next w:val="Body"/>
    <w:qFormat/>
    <w:rsid w:val="001C6C79"/>
    <w:pPr>
      <w:framePr w:h="499" w:wrap="notBeside" w:vAnchor="margin" w:hAnchor="page" w:x="937" w:yAlign="top"/>
      <w:numPr>
        <w:numId w:val="5"/>
      </w:numPr>
      <w:tabs>
        <w:tab w:val="clear" w:pos="680"/>
      </w:tabs>
      <w:ind w:left="851" w:hanging="851"/>
    </w:pPr>
    <w:rPr>
      <w:b/>
      <w:bCs w:val="0"/>
      <w:color w:val="9E0880"/>
      <w:kern w:val="0"/>
    </w:rPr>
  </w:style>
  <w:style w:type="paragraph" w:customStyle="1" w:styleId="Hdg2">
    <w:name w:val="_Hdg2#"/>
    <w:basedOn w:val="Heading2"/>
    <w:next w:val="Body"/>
    <w:qFormat/>
    <w:rsid w:val="00045287"/>
    <w:pPr>
      <w:numPr>
        <w:ilvl w:val="1"/>
        <w:numId w:val="2"/>
      </w:numPr>
      <w:spacing w:after="120" w:line="276" w:lineRule="auto"/>
      <w:ind w:left="680"/>
      <w:jc w:val="both"/>
    </w:pPr>
    <w:rPr>
      <w:rFonts w:cs="Arial"/>
      <w:color w:val="9E0880"/>
      <w:sz w:val="22"/>
      <w:szCs w:val="22"/>
    </w:rPr>
  </w:style>
  <w:style w:type="paragraph" w:customStyle="1" w:styleId="Hdg3">
    <w:name w:val="_Hdg3#"/>
    <w:basedOn w:val="Heading3"/>
    <w:next w:val="Body"/>
    <w:qFormat/>
    <w:rsid w:val="00E8725B"/>
    <w:pPr>
      <w:tabs>
        <w:tab w:val="left" w:pos="2070"/>
      </w:tabs>
      <w:spacing w:line="360" w:lineRule="auto"/>
    </w:pPr>
    <w:rPr>
      <w:b/>
      <w:i/>
      <w:color w:val="9E0880"/>
      <w:sz w:val="22"/>
      <w:szCs w:val="22"/>
      <w:lang w:val="ro-RO"/>
    </w:rPr>
  </w:style>
  <w:style w:type="paragraph" w:customStyle="1" w:styleId="Hdg1noTOC">
    <w:name w:val="_Hdg1 noTOC"/>
    <w:basedOn w:val="Heading1"/>
    <w:next w:val="Body"/>
    <w:rsid w:val="00FF6952"/>
    <w:pPr>
      <w:framePr w:wrap="notBeside"/>
      <w:outlineLvl w:val="9"/>
    </w:pPr>
  </w:style>
  <w:style w:type="paragraph" w:customStyle="1" w:styleId="Hdg1noTOC0">
    <w:name w:val="_Hdg1# noTOC"/>
    <w:basedOn w:val="Hdg1"/>
    <w:next w:val="Body"/>
    <w:rsid w:val="00FF6952"/>
    <w:pPr>
      <w:framePr w:wrap="notBeside"/>
      <w:outlineLvl w:val="9"/>
    </w:pPr>
  </w:style>
  <w:style w:type="paragraph" w:customStyle="1" w:styleId="Hdg4">
    <w:name w:val="_Hdg4#"/>
    <w:basedOn w:val="Heading4"/>
    <w:next w:val="Body"/>
    <w:link w:val="Hdg4Char"/>
    <w:rsid w:val="00A61C22"/>
    <w:pPr>
      <w:numPr>
        <w:ilvl w:val="3"/>
        <w:numId w:val="2"/>
      </w:numPr>
    </w:pPr>
    <w:rPr>
      <w:b/>
      <w:sz w:val="20"/>
      <w:szCs w:val="20"/>
    </w:rPr>
  </w:style>
  <w:style w:type="paragraph" w:styleId="TableofFigures">
    <w:name w:val="table of figures"/>
    <w:basedOn w:val="Normal"/>
    <w:next w:val="Normal"/>
    <w:rsid w:val="00FF6952"/>
    <w:pPr>
      <w:ind w:left="680" w:hanging="680"/>
    </w:pPr>
  </w:style>
  <w:style w:type="paragraph" w:customStyle="1" w:styleId="BulletLevel1">
    <w:name w:val="Bullet Level1"/>
    <w:basedOn w:val="Normal"/>
    <w:link w:val="BulletLevel1Char"/>
    <w:autoRedefine/>
    <w:qFormat/>
    <w:rsid w:val="00273D5E"/>
    <w:pPr>
      <w:numPr>
        <w:ilvl w:val="1"/>
        <w:numId w:val="17"/>
      </w:numPr>
      <w:spacing w:after="60" w:line="276" w:lineRule="auto"/>
      <w:ind w:left="1208" w:hanging="357"/>
      <w:jc w:val="both"/>
    </w:pPr>
    <w:rPr>
      <w:sz w:val="22"/>
      <w:szCs w:val="20"/>
      <w:shd w:val="clear" w:color="auto" w:fill="FFFFFF"/>
      <w:lang w:val="ro-RO"/>
    </w:rPr>
  </w:style>
  <w:style w:type="paragraph" w:customStyle="1" w:styleId="BulletLevel2">
    <w:name w:val="Bullet Level2"/>
    <w:basedOn w:val="Normal"/>
    <w:rsid w:val="00B4463D"/>
    <w:pPr>
      <w:numPr>
        <w:numId w:val="3"/>
      </w:numPr>
      <w:spacing w:line="230" w:lineRule="atLeast"/>
    </w:pPr>
  </w:style>
  <w:style w:type="paragraph" w:customStyle="1" w:styleId="CVHeading">
    <w:name w:val="CV Heading"/>
    <w:basedOn w:val="Heading1"/>
    <w:next w:val="Body"/>
    <w:rsid w:val="00FF6952"/>
    <w:pPr>
      <w:framePr w:wrap="notBeside"/>
      <w:outlineLvl w:val="9"/>
    </w:pPr>
  </w:style>
  <w:style w:type="paragraph" w:styleId="Caption">
    <w:name w:val="caption"/>
    <w:aliases w:val="Titlu Tabel,Map Char,Map Char Char,Map,Map Char Char Char Char Char,Caption Char Char Car Car,Caption Char Char Car Car Car,Map Char Char Char Car Car,Caption Char Char,Caption Char Char Char Char,Caption Char1,Beschriftung,Char Char Char Char1"/>
    <w:basedOn w:val="Normal"/>
    <w:next w:val="Body"/>
    <w:link w:val="CaptionChar"/>
    <w:qFormat/>
    <w:rsid w:val="00FF6952"/>
    <w:pPr>
      <w:spacing w:before="120"/>
    </w:pPr>
    <w:rPr>
      <w:bCs/>
    </w:rPr>
  </w:style>
  <w:style w:type="paragraph" w:customStyle="1" w:styleId="Hdg2noTOC">
    <w:name w:val="_Hdg2 noTOC"/>
    <w:basedOn w:val="Heading2"/>
    <w:next w:val="Body"/>
    <w:rsid w:val="00FF6952"/>
    <w:pPr>
      <w:outlineLvl w:val="9"/>
    </w:pPr>
  </w:style>
  <w:style w:type="paragraph" w:customStyle="1" w:styleId="Hdg2noTOC0">
    <w:name w:val="_Hdg2# noTOC"/>
    <w:basedOn w:val="Hdg2"/>
    <w:next w:val="Body"/>
    <w:rsid w:val="00FF6952"/>
    <w:pPr>
      <w:outlineLvl w:val="9"/>
    </w:pPr>
  </w:style>
  <w:style w:type="table" w:styleId="TableGrid">
    <w:name w:val="Table Grid"/>
    <w:basedOn w:val="TableNormal"/>
    <w:rsid w:val="00FE07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link w:val="BodyChar"/>
    <w:qFormat/>
    <w:rsid w:val="0071651C"/>
    <w:pPr>
      <w:spacing w:before="240" w:after="240" w:line="276" w:lineRule="auto"/>
      <w:ind w:left="567"/>
      <w:jc w:val="both"/>
    </w:pPr>
    <w:rPr>
      <w:i/>
      <w:sz w:val="22"/>
      <w:szCs w:val="22"/>
    </w:rPr>
  </w:style>
  <w:style w:type="paragraph" w:customStyle="1" w:styleId="DocTitle">
    <w:name w:val="DocTitle"/>
    <w:basedOn w:val="Normal"/>
    <w:next w:val="Normal"/>
    <w:rsid w:val="00DC3878"/>
    <w:pPr>
      <w:spacing w:line="840" w:lineRule="exact"/>
    </w:pPr>
    <w:rPr>
      <w:bCs/>
      <w:sz w:val="78"/>
    </w:rPr>
  </w:style>
  <w:style w:type="paragraph" w:customStyle="1" w:styleId="Para2">
    <w:name w:val="_Para2#"/>
    <w:basedOn w:val="Hdg2"/>
    <w:rsid w:val="00FF6952"/>
    <w:pPr>
      <w:keepNext w:val="0"/>
      <w:spacing w:before="0"/>
      <w:outlineLvl w:val="9"/>
    </w:pPr>
    <w:rPr>
      <w:b w:val="0"/>
    </w:rPr>
  </w:style>
  <w:style w:type="paragraph" w:customStyle="1" w:styleId="Para3">
    <w:name w:val="_Para3#"/>
    <w:basedOn w:val="Hdg3"/>
    <w:rsid w:val="00FF6952"/>
    <w:pPr>
      <w:keepNext w:val="0"/>
      <w:spacing w:before="0" w:after="120"/>
      <w:outlineLvl w:val="9"/>
    </w:pPr>
    <w:rPr>
      <w:i w:val="0"/>
    </w:rPr>
  </w:style>
  <w:style w:type="paragraph" w:customStyle="1" w:styleId="Para4">
    <w:name w:val="_Para4#"/>
    <w:basedOn w:val="Hdg4"/>
    <w:rsid w:val="00FF6952"/>
    <w:pPr>
      <w:keepNext w:val="0"/>
      <w:spacing w:before="0" w:after="120"/>
      <w:outlineLvl w:val="9"/>
    </w:pPr>
  </w:style>
  <w:style w:type="paragraph" w:customStyle="1" w:styleId="SecDividerBody">
    <w:name w:val="_SecDividerBody"/>
    <w:basedOn w:val="Normal"/>
    <w:rsid w:val="0006666D"/>
    <w:pPr>
      <w:spacing w:after="120" w:line="360" w:lineRule="exact"/>
    </w:pPr>
    <w:rPr>
      <w:sz w:val="30"/>
      <w:szCs w:val="30"/>
    </w:rPr>
  </w:style>
  <w:style w:type="paragraph" w:styleId="ListParagraph">
    <w:name w:val="List Paragraph"/>
    <w:aliases w:val="List_Paragraph,Multilevel para_II"/>
    <w:basedOn w:val="Normal"/>
    <w:link w:val="ListParagraphChar"/>
    <w:uiPriority w:val="34"/>
    <w:qFormat/>
    <w:rsid w:val="004E69FA"/>
    <w:pPr>
      <w:spacing w:line="264" w:lineRule="auto"/>
      <w:ind w:left="720"/>
      <w:jc w:val="both"/>
    </w:pPr>
    <w:rPr>
      <w:rFonts w:cs="Arial"/>
      <w:sz w:val="20"/>
      <w:szCs w:val="20"/>
    </w:rPr>
  </w:style>
  <w:style w:type="paragraph" w:styleId="BalloonText">
    <w:name w:val="Balloon Text"/>
    <w:basedOn w:val="Normal"/>
    <w:link w:val="BalloonTextChar"/>
    <w:uiPriority w:val="99"/>
    <w:rsid w:val="007D6EF8"/>
    <w:rPr>
      <w:rFonts w:ascii="Tahoma" w:hAnsi="Tahoma" w:cs="Tahoma"/>
      <w:sz w:val="16"/>
      <w:szCs w:val="16"/>
    </w:rPr>
  </w:style>
  <w:style w:type="character" w:customStyle="1" w:styleId="BalloonTextChar">
    <w:name w:val="Balloon Text Char"/>
    <w:basedOn w:val="DefaultParagraphFont"/>
    <w:link w:val="BalloonText"/>
    <w:uiPriority w:val="99"/>
    <w:rsid w:val="007D6EF8"/>
    <w:rPr>
      <w:rFonts w:ascii="Tahoma" w:hAnsi="Tahoma" w:cs="Tahoma"/>
      <w:sz w:val="16"/>
      <w:szCs w:val="16"/>
      <w:lang w:eastAsia="en-US"/>
    </w:rPr>
  </w:style>
  <w:style w:type="paragraph" w:styleId="NormalWeb">
    <w:name w:val="Normal (Web)"/>
    <w:basedOn w:val="Normal"/>
    <w:unhideWhenUsed/>
    <w:rsid w:val="00D81D06"/>
    <w:pPr>
      <w:spacing w:before="100" w:beforeAutospacing="1" w:after="100" w:afterAutospacing="1"/>
    </w:pPr>
    <w:rPr>
      <w:rFonts w:ascii="Times New Roman" w:hAnsi="Times New Roman"/>
      <w:sz w:val="24"/>
      <w:szCs w:val="24"/>
      <w:lang w:val="en-US"/>
    </w:rPr>
  </w:style>
  <w:style w:type="character" w:styleId="Strong">
    <w:name w:val="Strong"/>
    <w:basedOn w:val="DefaultParagraphFont"/>
    <w:qFormat/>
    <w:rsid w:val="00D81D06"/>
    <w:rPr>
      <w:b/>
      <w:bCs/>
    </w:rPr>
  </w:style>
  <w:style w:type="character" w:styleId="PlaceholderText">
    <w:name w:val="Placeholder Text"/>
    <w:basedOn w:val="DefaultParagraphFont"/>
    <w:uiPriority w:val="99"/>
    <w:semiHidden/>
    <w:rsid w:val="007A3A30"/>
    <w:rPr>
      <w:color w:val="808080"/>
    </w:rPr>
  </w:style>
  <w:style w:type="character" w:styleId="CommentReference">
    <w:name w:val="annotation reference"/>
    <w:basedOn w:val="DefaultParagraphFont"/>
    <w:rsid w:val="00B473A0"/>
    <w:rPr>
      <w:sz w:val="16"/>
      <w:szCs w:val="16"/>
    </w:rPr>
  </w:style>
  <w:style w:type="paragraph" w:styleId="CommentText">
    <w:name w:val="annotation text"/>
    <w:basedOn w:val="Normal"/>
    <w:link w:val="CommentTextChar"/>
    <w:rsid w:val="00B473A0"/>
    <w:rPr>
      <w:sz w:val="20"/>
      <w:szCs w:val="20"/>
    </w:rPr>
  </w:style>
  <w:style w:type="character" w:customStyle="1" w:styleId="CommentTextChar">
    <w:name w:val="Comment Text Char"/>
    <w:basedOn w:val="DefaultParagraphFont"/>
    <w:link w:val="CommentText"/>
    <w:rsid w:val="00B473A0"/>
    <w:rPr>
      <w:rFonts w:ascii="Arial" w:hAnsi="Arial"/>
      <w:lang w:eastAsia="en-US"/>
    </w:rPr>
  </w:style>
  <w:style w:type="paragraph" w:styleId="CommentSubject">
    <w:name w:val="annotation subject"/>
    <w:basedOn w:val="CommentText"/>
    <w:next w:val="CommentText"/>
    <w:link w:val="CommentSubjectChar"/>
    <w:uiPriority w:val="99"/>
    <w:rsid w:val="00B473A0"/>
    <w:rPr>
      <w:b/>
      <w:bCs/>
    </w:rPr>
  </w:style>
  <w:style w:type="character" w:customStyle="1" w:styleId="CommentSubjectChar">
    <w:name w:val="Comment Subject Char"/>
    <w:basedOn w:val="CommentTextChar"/>
    <w:link w:val="CommentSubject"/>
    <w:uiPriority w:val="99"/>
    <w:rsid w:val="00B473A0"/>
    <w:rPr>
      <w:rFonts w:ascii="Arial" w:hAnsi="Arial"/>
      <w:b/>
      <w:bCs/>
      <w:lang w:eastAsia="en-US"/>
    </w:rPr>
  </w:style>
  <w:style w:type="paragraph" w:styleId="Revision">
    <w:name w:val="Revision"/>
    <w:hidden/>
    <w:uiPriority w:val="99"/>
    <w:semiHidden/>
    <w:rsid w:val="00B473A0"/>
    <w:rPr>
      <w:rFonts w:ascii="Arial" w:hAnsi="Arial"/>
      <w:sz w:val="18"/>
      <w:szCs w:val="18"/>
      <w:lang w:val="en-GB"/>
    </w:rPr>
  </w:style>
  <w:style w:type="character" w:customStyle="1" w:styleId="BodyChar">
    <w:name w:val="Body Char"/>
    <w:aliases w:val="Normal Indent Char,Normal Indent Char Char Char Char,SSR Requirement Response Char,Char Char1,Body Char Char Char1,Body Char Char Char Char Char Char Char Char,Body Char Char Char Char Char Char, Char Char,Char Char"/>
    <w:link w:val="Body"/>
    <w:rsid w:val="0071651C"/>
    <w:rPr>
      <w:rFonts w:ascii="Arial" w:hAnsi="Arial"/>
      <w:i/>
      <w:sz w:val="22"/>
      <w:szCs w:val="22"/>
      <w:lang w:val="en-GB"/>
    </w:rPr>
  </w:style>
  <w:style w:type="paragraph" w:customStyle="1" w:styleId="NumberedParas">
    <w:name w:val="_Numbered Paras"/>
    <w:basedOn w:val="Hdg3"/>
    <w:link w:val="NumberedParasChar"/>
    <w:qFormat/>
    <w:rsid w:val="00A4081F"/>
    <w:pPr>
      <w:keepNext w:val="0"/>
      <w:numPr>
        <w:ilvl w:val="2"/>
        <w:numId w:val="2"/>
      </w:numPr>
      <w:tabs>
        <w:tab w:val="clear" w:pos="2070"/>
        <w:tab w:val="clear" w:pos="2150"/>
        <w:tab w:val="num" w:pos="2291"/>
      </w:tabs>
      <w:spacing w:after="120" w:line="276" w:lineRule="auto"/>
      <w:ind w:left="907" w:hanging="907"/>
      <w:jc w:val="both"/>
      <w:outlineLvl w:val="9"/>
    </w:pPr>
    <w:rPr>
      <w:b w:val="0"/>
      <w:i w:val="0"/>
      <w:color w:val="auto"/>
      <w:lang w:val="en-GB"/>
    </w:rPr>
  </w:style>
  <w:style w:type="character" w:customStyle="1" w:styleId="Heading4Char">
    <w:name w:val="Heading 4 Char"/>
    <w:basedOn w:val="DefaultParagraphFont"/>
    <w:link w:val="Heading4"/>
    <w:uiPriority w:val="9"/>
    <w:rsid w:val="00B73862"/>
    <w:rPr>
      <w:rFonts w:ascii="Arial" w:hAnsi="Arial"/>
      <w:sz w:val="18"/>
      <w:szCs w:val="18"/>
      <w:lang w:eastAsia="en-US"/>
    </w:rPr>
  </w:style>
  <w:style w:type="character" w:customStyle="1" w:styleId="Hdg4Char">
    <w:name w:val="_Hdg4# Char"/>
    <w:basedOn w:val="Heading4Char"/>
    <w:link w:val="Hdg4"/>
    <w:rsid w:val="00B73862"/>
    <w:rPr>
      <w:rFonts w:ascii="Arial" w:hAnsi="Arial"/>
      <w:b/>
      <w:sz w:val="18"/>
      <w:szCs w:val="18"/>
      <w:lang w:val="en-GB" w:eastAsia="en-US"/>
    </w:rPr>
  </w:style>
  <w:style w:type="character" w:customStyle="1" w:styleId="NumberedParasChar">
    <w:name w:val="_Numbered Paras Char"/>
    <w:basedOn w:val="Hdg4Char"/>
    <w:link w:val="NumberedParas"/>
    <w:rsid w:val="00A4081F"/>
    <w:rPr>
      <w:rFonts w:ascii="Arial" w:hAnsi="Arial"/>
      <w:b w:val="0"/>
      <w:sz w:val="22"/>
      <w:szCs w:val="22"/>
      <w:lang w:val="en-GB" w:eastAsia="en-US"/>
    </w:rPr>
  </w:style>
  <w:style w:type="paragraph" w:styleId="DocumentMap">
    <w:name w:val="Document Map"/>
    <w:basedOn w:val="Normal"/>
    <w:link w:val="DocumentMapChar"/>
    <w:uiPriority w:val="99"/>
    <w:rsid w:val="00B65E92"/>
    <w:rPr>
      <w:rFonts w:ascii="Tahoma" w:hAnsi="Tahoma" w:cs="Tahoma"/>
      <w:sz w:val="16"/>
      <w:szCs w:val="16"/>
    </w:rPr>
  </w:style>
  <w:style w:type="character" w:customStyle="1" w:styleId="DocumentMapChar">
    <w:name w:val="Document Map Char"/>
    <w:basedOn w:val="DefaultParagraphFont"/>
    <w:link w:val="DocumentMap"/>
    <w:uiPriority w:val="99"/>
    <w:rsid w:val="00B65E92"/>
    <w:rPr>
      <w:rFonts w:ascii="Tahoma" w:hAnsi="Tahoma" w:cs="Tahoma"/>
      <w:sz w:val="16"/>
      <w:szCs w:val="16"/>
      <w:lang w:eastAsia="en-US"/>
    </w:rPr>
  </w:style>
  <w:style w:type="paragraph" w:styleId="FootnoteText">
    <w:name w:val="footnote text"/>
    <w:basedOn w:val="Normal"/>
    <w:link w:val="FootnoteTextChar"/>
    <w:rsid w:val="00F677AF"/>
    <w:pPr>
      <w:ind w:left="720" w:hanging="720"/>
      <w:jc w:val="both"/>
    </w:pPr>
    <w:rPr>
      <w:rFonts w:ascii="Times New Roman" w:hAnsi="Times New Roman"/>
      <w:sz w:val="20"/>
      <w:szCs w:val="20"/>
      <w:lang w:eastAsia="de-DE"/>
    </w:rPr>
  </w:style>
  <w:style w:type="character" w:customStyle="1" w:styleId="FootnoteTextChar">
    <w:name w:val="Footnote Text Char"/>
    <w:basedOn w:val="DefaultParagraphFont"/>
    <w:link w:val="FootnoteText"/>
    <w:rsid w:val="00F677AF"/>
    <w:rPr>
      <w:lang w:eastAsia="de-DE"/>
    </w:rPr>
  </w:style>
  <w:style w:type="character" w:styleId="FootnoteReference">
    <w:name w:val="footnote reference"/>
    <w:basedOn w:val="DefaultParagraphFont"/>
    <w:rsid w:val="00F677AF"/>
    <w:rPr>
      <w:vertAlign w:val="superscript"/>
    </w:rPr>
  </w:style>
  <w:style w:type="paragraph" w:customStyle="1" w:styleId="Text1">
    <w:name w:val="Text 1"/>
    <w:basedOn w:val="Normal"/>
    <w:rsid w:val="00F677AF"/>
    <w:pPr>
      <w:spacing w:before="120" w:after="120"/>
      <w:ind w:left="850"/>
      <w:jc w:val="both"/>
    </w:pPr>
    <w:rPr>
      <w:rFonts w:ascii="Times New Roman" w:hAnsi="Times New Roman"/>
      <w:sz w:val="24"/>
      <w:szCs w:val="24"/>
      <w:lang w:eastAsia="de-DE"/>
    </w:rPr>
  </w:style>
  <w:style w:type="paragraph" w:customStyle="1" w:styleId="Text3">
    <w:name w:val="Text 3"/>
    <w:basedOn w:val="Normal"/>
    <w:rsid w:val="00F677AF"/>
    <w:pPr>
      <w:spacing w:before="120" w:after="120"/>
      <w:ind w:left="850"/>
      <w:jc w:val="both"/>
    </w:pPr>
    <w:rPr>
      <w:rFonts w:ascii="Times New Roman" w:hAnsi="Times New Roman"/>
      <w:sz w:val="24"/>
      <w:szCs w:val="24"/>
      <w:lang w:eastAsia="de-DE"/>
    </w:rPr>
  </w:style>
  <w:style w:type="paragraph" w:customStyle="1" w:styleId="QuotedText">
    <w:name w:val="Quoted Text"/>
    <w:basedOn w:val="Normal"/>
    <w:rsid w:val="00F677AF"/>
    <w:pPr>
      <w:spacing w:before="120" w:after="120"/>
      <w:ind w:left="1417"/>
      <w:jc w:val="both"/>
    </w:pPr>
    <w:rPr>
      <w:rFonts w:ascii="Times New Roman" w:hAnsi="Times New Roman"/>
      <w:sz w:val="24"/>
      <w:szCs w:val="24"/>
      <w:lang w:eastAsia="de-DE"/>
    </w:rPr>
  </w:style>
  <w:style w:type="paragraph" w:customStyle="1" w:styleId="Point1">
    <w:name w:val="Point 1"/>
    <w:basedOn w:val="Normal"/>
    <w:rsid w:val="00F677AF"/>
    <w:pPr>
      <w:spacing w:before="120" w:after="120"/>
      <w:ind w:left="1417" w:hanging="567"/>
      <w:jc w:val="both"/>
    </w:pPr>
    <w:rPr>
      <w:rFonts w:ascii="Times New Roman" w:hAnsi="Times New Roman"/>
      <w:sz w:val="24"/>
      <w:szCs w:val="24"/>
      <w:lang w:eastAsia="de-DE"/>
    </w:rPr>
  </w:style>
  <w:style w:type="paragraph" w:customStyle="1" w:styleId="Point2">
    <w:name w:val="Point 2"/>
    <w:basedOn w:val="Normal"/>
    <w:rsid w:val="00F677AF"/>
    <w:pPr>
      <w:spacing w:before="120" w:after="120"/>
      <w:ind w:left="1984" w:hanging="567"/>
      <w:jc w:val="both"/>
    </w:pPr>
    <w:rPr>
      <w:rFonts w:ascii="Times New Roman" w:hAnsi="Times New Roman"/>
      <w:sz w:val="24"/>
      <w:szCs w:val="24"/>
      <w:lang w:eastAsia="de-DE"/>
    </w:rPr>
  </w:style>
  <w:style w:type="paragraph" w:customStyle="1" w:styleId="ManualHeading1">
    <w:name w:val="Manual Heading 1"/>
    <w:basedOn w:val="Normal"/>
    <w:next w:val="Text1"/>
    <w:rsid w:val="00F677AF"/>
    <w:pPr>
      <w:keepNext/>
      <w:tabs>
        <w:tab w:val="left" w:pos="850"/>
      </w:tabs>
      <w:spacing w:before="360" w:after="120"/>
      <w:ind w:left="850" w:hanging="850"/>
      <w:jc w:val="both"/>
      <w:outlineLvl w:val="0"/>
    </w:pPr>
    <w:rPr>
      <w:rFonts w:ascii="Times New Roman" w:hAnsi="Times New Roman"/>
      <w:b/>
      <w:smallCaps/>
      <w:sz w:val="24"/>
      <w:szCs w:val="24"/>
      <w:lang w:eastAsia="de-DE"/>
    </w:rPr>
  </w:style>
  <w:style w:type="paragraph" w:customStyle="1" w:styleId="ManualHeading2">
    <w:name w:val="Manual Heading 2"/>
    <w:basedOn w:val="Normal"/>
    <w:next w:val="Normal"/>
    <w:rsid w:val="00F677AF"/>
    <w:pPr>
      <w:keepNext/>
      <w:tabs>
        <w:tab w:val="left" w:pos="850"/>
      </w:tabs>
      <w:spacing w:before="120" w:after="120"/>
      <w:ind w:left="850" w:hanging="850"/>
      <w:jc w:val="both"/>
      <w:outlineLvl w:val="1"/>
    </w:pPr>
    <w:rPr>
      <w:rFonts w:ascii="Times New Roman" w:hAnsi="Times New Roman"/>
      <w:b/>
      <w:sz w:val="24"/>
      <w:szCs w:val="24"/>
      <w:lang w:eastAsia="de-DE"/>
    </w:rPr>
  </w:style>
  <w:style w:type="paragraph" w:customStyle="1" w:styleId="ManualHeading3">
    <w:name w:val="Manual Heading 3"/>
    <w:basedOn w:val="Normal"/>
    <w:next w:val="Text3"/>
    <w:rsid w:val="00F677AF"/>
    <w:pPr>
      <w:keepNext/>
      <w:tabs>
        <w:tab w:val="left" w:pos="850"/>
      </w:tabs>
      <w:spacing w:before="120" w:after="120"/>
      <w:ind w:left="850" w:hanging="850"/>
      <w:jc w:val="both"/>
      <w:outlineLvl w:val="2"/>
    </w:pPr>
    <w:rPr>
      <w:rFonts w:ascii="Times New Roman" w:hAnsi="Times New Roman"/>
      <w:i/>
      <w:sz w:val="24"/>
      <w:szCs w:val="24"/>
      <w:lang w:eastAsia="de-DE"/>
    </w:rPr>
  </w:style>
  <w:style w:type="paragraph" w:customStyle="1" w:styleId="Text2">
    <w:name w:val="Text 2"/>
    <w:basedOn w:val="Normal"/>
    <w:rsid w:val="00F677AF"/>
    <w:pPr>
      <w:spacing w:before="120" w:after="120"/>
      <w:ind w:left="850"/>
      <w:jc w:val="both"/>
    </w:pPr>
    <w:rPr>
      <w:rFonts w:ascii="Times New Roman" w:hAnsi="Times New Roman"/>
      <w:sz w:val="24"/>
      <w:szCs w:val="24"/>
      <w:lang w:eastAsia="de-DE"/>
    </w:rPr>
  </w:style>
  <w:style w:type="paragraph" w:customStyle="1" w:styleId="Point0">
    <w:name w:val="Point 0"/>
    <w:basedOn w:val="Normal"/>
    <w:rsid w:val="00F677AF"/>
    <w:pPr>
      <w:spacing w:before="120" w:after="120"/>
      <w:ind w:left="850" w:hanging="850"/>
      <w:jc w:val="both"/>
    </w:pPr>
    <w:rPr>
      <w:rFonts w:ascii="Times New Roman" w:hAnsi="Times New Roman"/>
      <w:sz w:val="24"/>
      <w:szCs w:val="24"/>
      <w:lang w:eastAsia="de-DE"/>
    </w:rPr>
  </w:style>
  <w:style w:type="paragraph" w:styleId="Index1">
    <w:name w:val="index 1"/>
    <w:basedOn w:val="Normal"/>
    <w:next w:val="Normal"/>
    <w:autoRedefine/>
    <w:rsid w:val="005104DC"/>
    <w:pPr>
      <w:ind w:left="180" w:hanging="180"/>
    </w:pPr>
  </w:style>
  <w:style w:type="paragraph" w:styleId="IndexHeading">
    <w:name w:val="index heading"/>
    <w:basedOn w:val="Normal"/>
    <w:next w:val="Index1"/>
    <w:rsid w:val="005104DC"/>
    <w:pPr>
      <w:spacing w:line="264" w:lineRule="auto"/>
      <w:jc w:val="both"/>
    </w:pPr>
    <w:rPr>
      <w:rFonts w:cs="Arial"/>
      <w:b/>
      <w:bCs/>
      <w:sz w:val="20"/>
      <w:szCs w:val="20"/>
    </w:rPr>
  </w:style>
  <w:style w:type="paragraph" w:styleId="HTMLAddress">
    <w:name w:val="HTML Address"/>
    <w:basedOn w:val="Normal"/>
    <w:link w:val="HTMLAddressChar"/>
    <w:rsid w:val="00FD2E73"/>
    <w:pPr>
      <w:spacing w:line="264" w:lineRule="auto"/>
      <w:jc w:val="both"/>
    </w:pPr>
    <w:rPr>
      <w:rFonts w:cs="Arial"/>
      <w:i/>
      <w:iCs/>
      <w:sz w:val="20"/>
      <w:szCs w:val="20"/>
    </w:rPr>
  </w:style>
  <w:style w:type="character" w:customStyle="1" w:styleId="HTMLAddressChar">
    <w:name w:val="HTML Address Char"/>
    <w:basedOn w:val="DefaultParagraphFont"/>
    <w:link w:val="HTMLAddress"/>
    <w:rsid w:val="00FD2E73"/>
    <w:rPr>
      <w:rFonts w:ascii="Arial" w:hAnsi="Arial" w:cs="Arial"/>
      <w:i/>
      <w:iCs/>
      <w:lang w:eastAsia="en-US"/>
    </w:rPr>
  </w:style>
  <w:style w:type="paragraph" w:styleId="Date">
    <w:name w:val="Date"/>
    <w:basedOn w:val="Normal"/>
    <w:next w:val="Normal"/>
    <w:link w:val="DateChar"/>
    <w:rsid w:val="00EA58D5"/>
    <w:pPr>
      <w:spacing w:line="264" w:lineRule="auto"/>
      <w:jc w:val="both"/>
    </w:pPr>
    <w:rPr>
      <w:rFonts w:cs="Arial"/>
      <w:sz w:val="20"/>
      <w:szCs w:val="20"/>
    </w:rPr>
  </w:style>
  <w:style w:type="character" w:customStyle="1" w:styleId="DateChar">
    <w:name w:val="Date Char"/>
    <w:basedOn w:val="DefaultParagraphFont"/>
    <w:link w:val="Date"/>
    <w:rsid w:val="00EA58D5"/>
    <w:rPr>
      <w:rFonts w:ascii="Arial" w:hAnsi="Arial" w:cs="Arial"/>
      <w:lang w:val="en-GB"/>
    </w:rPr>
  </w:style>
  <w:style w:type="paragraph" w:styleId="ListBullet5">
    <w:name w:val="List Bullet 5"/>
    <w:basedOn w:val="Normal"/>
    <w:autoRedefine/>
    <w:rsid w:val="00EA58D5"/>
    <w:pPr>
      <w:numPr>
        <w:numId w:val="4"/>
      </w:numPr>
      <w:spacing w:line="264" w:lineRule="auto"/>
      <w:jc w:val="both"/>
    </w:pPr>
    <w:rPr>
      <w:rFonts w:cs="Arial"/>
      <w:sz w:val="20"/>
      <w:szCs w:val="20"/>
    </w:rPr>
  </w:style>
  <w:style w:type="character" w:customStyle="1" w:styleId="HeaderChar">
    <w:name w:val="Header Char"/>
    <w:basedOn w:val="DefaultParagraphFont"/>
    <w:link w:val="Header"/>
    <w:rsid w:val="00A63B03"/>
    <w:rPr>
      <w:rFonts w:ascii="Arial" w:hAnsi="Arial"/>
      <w:sz w:val="14"/>
      <w:szCs w:val="14"/>
      <w:lang w:val="en-GB"/>
    </w:rPr>
  </w:style>
  <w:style w:type="character" w:customStyle="1" w:styleId="FooterChar">
    <w:name w:val="Footer Char"/>
    <w:basedOn w:val="DefaultParagraphFont"/>
    <w:link w:val="Footer"/>
    <w:rsid w:val="00A63B03"/>
    <w:rPr>
      <w:rFonts w:ascii="Arial" w:hAnsi="Arial"/>
      <w:sz w:val="14"/>
      <w:szCs w:val="14"/>
      <w:lang w:val="en-GB"/>
    </w:rPr>
  </w:style>
  <w:style w:type="character" w:customStyle="1" w:styleId="BulletLevel1Char">
    <w:name w:val="Bullet Level1 Char"/>
    <w:link w:val="BulletLevel1"/>
    <w:rsid w:val="00273D5E"/>
    <w:rPr>
      <w:rFonts w:ascii="Arial" w:hAnsi="Arial"/>
      <w:sz w:val="22"/>
      <w:lang w:val="ro-RO"/>
    </w:rPr>
  </w:style>
  <w:style w:type="paragraph" w:customStyle="1" w:styleId="Default">
    <w:name w:val="Default"/>
    <w:rsid w:val="00D57D7E"/>
    <w:pPr>
      <w:autoSpaceDE w:val="0"/>
      <w:autoSpaceDN w:val="0"/>
      <w:adjustRightInd w:val="0"/>
    </w:pPr>
    <w:rPr>
      <w:rFonts w:ascii="Arial" w:eastAsia="Calibri" w:hAnsi="Arial" w:cs="Arial"/>
      <w:color w:val="000000"/>
      <w:sz w:val="24"/>
      <w:szCs w:val="24"/>
      <w:lang w:val="en-GB"/>
    </w:rPr>
  </w:style>
  <w:style w:type="character" w:styleId="Emphasis">
    <w:name w:val="Emphasis"/>
    <w:basedOn w:val="DefaultParagraphFont"/>
    <w:qFormat/>
    <w:rsid w:val="00BD49F9"/>
    <w:rPr>
      <w:i/>
      <w:iCs/>
    </w:rPr>
  </w:style>
  <w:style w:type="paragraph" w:customStyle="1" w:styleId="MVAbullet">
    <w:name w:val="MVAbullet"/>
    <w:basedOn w:val="Default"/>
    <w:next w:val="Default"/>
    <w:uiPriority w:val="99"/>
    <w:rsid w:val="008E360A"/>
    <w:rPr>
      <w:color w:val="auto"/>
    </w:rPr>
  </w:style>
  <w:style w:type="character" w:customStyle="1" w:styleId="Heading1Char">
    <w:name w:val="Heading 1 Char"/>
    <w:basedOn w:val="DefaultParagraphFont"/>
    <w:link w:val="Heading1"/>
    <w:rsid w:val="00053ABD"/>
    <w:rPr>
      <w:rFonts w:ascii="Arial" w:hAnsi="Arial" w:cs="Arial"/>
      <w:bCs/>
      <w:kern w:val="28"/>
      <w:sz w:val="30"/>
      <w:szCs w:val="30"/>
      <w:lang w:val="en-GB"/>
    </w:rPr>
  </w:style>
  <w:style w:type="character" w:customStyle="1" w:styleId="Heading2Char">
    <w:name w:val="Heading 2 Char"/>
    <w:aliases w:val="Oscar Faber 2 Char"/>
    <w:basedOn w:val="DefaultParagraphFont"/>
    <w:link w:val="Heading2"/>
    <w:uiPriority w:val="9"/>
    <w:rsid w:val="00053ABD"/>
    <w:rPr>
      <w:rFonts w:ascii="Arial" w:hAnsi="Arial"/>
      <w:b/>
      <w:sz w:val="18"/>
      <w:szCs w:val="18"/>
      <w:lang w:val="en-GB"/>
    </w:rPr>
  </w:style>
  <w:style w:type="character" w:customStyle="1" w:styleId="Heading3Char">
    <w:name w:val="Heading 3 Char"/>
    <w:basedOn w:val="DefaultParagraphFont"/>
    <w:link w:val="Heading3"/>
    <w:uiPriority w:val="9"/>
    <w:rsid w:val="00053ABD"/>
    <w:rPr>
      <w:rFonts w:ascii="Arial" w:hAnsi="Arial"/>
      <w:sz w:val="18"/>
      <w:szCs w:val="18"/>
      <w:lang w:val="en-GB"/>
    </w:rPr>
  </w:style>
  <w:style w:type="character" w:customStyle="1" w:styleId="Heading5Char">
    <w:name w:val="Heading 5 Char"/>
    <w:aliases w:val="Roman list Char,Lev 5 Char,5 sub-bullet Char,sb Char,H5 Char,Titre 1.1111 Char,Aston T5 Char,(Shift Ctrl 5) Char,DO NOT USE_h5 Char,h5 Char,Block Label Char,T5 Char,Titre5 Char,heading 5 Char,a) Char,NCS-H5 Char,Level 3 - i Char,t5 Char"/>
    <w:basedOn w:val="DefaultParagraphFont"/>
    <w:link w:val="Heading5"/>
    <w:uiPriority w:val="9"/>
    <w:rsid w:val="00053ABD"/>
    <w:rPr>
      <w:rFonts w:ascii="Arial" w:hAnsi="Arial"/>
      <w:sz w:val="18"/>
      <w:szCs w:val="18"/>
      <w:lang w:val="en-GB"/>
    </w:rPr>
  </w:style>
  <w:style w:type="character" w:customStyle="1" w:styleId="Heading6Char">
    <w:name w:val="Heading 6 Char"/>
    <w:aliases w:val="subheading 4 Char"/>
    <w:basedOn w:val="DefaultParagraphFont"/>
    <w:link w:val="Heading6"/>
    <w:uiPriority w:val="9"/>
    <w:rsid w:val="00053ABD"/>
    <w:rPr>
      <w:rFonts w:ascii="Arial" w:hAnsi="Arial"/>
      <w:sz w:val="18"/>
      <w:szCs w:val="18"/>
      <w:lang w:val="en-GB"/>
    </w:rPr>
  </w:style>
  <w:style w:type="character" w:customStyle="1" w:styleId="Heading7Char">
    <w:name w:val="Heading 7 Char"/>
    <w:aliases w:val="letter list Char,lettered list Char,Lev 7 Char,H7 Char,Annexe2 Char,Aston T7 Char,(Shift Ctrl 7) Char,T7 Char,1.2.3.4.5.6.7. Char,Legal Level 1.1. Char,L7 Char,Annexe 1 Char,figure caption Char,Renvoi Bleu Char,Edf Titre 7 Char,nul Char"/>
    <w:basedOn w:val="DefaultParagraphFont"/>
    <w:link w:val="Heading7"/>
    <w:uiPriority w:val="9"/>
    <w:rsid w:val="008F33CA"/>
    <w:rPr>
      <w:rFonts w:ascii="Arial" w:hAnsi="Arial"/>
      <w:b/>
      <w:i/>
      <w:sz w:val="22"/>
      <w:szCs w:val="18"/>
      <w:lang w:val="en-GB"/>
    </w:rPr>
  </w:style>
  <w:style w:type="character" w:customStyle="1" w:styleId="Heading8Char">
    <w:name w:val="Heading 8 Char"/>
    <w:aliases w:val="Lev 8 Char,Center Bold Char,action Char,Annexe3 Char,Aston Légende Char,t Char,Text Char, action Char,T8 Char,text Char,Legal Level 1.1.1. Char,Annexe 2 Char,table caption Char,Renvoi Rouge Char,Edf Titre 8 Char,Heading 8 CFMU Char"/>
    <w:basedOn w:val="DefaultParagraphFont"/>
    <w:link w:val="Heading8"/>
    <w:uiPriority w:val="9"/>
    <w:rsid w:val="00053ABD"/>
    <w:rPr>
      <w:rFonts w:ascii="Arial" w:hAnsi="Arial"/>
      <w:sz w:val="18"/>
      <w:szCs w:val="18"/>
      <w:lang w:val="en-GB"/>
    </w:rPr>
  </w:style>
  <w:style w:type="character" w:customStyle="1" w:styleId="Heading9Char">
    <w:name w:val="Heading 9 Char"/>
    <w:aliases w:val="Lev 9 Char,progress Char,Annexe4 Char, progress Char,App Heading Char,Legal Level 1.1.1.1. Char,Annexe 3 Char,Renvoi Vert Char,Edf Titre 9 Char,Heading 9 CFMU Char,Chapitre niveau 9 Char,h9 Char,RFP Reference Char,Do Not Use1 Char"/>
    <w:basedOn w:val="DefaultParagraphFont"/>
    <w:link w:val="Heading9"/>
    <w:uiPriority w:val="9"/>
    <w:rsid w:val="00053ABD"/>
    <w:rPr>
      <w:rFonts w:ascii="Arial" w:hAnsi="Arial"/>
      <w:sz w:val="18"/>
      <w:szCs w:val="18"/>
      <w:lang w:val="en-GB"/>
    </w:rPr>
  </w:style>
  <w:style w:type="character" w:customStyle="1" w:styleId="EmailStyle103">
    <w:name w:val="EmailStyle103"/>
    <w:basedOn w:val="DefaultParagraphFont"/>
    <w:rsid w:val="00053ABD"/>
    <w:rPr>
      <w:rFonts w:cs="Arial"/>
      <w:color w:val="auto"/>
      <w:sz w:val="20"/>
    </w:rPr>
  </w:style>
  <w:style w:type="character" w:customStyle="1" w:styleId="EmailStyle104">
    <w:name w:val="EmailStyle104"/>
    <w:basedOn w:val="DefaultParagraphFont"/>
    <w:rsid w:val="00053ABD"/>
    <w:rPr>
      <w:rFonts w:cs="Arial"/>
      <w:color w:val="auto"/>
      <w:sz w:val="20"/>
    </w:rPr>
  </w:style>
  <w:style w:type="paragraph" w:styleId="BlockText">
    <w:name w:val="Block Text"/>
    <w:basedOn w:val="Normal"/>
    <w:rsid w:val="00053ABD"/>
    <w:pPr>
      <w:spacing w:after="120" w:line="276" w:lineRule="auto"/>
      <w:ind w:left="1440" w:right="1440" w:hanging="3686"/>
      <w:jc w:val="both"/>
    </w:pPr>
    <w:rPr>
      <w:rFonts w:ascii="Calibri" w:eastAsia="Calibri" w:hAnsi="Calibri"/>
      <w:sz w:val="22"/>
      <w:szCs w:val="22"/>
    </w:rPr>
  </w:style>
  <w:style w:type="paragraph" w:styleId="BodyText">
    <w:name w:val="Body Text"/>
    <w:basedOn w:val="Normal"/>
    <w:link w:val="BodyTextChar"/>
    <w:rsid w:val="00053ABD"/>
    <w:pPr>
      <w:spacing w:after="120" w:line="276" w:lineRule="auto"/>
      <w:ind w:left="3686" w:hanging="3686"/>
      <w:jc w:val="both"/>
    </w:pPr>
    <w:rPr>
      <w:rFonts w:ascii="Calibri" w:eastAsia="Calibri" w:hAnsi="Calibri"/>
      <w:sz w:val="22"/>
      <w:szCs w:val="22"/>
    </w:rPr>
  </w:style>
  <w:style w:type="character" w:customStyle="1" w:styleId="BodyTextChar">
    <w:name w:val="Body Text Char"/>
    <w:basedOn w:val="DefaultParagraphFont"/>
    <w:link w:val="BodyText"/>
    <w:rsid w:val="00053ABD"/>
    <w:rPr>
      <w:rFonts w:ascii="Calibri" w:eastAsia="Calibri" w:hAnsi="Calibri"/>
      <w:sz w:val="22"/>
      <w:szCs w:val="22"/>
      <w:lang w:val="en-GB"/>
    </w:rPr>
  </w:style>
  <w:style w:type="paragraph" w:styleId="BodyText2">
    <w:name w:val="Body Text 2"/>
    <w:basedOn w:val="Normal"/>
    <w:link w:val="BodyText2Char"/>
    <w:rsid w:val="00053ABD"/>
    <w:pPr>
      <w:spacing w:after="120" w:line="480" w:lineRule="auto"/>
      <w:ind w:left="3686" w:hanging="3686"/>
      <w:jc w:val="both"/>
    </w:pPr>
    <w:rPr>
      <w:rFonts w:ascii="Calibri" w:eastAsia="Calibri" w:hAnsi="Calibri"/>
      <w:sz w:val="22"/>
      <w:szCs w:val="22"/>
    </w:rPr>
  </w:style>
  <w:style w:type="character" w:customStyle="1" w:styleId="BodyText2Char">
    <w:name w:val="Body Text 2 Char"/>
    <w:basedOn w:val="DefaultParagraphFont"/>
    <w:link w:val="BodyText2"/>
    <w:rsid w:val="00053ABD"/>
    <w:rPr>
      <w:rFonts w:ascii="Calibri" w:eastAsia="Calibri" w:hAnsi="Calibri"/>
      <w:sz w:val="22"/>
      <w:szCs w:val="22"/>
      <w:lang w:val="en-GB"/>
    </w:rPr>
  </w:style>
  <w:style w:type="paragraph" w:styleId="BodyText3">
    <w:name w:val="Body Text 3"/>
    <w:basedOn w:val="Normal"/>
    <w:link w:val="BodyText3Char"/>
    <w:rsid w:val="00053ABD"/>
    <w:pPr>
      <w:spacing w:after="120" w:line="276" w:lineRule="auto"/>
      <w:ind w:left="3686" w:hanging="3686"/>
      <w:jc w:val="both"/>
    </w:pPr>
    <w:rPr>
      <w:rFonts w:ascii="Calibri" w:eastAsia="Calibri" w:hAnsi="Calibri"/>
      <w:sz w:val="16"/>
      <w:szCs w:val="16"/>
    </w:rPr>
  </w:style>
  <w:style w:type="character" w:customStyle="1" w:styleId="BodyText3Char">
    <w:name w:val="Body Text 3 Char"/>
    <w:basedOn w:val="DefaultParagraphFont"/>
    <w:link w:val="BodyText3"/>
    <w:rsid w:val="00053ABD"/>
    <w:rPr>
      <w:rFonts w:ascii="Calibri" w:eastAsia="Calibri" w:hAnsi="Calibri"/>
      <w:sz w:val="16"/>
      <w:szCs w:val="16"/>
      <w:lang w:val="en-GB"/>
    </w:rPr>
  </w:style>
  <w:style w:type="paragraph" w:styleId="BodyTextFirstIndent">
    <w:name w:val="Body Text First Indent"/>
    <w:basedOn w:val="BodyText"/>
    <w:link w:val="BodyTextFirstIndentChar"/>
    <w:rsid w:val="00053ABD"/>
    <w:pPr>
      <w:ind w:firstLine="210"/>
    </w:pPr>
  </w:style>
  <w:style w:type="character" w:customStyle="1" w:styleId="BodyTextFirstIndentChar">
    <w:name w:val="Body Text First Indent Char"/>
    <w:basedOn w:val="BodyTextChar"/>
    <w:link w:val="BodyTextFirstIndent"/>
    <w:rsid w:val="00053ABD"/>
    <w:rPr>
      <w:rFonts w:ascii="Calibri" w:eastAsia="Calibri" w:hAnsi="Calibri"/>
      <w:sz w:val="22"/>
      <w:szCs w:val="22"/>
      <w:lang w:val="en-GB"/>
    </w:rPr>
  </w:style>
  <w:style w:type="paragraph" w:styleId="BodyTextIndent">
    <w:name w:val="Body Text Indent"/>
    <w:basedOn w:val="Normal"/>
    <w:link w:val="BodyTextIndentChar"/>
    <w:rsid w:val="00053ABD"/>
    <w:pPr>
      <w:spacing w:after="120" w:line="276" w:lineRule="auto"/>
      <w:ind w:left="283" w:hanging="3686"/>
      <w:jc w:val="both"/>
    </w:pPr>
    <w:rPr>
      <w:rFonts w:ascii="Calibri" w:eastAsia="Calibri" w:hAnsi="Calibri"/>
      <w:sz w:val="22"/>
      <w:szCs w:val="22"/>
    </w:rPr>
  </w:style>
  <w:style w:type="character" w:customStyle="1" w:styleId="BodyTextIndentChar">
    <w:name w:val="Body Text Indent Char"/>
    <w:basedOn w:val="DefaultParagraphFont"/>
    <w:link w:val="BodyTextIndent"/>
    <w:rsid w:val="00053ABD"/>
    <w:rPr>
      <w:rFonts w:ascii="Calibri" w:eastAsia="Calibri" w:hAnsi="Calibri"/>
      <w:sz w:val="22"/>
      <w:szCs w:val="22"/>
      <w:lang w:val="en-GB"/>
    </w:rPr>
  </w:style>
  <w:style w:type="paragraph" w:styleId="BodyTextFirstIndent2">
    <w:name w:val="Body Text First Indent 2"/>
    <w:basedOn w:val="BodyTextIndent"/>
    <w:link w:val="BodyTextFirstIndent2Char"/>
    <w:rsid w:val="00053ABD"/>
    <w:pPr>
      <w:ind w:firstLine="210"/>
    </w:pPr>
  </w:style>
  <w:style w:type="character" w:customStyle="1" w:styleId="BodyTextFirstIndent2Char">
    <w:name w:val="Body Text First Indent 2 Char"/>
    <w:basedOn w:val="BodyTextIndentChar"/>
    <w:link w:val="BodyTextFirstIndent2"/>
    <w:rsid w:val="00053ABD"/>
    <w:rPr>
      <w:rFonts w:ascii="Calibri" w:eastAsia="Calibri" w:hAnsi="Calibri"/>
      <w:sz w:val="22"/>
      <w:szCs w:val="22"/>
      <w:lang w:val="en-GB"/>
    </w:rPr>
  </w:style>
  <w:style w:type="paragraph" w:styleId="BodyTextIndent2">
    <w:name w:val="Body Text Indent 2"/>
    <w:basedOn w:val="Normal"/>
    <w:link w:val="BodyTextIndent2Char"/>
    <w:rsid w:val="00053ABD"/>
    <w:pPr>
      <w:spacing w:after="120" w:line="480" w:lineRule="auto"/>
      <w:ind w:left="283" w:hanging="3686"/>
      <w:jc w:val="both"/>
    </w:pPr>
    <w:rPr>
      <w:rFonts w:ascii="Calibri" w:eastAsia="Calibri" w:hAnsi="Calibri"/>
      <w:sz w:val="22"/>
      <w:szCs w:val="22"/>
    </w:rPr>
  </w:style>
  <w:style w:type="character" w:customStyle="1" w:styleId="BodyTextIndent2Char">
    <w:name w:val="Body Text Indent 2 Char"/>
    <w:basedOn w:val="DefaultParagraphFont"/>
    <w:link w:val="BodyTextIndent2"/>
    <w:rsid w:val="00053ABD"/>
    <w:rPr>
      <w:rFonts w:ascii="Calibri" w:eastAsia="Calibri" w:hAnsi="Calibri"/>
      <w:sz w:val="22"/>
      <w:szCs w:val="22"/>
      <w:lang w:val="en-GB"/>
    </w:rPr>
  </w:style>
  <w:style w:type="paragraph" w:styleId="BodyTextIndent3">
    <w:name w:val="Body Text Indent 3"/>
    <w:basedOn w:val="Normal"/>
    <w:link w:val="BodyTextIndent3Char"/>
    <w:rsid w:val="00053ABD"/>
    <w:pPr>
      <w:spacing w:after="120" w:line="276" w:lineRule="auto"/>
      <w:ind w:left="283" w:hanging="3686"/>
      <w:jc w:val="both"/>
    </w:pPr>
    <w:rPr>
      <w:rFonts w:ascii="Calibri" w:eastAsia="Calibri" w:hAnsi="Calibri"/>
      <w:sz w:val="16"/>
      <w:szCs w:val="16"/>
    </w:rPr>
  </w:style>
  <w:style w:type="character" w:customStyle="1" w:styleId="BodyTextIndent3Char">
    <w:name w:val="Body Text Indent 3 Char"/>
    <w:basedOn w:val="DefaultParagraphFont"/>
    <w:link w:val="BodyTextIndent3"/>
    <w:rsid w:val="00053ABD"/>
    <w:rPr>
      <w:rFonts w:ascii="Calibri" w:eastAsia="Calibri" w:hAnsi="Calibri"/>
      <w:sz w:val="16"/>
      <w:szCs w:val="16"/>
      <w:lang w:val="en-GB"/>
    </w:rPr>
  </w:style>
  <w:style w:type="paragraph" w:styleId="Closing">
    <w:name w:val="Closing"/>
    <w:basedOn w:val="Normal"/>
    <w:link w:val="ClosingChar"/>
    <w:rsid w:val="00053ABD"/>
    <w:pPr>
      <w:spacing w:line="276" w:lineRule="auto"/>
      <w:ind w:left="4252" w:hanging="3686"/>
      <w:jc w:val="both"/>
    </w:pPr>
    <w:rPr>
      <w:rFonts w:ascii="Calibri" w:eastAsia="Calibri" w:hAnsi="Calibri"/>
      <w:sz w:val="22"/>
      <w:szCs w:val="22"/>
    </w:rPr>
  </w:style>
  <w:style w:type="character" w:customStyle="1" w:styleId="ClosingChar">
    <w:name w:val="Closing Char"/>
    <w:basedOn w:val="DefaultParagraphFont"/>
    <w:link w:val="Closing"/>
    <w:rsid w:val="00053ABD"/>
    <w:rPr>
      <w:rFonts w:ascii="Calibri" w:eastAsia="Calibri" w:hAnsi="Calibri"/>
      <w:sz w:val="22"/>
      <w:szCs w:val="22"/>
      <w:lang w:val="en-GB"/>
    </w:rPr>
  </w:style>
  <w:style w:type="paragraph" w:styleId="E-mailSignature">
    <w:name w:val="E-mail Signature"/>
    <w:basedOn w:val="Normal"/>
    <w:link w:val="E-mailSignatureChar"/>
    <w:rsid w:val="00053ABD"/>
    <w:pPr>
      <w:spacing w:line="276" w:lineRule="auto"/>
      <w:ind w:left="3686" w:hanging="3686"/>
      <w:jc w:val="both"/>
    </w:pPr>
    <w:rPr>
      <w:rFonts w:ascii="Calibri" w:eastAsia="Calibri" w:hAnsi="Calibri"/>
      <w:sz w:val="22"/>
      <w:szCs w:val="22"/>
    </w:rPr>
  </w:style>
  <w:style w:type="character" w:customStyle="1" w:styleId="E-mailSignatureChar">
    <w:name w:val="E-mail Signature Char"/>
    <w:basedOn w:val="DefaultParagraphFont"/>
    <w:link w:val="E-mailSignature"/>
    <w:rsid w:val="00053ABD"/>
    <w:rPr>
      <w:rFonts w:ascii="Calibri" w:eastAsia="Calibri" w:hAnsi="Calibri"/>
      <w:sz w:val="22"/>
      <w:szCs w:val="22"/>
      <w:lang w:val="en-GB"/>
    </w:rPr>
  </w:style>
  <w:style w:type="character" w:styleId="EndnoteReference">
    <w:name w:val="endnote reference"/>
    <w:basedOn w:val="DefaultParagraphFont"/>
    <w:rsid w:val="00053ABD"/>
    <w:rPr>
      <w:vertAlign w:val="superscript"/>
    </w:rPr>
  </w:style>
  <w:style w:type="paragraph" w:styleId="EndnoteText">
    <w:name w:val="endnote text"/>
    <w:basedOn w:val="Normal"/>
    <w:link w:val="EndnoteTextChar"/>
    <w:rsid w:val="00053ABD"/>
    <w:pPr>
      <w:spacing w:line="276" w:lineRule="auto"/>
      <w:ind w:left="3686" w:hanging="3686"/>
      <w:jc w:val="both"/>
    </w:pPr>
    <w:rPr>
      <w:rFonts w:ascii="Calibri" w:eastAsia="Calibri" w:hAnsi="Calibri"/>
      <w:sz w:val="22"/>
      <w:szCs w:val="22"/>
    </w:rPr>
  </w:style>
  <w:style w:type="character" w:customStyle="1" w:styleId="EndnoteTextChar">
    <w:name w:val="Endnote Text Char"/>
    <w:basedOn w:val="DefaultParagraphFont"/>
    <w:link w:val="EndnoteText"/>
    <w:rsid w:val="00053ABD"/>
    <w:rPr>
      <w:rFonts w:ascii="Calibri" w:eastAsia="Calibri" w:hAnsi="Calibri"/>
      <w:sz w:val="22"/>
      <w:szCs w:val="22"/>
      <w:lang w:val="en-GB"/>
    </w:rPr>
  </w:style>
  <w:style w:type="paragraph" w:styleId="EnvelopeAddress">
    <w:name w:val="envelope address"/>
    <w:basedOn w:val="Normal"/>
    <w:rsid w:val="00053ABD"/>
    <w:pPr>
      <w:framePr w:w="7920" w:h="1980" w:hRule="exact" w:hSpace="180" w:wrap="auto" w:hAnchor="page" w:xAlign="center" w:yAlign="bottom"/>
      <w:spacing w:line="276" w:lineRule="auto"/>
      <w:ind w:left="2880" w:hanging="3686"/>
      <w:jc w:val="both"/>
    </w:pPr>
    <w:rPr>
      <w:rFonts w:ascii="Calibri" w:eastAsia="Calibri" w:hAnsi="Calibri"/>
      <w:sz w:val="24"/>
      <w:szCs w:val="24"/>
    </w:rPr>
  </w:style>
  <w:style w:type="paragraph" w:styleId="EnvelopeReturn">
    <w:name w:val="envelope return"/>
    <w:basedOn w:val="Normal"/>
    <w:rsid w:val="00053ABD"/>
    <w:pPr>
      <w:spacing w:line="276" w:lineRule="auto"/>
      <w:ind w:left="3686" w:hanging="3686"/>
      <w:jc w:val="both"/>
    </w:pPr>
    <w:rPr>
      <w:rFonts w:ascii="Calibri" w:eastAsia="Calibri" w:hAnsi="Calibri"/>
      <w:sz w:val="22"/>
      <w:szCs w:val="22"/>
    </w:rPr>
  </w:style>
  <w:style w:type="character" w:styleId="FollowedHyperlink">
    <w:name w:val="FollowedHyperlink"/>
    <w:basedOn w:val="DefaultParagraphFont"/>
    <w:rsid w:val="00053ABD"/>
    <w:rPr>
      <w:color w:val="800080"/>
      <w:u w:val="single"/>
    </w:rPr>
  </w:style>
  <w:style w:type="character" w:styleId="HTMLAcronym">
    <w:name w:val="HTML Acronym"/>
    <w:basedOn w:val="DefaultParagraphFont"/>
    <w:rsid w:val="00053ABD"/>
  </w:style>
  <w:style w:type="character" w:styleId="HTMLCite">
    <w:name w:val="HTML Cite"/>
    <w:basedOn w:val="DefaultParagraphFont"/>
    <w:rsid w:val="00053ABD"/>
    <w:rPr>
      <w:i/>
      <w:iCs/>
    </w:rPr>
  </w:style>
  <w:style w:type="character" w:styleId="HTMLCode">
    <w:name w:val="HTML Code"/>
    <w:basedOn w:val="DefaultParagraphFont"/>
    <w:rsid w:val="00053ABD"/>
    <w:rPr>
      <w:rFonts w:ascii="Courier New" w:hAnsi="Courier New"/>
      <w:sz w:val="20"/>
      <w:szCs w:val="20"/>
    </w:rPr>
  </w:style>
  <w:style w:type="character" w:styleId="HTMLDefinition">
    <w:name w:val="HTML Definition"/>
    <w:basedOn w:val="DefaultParagraphFont"/>
    <w:rsid w:val="00053ABD"/>
    <w:rPr>
      <w:i/>
      <w:iCs/>
    </w:rPr>
  </w:style>
  <w:style w:type="character" w:styleId="HTMLKeyboard">
    <w:name w:val="HTML Keyboard"/>
    <w:basedOn w:val="DefaultParagraphFont"/>
    <w:rsid w:val="00053ABD"/>
    <w:rPr>
      <w:rFonts w:ascii="Courier New" w:hAnsi="Courier New"/>
      <w:sz w:val="20"/>
      <w:szCs w:val="20"/>
    </w:rPr>
  </w:style>
  <w:style w:type="paragraph" w:styleId="HTMLPreformatted">
    <w:name w:val="HTML Preformatted"/>
    <w:basedOn w:val="Normal"/>
    <w:link w:val="HTMLPreformattedChar"/>
    <w:rsid w:val="00053ABD"/>
    <w:pPr>
      <w:spacing w:line="276" w:lineRule="auto"/>
      <w:ind w:left="3686" w:hanging="3686"/>
      <w:jc w:val="both"/>
    </w:pPr>
    <w:rPr>
      <w:rFonts w:ascii="Calibri" w:eastAsia="Calibri" w:hAnsi="Calibri" w:cs="Courier New"/>
      <w:sz w:val="22"/>
      <w:szCs w:val="22"/>
    </w:rPr>
  </w:style>
  <w:style w:type="character" w:customStyle="1" w:styleId="HTMLPreformattedChar">
    <w:name w:val="HTML Preformatted Char"/>
    <w:basedOn w:val="DefaultParagraphFont"/>
    <w:link w:val="HTMLPreformatted"/>
    <w:rsid w:val="00053ABD"/>
    <w:rPr>
      <w:rFonts w:ascii="Calibri" w:eastAsia="Calibri" w:hAnsi="Calibri" w:cs="Courier New"/>
      <w:sz w:val="22"/>
      <w:szCs w:val="22"/>
      <w:lang w:val="en-GB"/>
    </w:rPr>
  </w:style>
  <w:style w:type="character" w:styleId="HTMLSample">
    <w:name w:val="HTML Sample"/>
    <w:basedOn w:val="DefaultParagraphFont"/>
    <w:rsid w:val="00053ABD"/>
    <w:rPr>
      <w:rFonts w:ascii="Courier New" w:hAnsi="Courier New"/>
    </w:rPr>
  </w:style>
  <w:style w:type="character" w:styleId="HTMLTypewriter">
    <w:name w:val="HTML Typewriter"/>
    <w:basedOn w:val="DefaultParagraphFont"/>
    <w:rsid w:val="00053ABD"/>
    <w:rPr>
      <w:rFonts w:ascii="Courier New" w:hAnsi="Courier New"/>
      <w:sz w:val="20"/>
      <w:szCs w:val="20"/>
    </w:rPr>
  </w:style>
  <w:style w:type="character" w:styleId="HTMLVariable">
    <w:name w:val="HTML Variable"/>
    <w:basedOn w:val="DefaultParagraphFont"/>
    <w:rsid w:val="00053ABD"/>
    <w:rPr>
      <w:i/>
      <w:iCs/>
    </w:rPr>
  </w:style>
  <w:style w:type="paragraph" w:styleId="Index2">
    <w:name w:val="index 2"/>
    <w:basedOn w:val="Normal"/>
    <w:next w:val="Normal"/>
    <w:autoRedefine/>
    <w:rsid w:val="00053ABD"/>
    <w:pPr>
      <w:spacing w:line="276" w:lineRule="auto"/>
      <w:ind w:left="400" w:hanging="200"/>
      <w:jc w:val="both"/>
    </w:pPr>
    <w:rPr>
      <w:rFonts w:ascii="Calibri" w:eastAsia="Calibri" w:hAnsi="Calibri"/>
      <w:sz w:val="22"/>
      <w:szCs w:val="22"/>
    </w:rPr>
  </w:style>
  <w:style w:type="paragraph" w:styleId="Index3">
    <w:name w:val="index 3"/>
    <w:basedOn w:val="Normal"/>
    <w:next w:val="Normal"/>
    <w:autoRedefine/>
    <w:rsid w:val="00053ABD"/>
    <w:pPr>
      <w:spacing w:line="276" w:lineRule="auto"/>
      <w:ind w:left="600" w:hanging="200"/>
      <w:jc w:val="both"/>
    </w:pPr>
    <w:rPr>
      <w:rFonts w:ascii="Calibri" w:eastAsia="Calibri" w:hAnsi="Calibri"/>
      <w:sz w:val="22"/>
      <w:szCs w:val="22"/>
    </w:rPr>
  </w:style>
  <w:style w:type="paragraph" w:styleId="Index4">
    <w:name w:val="index 4"/>
    <w:basedOn w:val="Normal"/>
    <w:next w:val="Normal"/>
    <w:autoRedefine/>
    <w:rsid w:val="00053ABD"/>
    <w:pPr>
      <w:spacing w:line="276" w:lineRule="auto"/>
      <w:ind w:left="800" w:hanging="200"/>
      <w:jc w:val="both"/>
    </w:pPr>
    <w:rPr>
      <w:rFonts w:ascii="Calibri" w:eastAsia="Calibri" w:hAnsi="Calibri"/>
      <w:sz w:val="22"/>
      <w:szCs w:val="22"/>
    </w:rPr>
  </w:style>
  <w:style w:type="paragraph" w:styleId="Index5">
    <w:name w:val="index 5"/>
    <w:basedOn w:val="Normal"/>
    <w:next w:val="Normal"/>
    <w:autoRedefine/>
    <w:rsid w:val="00053ABD"/>
    <w:pPr>
      <w:spacing w:line="276" w:lineRule="auto"/>
      <w:ind w:left="1000" w:hanging="200"/>
      <w:jc w:val="both"/>
    </w:pPr>
    <w:rPr>
      <w:rFonts w:ascii="Calibri" w:eastAsia="Calibri" w:hAnsi="Calibri"/>
      <w:sz w:val="22"/>
      <w:szCs w:val="22"/>
    </w:rPr>
  </w:style>
  <w:style w:type="paragraph" w:styleId="Index6">
    <w:name w:val="index 6"/>
    <w:basedOn w:val="Normal"/>
    <w:next w:val="Normal"/>
    <w:autoRedefine/>
    <w:rsid w:val="00053ABD"/>
    <w:pPr>
      <w:spacing w:line="276" w:lineRule="auto"/>
      <w:ind w:left="1200" w:hanging="200"/>
      <w:jc w:val="both"/>
    </w:pPr>
    <w:rPr>
      <w:rFonts w:ascii="Calibri" w:eastAsia="Calibri" w:hAnsi="Calibri"/>
      <w:sz w:val="22"/>
      <w:szCs w:val="22"/>
    </w:rPr>
  </w:style>
  <w:style w:type="paragraph" w:styleId="Index7">
    <w:name w:val="index 7"/>
    <w:basedOn w:val="Normal"/>
    <w:next w:val="Normal"/>
    <w:autoRedefine/>
    <w:rsid w:val="00053ABD"/>
    <w:pPr>
      <w:spacing w:line="276" w:lineRule="auto"/>
      <w:ind w:left="1400" w:hanging="200"/>
      <w:jc w:val="both"/>
    </w:pPr>
    <w:rPr>
      <w:rFonts w:ascii="Calibri" w:eastAsia="Calibri" w:hAnsi="Calibri"/>
      <w:sz w:val="22"/>
      <w:szCs w:val="22"/>
    </w:rPr>
  </w:style>
  <w:style w:type="paragraph" w:styleId="Index8">
    <w:name w:val="index 8"/>
    <w:basedOn w:val="Normal"/>
    <w:next w:val="Normal"/>
    <w:autoRedefine/>
    <w:rsid w:val="00053ABD"/>
    <w:pPr>
      <w:spacing w:line="276" w:lineRule="auto"/>
      <w:ind w:left="1600" w:hanging="200"/>
      <w:jc w:val="both"/>
    </w:pPr>
    <w:rPr>
      <w:rFonts w:ascii="Calibri" w:eastAsia="Calibri" w:hAnsi="Calibri"/>
      <w:sz w:val="22"/>
      <w:szCs w:val="22"/>
    </w:rPr>
  </w:style>
  <w:style w:type="paragraph" w:styleId="Index9">
    <w:name w:val="index 9"/>
    <w:basedOn w:val="Normal"/>
    <w:next w:val="Normal"/>
    <w:autoRedefine/>
    <w:rsid w:val="00053ABD"/>
    <w:pPr>
      <w:spacing w:line="276" w:lineRule="auto"/>
      <w:ind w:left="1800" w:hanging="200"/>
      <w:jc w:val="both"/>
    </w:pPr>
    <w:rPr>
      <w:rFonts w:ascii="Calibri" w:eastAsia="Calibri" w:hAnsi="Calibri"/>
      <w:sz w:val="22"/>
      <w:szCs w:val="22"/>
    </w:rPr>
  </w:style>
  <w:style w:type="character" w:styleId="LineNumber">
    <w:name w:val="line number"/>
    <w:basedOn w:val="DefaultParagraphFont"/>
    <w:rsid w:val="00053ABD"/>
  </w:style>
  <w:style w:type="paragraph" w:styleId="List">
    <w:name w:val="List"/>
    <w:basedOn w:val="Normal"/>
    <w:rsid w:val="00053ABD"/>
    <w:pPr>
      <w:spacing w:line="276" w:lineRule="auto"/>
      <w:ind w:left="283" w:hanging="283"/>
      <w:jc w:val="both"/>
    </w:pPr>
    <w:rPr>
      <w:rFonts w:ascii="Calibri" w:eastAsia="Calibri" w:hAnsi="Calibri"/>
      <w:sz w:val="22"/>
      <w:szCs w:val="22"/>
    </w:rPr>
  </w:style>
  <w:style w:type="paragraph" w:styleId="List2">
    <w:name w:val="List 2"/>
    <w:basedOn w:val="Normal"/>
    <w:rsid w:val="00053ABD"/>
    <w:pPr>
      <w:spacing w:line="276" w:lineRule="auto"/>
      <w:ind w:left="566" w:hanging="283"/>
      <w:jc w:val="both"/>
    </w:pPr>
    <w:rPr>
      <w:rFonts w:ascii="Calibri" w:eastAsia="Calibri" w:hAnsi="Calibri"/>
      <w:sz w:val="22"/>
      <w:szCs w:val="22"/>
    </w:rPr>
  </w:style>
  <w:style w:type="paragraph" w:styleId="List3">
    <w:name w:val="List 3"/>
    <w:basedOn w:val="Normal"/>
    <w:rsid w:val="00053ABD"/>
    <w:pPr>
      <w:spacing w:line="276" w:lineRule="auto"/>
      <w:ind w:left="849" w:hanging="283"/>
      <w:jc w:val="both"/>
    </w:pPr>
    <w:rPr>
      <w:rFonts w:ascii="Calibri" w:eastAsia="Calibri" w:hAnsi="Calibri"/>
      <w:sz w:val="22"/>
      <w:szCs w:val="22"/>
    </w:rPr>
  </w:style>
  <w:style w:type="paragraph" w:styleId="List4">
    <w:name w:val="List 4"/>
    <w:basedOn w:val="Normal"/>
    <w:rsid w:val="00053ABD"/>
    <w:pPr>
      <w:spacing w:line="276" w:lineRule="auto"/>
      <w:ind w:left="1132" w:hanging="283"/>
      <w:jc w:val="both"/>
    </w:pPr>
    <w:rPr>
      <w:rFonts w:ascii="Calibri" w:eastAsia="Calibri" w:hAnsi="Calibri"/>
      <w:sz w:val="22"/>
      <w:szCs w:val="22"/>
    </w:rPr>
  </w:style>
  <w:style w:type="paragraph" w:styleId="List5">
    <w:name w:val="List 5"/>
    <w:basedOn w:val="Normal"/>
    <w:rsid w:val="00053ABD"/>
    <w:pPr>
      <w:spacing w:line="276" w:lineRule="auto"/>
      <w:ind w:left="1415" w:hanging="283"/>
      <w:jc w:val="both"/>
    </w:pPr>
    <w:rPr>
      <w:rFonts w:ascii="Calibri" w:eastAsia="Calibri" w:hAnsi="Calibri"/>
      <w:sz w:val="22"/>
      <w:szCs w:val="22"/>
    </w:rPr>
  </w:style>
  <w:style w:type="paragraph" w:styleId="ListBullet">
    <w:name w:val="List Bullet"/>
    <w:basedOn w:val="Normal"/>
    <w:autoRedefine/>
    <w:rsid w:val="00053ABD"/>
    <w:pPr>
      <w:numPr>
        <w:numId w:val="6"/>
      </w:numPr>
      <w:spacing w:line="276" w:lineRule="auto"/>
      <w:jc w:val="both"/>
    </w:pPr>
    <w:rPr>
      <w:rFonts w:ascii="Calibri" w:eastAsia="Calibri" w:hAnsi="Calibri"/>
      <w:sz w:val="22"/>
      <w:szCs w:val="22"/>
    </w:rPr>
  </w:style>
  <w:style w:type="paragraph" w:styleId="ListBullet2">
    <w:name w:val="List Bullet 2"/>
    <w:basedOn w:val="Normal"/>
    <w:link w:val="ListBullet2Char"/>
    <w:autoRedefine/>
    <w:rsid w:val="00053ABD"/>
    <w:pPr>
      <w:numPr>
        <w:numId w:val="7"/>
      </w:numPr>
      <w:spacing w:line="276" w:lineRule="auto"/>
      <w:jc w:val="both"/>
    </w:pPr>
    <w:rPr>
      <w:rFonts w:ascii="Calibri" w:eastAsia="Calibri" w:hAnsi="Calibri"/>
      <w:sz w:val="22"/>
      <w:szCs w:val="22"/>
    </w:rPr>
  </w:style>
  <w:style w:type="paragraph" w:styleId="ListBullet3">
    <w:name w:val="List Bullet 3"/>
    <w:basedOn w:val="Normal"/>
    <w:autoRedefine/>
    <w:rsid w:val="00053ABD"/>
    <w:pPr>
      <w:numPr>
        <w:numId w:val="8"/>
      </w:numPr>
      <w:spacing w:line="276" w:lineRule="auto"/>
      <w:jc w:val="both"/>
    </w:pPr>
    <w:rPr>
      <w:rFonts w:ascii="Calibri" w:eastAsia="Calibri" w:hAnsi="Calibri"/>
      <w:sz w:val="22"/>
      <w:szCs w:val="22"/>
    </w:rPr>
  </w:style>
  <w:style w:type="paragraph" w:styleId="ListBullet4">
    <w:name w:val="List Bullet 4"/>
    <w:basedOn w:val="Normal"/>
    <w:autoRedefine/>
    <w:rsid w:val="00053ABD"/>
    <w:pPr>
      <w:numPr>
        <w:numId w:val="9"/>
      </w:numPr>
      <w:spacing w:line="276" w:lineRule="auto"/>
      <w:jc w:val="both"/>
    </w:pPr>
    <w:rPr>
      <w:rFonts w:ascii="Calibri" w:eastAsia="Calibri" w:hAnsi="Calibri"/>
      <w:sz w:val="22"/>
      <w:szCs w:val="22"/>
    </w:rPr>
  </w:style>
  <w:style w:type="paragraph" w:styleId="ListContinue">
    <w:name w:val="List Continue"/>
    <w:basedOn w:val="Normal"/>
    <w:rsid w:val="00053ABD"/>
    <w:pPr>
      <w:spacing w:after="120" w:line="276" w:lineRule="auto"/>
      <w:ind w:left="283" w:hanging="3686"/>
      <w:jc w:val="both"/>
    </w:pPr>
    <w:rPr>
      <w:rFonts w:ascii="Calibri" w:eastAsia="Calibri" w:hAnsi="Calibri"/>
      <w:sz w:val="22"/>
      <w:szCs w:val="22"/>
    </w:rPr>
  </w:style>
  <w:style w:type="paragraph" w:styleId="ListContinue2">
    <w:name w:val="List Continue 2"/>
    <w:basedOn w:val="Normal"/>
    <w:rsid w:val="00053ABD"/>
    <w:pPr>
      <w:spacing w:after="120" w:line="276" w:lineRule="auto"/>
      <w:ind w:left="566" w:hanging="3686"/>
      <w:jc w:val="both"/>
    </w:pPr>
    <w:rPr>
      <w:rFonts w:ascii="Calibri" w:eastAsia="Calibri" w:hAnsi="Calibri"/>
      <w:sz w:val="22"/>
      <w:szCs w:val="22"/>
    </w:rPr>
  </w:style>
  <w:style w:type="paragraph" w:styleId="ListContinue3">
    <w:name w:val="List Continue 3"/>
    <w:basedOn w:val="Normal"/>
    <w:rsid w:val="00053ABD"/>
    <w:pPr>
      <w:spacing w:after="120" w:line="276" w:lineRule="auto"/>
      <w:ind w:left="849" w:hanging="3686"/>
      <w:jc w:val="both"/>
    </w:pPr>
    <w:rPr>
      <w:rFonts w:ascii="Calibri" w:eastAsia="Calibri" w:hAnsi="Calibri"/>
      <w:sz w:val="22"/>
      <w:szCs w:val="22"/>
    </w:rPr>
  </w:style>
  <w:style w:type="paragraph" w:styleId="ListContinue4">
    <w:name w:val="List Continue 4"/>
    <w:basedOn w:val="Normal"/>
    <w:rsid w:val="00053ABD"/>
    <w:pPr>
      <w:spacing w:after="120" w:line="276" w:lineRule="auto"/>
      <w:ind w:left="1132" w:hanging="3686"/>
      <w:jc w:val="both"/>
    </w:pPr>
    <w:rPr>
      <w:rFonts w:ascii="Calibri" w:eastAsia="Calibri" w:hAnsi="Calibri"/>
      <w:sz w:val="22"/>
      <w:szCs w:val="22"/>
    </w:rPr>
  </w:style>
  <w:style w:type="paragraph" w:styleId="ListContinue5">
    <w:name w:val="List Continue 5"/>
    <w:basedOn w:val="Normal"/>
    <w:rsid w:val="00053ABD"/>
    <w:pPr>
      <w:spacing w:after="120" w:line="276" w:lineRule="auto"/>
      <w:ind w:left="1415" w:hanging="3686"/>
      <w:jc w:val="both"/>
    </w:pPr>
    <w:rPr>
      <w:rFonts w:ascii="Calibri" w:eastAsia="Calibri" w:hAnsi="Calibri"/>
      <w:sz w:val="22"/>
      <w:szCs w:val="22"/>
    </w:rPr>
  </w:style>
  <w:style w:type="paragraph" w:styleId="ListNumber">
    <w:name w:val="List Number"/>
    <w:basedOn w:val="Normal"/>
    <w:rsid w:val="00053ABD"/>
    <w:pPr>
      <w:numPr>
        <w:numId w:val="10"/>
      </w:numPr>
      <w:spacing w:line="276" w:lineRule="auto"/>
      <w:jc w:val="both"/>
    </w:pPr>
    <w:rPr>
      <w:rFonts w:ascii="Calibri" w:eastAsia="Calibri" w:hAnsi="Calibri"/>
      <w:sz w:val="22"/>
      <w:szCs w:val="22"/>
    </w:rPr>
  </w:style>
  <w:style w:type="paragraph" w:styleId="ListNumber2">
    <w:name w:val="List Number 2"/>
    <w:basedOn w:val="Normal"/>
    <w:rsid w:val="00053ABD"/>
    <w:pPr>
      <w:numPr>
        <w:numId w:val="11"/>
      </w:numPr>
      <w:spacing w:line="276" w:lineRule="auto"/>
      <w:jc w:val="both"/>
    </w:pPr>
    <w:rPr>
      <w:rFonts w:ascii="Calibri" w:eastAsia="Calibri" w:hAnsi="Calibri"/>
      <w:sz w:val="22"/>
      <w:szCs w:val="22"/>
    </w:rPr>
  </w:style>
  <w:style w:type="paragraph" w:styleId="ListNumber3">
    <w:name w:val="List Number 3"/>
    <w:basedOn w:val="Normal"/>
    <w:rsid w:val="00053ABD"/>
    <w:pPr>
      <w:spacing w:line="276" w:lineRule="auto"/>
      <w:jc w:val="both"/>
    </w:pPr>
    <w:rPr>
      <w:rFonts w:ascii="Calibri" w:eastAsia="Calibri" w:hAnsi="Calibri"/>
      <w:sz w:val="22"/>
      <w:szCs w:val="22"/>
    </w:rPr>
  </w:style>
  <w:style w:type="paragraph" w:styleId="ListNumber4">
    <w:name w:val="List Number 4"/>
    <w:basedOn w:val="Normal"/>
    <w:rsid w:val="00053ABD"/>
    <w:pPr>
      <w:numPr>
        <w:numId w:val="12"/>
      </w:numPr>
      <w:spacing w:line="276" w:lineRule="auto"/>
      <w:jc w:val="both"/>
    </w:pPr>
    <w:rPr>
      <w:rFonts w:ascii="Calibri" w:eastAsia="Calibri" w:hAnsi="Calibri"/>
      <w:sz w:val="22"/>
      <w:szCs w:val="22"/>
    </w:rPr>
  </w:style>
  <w:style w:type="paragraph" w:styleId="ListNumber5">
    <w:name w:val="List Number 5"/>
    <w:basedOn w:val="Normal"/>
    <w:rsid w:val="00053ABD"/>
    <w:pPr>
      <w:numPr>
        <w:numId w:val="13"/>
      </w:numPr>
      <w:spacing w:line="276" w:lineRule="auto"/>
      <w:jc w:val="both"/>
    </w:pPr>
    <w:rPr>
      <w:rFonts w:ascii="Calibri" w:eastAsia="Calibri" w:hAnsi="Calibri"/>
      <w:sz w:val="22"/>
      <w:szCs w:val="22"/>
    </w:rPr>
  </w:style>
  <w:style w:type="paragraph" w:styleId="MacroText">
    <w:name w:val="macro"/>
    <w:link w:val="MacroTextChar"/>
    <w:rsid w:val="00053ABD"/>
    <w:pPr>
      <w:tabs>
        <w:tab w:val="left" w:pos="480"/>
        <w:tab w:val="left" w:pos="960"/>
        <w:tab w:val="left" w:pos="1440"/>
        <w:tab w:val="left" w:pos="1920"/>
        <w:tab w:val="left" w:pos="2400"/>
        <w:tab w:val="left" w:pos="2880"/>
        <w:tab w:val="left" w:pos="3360"/>
        <w:tab w:val="left" w:pos="3840"/>
        <w:tab w:val="left" w:pos="4320"/>
      </w:tabs>
      <w:spacing w:line="264" w:lineRule="auto"/>
      <w:jc w:val="both"/>
    </w:pPr>
    <w:rPr>
      <w:rFonts w:ascii="Arial" w:hAnsi="Arial" w:cs="Courier New"/>
      <w:lang w:val="en-GB"/>
    </w:rPr>
  </w:style>
  <w:style w:type="character" w:customStyle="1" w:styleId="MacroTextChar">
    <w:name w:val="Macro Text Char"/>
    <w:basedOn w:val="DefaultParagraphFont"/>
    <w:link w:val="MacroText"/>
    <w:rsid w:val="00053ABD"/>
    <w:rPr>
      <w:rFonts w:ascii="Arial" w:hAnsi="Arial" w:cs="Courier New"/>
      <w:lang w:val="en-GB"/>
    </w:rPr>
  </w:style>
  <w:style w:type="paragraph" w:styleId="MessageHeader">
    <w:name w:val="Message Header"/>
    <w:basedOn w:val="Normal"/>
    <w:link w:val="MessageHeaderChar"/>
    <w:rsid w:val="00053ABD"/>
    <w:pPr>
      <w:pBdr>
        <w:top w:val="single" w:sz="6" w:space="1" w:color="auto"/>
        <w:left w:val="single" w:sz="6" w:space="1" w:color="auto"/>
        <w:bottom w:val="single" w:sz="6" w:space="1" w:color="auto"/>
        <w:right w:val="single" w:sz="6" w:space="1" w:color="auto"/>
      </w:pBdr>
      <w:shd w:val="pct20" w:color="auto" w:fill="auto"/>
      <w:spacing w:line="276" w:lineRule="auto"/>
      <w:ind w:left="1134" w:hanging="1134"/>
      <w:jc w:val="both"/>
    </w:pPr>
    <w:rPr>
      <w:rFonts w:ascii="Calibri" w:eastAsia="Calibri" w:hAnsi="Calibri"/>
      <w:sz w:val="24"/>
      <w:szCs w:val="24"/>
    </w:rPr>
  </w:style>
  <w:style w:type="character" w:customStyle="1" w:styleId="MessageHeaderChar">
    <w:name w:val="Message Header Char"/>
    <w:basedOn w:val="DefaultParagraphFont"/>
    <w:link w:val="MessageHeader"/>
    <w:rsid w:val="00053ABD"/>
    <w:rPr>
      <w:rFonts w:ascii="Calibri" w:eastAsia="Calibri" w:hAnsi="Calibri"/>
      <w:sz w:val="24"/>
      <w:szCs w:val="24"/>
      <w:shd w:val="pct20" w:color="auto" w:fill="auto"/>
      <w:lang w:val="en-GB"/>
    </w:rPr>
  </w:style>
  <w:style w:type="paragraph" w:styleId="NormalIndent">
    <w:name w:val="Normal Indent"/>
    <w:basedOn w:val="Normal"/>
    <w:rsid w:val="00053ABD"/>
    <w:pPr>
      <w:spacing w:line="276" w:lineRule="auto"/>
      <w:ind w:left="720" w:hanging="3686"/>
      <w:jc w:val="both"/>
    </w:pPr>
    <w:rPr>
      <w:rFonts w:ascii="Calibri" w:eastAsia="Calibri" w:hAnsi="Calibri"/>
      <w:sz w:val="22"/>
      <w:szCs w:val="22"/>
    </w:rPr>
  </w:style>
  <w:style w:type="paragraph" w:styleId="NoteHeading">
    <w:name w:val="Note Heading"/>
    <w:basedOn w:val="Normal"/>
    <w:next w:val="Normal"/>
    <w:link w:val="NoteHeadingChar"/>
    <w:rsid w:val="00053ABD"/>
    <w:pPr>
      <w:spacing w:line="276" w:lineRule="auto"/>
      <w:ind w:left="3686" w:hanging="3686"/>
      <w:jc w:val="both"/>
    </w:pPr>
    <w:rPr>
      <w:rFonts w:ascii="Calibri" w:eastAsia="Calibri" w:hAnsi="Calibri"/>
      <w:sz w:val="22"/>
      <w:szCs w:val="22"/>
    </w:rPr>
  </w:style>
  <w:style w:type="character" w:customStyle="1" w:styleId="NoteHeadingChar">
    <w:name w:val="Note Heading Char"/>
    <w:basedOn w:val="DefaultParagraphFont"/>
    <w:link w:val="NoteHeading"/>
    <w:rsid w:val="00053ABD"/>
    <w:rPr>
      <w:rFonts w:ascii="Calibri" w:eastAsia="Calibri" w:hAnsi="Calibri"/>
      <w:sz w:val="22"/>
      <w:szCs w:val="22"/>
      <w:lang w:val="en-GB"/>
    </w:rPr>
  </w:style>
  <w:style w:type="paragraph" w:styleId="PlainText">
    <w:name w:val="Plain Text"/>
    <w:basedOn w:val="Normal"/>
    <w:link w:val="PlainTextChar"/>
    <w:rsid w:val="00053ABD"/>
    <w:pPr>
      <w:spacing w:line="276" w:lineRule="auto"/>
      <w:ind w:left="3686" w:hanging="3686"/>
      <w:jc w:val="both"/>
    </w:pPr>
    <w:rPr>
      <w:rFonts w:ascii="Calibri" w:eastAsia="Calibri" w:hAnsi="Calibri" w:cs="Courier New"/>
      <w:sz w:val="22"/>
      <w:szCs w:val="22"/>
    </w:rPr>
  </w:style>
  <w:style w:type="character" w:customStyle="1" w:styleId="PlainTextChar">
    <w:name w:val="Plain Text Char"/>
    <w:basedOn w:val="DefaultParagraphFont"/>
    <w:link w:val="PlainText"/>
    <w:rsid w:val="00053ABD"/>
    <w:rPr>
      <w:rFonts w:ascii="Calibri" w:eastAsia="Calibri" w:hAnsi="Calibri" w:cs="Courier New"/>
      <w:sz w:val="22"/>
      <w:szCs w:val="22"/>
      <w:lang w:val="en-GB"/>
    </w:rPr>
  </w:style>
  <w:style w:type="paragraph" w:styleId="Salutation">
    <w:name w:val="Salutation"/>
    <w:basedOn w:val="Normal"/>
    <w:next w:val="Normal"/>
    <w:link w:val="SalutationChar"/>
    <w:rsid w:val="00053ABD"/>
    <w:pPr>
      <w:spacing w:line="276" w:lineRule="auto"/>
      <w:ind w:left="3686" w:hanging="3686"/>
      <w:jc w:val="both"/>
    </w:pPr>
    <w:rPr>
      <w:rFonts w:ascii="Calibri" w:eastAsia="Calibri" w:hAnsi="Calibri"/>
      <w:sz w:val="22"/>
      <w:szCs w:val="22"/>
    </w:rPr>
  </w:style>
  <w:style w:type="character" w:customStyle="1" w:styleId="SalutationChar">
    <w:name w:val="Salutation Char"/>
    <w:basedOn w:val="DefaultParagraphFont"/>
    <w:link w:val="Salutation"/>
    <w:rsid w:val="00053ABD"/>
    <w:rPr>
      <w:rFonts w:ascii="Calibri" w:eastAsia="Calibri" w:hAnsi="Calibri"/>
      <w:sz w:val="22"/>
      <w:szCs w:val="22"/>
      <w:lang w:val="en-GB"/>
    </w:rPr>
  </w:style>
  <w:style w:type="paragraph" w:styleId="Signature">
    <w:name w:val="Signature"/>
    <w:basedOn w:val="Normal"/>
    <w:link w:val="SignatureChar"/>
    <w:rsid w:val="00053ABD"/>
    <w:pPr>
      <w:spacing w:line="276" w:lineRule="auto"/>
      <w:ind w:left="4252" w:hanging="3686"/>
      <w:jc w:val="both"/>
    </w:pPr>
    <w:rPr>
      <w:rFonts w:ascii="Calibri" w:eastAsia="Calibri" w:hAnsi="Calibri"/>
      <w:sz w:val="22"/>
      <w:szCs w:val="22"/>
    </w:rPr>
  </w:style>
  <w:style w:type="character" w:customStyle="1" w:styleId="SignatureChar">
    <w:name w:val="Signature Char"/>
    <w:basedOn w:val="DefaultParagraphFont"/>
    <w:link w:val="Signature"/>
    <w:rsid w:val="00053ABD"/>
    <w:rPr>
      <w:rFonts w:ascii="Calibri" w:eastAsia="Calibri" w:hAnsi="Calibri"/>
      <w:sz w:val="22"/>
      <w:szCs w:val="22"/>
      <w:lang w:val="en-GB"/>
    </w:rPr>
  </w:style>
  <w:style w:type="paragraph" w:styleId="Subtitle">
    <w:name w:val="Subtitle"/>
    <w:basedOn w:val="Normal"/>
    <w:link w:val="SubtitleChar"/>
    <w:qFormat/>
    <w:rsid w:val="00053ABD"/>
    <w:pPr>
      <w:spacing w:after="60" w:line="276" w:lineRule="auto"/>
      <w:ind w:left="3686" w:hanging="3686"/>
      <w:jc w:val="center"/>
      <w:outlineLvl w:val="1"/>
    </w:pPr>
    <w:rPr>
      <w:rFonts w:ascii="Calibri" w:eastAsia="Calibri" w:hAnsi="Calibri"/>
      <w:sz w:val="24"/>
      <w:szCs w:val="24"/>
    </w:rPr>
  </w:style>
  <w:style w:type="character" w:customStyle="1" w:styleId="SubtitleChar">
    <w:name w:val="Subtitle Char"/>
    <w:basedOn w:val="DefaultParagraphFont"/>
    <w:link w:val="Subtitle"/>
    <w:rsid w:val="00053ABD"/>
    <w:rPr>
      <w:rFonts w:ascii="Calibri" w:eastAsia="Calibri" w:hAnsi="Calibri"/>
      <w:sz w:val="24"/>
      <w:szCs w:val="24"/>
      <w:lang w:val="en-GB"/>
    </w:rPr>
  </w:style>
  <w:style w:type="paragraph" w:styleId="TableofAuthorities">
    <w:name w:val="table of authorities"/>
    <w:basedOn w:val="Normal"/>
    <w:next w:val="Normal"/>
    <w:rsid w:val="00053ABD"/>
    <w:pPr>
      <w:spacing w:line="276" w:lineRule="auto"/>
      <w:ind w:left="190" w:hanging="190"/>
      <w:jc w:val="both"/>
    </w:pPr>
    <w:rPr>
      <w:rFonts w:ascii="Calibri" w:eastAsia="Calibri" w:hAnsi="Calibri"/>
      <w:sz w:val="22"/>
      <w:szCs w:val="22"/>
    </w:rPr>
  </w:style>
  <w:style w:type="paragraph" w:styleId="Title">
    <w:name w:val="Title"/>
    <w:basedOn w:val="Normal"/>
    <w:link w:val="TitleChar"/>
    <w:qFormat/>
    <w:rsid w:val="00A021B7"/>
    <w:pPr>
      <w:spacing w:before="240" w:after="60" w:line="276" w:lineRule="auto"/>
      <w:ind w:left="3686" w:hanging="3686"/>
      <w:outlineLvl w:val="0"/>
    </w:pPr>
    <w:rPr>
      <w:rFonts w:eastAsia="Calibri" w:cs="Arial"/>
      <w:b/>
      <w:bCs/>
      <w:kern w:val="28"/>
      <w:sz w:val="22"/>
      <w:szCs w:val="22"/>
    </w:rPr>
  </w:style>
  <w:style w:type="character" w:customStyle="1" w:styleId="TitleChar">
    <w:name w:val="Title Char"/>
    <w:basedOn w:val="DefaultParagraphFont"/>
    <w:link w:val="Title"/>
    <w:rsid w:val="00A021B7"/>
    <w:rPr>
      <w:rFonts w:ascii="Arial" w:eastAsia="Calibri" w:hAnsi="Arial" w:cs="Arial"/>
      <w:b/>
      <w:bCs/>
      <w:kern w:val="28"/>
      <w:sz w:val="22"/>
      <w:szCs w:val="22"/>
      <w:lang w:val="en-GB"/>
    </w:rPr>
  </w:style>
  <w:style w:type="paragraph" w:styleId="TOAHeading">
    <w:name w:val="toa heading"/>
    <w:basedOn w:val="Normal"/>
    <w:next w:val="Normal"/>
    <w:rsid w:val="00053ABD"/>
    <w:pPr>
      <w:spacing w:before="120" w:line="276" w:lineRule="auto"/>
      <w:ind w:left="3686" w:hanging="3686"/>
      <w:jc w:val="both"/>
    </w:pPr>
    <w:rPr>
      <w:rFonts w:ascii="Calibri" w:eastAsia="Calibri" w:hAnsi="Calibri"/>
      <w:b/>
      <w:bCs/>
      <w:sz w:val="24"/>
      <w:szCs w:val="24"/>
    </w:rPr>
  </w:style>
  <w:style w:type="character" w:customStyle="1" w:styleId="google-src-text1">
    <w:name w:val="google-src-text1"/>
    <w:basedOn w:val="DefaultParagraphFont"/>
    <w:rsid w:val="00053ABD"/>
    <w:rPr>
      <w:vanish/>
      <w:webHidden w:val="0"/>
      <w:specVanish w:val="0"/>
    </w:rPr>
  </w:style>
  <w:style w:type="character" w:customStyle="1" w:styleId="hps">
    <w:name w:val="hps"/>
    <w:basedOn w:val="DefaultParagraphFont"/>
    <w:rsid w:val="00053ABD"/>
  </w:style>
  <w:style w:type="character" w:customStyle="1" w:styleId="st1">
    <w:name w:val="st1"/>
    <w:basedOn w:val="DefaultParagraphFont"/>
    <w:rsid w:val="00053ABD"/>
  </w:style>
  <w:style w:type="paragraph" w:customStyle="1" w:styleId="Bullet1">
    <w:name w:val="Bullet 1"/>
    <w:basedOn w:val="Normal"/>
    <w:rsid w:val="00053ABD"/>
    <w:pPr>
      <w:numPr>
        <w:numId w:val="14"/>
      </w:numPr>
      <w:spacing w:after="60" w:line="280" w:lineRule="atLeast"/>
    </w:pPr>
    <w:rPr>
      <w:lang w:val="en-AU"/>
    </w:rPr>
  </w:style>
  <w:style w:type="paragraph" w:customStyle="1" w:styleId="CaptionHeading">
    <w:name w:val="Caption Heading"/>
    <w:next w:val="Caption"/>
    <w:rsid w:val="00053ABD"/>
    <w:pPr>
      <w:spacing w:line="170" w:lineRule="exact"/>
    </w:pPr>
    <w:rPr>
      <w:rFonts w:ascii="Arial" w:hAnsi="Arial"/>
      <w:b/>
      <w:bCs/>
      <w:color w:val="63C1DF"/>
      <w:sz w:val="14"/>
      <w:szCs w:val="28"/>
    </w:rPr>
  </w:style>
  <w:style w:type="character" w:customStyle="1" w:styleId="apple-converted-space">
    <w:name w:val="apple-converted-space"/>
    <w:basedOn w:val="DefaultParagraphFont"/>
    <w:rsid w:val="00053ABD"/>
  </w:style>
  <w:style w:type="paragraph" w:customStyle="1" w:styleId="TableText">
    <w:name w:val="Table Text"/>
    <w:basedOn w:val="Normal"/>
    <w:link w:val="TableTextChar"/>
    <w:qFormat/>
    <w:rsid w:val="00053ABD"/>
    <w:pPr>
      <w:spacing w:line="230" w:lineRule="atLeast"/>
    </w:pPr>
    <w:rPr>
      <w:rFonts w:ascii="Calibri" w:hAnsi="Calibri" w:cs="Calibri"/>
      <w:szCs w:val="20"/>
      <w:lang w:val="en-AU"/>
    </w:rPr>
  </w:style>
  <w:style w:type="paragraph" w:customStyle="1" w:styleId="TableSolidFillH1">
    <w:name w:val="Table Solid Fill H1"/>
    <w:basedOn w:val="Normal"/>
    <w:link w:val="TableSolidFillH1Char"/>
    <w:rsid w:val="00053ABD"/>
    <w:pPr>
      <w:spacing w:line="230" w:lineRule="atLeast"/>
    </w:pPr>
    <w:rPr>
      <w:rFonts w:ascii="Calibri" w:hAnsi="Calibri" w:cs="Calibri"/>
      <w:b/>
      <w:szCs w:val="20"/>
      <w:lang w:val="en-AU"/>
    </w:rPr>
  </w:style>
  <w:style w:type="character" w:customStyle="1" w:styleId="TableSolidFillH1Char">
    <w:name w:val="Table Solid Fill H1 Char"/>
    <w:basedOn w:val="DefaultParagraphFont"/>
    <w:link w:val="TableSolidFillH1"/>
    <w:rsid w:val="00053ABD"/>
    <w:rPr>
      <w:rFonts w:ascii="Calibri" w:hAnsi="Calibri" w:cs="Calibri"/>
      <w:b/>
      <w:sz w:val="18"/>
      <w:lang w:val="en-AU"/>
    </w:rPr>
  </w:style>
  <w:style w:type="character" w:customStyle="1" w:styleId="TableTextChar">
    <w:name w:val="Table Text Char"/>
    <w:basedOn w:val="DefaultParagraphFont"/>
    <w:link w:val="TableText"/>
    <w:rsid w:val="00053ABD"/>
    <w:rPr>
      <w:rFonts w:ascii="Calibri" w:hAnsi="Calibri" w:cs="Calibri"/>
      <w:sz w:val="18"/>
      <w:lang w:val="en-AU"/>
    </w:rPr>
  </w:style>
  <w:style w:type="character" w:customStyle="1" w:styleId="EmailStyle199">
    <w:name w:val="EmailStyle199"/>
    <w:basedOn w:val="DefaultParagraphFont"/>
    <w:rsid w:val="00053ABD"/>
    <w:rPr>
      <w:rFonts w:cs="Arial"/>
      <w:color w:val="auto"/>
      <w:sz w:val="20"/>
    </w:rPr>
  </w:style>
  <w:style w:type="character" w:customStyle="1" w:styleId="EmailStyle200">
    <w:name w:val="EmailStyle200"/>
    <w:basedOn w:val="DefaultParagraphFont"/>
    <w:rsid w:val="00053ABD"/>
    <w:rPr>
      <w:rFonts w:cs="Arial"/>
      <w:color w:val="auto"/>
      <w:sz w:val="20"/>
    </w:rPr>
  </w:style>
  <w:style w:type="character" w:customStyle="1" w:styleId="EmailStyle201">
    <w:name w:val="EmailStyle201"/>
    <w:basedOn w:val="DefaultParagraphFont"/>
    <w:rsid w:val="00053ABD"/>
    <w:rPr>
      <w:rFonts w:cs="Arial"/>
      <w:color w:val="auto"/>
      <w:sz w:val="20"/>
    </w:rPr>
  </w:style>
  <w:style w:type="character" w:customStyle="1" w:styleId="EmailStyle202">
    <w:name w:val="EmailStyle202"/>
    <w:basedOn w:val="DefaultParagraphFont"/>
    <w:rsid w:val="00053ABD"/>
    <w:rPr>
      <w:rFonts w:cs="Arial"/>
      <w:color w:val="auto"/>
      <w:sz w:val="20"/>
    </w:rPr>
  </w:style>
  <w:style w:type="paragraph" w:customStyle="1" w:styleId="ListParagraph1">
    <w:name w:val="List Paragraph1"/>
    <w:basedOn w:val="Normal"/>
    <w:qFormat/>
    <w:rsid w:val="00053ABD"/>
    <w:pPr>
      <w:spacing w:after="200" w:line="276" w:lineRule="auto"/>
      <w:ind w:left="720"/>
    </w:pPr>
    <w:rPr>
      <w:rFonts w:eastAsia="Calibri"/>
      <w:sz w:val="22"/>
      <w:szCs w:val="22"/>
      <w:lang w:val="en-US"/>
    </w:rPr>
  </w:style>
  <w:style w:type="paragraph" w:customStyle="1" w:styleId="xl65">
    <w:name w:val="xl65"/>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6">
    <w:name w:val="xl66"/>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7">
    <w:name w:val="xl6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8">
    <w:name w:val="xl68"/>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69">
    <w:name w:val="xl69"/>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0">
    <w:name w:val="xl70"/>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1">
    <w:name w:val="xl71"/>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2">
    <w:name w:val="xl72"/>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3">
    <w:name w:val="xl73"/>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4">
    <w:name w:val="xl74"/>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5">
    <w:name w:val="xl75"/>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6">
    <w:name w:val="xl76"/>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7">
    <w:name w:val="xl77"/>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8">
    <w:name w:val="xl78"/>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9">
    <w:name w:val="xl79"/>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80">
    <w:name w:val="xl80"/>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1">
    <w:name w:val="xl81"/>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2">
    <w:name w:val="xl8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3">
    <w:name w:val="xl83"/>
    <w:basedOn w:val="Normal"/>
    <w:rsid w:val="004F14DF"/>
    <w:pPr>
      <w:pBdr>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4">
    <w:name w:val="xl84"/>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5">
    <w:name w:val="xl85"/>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6">
    <w:name w:val="xl86"/>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7">
    <w:name w:val="xl8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8">
    <w:name w:val="xl88"/>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9">
    <w:name w:val="xl89"/>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0">
    <w:name w:val="xl9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1">
    <w:name w:val="xl91"/>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2">
    <w:name w:val="xl92"/>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3">
    <w:name w:val="xl9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94">
    <w:name w:val="xl94"/>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5">
    <w:name w:val="xl95"/>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6">
    <w:name w:val="xl96"/>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7">
    <w:name w:val="xl97"/>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8">
    <w:name w:val="xl98"/>
    <w:basedOn w:val="Normal"/>
    <w:rsid w:val="004F14DF"/>
    <w:pPr>
      <w:pBdr>
        <w:left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99">
    <w:name w:val="xl99"/>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100">
    <w:name w:val="xl10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1">
    <w:name w:val="xl101"/>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2">
    <w:name w:val="xl10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sz w:val="20"/>
      <w:szCs w:val="20"/>
      <w:lang w:eastAsia="en-GB"/>
    </w:rPr>
  </w:style>
  <w:style w:type="paragraph" w:customStyle="1" w:styleId="xl103">
    <w:name w:val="xl10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104">
    <w:name w:val="xl104"/>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table" w:styleId="TableClassic1">
    <w:name w:val="Table Classic 1"/>
    <w:basedOn w:val="TableNormal"/>
    <w:rsid w:val="009D72F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NBody">
    <w:name w:val="TN_Body"/>
    <w:basedOn w:val="Normal"/>
    <w:link w:val="TNBodyChar"/>
    <w:qFormat/>
    <w:rsid w:val="009D72F1"/>
    <w:pPr>
      <w:tabs>
        <w:tab w:val="left" w:pos="567"/>
      </w:tabs>
      <w:spacing w:after="120" w:line="264" w:lineRule="auto"/>
      <w:jc w:val="both"/>
    </w:pPr>
    <w:rPr>
      <w:sz w:val="20"/>
      <w:szCs w:val="20"/>
    </w:rPr>
  </w:style>
  <w:style w:type="paragraph" w:customStyle="1" w:styleId="TNBullet">
    <w:name w:val="TN_Bullet"/>
    <w:basedOn w:val="TNBody"/>
    <w:link w:val="TNBulletChar"/>
    <w:qFormat/>
    <w:rsid w:val="009D72F1"/>
    <w:pPr>
      <w:numPr>
        <w:numId w:val="15"/>
      </w:numPr>
      <w:tabs>
        <w:tab w:val="clear" w:pos="567"/>
        <w:tab w:val="left" w:pos="851"/>
      </w:tabs>
      <w:spacing w:after="0"/>
    </w:pPr>
  </w:style>
  <w:style w:type="character" w:customStyle="1" w:styleId="TNBodyChar">
    <w:name w:val="TN_Body Char"/>
    <w:basedOn w:val="DefaultParagraphFont"/>
    <w:link w:val="TNBody"/>
    <w:rsid w:val="009D72F1"/>
    <w:rPr>
      <w:rFonts w:ascii="Arial" w:hAnsi="Arial"/>
      <w:lang w:val="en-GB"/>
    </w:rPr>
  </w:style>
  <w:style w:type="character" w:customStyle="1" w:styleId="TNBulletChar">
    <w:name w:val="TN_Bullet Char"/>
    <w:basedOn w:val="TNBodyChar"/>
    <w:link w:val="TNBullet"/>
    <w:rsid w:val="009D72F1"/>
    <w:rPr>
      <w:rFonts w:ascii="Arial" w:hAnsi="Arial"/>
      <w:lang w:val="en-GB"/>
    </w:rPr>
  </w:style>
  <w:style w:type="paragraph" w:customStyle="1" w:styleId="Normal63left">
    <w:name w:val="Normal 6:3 left"/>
    <w:rsid w:val="00AE0228"/>
    <w:pPr>
      <w:spacing w:before="120" w:after="60" w:line="264" w:lineRule="auto"/>
      <w:ind w:left="28" w:right="28"/>
    </w:pPr>
    <w:rPr>
      <w:rFonts w:ascii="Arial" w:hAnsi="Arial"/>
      <w:noProof/>
      <w:lang w:val="en-GB"/>
    </w:rPr>
  </w:style>
  <w:style w:type="paragraph" w:customStyle="1" w:styleId="Bold63Left">
    <w:name w:val="Bold 6:3 Left"/>
    <w:rsid w:val="00AE0228"/>
    <w:pPr>
      <w:spacing w:before="120" w:after="60" w:line="264" w:lineRule="auto"/>
      <w:ind w:left="28" w:right="28"/>
    </w:pPr>
    <w:rPr>
      <w:rFonts w:ascii="Arial" w:hAnsi="Arial"/>
      <w:b/>
      <w:noProof/>
      <w:lang w:val="en-GB"/>
    </w:rPr>
  </w:style>
  <w:style w:type="paragraph" w:customStyle="1" w:styleId="Bold63Right">
    <w:name w:val="Bold 6:3 Right"/>
    <w:rsid w:val="00AE0228"/>
    <w:pPr>
      <w:spacing w:before="120" w:after="60" w:line="264" w:lineRule="auto"/>
      <w:ind w:left="28" w:right="28"/>
      <w:jc w:val="right"/>
    </w:pPr>
    <w:rPr>
      <w:rFonts w:ascii="Arial" w:hAnsi="Arial"/>
      <w:b/>
      <w:noProof/>
      <w:lang w:val="en-GB"/>
    </w:rPr>
  </w:style>
  <w:style w:type="paragraph" w:customStyle="1" w:styleId="TNHeading1">
    <w:name w:val="TN_Heading1"/>
    <w:basedOn w:val="Normal"/>
    <w:link w:val="TNHeading1Char"/>
    <w:qFormat/>
    <w:rsid w:val="00AE0228"/>
    <w:pPr>
      <w:numPr>
        <w:numId w:val="16"/>
      </w:numPr>
      <w:tabs>
        <w:tab w:val="left" w:pos="567"/>
      </w:tabs>
      <w:spacing w:line="264" w:lineRule="auto"/>
      <w:ind w:left="567" w:hanging="567"/>
      <w:jc w:val="both"/>
    </w:pPr>
    <w:rPr>
      <w:b/>
      <w:sz w:val="20"/>
      <w:szCs w:val="20"/>
    </w:rPr>
  </w:style>
  <w:style w:type="character" w:customStyle="1" w:styleId="TNHeading1Char">
    <w:name w:val="TN_Heading1 Char"/>
    <w:basedOn w:val="DefaultParagraphFont"/>
    <w:link w:val="TNHeading1"/>
    <w:rsid w:val="00AE0228"/>
    <w:rPr>
      <w:rFonts w:ascii="Arial" w:hAnsi="Arial"/>
      <w:b/>
      <w:lang w:val="en-GB"/>
    </w:rPr>
  </w:style>
  <w:style w:type="character" w:styleId="IntenseEmphasis">
    <w:name w:val="Intense Emphasis"/>
    <w:basedOn w:val="DefaultParagraphFont"/>
    <w:uiPriority w:val="21"/>
    <w:qFormat/>
    <w:rsid w:val="00AE0228"/>
    <w:rPr>
      <w:b/>
      <w:bCs/>
      <w:i/>
      <w:iCs/>
      <w:color w:val="4F81BD" w:themeColor="accent1"/>
    </w:rPr>
  </w:style>
  <w:style w:type="character" w:customStyle="1" w:styleId="Heading2Char1">
    <w:name w:val="Heading 2 Char1"/>
    <w:aliases w:val="Oscar Faber 2 Char1,Arial 12 Fett Kursiv Char,ASAPHeading 2 Char,Chapter Title Char,R&amp;S - Titre 2 Char,tt Char,Fonctionnalité Char,Titre 21 Char,t2.T2 Char,Table2 Char,H2 Char,heading 2 Char,Heading 2 Hidden Char,header 2 Char,h2 Char"/>
    <w:basedOn w:val="DefaultParagraphFont"/>
    <w:rsid w:val="00EE64B9"/>
    <w:rPr>
      <w:rFonts w:asciiTheme="majorHAnsi" w:eastAsiaTheme="majorEastAsia" w:hAnsiTheme="majorHAnsi" w:cstheme="majorBidi"/>
      <w:b/>
      <w:bCs/>
      <w:color w:val="4F81BD" w:themeColor="accent1"/>
      <w:sz w:val="26"/>
      <w:szCs w:val="26"/>
      <w:lang w:val="en-GB"/>
    </w:rPr>
  </w:style>
  <w:style w:type="character" w:customStyle="1" w:styleId="Heading1Char1">
    <w:name w:val="Heading 1 Char1"/>
    <w:aliases w:val="Titre a Char,Titre 11 Char,t1.T1.Titre 1 Char,t1 Char,Titre1 Char,stydde Char,Arial 14 Fett Char,Arial 14 Fett1 Char,Arial 14 Fett2 Char,ASAPHeading 1 Char,H1 Char1,h1 Char,app heading 1 Char,ITT t1 Char,II+ Char,I Char,H11 Char,H12 Char"/>
    <w:locked/>
    <w:rsid w:val="008B7CC2"/>
    <w:rPr>
      <w:rFonts w:ascii="Arial Narrow" w:eastAsia="Times New Roman" w:hAnsi="Arial Narrow" w:cs="Arial Narrow"/>
      <w:b/>
      <w:bCs/>
      <w:caps/>
      <w:color w:val="FFFFFF"/>
      <w:kern w:val="28"/>
      <w:sz w:val="30"/>
      <w:szCs w:val="30"/>
      <w:shd w:val="solid" w:color="008080" w:fill="auto"/>
      <w:lang w:val="fr-FR" w:eastAsia="fr-FR"/>
    </w:rPr>
  </w:style>
  <w:style w:type="character" w:customStyle="1" w:styleId="CaptionChar">
    <w:name w:val="Caption Char"/>
    <w:aliases w:val="Titlu Tabel Char,Map Char Char1,Map Char Char Char,Map Char1,Map Char Char Char Char Char Char,Caption Char Char Car Car Char,Caption Char Char Car Car Car Char,Map Char Char Char Car Car Char,Caption Char Char Char,Caption Char1 Char"/>
    <w:link w:val="Caption"/>
    <w:rsid w:val="008B7CC2"/>
    <w:rPr>
      <w:rFonts w:ascii="Arial" w:hAnsi="Arial"/>
      <w:bCs/>
      <w:sz w:val="18"/>
      <w:szCs w:val="18"/>
      <w:lang w:val="en-GB"/>
    </w:rPr>
  </w:style>
  <w:style w:type="paragraph" w:styleId="NoSpacing">
    <w:name w:val="No Spacing"/>
    <w:link w:val="NoSpacingChar"/>
    <w:uiPriority w:val="1"/>
    <w:qFormat/>
    <w:rsid w:val="008B7CC2"/>
    <w:rPr>
      <w:rFonts w:eastAsia="Calibri"/>
      <w:sz w:val="22"/>
      <w:szCs w:val="22"/>
      <w:lang w:val="ro-RO"/>
    </w:rPr>
  </w:style>
  <w:style w:type="character" w:customStyle="1" w:styleId="NoSpacingChar">
    <w:name w:val="No Spacing Char"/>
    <w:link w:val="NoSpacing"/>
    <w:uiPriority w:val="1"/>
    <w:rsid w:val="008B7CC2"/>
    <w:rPr>
      <w:rFonts w:eastAsia="Calibri"/>
      <w:sz w:val="22"/>
      <w:szCs w:val="22"/>
      <w:lang w:val="ro-RO"/>
    </w:rPr>
  </w:style>
  <w:style w:type="paragraph" w:styleId="TOCHeading">
    <w:name w:val="TOC Heading"/>
    <w:basedOn w:val="Normal"/>
    <w:next w:val="Normal"/>
    <w:uiPriority w:val="39"/>
    <w:qFormat/>
    <w:rsid w:val="008B7CC2"/>
    <w:pPr>
      <w:keepNext/>
      <w:spacing w:before="240" w:after="240"/>
      <w:jc w:val="center"/>
    </w:pPr>
    <w:rPr>
      <w:b/>
      <w:bCs/>
      <w:caps/>
      <w:sz w:val="24"/>
      <w:szCs w:val="24"/>
      <w:lang w:val="ro-RO"/>
    </w:rPr>
  </w:style>
  <w:style w:type="paragraph" w:customStyle="1" w:styleId="StyleMV">
    <w:name w:val="StyleMV"/>
    <w:basedOn w:val="Normal"/>
    <w:link w:val="StyleMVChar"/>
    <w:qFormat/>
    <w:rsid w:val="008B7CC2"/>
    <w:pPr>
      <w:jc w:val="both"/>
    </w:pPr>
    <w:rPr>
      <w:bCs/>
      <w:sz w:val="20"/>
      <w:szCs w:val="16"/>
      <w:lang w:val="ro-RO" w:eastAsia="ro-RO"/>
    </w:rPr>
  </w:style>
  <w:style w:type="character" w:customStyle="1" w:styleId="StyleMVChar">
    <w:name w:val="StyleMV Char"/>
    <w:link w:val="StyleMV"/>
    <w:locked/>
    <w:rsid w:val="008B7CC2"/>
    <w:rPr>
      <w:rFonts w:ascii="Arial" w:hAnsi="Arial"/>
      <w:bCs/>
      <w:szCs w:val="16"/>
      <w:lang w:val="ro-RO" w:eastAsia="ro-RO"/>
    </w:rPr>
  </w:style>
  <w:style w:type="paragraph" w:customStyle="1" w:styleId="Style11">
    <w:name w:val="Style11"/>
    <w:basedOn w:val="Heading2"/>
    <w:link w:val="Style11Char"/>
    <w:qFormat/>
    <w:rsid w:val="008B7CC2"/>
    <w:pPr>
      <w:keepLines/>
      <w:numPr>
        <w:ilvl w:val="2"/>
        <w:numId w:val="28"/>
      </w:numPr>
      <w:tabs>
        <w:tab w:val="left" w:pos="720"/>
      </w:tabs>
      <w:spacing w:before="0" w:line="240" w:lineRule="atLeast"/>
      <w:contextualSpacing/>
    </w:pPr>
    <w:rPr>
      <w:bCs/>
      <w:iCs/>
      <w:color w:val="9C0880"/>
      <w:kern w:val="32"/>
      <w:sz w:val="22"/>
      <w:szCs w:val="28"/>
      <w:lang w:eastAsia="en-GB"/>
    </w:rPr>
  </w:style>
  <w:style w:type="character" w:customStyle="1" w:styleId="Style11Char">
    <w:name w:val="Style11 Char"/>
    <w:link w:val="Style11"/>
    <w:rsid w:val="008B7CC2"/>
    <w:rPr>
      <w:rFonts w:ascii="Arial" w:hAnsi="Arial"/>
      <w:b/>
      <w:bCs/>
      <w:iCs/>
      <w:color w:val="9C0880"/>
      <w:kern w:val="32"/>
      <w:sz w:val="22"/>
      <w:szCs w:val="28"/>
      <w:lang w:val="en-GB" w:eastAsia="en-GB"/>
    </w:rPr>
  </w:style>
  <w:style w:type="paragraph" w:customStyle="1" w:styleId="Listparagraf">
    <w:name w:val="Listă paragraf"/>
    <w:basedOn w:val="Normal"/>
    <w:qFormat/>
    <w:rsid w:val="008B7CC2"/>
    <w:pPr>
      <w:widowControl w:val="0"/>
      <w:spacing w:after="120" w:line="280" w:lineRule="exact"/>
      <w:ind w:left="708"/>
    </w:pPr>
    <w:rPr>
      <w:rFonts w:ascii="Times New Roman" w:hAnsi="Times New Roman"/>
      <w:snapToGrid w:val="0"/>
      <w:sz w:val="24"/>
      <w:szCs w:val="24"/>
    </w:rPr>
  </w:style>
  <w:style w:type="paragraph" w:customStyle="1" w:styleId="Style12">
    <w:name w:val="Style12"/>
    <w:basedOn w:val="Heading3"/>
    <w:link w:val="Style12Char"/>
    <w:qFormat/>
    <w:rsid w:val="008B7CC2"/>
    <w:pPr>
      <w:numPr>
        <w:numId w:val="30"/>
      </w:numPr>
      <w:spacing w:before="0" w:after="120" w:line="276" w:lineRule="auto"/>
      <w:jc w:val="both"/>
    </w:pPr>
    <w:rPr>
      <w:b/>
      <w:kern w:val="28"/>
      <w:sz w:val="22"/>
      <w:szCs w:val="24"/>
      <w:lang w:val="ro-RO"/>
    </w:rPr>
  </w:style>
  <w:style w:type="character" w:customStyle="1" w:styleId="Style12Char">
    <w:name w:val="Style12 Char"/>
    <w:basedOn w:val="Heading3Char"/>
    <w:link w:val="Style12"/>
    <w:rsid w:val="008B7CC2"/>
    <w:rPr>
      <w:rFonts w:ascii="Arial" w:hAnsi="Arial"/>
      <w:b/>
      <w:kern w:val="28"/>
      <w:sz w:val="22"/>
      <w:szCs w:val="24"/>
      <w:lang w:val="ro-RO"/>
    </w:rPr>
  </w:style>
  <w:style w:type="paragraph" w:customStyle="1" w:styleId="Style15">
    <w:name w:val="Style15"/>
    <w:basedOn w:val="Heading1"/>
    <w:link w:val="Style15Char"/>
    <w:qFormat/>
    <w:rsid w:val="008B7CC2"/>
    <w:pPr>
      <w:framePr w:w="0" w:hRule="auto" w:wrap="auto" w:vAnchor="margin" w:hAnchor="text" w:yAlign="inline"/>
      <w:shd w:val="clear" w:color="008080" w:fill="auto"/>
      <w:tabs>
        <w:tab w:val="num" w:pos="1301"/>
      </w:tabs>
      <w:ind w:hanging="851"/>
      <w:jc w:val="center"/>
    </w:pPr>
    <w:rPr>
      <w:rFonts w:cs="Times New Roman"/>
      <w:b/>
      <w:caps/>
      <w:color w:val="9E0880"/>
      <w:szCs w:val="24"/>
      <w:lang w:val="ro-RO" w:eastAsia="fr-FR"/>
    </w:rPr>
  </w:style>
  <w:style w:type="character" w:customStyle="1" w:styleId="Style15Char">
    <w:name w:val="Style15 Char"/>
    <w:link w:val="Style15"/>
    <w:rsid w:val="008B7CC2"/>
    <w:rPr>
      <w:rFonts w:ascii="Arial" w:hAnsi="Arial"/>
      <w:b/>
      <w:bCs/>
      <w:caps/>
      <w:color w:val="9E0880"/>
      <w:kern w:val="28"/>
      <w:sz w:val="30"/>
      <w:szCs w:val="24"/>
      <w:shd w:val="clear" w:color="008080" w:fill="auto"/>
      <w:lang w:val="ro-RO" w:eastAsia="fr-FR"/>
    </w:rPr>
  </w:style>
  <w:style w:type="paragraph" w:customStyle="1" w:styleId="Style17">
    <w:name w:val="Style17"/>
    <w:basedOn w:val="Heading2"/>
    <w:link w:val="Style17Char"/>
    <w:qFormat/>
    <w:rsid w:val="008B7CC2"/>
    <w:pPr>
      <w:keepLines/>
      <w:numPr>
        <w:numId w:val="29"/>
      </w:numPr>
      <w:tabs>
        <w:tab w:val="left" w:pos="720"/>
      </w:tabs>
      <w:spacing w:before="0" w:line="240" w:lineRule="atLeast"/>
      <w:contextualSpacing/>
    </w:pPr>
    <w:rPr>
      <w:bCs/>
      <w:iCs/>
      <w:color w:val="008080"/>
      <w:kern w:val="32"/>
      <w:sz w:val="22"/>
      <w:szCs w:val="28"/>
      <w:lang w:eastAsia="en-GB"/>
    </w:rPr>
  </w:style>
  <w:style w:type="character" w:customStyle="1" w:styleId="Style17Char">
    <w:name w:val="Style17 Char"/>
    <w:link w:val="Style17"/>
    <w:rsid w:val="008B7CC2"/>
    <w:rPr>
      <w:rFonts w:ascii="Arial" w:hAnsi="Arial"/>
      <w:b/>
      <w:bCs/>
      <w:iCs/>
      <w:color w:val="008080"/>
      <w:kern w:val="32"/>
      <w:sz w:val="22"/>
      <w:szCs w:val="28"/>
      <w:lang w:val="en-GB" w:eastAsia="en-GB"/>
    </w:rPr>
  </w:style>
  <w:style w:type="paragraph" w:customStyle="1" w:styleId="Style18">
    <w:name w:val="Style18"/>
    <w:basedOn w:val="Style12"/>
    <w:link w:val="Style18Char"/>
    <w:qFormat/>
    <w:rsid w:val="008B7CC2"/>
    <w:pPr>
      <w:numPr>
        <w:numId w:val="0"/>
      </w:numPr>
    </w:pPr>
    <w:rPr>
      <w:color w:val="000000"/>
    </w:rPr>
  </w:style>
  <w:style w:type="character" w:customStyle="1" w:styleId="Style18Char">
    <w:name w:val="Style18 Char"/>
    <w:link w:val="Style18"/>
    <w:rsid w:val="008B7CC2"/>
    <w:rPr>
      <w:rFonts w:ascii="Arial" w:hAnsi="Arial"/>
      <w:b/>
      <w:color w:val="000000"/>
      <w:kern w:val="28"/>
      <w:sz w:val="22"/>
      <w:szCs w:val="24"/>
      <w:lang w:val="ro-RO"/>
    </w:rPr>
  </w:style>
  <w:style w:type="character" w:customStyle="1" w:styleId="EmailStyle441">
    <w:name w:val="EmailStyle441"/>
    <w:rsid w:val="008B7CC2"/>
    <w:rPr>
      <w:rFonts w:cs="Arial"/>
      <w:color w:val="auto"/>
      <w:sz w:val="20"/>
    </w:rPr>
  </w:style>
  <w:style w:type="character" w:customStyle="1" w:styleId="EmailStyle451">
    <w:name w:val="EmailStyle451"/>
    <w:rsid w:val="008B7CC2"/>
    <w:rPr>
      <w:rFonts w:cs="Arial"/>
      <w:color w:val="auto"/>
      <w:sz w:val="20"/>
    </w:rPr>
  </w:style>
  <w:style w:type="character" w:customStyle="1" w:styleId="hpsatn">
    <w:name w:val="hps atn"/>
    <w:basedOn w:val="DefaultParagraphFont"/>
    <w:rsid w:val="008B7CC2"/>
  </w:style>
  <w:style w:type="character" w:customStyle="1" w:styleId="description">
    <w:name w:val="description"/>
    <w:basedOn w:val="DefaultParagraphFont"/>
    <w:rsid w:val="008B7CC2"/>
  </w:style>
  <w:style w:type="character" w:customStyle="1" w:styleId="highlightedsearchterm">
    <w:name w:val="highlightedsearchterm"/>
    <w:basedOn w:val="DefaultParagraphFont"/>
    <w:rsid w:val="008B7CC2"/>
  </w:style>
  <w:style w:type="character" w:customStyle="1" w:styleId="txtcontact1">
    <w:name w:val="txtcontact1"/>
    <w:rsid w:val="008B7CC2"/>
    <w:rPr>
      <w:rFonts w:ascii="Arial" w:hAnsi="Arial" w:cs="Arial" w:hint="default"/>
      <w:color w:val="595959"/>
      <w:sz w:val="12"/>
      <w:szCs w:val="12"/>
    </w:rPr>
  </w:style>
  <w:style w:type="character" w:customStyle="1" w:styleId="tpa1">
    <w:name w:val="tpa1"/>
    <w:basedOn w:val="DefaultParagraphFont"/>
    <w:rsid w:val="008B7CC2"/>
  </w:style>
  <w:style w:type="character" w:customStyle="1" w:styleId="tal1">
    <w:name w:val="tal1"/>
    <w:basedOn w:val="DefaultParagraphFont"/>
    <w:rsid w:val="008B7CC2"/>
  </w:style>
  <w:style w:type="character" w:customStyle="1" w:styleId="al1">
    <w:name w:val="al1"/>
    <w:uiPriority w:val="99"/>
    <w:rsid w:val="008B7CC2"/>
    <w:rPr>
      <w:b/>
      <w:bCs/>
      <w:color w:val="008F00"/>
    </w:rPr>
  </w:style>
  <w:style w:type="character" w:customStyle="1" w:styleId="do1">
    <w:name w:val="do1"/>
    <w:rsid w:val="008B7CC2"/>
    <w:rPr>
      <w:b/>
      <w:bCs/>
      <w:sz w:val="26"/>
      <w:szCs w:val="26"/>
    </w:rPr>
  </w:style>
  <w:style w:type="character" w:customStyle="1" w:styleId="tpt1">
    <w:name w:val="tpt1"/>
    <w:basedOn w:val="DefaultParagraphFont"/>
    <w:rsid w:val="008B7CC2"/>
  </w:style>
  <w:style w:type="character" w:customStyle="1" w:styleId="li1">
    <w:name w:val="li1"/>
    <w:rsid w:val="008B7CC2"/>
    <w:rPr>
      <w:b/>
      <w:bCs/>
      <w:color w:val="8F0000"/>
    </w:rPr>
  </w:style>
  <w:style w:type="character" w:customStyle="1" w:styleId="tli1">
    <w:name w:val="tli1"/>
    <w:basedOn w:val="DefaultParagraphFont"/>
    <w:rsid w:val="008B7CC2"/>
  </w:style>
  <w:style w:type="character" w:customStyle="1" w:styleId="ar1">
    <w:name w:val="ar1"/>
    <w:uiPriority w:val="99"/>
    <w:rsid w:val="008B7CC2"/>
    <w:rPr>
      <w:b/>
      <w:bCs/>
      <w:color w:val="0000AF"/>
      <w:sz w:val="22"/>
      <w:szCs w:val="22"/>
    </w:rPr>
  </w:style>
  <w:style w:type="paragraph" w:customStyle="1" w:styleId="just1">
    <w:name w:val="just1"/>
    <w:basedOn w:val="Normal"/>
    <w:rsid w:val="008B7CC2"/>
    <w:pPr>
      <w:spacing w:before="111"/>
      <w:jc w:val="both"/>
    </w:pPr>
    <w:rPr>
      <w:rFonts w:cs="Arial"/>
      <w:color w:val="4D4D4D"/>
      <w:sz w:val="17"/>
      <w:szCs w:val="17"/>
      <w:lang w:val="en-US"/>
    </w:rPr>
  </w:style>
  <w:style w:type="paragraph" w:customStyle="1" w:styleId="CharCharCaracterCaracter">
    <w:name w:val="Char Char Caracter Caracter"/>
    <w:basedOn w:val="Normal"/>
    <w:rsid w:val="008B7CC2"/>
    <w:pPr>
      <w:jc w:val="both"/>
    </w:pPr>
    <w:rPr>
      <w:rFonts w:ascii="Times New Roman" w:hAnsi="Times New Roman"/>
      <w:sz w:val="24"/>
      <w:szCs w:val="24"/>
      <w:lang w:val="pl-PL" w:eastAsia="pl-PL"/>
    </w:rPr>
  </w:style>
  <w:style w:type="character" w:customStyle="1" w:styleId="link-pdf">
    <w:name w:val="link-pdf"/>
    <w:basedOn w:val="DefaultParagraphFont"/>
    <w:rsid w:val="008B7CC2"/>
  </w:style>
  <w:style w:type="paragraph" w:customStyle="1" w:styleId="CharCharCaracterCaracter1">
    <w:name w:val="Char Char Caracter Caracter1"/>
    <w:basedOn w:val="Normal"/>
    <w:rsid w:val="008B7CC2"/>
    <w:pPr>
      <w:jc w:val="both"/>
    </w:pPr>
    <w:rPr>
      <w:rFonts w:ascii="Times New Roman" w:hAnsi="Times New Roman"/>
      <w:sz w:val="24"/>
      <w:szCs w:val="24"/>
      <w:lang w:val="pl-PL" w:eastAsia="pl-PL"/>
    </w:rPr>
  </w:style>
  <w:style w:type="table" w:styleId="TableElegant">
    <w:name w:val="Table Elegant"/>
    <w:basedOn w:val="TableNormal"/>
    <w:rsid w:val="008B7CC2"/>
    <w:pPr>
      <w:suppressAutoHyphen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1">
    <w:name w:val="tax1"/>
    <w:rsid w:val="008B7CC2"/>
    <w:rPr>
      <w:b/>
      <w:bCs/>
      <w:sz w:val="26"/>
      <w:szCs w:val="26"/>
    </w:rPr>
  </w:style>
  <w:style w:type="character" w:customStyle="1" w:styleId="atn">
    <w:name w:val="atn"/>
    <w:basedOn w:val="DefaultParagraphFont"/>
    <w:rsid w:val="008B7CC2"/>
  </w:style>
  <w:style w:type="table" w:customStyle="1" w:styleId="TableGrid2">
    <w:name w:val="Table Grid2"/>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8B7CC2"/>
  </w:style>
  <w:style w:type="character" w:customStyle="1" w:styleId="longtext">
    <w:name w:val="long_text"/>
    <w:basedOn w:val="DefaultParagraphFont"/>
    <w:rsid w:val="008B7CC2"/>
  </w:style>
  <w:style w:type="character" w:customStyle="1" w:styleId="separator1">
    <w:name w:val="separator1"/>
    <w:rsid w:val="008B7CC2"/>
    <w:rPr>
      <w:vanish/>
      <w:webHidden w:val="0"/>
      <w:specVanish w:val="0"/>
    </w:rPr>
  </w:style>
  <w:style w:type="character" w:customStyle="1" w:styleId="apple-style-span">
    <w:name w:val="apple-style-span"/>
    <w:basedOn w:val="DefaultParagraphFont"/>
    <w:rsid w:val="008B7CC2"/>
  </w:style>
  <w:style w:type="paragraph" w:customStyle="1" w:styleId="CM1">
    <w:name w:val="CM1"/>
    <w:basedOn w:val="Default"/>
    <w:next w:val="Default"/>
    <w:uiPriority w:val="99"/>
    <w:rsid w:val="008B7CC2"/>
    <w:rPr>
      <w:rFonts w:ascii="EUAlbertina" w:hAnsi="EUAlbertina" w:cs="Times New Roman"/>
      <w:color w:val="auto"/>
      <w:lang w:val="en-US"/>
    </w:rPr>
  </w:style>
  <w:style w:type="paragraph" w:customStyle="1" w:styleId="CM3">
    <w:name w:val="CM3"/>
    <w:basedOn w:val="Default"/>
    <w:next w:val="Default"/>
    <w:uiPriority w:val="99"/>
    <w:rsid w:val="008B7CC2"/>
    <w:rPr>
      <w:rFonts w:ascii="EUAlbertina" w:hAnsi="EUAlbertina" w:cs="Times New Roman"/>
      <w:color w:val="auto"/>
      <w:lang w:val="en-US"/>
    </w:rPr>
  </w:style>
  <w:style w:type="character" w:customStyle="1" w:styleId="pt1">
    <w:name w:val="pt1"/>
    <w:rsid w:val="008B7CC2"/>
    <w:rPr>
      <w:b/>
      <w:bCs/>
      <w:color w:val="8F0000"/>
    </w:rPr>
  </w:style>
  <w:style w:type="character" w:customStyle="1" w:styleId="tar1">
    <w:name w:val="tar1"/>
    <w:rsid w:val="008B7CC2"/>
    <w:rPr>
      <w:b/>
      <w:bCs/>
      <w:sz w:val="22"/>
      <w:szCs w:val="22"/>
    </w:rPr>
  </w:style>
  <w:style w:type="character" w:customStyle="1" w:styleId="shorttext">
    <w:name w:val="short_text"/>
    <w:basedOn w:val="DefaultParagraphFont"/>
    <w:rsid w:val="008B7CC2"/>
  </w:style>
  <w:style w:type="paragraph" w:customStyle="1" w:styleId="Frspaiere1">
    <w:name w:val="Fără spațiere1"/>
    <w:qFormat/>
    <w:rsid w:val="00A96365"/>
    <w:pPr>
      <w:ind w:left="964"/>
    </w:pPr>
    <w:rPr>
      <w:rFonts w:ascii="Calibri" w:eastAsia="Calibri" w:hAnsi="Calibri"/>
      <w:sz w:val="22"/>
      <w:szCs w:val="22"/>
      <w:lang w:bidi="en-US"/>
    </w:rPr>
  </w:style>
  <w:style w:type="paragraph" w:customStyle="1" w:styleId="Listparagraf1">
    <w:name w:val="Listă paragraf1"/>
    <w:basedOn w:val="Normal"/>
    <w:link w:val="ListparagrafCaracter1"/>
    <w:qFormat/>
    <w:rsid w:val="008B7CC2"/>
    <w:pPr>
      <w:suppressAutoHyphens/>
      <w:spacing w:after="200" w:line="276" w:lineRule="auto"/>
      <w:ind w:left="720"/>
      <w:jc w:val="both"/>
    </w:pPr>
    <w:rPr>
      <w:rFonts w:ascii="Cambria" w:hAnsi="Cambria" w:cs="Cambria"/>
      <w:sz w:val="20"/>
      <w:szCs w:val="20"/>
      <w:lang w:bidi="en-US"/>
    </w:rPr>
  </w:style>
  <w:style w:type="character" w:customStyle="1" w:styleId="ListparagrafCaracter1">
    <w:name w:val="Listă paragraf Caracter1"/>
    <w:link w:val="Listparagraf1"/>
    <w:rsid w:val="008B7CC2"/>
    <w:rPr>
      <w:rFonts w:ascii="Cambria" w:hAnsi="Cambria" w:cs="Cambria"/>
      <w:lang w:bidi="en-US"/>
    </w:rPr>
  </w:style>
  <w:style w:type="character" w:customStyle="1" w:styleId="reporttitle">
    <w:name w:val="reporttitle"/>
    <w:basedOn w:val="DefaultParagraphFont"/>
    <w:rsid w:val="008B7CC2"/>
  </w:style>
  <w:style w:type="character" w:customStyle="1" w:styleId="st">
    <w:name w:val="st"/>
    <w:basedOn w:val="DefaultParagraphFont"/>
    <w:rsid w:val="008B7CC2"/>
  </w:style>
  <w:style w:type="paragraph" w:styleId="z-TopofForm">
    <w:name w:val="HTML Top of Form"/>
    <w:basedOn w:val="Normal"/>
    <w:next w:val="Normal"/>
    <w:link w:val="z-TopofFormChar"/>
    <w:hidden/>
    <w:uiPriority w:val="99"/>
    <w:unhideWhenUsed/>
    <w:rsid w:val="008B7CC2"/>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rsid w:val="008B7CC2"/>
    <w:rPr>
      <w:rFonts w:ascii="Arial" w:hAnsi="Arial"/>
      <w:vanish/>
      <w:sz w:val="16"/>
      <w:szCs w:val="16"/>
    </w:rPr>
  </w:style>
  <w:style w:type="character" w:customStyle="1" w:styleId="st-stp1-text1">
    <w:name w:val="st-stp1-text1"/>
    <w:rsid w:val="008B7CC2"/>
    <w:rPr>
      <w:color w:val="222222"/>
    </w:rPr>
  </w:style>
  <w:style w:type="character" w:customStyle="1" w:styleId="jfk-butterbar1">
    <w:name w:val="jfk-butterbar1"/>
    <w:rsid w:val="008B7CC2"/>
    <w:rPr>
      <w:sz w:val="17"/>
      <w:szCs w:val="17"/>
      <w:bdr w:val="single" w:sz="2" w:space="0" w:color="auto" w:frame="1"/>
    </w:rPr>
  </w:style>
  <w:style w:type="character" w:customStyle="1" w:styleId="gt-ft-text1">
    <w:name w:val="gt-ft-text1"/>
    <w:basedOn w:val="DefaultParagraphFont"/>
    <w:rsid w:val="008B7CC2"/>
  </w:style>
  <w:style w:type="paragraph" w:styleId="z-BottomofForm">
    <w:name w:val="HTML Bottom of Form"/>
    <w:basedOn w:val="Normal"/>
    <w:next w:val="Normal"/>
    <w:link w:val="z-BottomofFormChar"/>
    <w:hidden/>
    <w:uiPriority w:val="99"/>
    <w:unhideWhenUsed/>
    <w:rsid w:val="008B7CC2"/>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rsid w:val="008B7CC2"/>
    <w:rPr>
      <w:rFonts w:ascii="Arial" w:hAnsi="Arial"/>
      <w:vanish/>
      <w:sz w:val="16"/>
      <w:szCs w:val="16"/>
    </w:rPr>
  </w:style>
  <w:style w:type="paragraph" w:customStyle="1" w:styleId="NormalArial">
    <w:name w:val="Normal + Arial"/>
    <w:aliases w:val="12 pt,Black,Justified,Condensed by  0,2 pt"/>
    <w:basedOn w:val="Normal"/>
    <w:link w:val="NormalArialChar"/>
    <w:rsid w:val="008B7CC2"/>
    <w:pPr>
      <w:tabs>
        <w:tab w:val="left" w:pos="800"/>
      </w:tabs>
      <w:spacing w:line="360" w:lineRule="auto"/>
      <w:jc w:val="both"/>
    </w:pPr>
    <w:rPr>
      <w:sz w:val="24"/>
      <w:szCs w:val="24"/>
      <w:lang w:val="ro-RO" w:eastAsia="ro-RO"/>
    </w:rPr>
  </w:style>
  <w:style w:type="character" w:customStyle="1" w:styleId="NormalArialChar">
    <w:name w:val="Normal + Arial Char"/>
    <w:aliases w:val="12 pt Char"/>
    <w:link w:val="NormalArial"/>
    <w:rsid w:val="008B7CC2"/>
    <w:rPr>
      <w:rFonts w:ascii="Arial" w:hAnsi="Arial"/>
      <w:sz w:val="24"/>
      <w:szCs w:val="24"/>
      <w:lang w:val="ro-RO" w:eastAsia="ro-RO"/>
    </w:rPr>
  </w:style>
  <w:style w:type="paragraph" w:customStyle="1" w:styleId="CM4">
    <w:name w:val="CM4"/>
    <w:basedOn w:val="Default"/>
    <w:next w:val="Default"/>
    <w:uiPriority w:val="99"/>
    <w:rsid w:val="008B7CC2"/>
    <w:rPr>
      <w:rFonts w:ascii="EUAlbertina" w:hAnsi="EUAlbertina" w:cs="Times New Roman"/>
      <w:color w:val="auto"/>
      <w:lang w:val="en-US"/>
    </w:rPr>
  </w:style>
  <w:style w:type="numbering" w:customStyle="1" w:styleId="NoList1">
    <w:name w:val="No List1"/>
    <w:next w:val="NoList"/>
    <w:uiPriority w:val="99"/>
    <w:semiHidden/>
    <w:unhideWhenUsed/>
    <w:rsid w:val="008B7CC2"/>
  </w:style>
  <w:style w:type="paragraph" w:customStyle="1" w:styleId="subtext">
    <w:name w:val="subtext"/>
    <w:basedOn w:val="Normal"/>
    <w:rsid w:val="008B7CC2"/>
    <w:pPr>
      <w:spacing w:before="100" w:beforeAutospacing="1" w:after="100" w:afterAutospacing="1"/>
      <w:jc w:val="both"/>
    </w:pPr>
    <w:rPr>
      <w:rFonts w:ascii="Times New Roman" w:hAnsi="Times New Roman"/>
      <w:color w:val="000000"/>
      <w:sz w:val="14"/>
      <w:szCs w:val="14"/>
      <w:lang w:val="en-US"/>
    </w:rPr>
  </w:style>
  <w:style w:type="paragraph" w:customStyle="1" w:styleId="formelement">
    <w:name w:val="formelement"/>
    <w:basedOn w:val="Normal"/>
    <w:rsid w:val="008B7CC2"/>
    <w:pPr>
      <w:spacing w:before="100" w:beforeAutospacing="1" w:after="100" w:afterAutospacing="1"/>
      <w:jc w:val="both"/>
    </w:pPr>
    <w:rPr>
      <w:rFonts w:ascii="Times New Roman" w:hAnsi="Times New Roman"/>
      <w:color w:val="000000"/>
      <w:sz w:val="24"/>
      <w:szCs w:val="24"/>
      <w:lang w:val="en-US"/>
    </w:rPr>
  </w:style>
  <w:style w:type="character" w:customStyle="1" w:styleId="ax1">
    <w:name w:val="ax1"/>
    <w:rsid w:val="008B7CC2"/>
    <w:rPr>
      <w:b/>
      <w:bCs/>
      <w:sz w:val="26"/>
      <w:szCs w:val="26"/>
    </w:rPr>
  </w:style>
  <w:style w:type="character" w:customStyle="1" w:styleId="tsp1">
    <w:name w:val="tsp1"/>
    <w:basedOn w:val="DefaultParagraphFont"/>
    <w:rsid w:val="008B7CC2"/>
  </w:style>
  <w:style w:type="character" w:customStyle="1" w:styleId="ListBullet2Char">
    <w:name w:val="List Bullet 2 Char"/>
    <w:link w:val="ListBullet2"/>
    <w:rsid w:val="008B7CC2"/>
    <w:rPr>
      <w:rFonts w:ascii="Calibri" w:eastAsia="Calibri" w:hAnsi="Calibri"/>
      <w:sz w:val="22"/>
      <w:szCs w:val="22"/>
      <w:lang w:val="en-GB"/>
    </w:rPr>
  </w:style>
  <w:style w:type="paragraph" w:styleId="Quote">
    <w:name w:val="Quote"/>
    <w:basedOn w:val="Normal"/>
    <w:next w:val="Normal"/>
    <w:link w:val="QuoteChar"/>
    <w:uiPriority w:val="29"/>
    <w:qFormat/>
    <w:rsid w:val="008B7CC2"/>
    <w:pPr>
      <w:tabs>
        <w:tab w:val="left" w:pos="357"/>
      </w:tabs>
      <w:spacing w:before="200" w:line="276" w:lineRule="auto"/>
      <w:ind w:left="360" w:right="360"/>
      <w:jc w:val="both"/>
    </w:pPr>
    <w:rPr>
      <w:i/>
      <w:iCs/>
      <w:sz w:val="20"/>
      <w:szCs w:val="20"/>
      <w:lang w:val="ro-RO"/>
    </w:rPr>
  </w:style>
  <w:style w:type="character" w:customStyle="1" w:styleId="QuoteChar">
    <w:name w:val="Quote Char"/>
    <w:basedOn w:val="DefaultParagraphFont"/>
    <w:link w:val="Quote"/>
    <w:uiPriority w:val="29"/>
    <w:rsid w:val="008B7CC2"/>
    <w:rPr>
      <w:rFonts w:ascii="Arial" w:hAnsi="Arial"/>
      <w:i/>
      <w:iCs/>
      <w:lang w:val="ro-RO"/>
    </w:rPr>
  </w:style>
  <w:style w:type="paragraph" w:styleId="IntenseQuote">
    <w:name w:val="Intense Quote"/>
    <w:basedOn w:val="Normal"/>
    <w:next w:val="Normal"/>
    <w:link w:val="IntenseQuoteChar"/>
    <w:uiPriority w:val="30"/>
    <w:qFormat/>
    <w:rsid w:val="008B7CC2"/>
    <w:pPr>
      <w:pBdr>
        <w:bottom w:val="single" w:sz="4" w:space="1" w:color="auto"/>
      </w:pBdr>
      <w:tabs>
        <w:tab w:val="left" w:pos="357"/>
      </w:tabs>
      <w:spacing w:before="200" w:after="280" w:line="276" w:lineRule="auto"/>
      <w:ind w:left="1008" w:right="1152"/>
      <w:jc w:val="both"/>
    </w:pPr>
    <w:rPr>
      <w:b/>
      <w:bCs/>
      <w:i/>
      <w:iCs/>
      <w:sz w:val="20"/>
      <w:szCs w:val="20"/>
      <w:lang w:val="ro-RO"/>
    </w:rPr>
  </w:style>
  <w:style w:type="character" w:customStyle="1" w:styleId="IntenseQuoteChar">
    <w:name w:val="Intense Quote Char"/>
    <w:basedOn w:val="DefaultParagraphFont"/>
    <w:link w:val="IntenseQuote"/>
    <w:uiPriority w:val="30"/>
    <w:rsid w:val="008B7CC2"/>
    <w:rPr>
      <w:rFonts w:ascii="Arial" w:hAnsi="Arial"/>
      <w:b/>
      <w:bCs/>
      <w:i/>
      <w:iCs/>
      <w:lang w:val="ro-RO"/>
    </w:rPr>
  </w:style>
  <w:style w:type="character" w:styleId="SubtleEmphasis">
    <w:name w:val="Subtle Emphasis"/>
    <w:uiPriority w:val="19"/>
    <w:qFormat/>
    <w:rsid w:val="008B7CC2"/>
    <w:rPr>
      <w:i/>
      <w:iCs/>
    </w:rPr>
  </w:style>
  <w:style w:type="character" w:styleId="SubtleReference">
    <w:name w:val="Subtle Reference"/>
    <w:uiPriority w:val="31"/>
    <w:qFormat/>
    <w:rsid w:val="008B7CC2"/>
    <w:rPr>
      <w:rFonts w:cs="Arial"/>
      <w:i/>
      <w:szCs w:val="22"/>
      <w:lang w:val="ro-RO"/>
    </w:rPr>
  </w:style>
  <w:style w:type="character" w:styleId="IntenseReference">
    <w:name w:val="Intense Reference"/>
    <w:uiPriority w:val="32"/>
    <w:qFormat/>
    <w:rsid w:val="008B7CC2"/>
    <w:rPr>
      <w:smallCaps/>
      <w:spacing w:val="5"/>
      <w:u w:val="single"/>
    </w:rPr>
  </w:style>
  <w:style w:type="character" w:styleId="BookTitle">
    <w:name w:val="Book Title"/>
    <w:uiPriority w:val="33"/>
    <w:qFormat/>
    <w:rsid w:val="008B7CC2"/>
    <w:rPr>
      <w:i/>
      <w:iCs/>
      <w:smallCaps/>
      <w:spacing w:val="5"/>
    </w:rPr>
  </w:style>
  <w:style w:type="character" w:customStyle="1" w:styleId="ListParagraphChar">
    <w:name w:val="List Paragraph Char"/>
    <w:aliases w:val="List_Paragraph Char,Multilevel para_II Char"/>
    <w:link w:val="ListParagraph"/>
    <w:uiPriority w:val="99"/>
    <w:rsid w:val="008B7CC2"/>
    <w:rPr>
      <w:rFonts w:ascii="Arial" w:hAnsi="Arial" w:cs="Arial"/>
      <w:lang w:val="en-GB"/>
    </w:rPr>
  </w:style>
  <w:style w:type="character" w:customStyle="1" w:styleId="A2">
    <w:name w:val="A2"/>
    <w:uiPriority w:val="99"/>
    <w:rsid w:val="008B7CC2"/>
    <w:rPr>
      <w:color w:val="000000"/>
      <w:sz w:val="22"/>
      <w:szCs w:val="22"/>
    </w:rPr>
  </w:style>
  <w:style w:type="character" w:customStyle="1" w:styleId="plainlinks">
    <w:name w:val="plainlinks"/>
    <w:basedOn w:val="DefaultParagraphFont"/>
    <w:rsid w:val="008B7CC2"/>
  </w:style>
  <w:style w:type="character" w:customStyle="1" w:styleId="latitude">
    <w:name w:val="latitude"/>
    <w:basedOn w:val="DefaultParagraphFont"/>
    <w:rsid w:val="008B7CC2"/>
  </w:style>
  <w:style w:type="character" w:customStyle="1" w:styleId="longitude">
    <w:name w:val="longitude"/>
    <w:basedOn w:val="DefaultParagraphFont"/>
    <w:rsid w:val="008B7CC2"/>
  </w:style>
  <w:style w:type="character" w:customStyle="1" w:styleId="mw-headline">
    <w:name w:val="mw-headline"/>
    <w:basedOn w:val="DefaultParagraphFont"/>
    <w:rsid w:val="008B7CC2"/>
  </w:style>
  <w:style w:type="character" w:customStyle="1" w:styleId="mw-editsection">
    <w:name w:val="mw-editsection"/>
    <w:basedOn w:val="DefaultParagraphFont"/>
    <w:rsid w:val="008B7CC2"/>
  </w:style>
  <w:style w:type="character" w:customStyle="1" w:styleId="mw-editsection-bracket">
    <w:name w:val="mw-editsection-bracket"/>
    <w:basedOn w:val="DefaultParagraphFont"/>
    <w:rsid w:val="008B7CC2"/>
  </w:style>
  <w:style w:type="character" w:customStyle="1" w:styleId="mw-editsection-divider">
    <w:name w:val="mw-editsection-divider"/>
    <w:basedOn w:val="DefaultParagraphFont"/>
    <w:rsid w:val="008B7CC2"/>
  </w:style>
  <w:style w:type="paragraph" w:customStyle="1" w:styleId="astandard3520normal">
    <w:name w:val="a_standard__35__20_normal"/>
    <w:basedOn w:val="Normal"/>
    <w:rsid w:val="008B7CC2"/>
    <w:pPr>
      <w:spacing w:after="120"/>
      <w:ind w:right="57"/>
      <w:jc w:val="both"/>
    </w:pPr>
    <w:rPr>
      <w:rFonts w:ascii="Times New Roman" w:hAnsi="Times New Roman"/>
      <w:sz w:val="24"/>
      <w:szCs w:val="24"/>
      <w:lang w:val="en-US"/>
    </w:rPr>
  </w:style>
  <w:style w:type="character" w:customStyle="1" w:styleId="at4">
    <w:name w:val="a__t4"/>
    <w:basedOn w:val="DefaultParagraphFont"/>
    <w:rsid w:val="008B7CC2"/>
  </w:style>
  <w:style w:type="character" w:customStyle="1" w:styleId="blue">
    <w:name w:val="blue"/>
    <w:basedOn w:val="DefaultParagraphFont"/>
    <w:rsid w:val="008B7CC2"/>
  </w:style>
  <w:style w:type="paragraph" w:customStyle="1" w:styleId="a3520normal">
    <w:name w:val="a___35__20_normal"/>
    <w:basedOn w:val="Normal"/>
    <w:rsid w:val="008B7CC2"/>
    <w:pPr>
      <w:spacing w:before="100" w:beforeAutospacing="1" w:after="100" w:afterAutospacing="1"/>
    </w:pPr>
    <w:rPr>
      <w:rFonts w:ascii="Times New Roman" w:hAnsi="Times New Roman"/>
      <w:sz w:val="24"/>
      <w:szCs w:val="24"/>
      <w:lang w:val="en-US"/>
    </w:rPr>
  </w:style>
  <w:style w:type="paragraph" w:customStyle="1" w:styleId="a3420chapeaup4">
    <w:name w:val="a__34__20_chapeau_p4"/>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5">
    <w:name w:val="a__35__20_normal_p5"/>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6">
    <w:name w:val="a__35__20_normal_p6"/>
    <w:basedOn w:val="Normal"/>
    <w:rsid w:val="008B7CC2"/>
    <w:pPr>
      <w:spacing w:before="100" w:beforeAutospacing="1" w:after="100" w:afterAutospacing="1"/>
    </w:pPr>
    <w:rPr>
      <w:rFonts w:ascii="Times New Roman" w:hAnsi="Times New Roman"/>
      <w:sz w:val="24"/>
      <w:szCs w:val="24"/>
      <w:lang w:val="en-US"/>
    </w:rPr>
  </w:style>
  <w:style w:type="character" w:customStyle="1" w:styleId="at2">
    <w:name w:val="a__t2"/>
    <w:basedOn w:val="DefaultParagraphFont"/>
    <w:rsid w:val="008B7CC2"/>
  </w:style>
  <w:style w:type="character" w:customStyle="1" w:styleId="at3">
    <w:name w:val="a__t3"/>
    <w:basedOn w:val="DefaultParagraphFont"/>
    <w:rsid w:val="008B7CC2"/>
  </w:style>
  <w:style w:type="character" w:customStyle="1" w:styleId="at6">
    <w:name w:val="a__t6"/>
    <w:basedOn w:val="DefaultParagraphFont"/>
    <w:rsid w:val="008B7CC2"/>
  </w:style>
  <w:style w:type="character" w:customStyle="1" w:styleId="at7">
    <w:name w:val="a__t7"/>
    <w:basedOn w:val="DefaultParagraphFont"/>
    <w:rsid w:val="008B7CC2"/>
  </w:style>
  <w:style w:type="character" w:customStyle="1" w:styleId="at8">
    <w:name w:val="a__t8"/>
    <w:basedOn w:val="DefaultParagraphFont"/>
    <w:rsid w:val="008B7CC2"/>
  </w:style>
  <w:style w:type="character" w:customStyle="1" w:styleId="at9">
    <w:name w:val="a__t9"/>
    <w:basedOn w:val="DefaultParagraphFont"/>
    <w:rsid w:val="008B7CC2"/>
  </w:style>
  <w:style w:type="paragraph" w:customStyle="1" w:styleId="asous-titre201p7">
    <w:name w:val="a_sous-titre_20_1_p7"/>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1">
    <w:name w:val="a_standard_sous-titre_20_1"/>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2">
    <w:name w:val="a_standard_sous-titre_20_2"/>
    <w:basedOn w:val="Normal"/>
    <w:rsid w:val="008B7CC2"/>
    <w:pPr>
      <w:spacing w:before="100" w:beforeAutospacing="1" w:after="100" w:afterAutospacing="1"/>
    </w:pPr>
    <w:rPr>
      <w:rFonts w:ascii="Times New Roman" w:hAnsi="Times New Roman"/>
      <w:sz w:val="24"/>
      <w:szCs w:val="24"/>
      <w:lang w:val="en-US"/>
    </w:rPr>
  </w:style>
  <w:style w:type="paragraph" w:customStyle="1" w:styleId="atexte201tiret201">
    <w:name w:val="a_texte_20_1_tiret_20_1"/>
    <w:basedOn w:val="Normal"/>
    <w:rsid w:val="008B7CC2"/>
    <w:pPr>
      <w:spacing w:before="100" w:beforeAutospacing="1" w:after="100" w:afterAutospacing="1"/>
    </w:pPr>
    <w:rPr>
      <w:rFonts w:ascii="Times New Roman" w:hAnsi="Times New Roman"/>
      <w:sz w:val="24"/>
      <w:szCs w:val="24"/>
      <w:lang w:val="en-US"/>
    </w:rPr>
  </w:style>
  <w:style w:type="paragraph" w:customStyle="1" w:styleId="atiret201p8">
    <w:name w:val="a_tiret_20_1_p8"/>
    <w:basedOn w:val="Normal"/>
    <w:rsid w:val="008B7CC2"/>
    <w:pPr>
      <w:spacing w:before="100" w:beforeAutospacing="1" w:after="100" w:afterAutospacing="1"/>
    </w:pPr>
    <w:rPr>
      <w:rFonts w:ascii="Times New Roman" w:hAnsi="Times New Roman"/>
      <w:sz w:val="24"/>
      <w:szCs w:val="24"/>
      <w:lang w:val="en-US"/>
    </w:rPr>
  </w:style>
  <w:style w:type="character" w:customStyle="1" w:styleId="BodyText1">
    <w:name w:val="Body Text1"/>
    <w:rsid w:val="008B7CC2"/>
    <w:rPr>
      <w:rFonts w:ascii="Times New Roman" w:eastAsia="Times New Roman" w:hAnsi="Times New Roman" w:cs="Times New Roman"/>
      <w:b w:val="0"/>
      <w:bCs w:val="0"/>
      <w:i w:val="0"/>
      <w:iCs w:val="0"/>
      <w:smallCaps w:val="0"/>
      <w:strike w:val="0"/>
      <w:spacing w:val="0"/>
      <w:sz w:val="22"/>
      <w:szCs w:val="22"/>
    </w:rPr>
  </w:style>
  <w:style w:type="paragraph" w:customStyle="1" w:styleId="Bodytext10">
    <w:name w:val="Body text (10)"/>
    <w:basedOn w:val="Normal"/>
    <w:rsid w:val="008B7CC2"/>
    <w:pPr>
      <w:shd w:val="clear" w:color="auto" w:fill="FFFFFF"/>
      <w:spacing w:line="202" w:lineRule="exact"/>
    </w:pPr>
    <w:rPr>
      <w:rFonts w:eastAsia="Arial" w:cs="Arial"/>
      <w:spacing w:val="3"/>
      <w:sz w:val="13"/>
      <w:szCs w:val="13"/>
      <w:lang w:eastAsia="en-GB"/>
    </w:rPr>
  </w:style>
  <w:style w:type="paragraph" w:customStyle="1" w:styleId="Bodytext13">
    <w:name w:val="Body text (13)"/>
    <w:basedOn w:val="Normal"/>
    <w:rsid w:val="008B7CC2"/>
    <w:pPr>
      <w:shd w:val="clear" w:color="auto" w:fill="FFFFFF"/>
      <w:spacing w:line="226" w:lineRule="exact"/>
      <w:jc w:val="center"/>
    </w:pPr>
    <w:rPr>
      <w:spacing w:val="10"/>
      <w:sz w:val="16"/>
      <w:szCs w:val="16"/>
      <w:lang w:val="en-US" w:eastAsia="en-GB"/>
    </w:rPr>
  </w:style>
  <w:style w:type="paragraph" w:customStyle="1" w:styleId="Bodytext7">
    <w:name w:val="Body text (7)"/>
    <w:basedOn w:val="Normal"/>
    <w:rsid w:val="008B7CC2"/>
    <w:pPr>
      <w:shd w:val="clear" w:color="auto" w:fill="FFFFFF"/>
      <w:spacing w:after="180" w:line="259" w:lineRule="exact"/>
    </w:pPr>
    <w:rPr>
      <w:spacing w:val="10"/>
      <w:sz w:val="15"/>
      <w:szCs w:val="15"/>
      <w:lang w:eastAsia="en-GB"/>
    </w:rPr>
  </w:style>
  <w:style w:type="paragraph" w:customStyle="1" w:styleId="NotaSursa">
    <w:name w:val="Nota/Sursa"/>
    <w:basedOn w:val="Normal"/>
    <w:qFormat/>
    <w:rsid w:val="008B7CC2"/>
    <w:pPr>
      <w:spacing w:after="120" w:line="240" w:lineRule="atLeast"/>
      <w:jc w:val="both"/>
    </w:pPr>
    <w:rPr>
      <w:i/>
      <w:sz w:val="22"/>
    </w:rPr>
  </w:style>
  <w:style w:type="paragraph" w:customStyle="1" w:styleId="Referinta">
    <w:name w:val="Referinta"/>
    <w:basedOn w:val="NotaSursa"/>
    <w:qFormat/>
    <w:rsid w:val="008B7CC2"/>
    <w:pPr>
      <w:spacing w:after="0"/>
    </w:pPr>
    <w:rPr>
      <w:i w:val="0"/>
    </w:rPr>
  </w:style>
  <w:style w:type="paragraph" w:customStyle="1" w:styleId="Bullet">
    <w:name w:val="Bullet"/>
    <w:basedOn w:val="Normal"/>
    <w:qFormat/>
    <w:rsid w:val="008B7CC2"/>
    <w:pPr>
      <w:numPr>
        <w:numId w:val="31"/>
      </w:numPr>
      <w:spacing w:after="120"/>
      <w:contextualSpacing/>
      <w:jc w:val="both"/>
    </w:pPr>
    <w:rPr>
      <w:sz w:val="22"/>
      <w:szCs w:val="22"/>
      <w:lang w:val="ro-RO"/>
    </w:rPr>
  </w:style>
  <w:style w:type="character" w:customStyle="1" w:styleId="CommentTextChar1">
    <w:name w:val="Comment Text Char1"/>
    <w:uiPriority w:val="99"/>
    <w:rsid w:val="000B5539"/>
    <w:rPr>
      <w:lang w:eastAsia="en-US"/>
    </w:rPr>
  </w:style>
  <w:style w:type="character" w:customStyle="1" w:styleId="CommentSubjectChar1">
    <w:name w:val="Comment Subject Char1"/>
    <w:uiPriority w:val="99"/>
    <w:semiHidden/>
    <w:rsid w:val="000B5539"/>
    <w:rPr>
      <w:b/>
      <w:bCs/>
      <w:lang w:eastAsia="en-US"/>
    </w:rPr>
  </w:style>
  <w:style w:type="character" w:customStyle="1" w:styleId="DocumentMapChar1">
    <w:name w:val="Document Map Char1"/>
    <w:uiPriority w:val="99"/>
    <w:semiHidden/>
    <w:rsid w:val="000B5539"/>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34A"/>
    <w:rPr>
      <w:rFonts w:ascii="Arial" w:hAnsi="Arial"/>
      <w:sz w:val="18"/>
      <w:szCs w:val="18"/>
      <w:lang w:val="en-GB"/>
    </w:rPr>
  </w:style>
  <w:style w:type="paragraph" w:styleId="Heading1">
    <w:name w:val="heading 1"/>
    <w:basedOn w:val="Normal"/>
    <w:next w:val="Body"/>
    <w:link w:val="Heading1Char"/>
    <w:qFormat/>
    <w:rsid w:val="00F70139"/>
    <w:pPr>
      <w:keepNext/>
      <w:framePr w:w="5052" w:h="1264" w:wrap="notBeside" w:vAnchor="page" w:hAnchor="margin" w:y="2088"/>
      <w:spacing w:line="360" w:lineRule="exact"/>
      <w:outlineLvl w:val="0"/>
    </w:pPr>
    <w:rPr>
      <w:rFonts w:cs="Arial"/>
      <w:bCs/>
      <w:kern w:val="28"/>
      <w:sz w:val="30"/>
      <w:szCs w:val="30"/>
    </w:rPr>
  </w:style>
  <w:style w:type="paragraph" w:styleId="Heading2">
    <w:name w:val="heading 2"/>
    <w:aliases w:val="Oscar Faber 2"/>
    <w:basedOn w:val="Normal"/>
    <w:next w:val="Body"/>
    <w:link w:val="Heading2Char"/>
    <w:qFormat/>
    <w:rsid w:val="00F43F62"/>
    <w:pPr>
      <w:keepNext/>
      <w:spacing w:before="120" w:line="230" w:lineRule="exact"/>
      <w:outlineLvl w:val="1"/>
    </w:pPr>
    <w:rPr>
      <w:b/>
    </w:rPr>
  </w:style>
  <w:style w:type="paragraph" w:styleId="Heading3">
    <w:name w:val="heading 3"/>
    <w:basedOn w:val="Normal"/>
    <w:next w:val="Body"/>
    <w:link w:val="Heading3Char"/>
    <w:uiPriority w:val="9"/>
    <w:qFormat/>
    <w:rsid w:val="00F43F62"/>
    <w:pPr>
      <w:keepNext/>
      <w:spacing w:before="120" w:line="230" w:lineRule="exact"/>
      <w:outlineLvl w:val="2"/>
    </w:pPr>
  </w:style>
  <w:style w:type="paragraph" w:styleId="Heading4">
    <w:name w:val="heading 4"/>
    <w:basedOn w:val="Normal"/>
    <w:next w:val="Body"/>
    <w:link w:val="Heading4Char"/>
    <w:uiPriority w:val="9"/>
    <w:qFormat/>
    <w:rsid w:val="00F43F62"/>
    <w:pPr>
      <w:keepNext/>
      <w:spacing w:before="120" w:line="230" w:lineRule="exact"/>
      <w:outlineLvl w:val="3"/>
    </w:pPr>
  </w:style>
  <w:style w:type="paragraph" w:styleId="Heading5">
    <w:name w:val="heading 5"/>
    <w:aliases w:val="Roman list,Lev 5,5 sub-bullet,sb,H5,Titre 1.1111,Aston T5,(Shift Ctrl 5),DO NOT USE_h5,h5,Block Label,T5,Titre5,heading 5,a),NCS-H5,Level 3 - i,Chapitre 1.1.1.1.,niveau 5,Sous-chapitre (niveau 4),Org Heading 3,Titre51,t5,Article,Level 3 - i1,H"/>
    <w:basedOn w:val="Normal"/>
    <w:next w:val="Normal"/>
    <w:link w:val="Heading5Char"/>
    <w:uiPriority w:val="9"/>
    <w:qFormat/>
    <w:rsid w:val="00FF6952"/>
    <w:pPr>
      <w:outlineLvl w:val="4"/>
    </w:pPr>
  </w:style>
  <w:style w:type="paragraph" w:styleId="Heading6">
    <w:name w:val="heading 6"/>
    <w:aliases w:val="subheading 4"/>
    <w:basedOn w:val="Normal"/>
    <w:next w:val="Normal"/>
    <w:link w:val="Heading6Char"/>
    <w:uiPriority w:val="9"/>
    <w:qFormat/>
    <w:rsid w:val="00FF6952"/>
    <w:pPr>
      <w:outlineLvl w:val="5"/>
    </w:pPr>
  </w:style>
  <w:style w:type="paragraph" w:styleId="Heading7">
    <w:name w:val="heading 7"/>
    <w:aliases w:val="letter list,lettered list,Lev 7,H7,Annexe2,Aston T7,(Shift Ctrl 7),T7,1.2.3.4.5.6.7.,Legal Level 1.1.,L7,Annexe 1,figure caption,Renvoi Bleu,Edf Titre 7,Heading 7 CFMU,Chapitre niveau 7,nul,h7,heading 7,Do Not Use3,7,ASAPHeading 7,req3"/>
    <w:basedOn w:val="Normal"/>
    <w:next w:val="Normal"/>
    <w:link w:val="Heading7Char"/>
    <w:uiPriority w:val="9"/>
    <w:qFormat/>
    <w:rsid w:val="008F33CA"/>
    <w:pPr>
      <w:outlineLvl w:val="6"/>
    </w:pPr>
    <w:rPr>
      <w:b/>
      <w:i/>
      <w:sz w:val="22"/>
    </w:rPr>
  </w:style>
  <w:style w:type="paragraph" w:styleId="Heading8">
    <w:name w:val="heading 8"/>
    <w:aliases w:val="Lev 8,Center Bold,action,Annexe3,Aston Légende,t,Text, action,T8,text,Legal Level 1.1.1.,Annexe 2,table caption,Renvoi Rouge,Edf Titre 8,Heading 8 CFMU,Chapitre niveau 8,h8,heading 8,Do Not Use2,Annexe 31,Annexe 32,Annexe 33,Annexe 34"/>
    <w:basedOn w:val="Normal"/>
    <w:next w:val="Normal"/>
    <w:link w:val="Heading8Char"/>
    <w:uiPriority w:val="9"/>
    <w:qFormat/>
    <w:rsid w:val="00FF6952"/>
    <w:pPr>
      <w:outlineLvl w:val="7"/>
    </w:pPr>
  </w:style>
  <w:style w:type="paragraph" w:styleId="Heading9">
    <w:name w:val="heading 9"/>
    <w:aliases w:val="Lev 9,progress,Annexe4, progress,App Heading,Legal Level 1.1.1.1.,Annexe 3,Renvoi Vert,Edf Titre 9,Heading 9 CFMU,Chapitre niveau 9,h9,RFP Reference,Do Not Use1,titre l1c1,titre l1c11,titre l1c12,titre l1c13,titre l1c14,Annexe 4,PIM 9"/>
    <w:basedOn w:val="Normal"/>
    <w:next w:val="Normal"/>
    <w:link w:val="Heading9Char"/>
    <w:uiPriority w:val="9"/>
    <w:qFormat/>
    <w:rsid w:val="00FF695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37704"/>
    <w:pPr>
      <w:tabs>
        <w:tab w:val="left" w:pos="3402"/>
        <w:tab w:val="right" w:pos="10291"/>
      </w:tabs>
      <w:spacing w:line="170" w:lineRule="atLeast"/>
    </w:pPr>
    <w:rPr>
      <w:sz w:val="14"/>
      <w:szCs w:val="14"/>
    </w:rPr>
  </w:style>
  <w:style w:type="paragraph" w:styleId="Footer">
    <w:name w:val="footer"/>
    <w:basedOn w:val="Normal"/>
    <w:link w:val="FooterChar"/>
    <w:rsid w:val="0045713E"/>
    <w:pPr>
      <w:tabs>
        <w:tab w:val="center" w:pos="5148"/>
        <w:tab w:val="right" w:pos="10291"/>
      </w:tabs>
      <w:spacing w:line="170" w:lineRule="atLeast"/>
    </w:pPr>
    <w:rPr>
      <w:sz w:val="14"/>
      <w:szCs w:val="14"/>
    </w:rPr>
  </w:style>
  <w:style w:type="paragraph" w:styleId="TOC1">
    <w:name w:val="toc 1"/>
    <w:basedOn w:val="Normal"/>
    <w:next w:val="Normal"/>
    <w:uiPriority w:val="39"/>
    <w:rsid w:val="00004CB9"/>
    <w:pPr>
      <w:tabs>
        <w:tab w:val="left" w:pos="680"/>
        <w:tab w:val="right" w:leader="dot" w:pos="10291"/>
      </w:tabs>
      <w:spacing w:before="180"/>
      <w:ind w:left="680" w:right="170" w:hanging="680"/>
    </w:pPr>
    <w:rPr>
      <w:b/>
    </w:rPr>
  </w:style>
  <w:style w:type="paragraph" w:styleId="TOC2">
    <w:name w:val="toc 2"/>
    <w:basedOn w:val="Normal"/>
    <w:next w:val="Normal"/>
    <w:uiPriority w:val="39"/>
    <w:rsid w:val="00004CB9"/>
    <w:pPr>
      <w:tabs>
        <w:tab w:val="left" w:pos="680"/>
        <w:tab w:val="right" w:leader="dot" w:pos="10291"/>
      </w:tabs>
      <w:ind w:left="1360" w:right="170" w:hanging="680"/>
    </w:pPr>
  </w:style>
  <w:style w:type="paragraph" w:styleId="TOC3">
    <w:name w:val="toc 3"/>
    <w:basedOn w:val="Normal"/>
    <w:next w:val="Normal"/>
    <w:uiPriority w:val="39"/>
    <w:rsid w:val="00004CB9"/>
    <w:pPr>
      <w:tabs>
        <w:tab w:val="left" w:pos="680"/>
        <w:tab w:val="right" w:leader="dot" w:pos="10291"/>
      </w:tabs>
      <w:ind w:left="1360" w:right="170" w:hanging="680"/>
    </w:pPr>
  </w:style>
  <w:style w:type="paragraph" w:styleId="TOC4">
    <w:name w:val="toc 4"/>
    <w:basedOn w:val="Normal"/>
    <w:next w:val="Normal"/>
    <w:uiPriority w:val="39"/>
    <w:rsid w:val="00FF6952"/>
    <w:pPr>
      <w:ind w:left="510"/>
    </w:pPr>
  </w:style>
  <w:style w:type="paragraph" w:styleId="TOC5">
    <w:name w:val="toc 5"/>
    <w:basedOn w:val="Normal"/>
    <w:next w:val="Normal"/>
    <w:uiPriority w:val="39"/>
    <w:rsid w:val="00FF6952"/>
    <w:pPr>
      <w:ind w:left="680"/>
    </w:pPr>
  </w:style>
  <w:style w:type="paragraph" w:styleId="TOC6">
    <w:name w:val="toc 6"/>
    <w:basedOn w:val="Normal"/>
    <w:next w:val="Normal"/>
    <w:uiPriority w:val="39"/>
    <w:rsid w:val="00FF6952"/>
    <w:pPr>
      <w:ind w:left="850"/>
    </w:pPr>
  </w:style>
  <w:style w:type="paragraph" w:styleId="TOC7">
    <w:name w:val="toc 7"/>
    <w:basedOn w:val="Normal"/>
    <w:next w:val="Normal"/>
    <w:uiPriority w:val="39"/>
    <w:rsid w:val="00FF6952"/>
    <w:pPr>
      <w:ind w:left="1020"/>
    </w:pPr>
  </w:style>
  <w:style w:type="paragraph" w:styleId="TOC8">
    <w:name w:val="toc 8"/>
    <w:basedOn w:val="Normal"/>
    <w:next w:val="Normal"/>
    <w:uiPriority w:val="39"/>
    <w:rsid w:val="00FF6952"/>
    <w:pPr>
      <w:ind w:left="1190"/>
    </w:pPr>
  </w:style>
  <w:style w:type="paragraph" w:styleId="TOC9">
    <w:name w:val="toc 9"/>
    <w:basedOn w:val="Normal"/>
    <w:next w:val="Normal"/>
    <w:uiPriority w:val="39"/>
    <w:rsid w:val="00FF6952"/>
    <w:pPr>
      <w:ind w:left="1360"/>
    </w:pPr>
  </w:style>
  <w:style w:type="character" w:styleId="PageNumber">
    <w:name w:val="page number"/>
    <w:basedOn w:val="DefaultParagraphFont"/>
    <w:rsid w:val="00FF6952"/>
  </w:style>
  <w:style w:type="paragraph" w:customStyle="1" w:styleId="SecDivider0">
    <w:name w:val="_SecDivider"/>
    <w:basedOn w:val="Normal"/>
    <w:next w:val="Body"/>
    <w:rsid w:val="003C1E12"/>
    <w:pPr>
      <w:keepNext/>
      <w:shd w:val="clear" w:color="FFFFFF" w:fill="auto"/>
      <w:tabs>
        <w:tab w:val="left" w:pos="2070"/>
      </w:tabs>
      <w:spacing w:after="360" w:line="360" w:lineRule="exact"/>
      <w:jc w:val="right"/>
    </w:pPr>
    <w:rPr>
      <w:b/>
      <w:color w:val="9E0880"/>
      <w:sz w:val="30"/>
      <w:szCs w:val="30"/>
      <w:lang w:val="ro-RO"/>
    </w:rPr>
  </w:style>
  <w:style w:type="paragraph" w:customStyle="1" w:styleId="SecDivider">
    <w:name w:val="_SecDivider#"/>
    <w:basedOn w:val="SecDivider0"/>
    <w:next w:val="Body"/>
    <w:rsid w:val="00FF6952"/>
    <w:pPr>
      <w:numPr>
        <w:numId w:val="1"/>
      </w:numPr>
      <w:tabs>
        <w:tab w:val="clear" w:pos="567"/>
        <w:tab w:val="left" w:pos="680"/>
      </w:tabs>
      <w:ind w:left="680" w:hanging="680"/>
    </w:pPr>
  </w:style>
  <w:style w:type="character" w:styleId="Hyperlink">
    <w:name w:val="Hyperlink"/>
    <w:basedOn w:val="DefaultParagraphFont"/>
    <w:uiPriority w:val="99"/>
    <w:rsid w:val="00FF6952"/>
    <w:rPr>
      <w:color w:val="0000FF"/>
      <w:u w:val="single"/>
    </w:rPr>
  </w:style>
  <w:style w:type="paragraph" w:customStyle="1" w:styleId="Hdg1">
    <w:name w:val="_Hdg1#"/>
    <w:basedOn w:val="Heading1"/>
    <w:next w:val="Body"/>
    <w:qFormat/>
    <w:rsid w:val="001C6C79"/>
    <w:pPr>
      <w:framePr w:h="499" w:wrap="notBeside" w:vAnchor="margin" w:hAnchor="page" w:x="937" w:yAlign="top"/>
      <w:numPr>
        <w:numId w:val="5"/>
      </w:numPr>
      <w:tabs>
        <w:tab w:val="clear" w:pos="680"/>
      </w:tabs>
      <w:ind w:left="851" w:hanging="851"/>
    </w:pPr>
    <w:rPr>
      <w:b/>
      <w:bCs w:val="0"/>
      <w:color w:val="9E0880"/>
      <w:kern w:val="0"/>
    </w:rPr>
  </w:style>
  <w:style w:type="paragraph" w:customStyle="1" w:styleId="Hdg2">
    <w:name w:val="_Hdg2#"/>
    <w:basedOn w:val="Heading2"/>
    <w:next w:val="Body"/>
    <w:qFormat/>
    <w:rsid w:val="00045287"/>
    <w:pPr>
      <w:numPr>
        <w:ilvl w:val="1"/>
        <w:numId w:val="2"/>
      </w:numPr>
      <w:spacing w:after="120" w:line="276" w:lineRule="auto"/>
      <w:ind w:left="680"/>
      <w:jc w:val="both"/>
    </w:pPr>
    <w:rPr>
      <w:rFonts w:cs="Arial"/>
      <w:color w:val="9E0880"/>
      <w:sz w:val="22"/>
      <w:szCs w:val="22"/>
    </w:rPr>
  </w:style>
  <w:style w:type="paragraph" w:customStyle="1" w:styleId="Hdg3">
    <w:name w:val="_Hdg3#"/>
    <w:basedOn w:val="Heading3"/>
    <w:next w:val="Body"/>
    <w:qFormat/>
    <w:rsid w:val="00E8725B"/>
    <w:pPr>
      <w:tabs>
        <w:tab w:val="left" w:pos="2070"/>
      </w:tabs>
      <w:spacing w:line="360" w:lineRule="auto"/>
    </w:pPr>
    <w:rPr>
      <w:b/>
      <w:i/>
      <w:color w:val="9E0880"/>
      <w:sz w:val="22"/>
      <w:szCs w:val="22"/>
      <w:lang w:val="ro-RO"/>
    </w:rPr>
  </w:style>
  <w:style w:type="paragraph" w:customStyle="1" w:styleId="Hdg1noTOC">
    <w:name w:val="_Hdg1 noTOC"/>
    <w:basedOn w:val="Heading1"/>
    <w:next w:val="Body"/>
    <w:rsid w:val="00FF6952"/>
    <w:pPr>
      <w:framePr w:wrap="notBeside"/>
      <w:outlineLvl w:val="9"/>
    </w:pPr>
  </w:style>
  <w:style w:type="paragraph" w:customStyle="1" w:styleId="Hdg1noTOC0">
    <w:name w:val="_Hdg1# noTOC"/>
    <w:basedOn w:val="Hdg1"/>
    <w:next w:val="Body"/>
    <w:rsid w:val="00FF6952"/>
    <w:pPr>
      <w:framePr w:wrap="notBeside"/>
      <w:outlineLvl w:val="9"/>
    </w:pPr>
  </w:style>
  <w:style w:type="paragraph" w:customStyle="1" w:styleId="Hdg4">
    <w:name w:val="_Hdg4#"/>
    <w:basedOn w:val="Heading4"/>
    <w:next w:val="Body"/>
    <w:link w:val="Hdg4Char"/>
    <w:rsid w:val="00A61C22"/>
    <w:pPr>
      <w:numPr>
        <w:ilvl w:val="3"/>
        <w:numId w:val="2"/>
      </w:numPr>
    </w:pPr>
    <w:rPr>
      <w:b/>
      <w:sz w:val="20"/>
      <w:szCs w:val="20"/>
    </w:rPr>
  </w:style>
  <w:style w:type="paragraph" w:styleId="TableofFigures">
    <w:name w:val="table of figures"/>
    <w:basedOn w:val="Normal"/>
    <w:next w:val="Normal"/>
    <w:rsid w:val="00FF6952"/>
    <w:pPr>
      <w:ind w:left="680" w:hanging="680"/>
    </w:pPr>
  </w:style>
  <w:style w:type="paragraph" w:customStyle="1" w:styleId="BulletLevel1">
    <w:name w:val="Bullet Level1"/>
    <w:basedOn w:val="Normal"/>
    <w:link w:val="BulletLevel1Char"/>
    <w:autoRedefine/>
    <w:qFormat/>
    <w:rsid w:val="00273D5E"/>
    <w:pPr>
      <w:numPr>
        <w:ilvl w:val="1"/>
        <w:numId w:val="17"/>
      </w:numPr>
      <w:spacing w:after="60" w:line="276" w:lineRule="auto"/>
      <w:ind w:left="1208" w:hanging="357"/>
      <w:jc w:val="both"/>
    </w:pPr>
    <w:rPr>
      <w:sz w:val="22"/>
      <w:szCs w:val="20"/>
      <w:shd w:val="clear" w:color="auto" w:fill="FFFFFF"/>
      <w:lang w:val="ro-RO"/>
    </w:rPr>
  </w:style>
  <w:style w:type="paragraph" w:customStyle="1" w:styleId="BulletLevel2">
    <w:name w:val="Bullet Level2"/>
    <w:basedOn w:val="Normal"/>
    <w:rsid w:val="00B4463D"/>
    <w:pPr>
      <w:numPr>
        <w:numId w:val="3"/>
      </w:numPr>
      <w:spacing w:line="230" w:lineRule="atLeast"/>
    </w:pPr>
  </w:style>
  <w:style w:type="paragraph" w:customStyle="1" w:styleId="CVHeading">
    <w:name w:val="CV Heading"/>
    <w:basedOn w:val="Heading1"/>
    <w:next w:val="Body"/>
    <w:rsid w:val="00FF6952"/>
    <w:pPr>
      <w:framePr w:wrap="notBeside"/>
      <w:outlineLvl w:val="9"/>
    </w:pPr>
  </w:style>
  <w:style w:type="paragraph" w:styleId="Caption">
    <w:name w:val="caption"/>
    <w:aliases w:val="Titlu Tabel,Map Char,Map Char Char,Map,Map Char Char Char Char Char,Caption Char Char Car Car,Caption Char Char Car Car Car,Map Char Char Char Car Car,Caption Char Char,Caption Char Char Char Char,Caption Char1,Beschriftung,Char Char Char Char1"/>
    <w:basedOn w:val="Normal"/>
    <w:next w:val="Body"/>
    <w:link w:val="CaptionChar"/>
    <w:qFormat/>
    <w:rsid w:val="00FF6952"/>
    <w:pPr>
      <w:spacing w:before="120"/>
    </w:pPr>
    <w:rPr>
      <w:bCs/>
    </w:rPr>
  </w:style>
  <w:style w:type="paragraph" w:customStyle="1" w:styleId="Hdg2noTOC">
    <w:name w:val="_Hdg2 noTOC"/>
    <w:basedOn w:val="Heading2"/>
    <w:next w:val="Body"/>
    <w:rsid w:val="00FF6952"/>
    <w:pPr>
      <w:outlineLvl w:val="9"/>
    </w:pPr>
  </w:style>
  <w:style w:type="paragraph" w:customStyle="1" w:styleId="Hdg2noTOC0">
    <w:name w:val="_Hdg2# noTOC"/>
    <w:basedOn w:val="Hdg2"/>
    <w:next w:val="Body"/>
    <w:rsid w:val="00FF6952"/>
    <w:pPr>
      <w:outlineLvl w:val="9"/>
    </w:pPr>
  </w:style>
  <w:style w:type="table" w:styleId="TableGrid">
    <w:name w:val="Table Grid"/>
    <w:basedOn w:val="TableNormal"/>
    <w:rsid w:val="00FE07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link w:val="BodyChar"/>
    <w:qFormat/>
    <w:rsid w:val="0071651C"/>
    <w:pPr>
      <w:spacing w:before="240" w:after="240" w:line="276" w:lineRule="auto"/>
      <w:ind w:left="567"/>
      <w:jc w:val="both"/>
    </w:pPr>
    <w:rPr>
      <w:i/>
      <w:sz w:val="22"/>
      <w:szCs w:val="22"/>
    </w:rPr>
  </w:style>
  <w:style w:type="paragraph" w:customStyle="1" w:styleId="DocTitle">
    <w:name w:val="DocTitle"/>
    <w:basedOn w:val="Normal"/>
    <w:next w:val="Normal"/>
    <w:rsid w:val="00DC3878"/>
    <w:pPr>
      <w:spacing w:line="840" w:lineRule="exact"/>
    </w:pPr>
    <w:rPr>
      <w:bCs/>
      <w:sz w:val="78"/>
    </w:rPr>
  </w:style>
  <w:style w:type="paragraph" w:customStyle="1" w:styleId="Para2">
    <w:name w:val="_Para2#"/>
    <w:basedOn w:val="Hdg2"/>
    <w:rsid w:val="00FF6952"/>
    <w:pPr>
      <w:keepNext w:val="0"/>
      <w:spacing w:before="0"/>
      <w:outlineLvl w:val="9"/>
    </w:pPr>
    <w:rPr>
      <w:b w:val="0"/>
    </w:rPr>
  </w:style>
  <w:style w:type="paragraph" w:customStyle="1" w:styleId="Para3">
    <w:name w:val="_Para3#"/>
    <w:basedOn w:val="Hdg3"/>
    <w:rsid w:val="00FF6952"/>
    <w:pPr>
      <w:keepNext w:val="0"/>
      <w:spacing w:before="0" w:after="120"/>
      <w:outlineLvl w:val="9"/>
    </w:pPr>
    <w:rPr>
      <w:i w:val="0"/>
    </w:rPr>
  </w:style>
  <w:style w:type="paragraph" w:customStyle="1" w:styleId="Para4">
    <w:name w:val="_Para4#"/>
    <w:basedOn w:val="Hdg4"/>
    <w:rsid w:val="00FF6952"/>
    <w:pPr>
      <w:keepNext w:val="0"/>
      <w:spacing w:before="0" w:after="120"/>
      <w:outlineLvl w:val="9"/>
    </w:pPr>
  </w:style>
  <w:style w:type="paragraph" w:customStyle="1" w:styleId="SecDividerBody">
    <w:name w:val="_SecDividerBody"/>
    <w:basedOn w:val="Normal"/>
    <w:rsid w:val="0006666D"/>
    <w:pPr>
      <w:spacing w:after="120" w:line="360" w:lineRule="exact"/>
    </w:pPr>
    <w:rPr>
      <w:sz w:val="30"/>
      <w:szCs w:val="30"/>
    </w:rPr>
  </w:style>
  <w:style w:type="paragraph" w:styleId="ListParagraph">
    <w:name w:val="List Paragraph"/>
    <w:aliases w:val="List_Paragraph,Multilevel para_II"/>
    <w:basedOn w:val="Normal"/>
    <w:link w:val="ListParagraphChar"/>
    <w:uiPriority w:val="34"/>
    <w:qFormat/>
    <w:rsid w:val="004E69FA"/>
    <w:pPr>
      <w:spacing w:line="264" w:lineRule="auto"/>
      <w:ind w:left="720"/>
      <w:jc w:val="both"/>
    </w:pPr>
    <w:rPr>
      <w:rFonts w:cs="Arial"/>
      <w:sz w:val="20"/>
      <w:szCs w:val="20"/>
    </w:rPr>
  </w:style>
  <w:style w:type="paragraph" w:styleId="BalloonText">
    <w:name w:val="Balloon Text"/>
    <w:basedOn w:val="Normal"/>
    <w:link w:val="BalloonTextChar"/>
    <w:uiPriority w:val="99"/>
    <w:rsid w:val="007D6EF8"/>
    <w:rPr>
      <w:rFonts w:ascii="Tahoma" w:hAnsi="Tahoma" w:cs="Tahoma"/>
      <w:sz w:val="16"/>
      <w:szCs w:val="16"/>
    </w:rPr>
  </w:style>
  <w:style w:type="character" w:customStyle="1" w:styleId="BalloonTextChar">
    <w:name w:val="Balloon Text Char"/>
    <w:basedOn w:val="DefaultParagraphFont"/>
    <w:link w:val="BalloonText"/>
    <w:uiPriority w:val="99"/>
    <w:rsid w:val="007D6EF8"/>
    <w:rPr>
      <w:rFonts w:ascii="Tahoma" w:hAnsi="Tahoma" w:cs="Tahoma"/>
      <w:sz w:val="16"/>
      <w:szCs w:val="16"/>
      <w:lang w:eastAsia="en-US"/>
    </w:rPr>
  </w:style>
  <w:style w:type="paragraph" w:styleId="NormalWeb">
    <w:name w:val="Normal (Web)"/>
    <w:basedOn w:val="Normal"/>
    <w:unhideWhenUsed/>
    <w:rsid w:val="00D81D06"/>
    <w:pPr>
      <w:spacing w:before="100" w:beforeAutospacing="1" w:after="100" w:afterAutospacing="1"/>
    </w:pPr>
    <w:rPr>
      <w:rFonts w:ascii="Times New Roman" w:hAnsi="Times New Roman"/>
      <w:sz w:val="24"/>
      <w:szCs w:val="24"/>
      <w:lang w:val="en-US"/>
    </w:rPr>
  </w:style>
  <w:style w:type="character" w:styleId="Strong">
    <w:name w:val="Strong"/>
    <w:basedOn w:val="DefaultParagraphFont"/>
    <w:qFormat/>
    <w:rsid w:val="00D81D06"/>
    <w:rPr>
      <w:b/>
      <w:bCs/>
    </w:rPr>
  </w:style>
  <w:style w:type="character" w:styleId="PlaceholderText">
    <w:name w:val="Placeholder Text"/>
    <w:basedOn w:val="DefaultParagraphFont"/>
    <w:uiPriority w:val="99"/>
    <w:semiHidden/>
    <w:rsid w:val="007A3A30"/>
    <w:rPr>
      <w:color w:val="808080"/>
    </w:rPr>
  </w:style>
  <w:style w:type="character" w:styleId="CommentReference">
    <w:name w:val="annotation reference"/>
    <w:basedOn w:val="DefaultParagraphFont"/>
    <w:rsid w:val="00B473A0"/>
    <w:rPr>
      <w:sz w:val="16"/>
      <w:szCs w:val="16"/>
    </w:rPr>
  </w:style>
  <w:style w:type="paragraph" w:styleId="CommentText">
    <w:name w:val="annotation text"/>
    <w:basedOn w:val="Normal"/>
    <w:link w:val="CommentTextChar"/>
    <w:rsid w:val="00B473A0"/>
    <w:rPr>
      <w:sz w:val="20"/>
      <w:szCs w:val="20"/>
    </w:rPr>
  </w:style>
  <w:style w:type="character" w:customStyle="1" w:styleId="CommentTextChar">
    <w:name w:val="Comment Text Char"/>
    <w:basedOn w:val="DefaultParagraphFont"/>
    <w:link w:val="CommentText"/>
    <w:rsid w:val="00B473A0"/>
    <w:rPr>
      <w:rFonts w:ascii="Arial" w:hAnsi="Arial"/>
      <w:lang w:eastAsia="en-US"/>
    </w:rPr>
  </w:style>
  <w:style w:type="paragraph" w:styleId="CommentSubject">
    <w:name w:val="annotation subject"/>
    <w:basedOn w:val="CommentText"/>
    <w:next w:val="CommentText"/>
    <w:link w:val="CommentSubjectChar"/>
    <w:uiPriority w:val="99"/>
    <w:rsid w:val="00B473A0"/>
    <w:rPr>
      <w:b/>
      <w:bCs/>
    </w:rPr>
  </w:style>
  <w:style w:type="character" w:customStyle="1" w:styleId="CommentSubjectChar">
    <w:name w:val="Comment Subject Char"/>
    <w:basedOn w:val="CommentTextChar"/>
    <w:link w:val="CommentSubject"/>
    <w:uiPriority w:val="99"/>
    <w:rsid w:val="00B473A0"/>
    <w:rPr>
      <w:rFonts w:ascii="Arial" w:hAnsi="Arial"/>
      <w:b/>
      <w:bCs/>
      <w:lang w:eastAsia="en-US"/>
    </w:rPr>
  </w:style>
  <w:style w:type="paragraph" w:styleId="Revision">
    <w:name w:val="Revision"/>
    <w:hidden/>
    <w:uiPriority w:val="99"/>
    <w:semiHidden/>
    <w:rsid w:val="00B473A0"/>
    <w:rPr>
      <w:rFonts w:ascii="Arial" w:hAnsi="Arial"/>
      <w:sz w:val="18"/>
      <w:szCs w:val="18"/>
      <w:lang w:val="en-GB"/>
    </w:rPr>
  </w:style>
  <w:style w:type="character" w:customStyle="1" w:styleId="BodyChar">
    <w:name w:val="Body Char"/>
    <w:aliases w:val="Normal Indent Char,Normal Indent Char Char Char Char,SSR Requirement Response Char,Char Char1,Body Char Char Char1,Body Char Char Char Char Char Char Char Char,Body Char Char Char Char Char Char, Char Char,Char Char"/>
    <w:link w:val="Body"/>
    <w:rsid w:val="0071651C"/>
    <w:rPr>
      <w:rFonts w:ascii="Arial" w:hAnsi="Arial"/>
      <w:i/>
      <w:sz w:val="22"/>
      <w:szCs w:val="22"/>
      <w:lang w:val="en-GB"/>
    </w:rPr>
  </w:style>
  <w:style w:type="paragraph" w:customStyle="1" w:styleId="NumberedParas">
    <w:name w:val="_Numbered Paras"/>
    <w:basedOn w:val="Hdg3"/>
    <w:link w:val="NumberedParasChar"/>
    <w:qFormat/>
    <w:rsid w:val="00A4081F"/>
    <w:pPr>
      <w:keepNext w:val="0"/>
      <w:numPr>
        <w:ilvl w:val="2"/>
        <w:numId w:val="2"/>
      </w:numPr>
      <w:tabs>
        <w:tab w:val="clear" w:pos="2070"/>
        <w:tab w:val="clear" w:pos="2150"/>
        <w:tab w:val="num" w:pos="2291"/>
      </w:tabs>
      <w:spacing w:after="120" w:line="276" w:lineRule="auto"/>
      <w:ind w:left="907" w:hanging="907"/>
      <w:jc w:val="both"/>
      <w:outlineLvl w:val="9"/>
    </w:pPr>
    <w:rPr>
      <w:b w:val="0"/>
      <w:i w:val="0"/>
      <w:color w:val="auto"/>
      <w:lang w:val="en-GB"/>
    </w:rPr>
  </w:style>
  <w:style w:type="character" w:customStyle="1" w:styleId="Heading4Char">
    <w:name w:val="Heading 4 Char"/>
    <w:basedOn w:val="DefaultParagraphFont"/>
    <w:link w:val="Heading4"/>
    <w:uiPriority w:val="9"/>
    <w:rsid w:val="00B73862"/>
    <w:rPr>
      <w:rFonts w:ascii="Arial" w:hAnsi="Arial"/>
      <w:sz w:val="18"/>
      <w:szCs w:val="18"/>
      <w:lang w:eastAsia="en-US"/>
    </w:rPr>
  </w:style>
  <w:style w:type="character" w:customStyle="1" w:styleId="Hdg4Char">
    <w:name w:val="_Hdg4# Char"/>
    <w:basedOn w:val="Heading4Char"/>
    <w:link w:val="Hdg4"/>
    <w:rsid w:val="00B73862"/>
    <w:rPr>
      <w:rFonts w:ascii="Arial" w:hAnsi="Arial"/>
      <w:b/>
      <w:sz w:val="18"/>
      <w:szCs w:val="18"/>
      <w:lang w:val="en-GB" w:eastAsia="en-US"/>
    </w:rPr>
  </w:style>
  <w:style w:type="character" w:customStyle="1" w:styleId="NumberedParasChar">
    <w:name w:val="_Numbered Paras Char"/>
    <w:basedOn w:val="Hdg4Char"/>
    <w:link w:val="NumberedParas"/>
    <w:rsid w:val="00A4081F"/>
    <w:rPr>
      <w:rFonts w:ascii="Arial" w:hAnsi="Arial"/>
      <w:b w:val="0"/>
      <w:sz w:val="22"/>
      <w:szCs w:val="22"/>
      <w:lang w:val="en-GB" w:eastAsia="en-US"/>
    </w:rPr>
  </w:style>
  <w:style w:type="paragraph" w:styleId="DocumentMap">
    <w:name w:val="Document Map"/>
    <w:basedOn w:val="Normal"/>
    <w:link w:val="DocumentMapChar"/>
    <w:uiPriority w:val="99"/>
    <w:rsid w:val="00B65E92"/>
    <w:rPr>
      <w:rFonts w:ascii="Tahoma" w:hAnsi="Tahoma" w:cs="Tahoma"/>
      <w:sz w:val="16"/>
      <w:szCs w:val="16"/>
    </w:rPr>
  </w:style>
  <w:style w:type="character" w:customStyle="1" w:styleId="DocumentMapChar">
    <w:name w:val="Document Map Char"/>
    <w:basedOn w:val="DefaultParagraphFont"/>
    <w:link w:val="DocumentMap"/>
    <w:uiPriority w:val="99"/>
    <w:rsid w:val="00B65E92"/>
    <w:rPr>
      <w:rFonts w:ascii="Tahoma" w:hAnsi="Tahoma" w:cs="Tahoma"/>
      <w:sz w:val="16"/>
      <w:szCs w:val="16"/>
      <w:lang w:eastAsia="en-US"/>
    </w:rPr>
  </w:style>
  <w:style w:type="paragraph" w:styleId="FootnoteText">
    <w:name w:val="footnote text"/>
    <w:basedOn w:val="Normal"/>
    <w:link w:val="FootnoteTextChar"/>
    <w:rsid w:val="00F677AF"/>
    <w:pPr>
      <w:ind w:left="720" w:hanging="720"/>
      <w:jc w:val="both"/>
    </w:pPr>
    <w:rPr>
      <w:rFonts w:ascii="Times New Roman" w:hAnsi="Times New Roman"/>
      <w:sz w:val="20"/>
      <w:szCs w:val="20"/>
      <w:lang w:eastAsia="de-DE"/>
    </w:rPr>
  </w:style>
  <w:style w:type="character" w:customStyle="1" w:styleId="FootnoteTextChar">
    <w:name w:val="Footnote Text Char"/>
    <w:basedOn w:val="DefaultParagraphFont"/>
    <w:link w:val="FootnoteText"/>
    <w:rsid w:val="00F677AF"/>
    <w:rPr>
      <w:lang w:eastAsia="de-DE"/>
    </w:rPr>
  </w:style>
  <w:style w:type="character" w:styleId="FootnoteReference">
    <w:name w:val="footnote reference"/>
    <w:basedOn w:val="DefaultParagraphFont"/>
    <w:rsid w:val="00F677AF"/>
    <w:rPr>
      <w:vertAlign w:val="superscript"/>
    </w:rPr>
  </w:style>
  <w:style w:type="paragraph" w:customStyle="1" w:styleId="Text1">
    <w:name w:val="Text 1"/>
    <w:basedOn w:val="Normal"/>
    <w:rsid w:val="00F677AF"/>
    <w:pPr>
      <w:spacing w:before="120" w:after="120"/>
      <w:ind w:left="850"/>
      <w:jc w:val="both"/>
    </w:pPr>
    <w:rPr>
      <w:rFonts w:ascii="Times New Roman" w:hAnsi="Times New Roman"/>
      <w:sz w:val="24"/>
      <w:szCs w:val="24"/>
      <w:lang w:eastAsia="de-DE"/>
    </w:rPr>
  </w:style>
  <w:style w:type="paragraph" w:customStyle="1" w:styleId="Text3">
    <w:name w:val="Text 3"/>
    <w:basedOn w:val="Normal"/>
    <w:rsid w:val="00F677AF"/>
    <w:pPr>
      <w:spacing w:before="120" w:after="120"/>
      <w:ind w:left="850"/>
      <w:jc w:val="both"/>
    </w:pPr>
    <w:rPr>
      <w:rFonts w:ascii="Times New Roman" w:hAnsi="Times New Roman"/>
      <w:sz w:val="24"/>
      <w:szCs w:val="24"/>
      <w:lang w:eastAsia="de-DE"/>
    </w:rPr>
  </w:style>
  <w:style w:type="paragraph" w:customStyle="1" w:styleId="QuotedText">
    <w:name w:val="Quoted Text"/>
    <w:basedOn w:val="Normal"/>
    <w:rsid w:val="00F677AF"/>
    <w:pPr>
      <w:spacing w:before="120" w:after="120"/>
      <w:ind w:left="1417"/>
      <w:jc w:val="both"/>
    </w:pPr>
    <w:rPr>
      <w:rFonts w:ascii="Times New Roman" w:hAnsi="Times New Roman"/>
      <w:sz w:val="24"/>
      <w:szCs w:val="24"/>
      <w:lang w:eastAsia="de-DE"/>
    </w:rPr>
  </w:style>
  <w:style w:type="paragraph" w:customStyle="1" w:styleId="Point1">
    <w:name w:val="Point 1"/>
    <w:basedOn w:val="Normal"/>
    <w:rsid w:val="00F677AF"/>
    <w:pPr>
      <w:spacing w:before="120" w:after="120"/>
      <w:ind w:left="1417" w:hanging="567"/>
      <w:jc w:val="both"/>
    </w:pPr>
    <w:rPr>
      <w:rFonts w:ascii="Times New Roman" w:hAnsi="Times New Roman"/>
      <w:sz w:val="24"/>
      <w:szCs w:val="24"/>
      <w:lang w:eastAsia="de-DE"/>
    </w:rPr>
  </w:style>
  <w:style w:type="paragraph" w:customStyle="1" w:styleId="Point2">
    <w:name w:val="Point 2"/>
    <w:basedOn w:val="Normal"/>
    <w:rsid w:val="00F677AF"/>
    <w:pPr>
      <w:spacing w:before="120" w:after="120"/>
      <w:ind w:left="1984" w:hanging="567"/>
      <w:jc w:val="both"/>
    </w:pPr>
    <w:rPr>
      <w:rFonts w:ascii="Times New Roman" w:hAnsi="Times New Roman"/>
      <w:sz w:val="24"/>
      <w:szCs w:val="24"/>
      <w:lang w:eastAsia="de-DE"/>
    </w:rPr>
  </w:style>
  <w:style w:type="paragraph" w:customStyle="1" w:styleId="ManualHeading1">
    <w:name w:val="Manual Heading 1"/>
    <w:basedOn w:val="Normal"/>
    <w:next w:val="Text1"/>
    <w:rsid w:val="00F677AF"/>
    <w:pPr>
      <w:keepNext/>
      <w:tabs>
        <w:tab w:val="left" w:pos="850"/>
      </w:tabs>
      <w:spacing w:before="360" w:after="120"/>
      <w:ind w:left="850" w:hanging="850"/>
      <w:jc w:val="both"/>
      <w:outlineLvl w:val="0"/>
    </w:pPr>
    <w:rPr>
      <w:rFonts w:ascii="Times New Roman" w:hAnsi="Times New Roman"/>
      <w:b/>
      <w:smallCaps/>
      <w:sz w:val="24"/>
      <w:szCs w:val="24"/>
      <w:lang w:eastAsia="de-DE"/>
    </w:rPr>
  </w:style>
  <w:style w:type="paragraph" w:customStyle="1" w:styleId="ManualHeading2">
    <w:name w:val="Manual Heading 2"/>
    <w:basedOn w:val="Normal"/>
    <w:next w:val="Normal"/>
    <w:rsid w:val="00F677AF"/>
    <w:pPr>
      <w:keepNext/>
      <w:tabs>
        <w:tab w:val="left" w:pos="850"/>
      </w:tabs>
      <w:spacing w:before="120" w:after="120"/>
      <w:ind w:left="850" w:hanging="850"/>
      <w:jc w:val="both"/>
      <w:outlineLvl w:val="1"/>
    </w:pPr>
    <w:rPr>
      <w:rFonts w:ascii="Times New Roman" w:hAnsi="Times New Roman"/>
      <w:b/>
      <w:sz w:val="24"/>
      <w:szCs w:val="24"/>
      <w:lang w:eastAsia="de-DE"/>
    </w:rPr>
  </w:style>
  <w:style w:type="paragraph" w:customStyle="1" w:styleId="ManualHeading3">
    <w:name w:val="Manual Heading 3"/>
    <w:basedOn w:val="Normal"/>
    <w:next w:val="Text3"/>
    <w:rsid w:val="00F677AF"/>
    <w:pPr>
      <w:keepNext/>
      <w:tabs>
        <w:tab w:val="left" w:pos="850"/>
      </w:tabs>
      <w:spacing w:before="120" w:after="120"/>
      <w:ind w:left="850" w:hanging="850"/>
      <w:jc w:val="both"/>
      <w:outlineLvl w:val="2"/>
    </w:pPr>
    <w:rPr>
      <w:rFonts w:ascii="Times New Roman" w:hAnsi="Times New Roman"/>
      <w:i/>
      <w:sz w:val="24"/>
      <w:szCs w:val="24"/>
      <w:lang w:eastAsia="de-DE"/>
    </w:rPr>
  </w:style>
  <w:style w:type="paragraph" w:customStyle="1" w:styleId="Text2">
    <w:name w:val="Text 2"/>
    <w:basedOn w:val="Normal"/>
    <w:rsid w:val="00F677AF"/>
    <w:pPr>
      <w:spacing w:before="120" w:after="120"/>
      <w:ind w:left="850"/>
      <w:jc w:val="both"/>
    </w:pPr>
    <w:rPr>
      <w:rFonts w:ascii="Times New Roman" w:hAnsi="Times New Roman"/>
      <w:sz w:val="24"/>
      <w:szCs w:val="24"/>
      <w:lang w:eastAsia="de-DE"/>
    </w:rPr>
  </w:style>
  <w:style w:type="paragraph" w:customStyle="1" w:styleId="Point0">
    <w:name w:val="Point 0"/>
    <w:basedOn w:val="Normal"/>
    <w:rsid w:val="00F677AF"/>
    <w:pPr>
      <w:spacing w:before="120" w:after="120"/>
      <w:ind w:left="850" w:hanging="850"/>
      <w:jc w:val="both"/>
    </w:pPr>
    <w:rPr>
      <w:rFonts w:ascii="Times New Roman" w:hAnsi="Times New Roman"/>
      <w:sz w:val="24"/>
      <w:szCs w:val="24"/>
      <w:lang w:eastAsia="de-DE"/>
    </w:rPr>
  </w:style>
  <w:style w:type="paragraph" w:styleId="Index1">
    <w:name w:val="index 1"/>
    <w:basedOn w:val="Normal"/>
    <w:next w:val="Normal"/>
    <w:autoRedefine/>
    <w:rsid w:val="005104DC"/>
    <w:pPr>
      <w:ind w:left="180" w:hanging="180"/>
    </w:pPr>
  </w:style>
  <w:style w:type="paragraph" w:styleId="IndexHeading">
    <w:name w:val="index heading"/>
    <w:basedOn w:val="Normal"/>
    <w:next w:val="Index1"/>
    <w:rsid w:val="005104DC"/>
    <w:pPr>
      <w:spacing w:line="264" w:lineRule="auto"/>
      <w:jc w:val="both"/>
    </w:pPr>
    <w:rPr>
      <w:rFonts w:cs="Arial"/>
      <w:b/>
      <w:bCs/>
      <w:sz w:val="20"/>
      <w:szCs w:val="20"/>
    </w:rPr>
  </w:style>
  <w:style w:type="paragraph" w:styleId="HTMLAddress">
    <w:name w:val="HTML Address"/>
    <w:basedOn w:val="Normal"/>
    <w:link w:val="HTMLAddressChar"/>
    <w:rsid w:val="00FD2E73"/>
    <w:pPr>
      <w:spacing w:line="264" w:lineRule="auto"/>
      <w:jc w:val="both"/>
    </w:pPr>
    <w:rPr>
      <w:rFonts w:cs="Arial"/>
      <w:i/>
      <w:iCs/>
      <w:sz w:val="20"/>
      <w:szCs w:val="20"/>
    </w:rPr>
  </w:style>
  <w:style w:type="character" w:customStyle="1" w:styleId="HTMLAddressChar">
    <w:name w:val="HTML Address Char"/>
    <w:basedOn w:val="DefaultParagraphFont"/>
    <w:link w:val="HTMLAddress"/>
    <w:rsid w:val="00FD2E73"/>
    <w:rPr>
      <w:rFonts w:ascii="Arial" w:hAnsi="Arial" w:cs="Arial"/>
      <w:i/>
      <w:iCs/>
      <w:lang w:eastAsia="en-US"/>
    </w:rPr>
  </w:style>
  <w:style w:type="paragraph" w:styleId="Date">
    <w:name w:val="Date"/>
    <w:basedOn w:val="Normal"/>
    <w:next w:val="Normal"/>
    <w:link w:val="DateChar"/>
    <w:rsid w:val="00EA58D5"/>
    <w:pPr>
      <w:spacing w:line="264" w:lineRule="auto"/>
      <w:jc w:val="both"/>
    </w:pPr>
    <w:rPr>
      <w:rFonts w:cs="Arial"/>
      <w:sz w:val="20"/>
      <w:szCs w:val="20"/>
    </w:rPr>
  </w:style>
  <w:style w:type="character" w:customStyle="1" w:styleId="DateChar">
    <w:name w:val="Date Char"/>
    <w:basedOn w:val="DefaultParagraphFont"/>
    <w:link w:val="Date"/>
    <w:rsid w:val="00EA58D5"/>
    <w:rPr>
      <w:rFonts w:ascii="Arial" w:hAnsi="Arial" w:cs="Arial"/>
      <w:lang w:val="en-GB"/>
    </w:rPr>
  </w:style>
  <w:style w:type="paragraph" w:styleId="ListBullet5">
    <w:name w:val="List Bullet 5"/>
    <w:basedOn w:val="Normal"/>
    <w:autoRedefine/>
    <w:rsid w:val="00EA58D5"/>
    <w:pPr>
      <w:numPr>
        <w:numId w:val="4"/>
      </w:numPr>
      <w:spacing w:line="264" w:lineRule="auto"/>
      <w:jc w:val="both"/>
    </w:pPr>
    <w:rPr>
      <w:rFonts w:cs="Arial"/>
      <w:sz w:val="20"/>
      <w:szCs w:val="20"/>
    </w:rPr>
  </w:style>
  <w:style w:type="character" w:customStyle="1" w:styleId="HeaderChar">
    <w:name w:val="Header Char"/>
    <w:basedOn w:val="DefaultParagraphFont"/>
    <w:link w:val="Header"/>
    <w:rsid w:val="00A63B03"/>
    <w:rPr>
      <w:rFonts w:ascii="Arial" w:hAnsi="Arial"/>
      <w:sz w:val="14"/>
      <w:szCs w:val="14"/>
      <w:lang w:val="en-GB"/>
    </w:rPr>
  </w:style>
  <w:style w:type="character" w:customStyle="1" w:styleId="FooterChar">
    <w:name w:val="Footer Char"/>
    <w:basedOn w:val="DefaultParagraphFont"/>
    <w:link w:val="Footer"/>
    <w:rsid w:val="00A63B03"/>
    <w:rPr>
      <w:rFonts w:ascii="Arial" w:hAnsi="Arial"/>
      <w:sz w:val="14"/>
      <w:szCs w:val="14"/>
      <w:lang w:val="en-GB"/>
    </w:rPr>
  </w:style>
  <w:style w:type="character" w:customStyle="1" w:styleId="BulletLevel1Char">
    <w:name w:val="Bullet Level1 Char"/>
    <w:link w:val="BulletLevel1"/>
    <w:rsid w:val="00273D5E"/>
    <w:rPr>
      <w:rFonts w:ascii="Arial" w:hAnsi="Arial"/>
      <w:sz w:val="22"/>
      <w:lang w:val="ro-RO"/>
    </w:rPr>
  </w:style>
  <w:style w:type="paragraph" w:customStyle="1" w:styleId="Default">
    <w:name w:val="Default"/>
    <w:rsid w:val="00D57D7E"/>
    <w:pPr>
      <w:autoSpaceDE w:val="0"/>
      <w:autoSpaceDN w:val="0"/>
      <w:adjustRightInd w:val="0"/>
    </w:pPr>
    <w:rPr>
      <w:rFonts w:ascii="Arial" w:eastAsia="Calibri" w:hAnsi="Arial" w:cs="Arial"/>
      <w:color w:val="000000"/>
      <w:sz w:val="24"/>
      <w:szCs w:val="24"/>
      <w:lang w:val="en-GB"/>
    </w:rPr>
  </w:style>
  <w:style w:type="character" w:styleId="Emphasis">
    <w:name w:val="Emphasis"/>
    <w:basedOn w:val="DefaultParagraphFont"/>
    <w:qFormat/>
    <w:rsid w:val="00BD49F9"/>
    <w:rPr>
      <w:i/>
      <w:iCs/>
    </w:rPr>
  </w:style>
  <w:style w:type="paragraph" w:customStyle="1" w:styleId="MVAbullet">
    <w:name w:val="MVAbullet"/>
    <w:basedOn w:val="Default"/>
    <w:next w:val="Default"/>
    <w:uiPriority w:val="99"/>
    <w:rsid w:val="008E360A"/>
    <w:rPr>
      <w:color w:val="auto"/>
    </w:rPr>
  </w:style>
  <w:style w:type="character" w:customStyle="1" w:styleId="Heading1Char">
    <w:name w:val="Heading 1 Char"/>
    <w:basedOn w:val="DefaultParagraphFont"/>
    <w:link w:val="Heading1"/>
    <w:rsid w:val="00053ABD"/>
    <w:rPr>
      <w:rFonts w:ascii="Arial" w:hAnsi="Arial" w:cs="Arial"/>
      <w:bCs/>
      <w:kern w:val="28"/>
      <w:sz w:val="30"/>
      <w:szCs w:val="30"/>
      <w:lang w:val="en-GB"/>
    </w:rPr>
  </w:style>
  <w:style w:type="character" w:customStyle="1" w:styleId="Heading2Char">
    <w:name w:val="Heading 2 Char"/>
    <w:aliases w:val="Oscar Faber 2 Char"/>
    <w:basedOn w:val="DefaultParagraphFont"/>
    <w:link w:val="Heading2"/>
    <w:uiPriority w:val="9"/>
    <w:rsid w:val="00053ABD"/>
    <w:rPr>
      <w:rFonts w:ascii="Arial" w:hAnsi="Arial"/>
      <w:b/>
      <w:sz w:val="18"/>
      <w:szCs w:val="18"/>
      <w:lang w:val="en-GB"/>
    </w:rPr>
  </w:style>
  <w:style w:type="character" w:customStyle="1" w:styleId="Heading3Char">
    <w:name w:val="Heading 3 Char"/>
    <w:basedOn w:val="DefaultParagraphFont"/>
    <w:link w:val="Heading3"/>
    <w:uiPriority w:val="9"/>
    <w:rsid w:val="00053ABD"/>
    <w:rPr>
      <w:rFonts w:ascii="Arial" w:hAnsi="Arial"/>
      <w:sz w:val="18"/>
      <w:szCs w:val="18"/>
      <w:lang w:val="en-GB"/>
    </w:rPr>
  </w:style>
  <w:style w:type="character" w:customStyle="1" w:styleId="Heading5Char">
    <w:name w:val="Heading 5 Char"/>
    <w:aliases w:val="Roman list Char,Lev 5 Char,5 sub-bullet Char,sb Char,H5 Char,Titre 1.1111 Char,Aston T5 Char,(Shift Ctrl 5) Char,DO NOT USE_h5 Char,h5 Char,Block Label Char,T5 Char,Titre5 Char,heading 5 Char,a) Char,NCS-H5 Char,Level 3 - i Char,t5 Char"/>
    <w:basedOn w:val="DefaultParagraphFont"/>
    <w:link w:val="Heading5"/>
    <w:uiPriority w:val="9"/>
    <w:rsid w:val="00053ABD"/>
    <w:rPr>
      <w:rFonts w:ascii="Arial" w:hAnsi="Arial"/>
      <w:sz w:val="18"/>
      <w:szCs w:val="18"/>
      <w:lang w:val="en-GB"/>
    </w:rPr>
  </w:style>
  <w:style w:type="character" w:customStyle="1" w:styleId="Heading6Char">
    <w:name w:val="Heading 6 Char"/>
    <w:aliases w:val="subheading 4 Char"/>
    <w:basedOn w:val="DefaultParagraphFont"/>
    <w:link w:val="Heading6"/>
    <w:uiPriority w:val="9"/>
    <w:rsid w:val="00053ABD"/>
    <w:rPr>
      <w:rFonts w:ascii="Arial" w:hAnsi="Arial"/>
      <w:sz w:val="18"/>
      <w:szCs w:val="18"/>
      <w:lang w:val="en-GB"/>
    </w:rPr>
  </w:style>
  <w:style w:type="character" w:customStyle="1" w:styleId="Heading7Char">
    <w:name w:val="Heading 7 Char"/>
    <w:aliases w:val="letter list Char,lettered list Char,Lev 7 Char,H7 Char,Annexe2 Char,Aston T7 Char,(Shift Ctrl 7) Char,T7 Char,1.2.3.4.5.6.7. Char,Legal Level 1.1. Char,L7 Char,Annexe 1 Char,figure caption Char,Renvoi Bleu Char,Edf Titre 7 Char,nul Char"/>
    <w:basedOn w:val="DefaultParagraphFont"/>
    <w:link w:val="Heading7"/>
    <w:uiPriority w:val="9"/>
    <w:rsid w:val="008F33CA"/>
    <w:rPr>
      <w:rFonts w:ascii="Arial" w:hAnsi="Arial"/>
      <w:b/>
      <w:i/>
      <w:sz w:val="22"/>
      <w:szCs w:val="18"/>
      <w:lang w:val="en-GB"/>
    </w:rPr>
  </w:style>
  <w:style w:type="character" w:customStyle="1" w:styleId="Heading8Char">
    <w:name w:val="Heading 8 Char"/>
    <w:aliases w:val="Lev 8 Char,Center Bold Char,action Char,Annexe3 Char,Aston Légende Char,t Char,Text Char, action Char,T8 Char,text Char,Legal Level 1.1.1. Char,Annexe 2 Char,table caption Char,Renvoi Rouge Char,Edf Titre 8 Char,Heading 8 CFMU Char"/>
    <w:basedOn w:val="DefaultParagraphFont"/>
    <w:link w:val="Heading8"/>
    <w:uiPriority w:val="9"/>
    <w:rsid w:val="00053ABD"/>
    <w:rPr>
      <w:rFonts w:ascii="Arial" w:hAnsi="Arial"/>
      <w:sz w:val="18"/>
      <w:szCs w:val="18"/>
      <w:lang w:val="en-GB"/>
    </w:rPr>
  </w:style>
  <w:style w:type="character" w:customStyle="1" w:styleId="Heading9Char">
    <w:name w:val="Heading 9 Char"/>
    <w:aliases w:val="Lev 9 Char,progress Char,Annexe4 Char, progress Char,App Heading Char,Legal Level 1.1.1.1. Char,Annexe 3 Char,Renvoi Vert Char,Edf Titre 9 Char,Heading 9 CFMU Char,Chapitre niveau 9 Char,h9 Char,RFP Reference Char,Do Not Use1 Char"/>
    <w:basedOn w:val="DefaultParagraphFont"/>
    <w:link w:val="Heading9"/>
    <w:uiPriority w:val="9"/>
    <w:rsid w:val="00053ABD"/>
    <w:rPr>
      <w:rFonts w:ascii="Arial" w:hAnsi="Arial"/>
      <w:sz w:val="18"/>
      <w:szCs w:val="18"/>
      <w:lang w:val="en-GB"/>
    </w:rPr>
  </w:style>
  <w:style w:type="character" w:customStyle="1" w:styleId="EmailStyle103">
    <w:name w:val="EmailStyle103"/>
    <w:basedOn w:val="DefaultParagraphFont"/>
    <w:rsid w:val="00053ABD"/>
    <w:rPr>
      <w:rFonts w:cs="Arial"/>
      <w:color w:val="auto"/>
      <w:sz w:val="20"/>
    </w:rPr>
  </w:style>
  <w:style w:type="character" w:customStyle="1" w:styleId="EmailStyle104">
    <w:name w:val="EmailStyle104"/>
    <w:basedOn w:val="DefaultParagraphFont"/>
    <w:rsid w:val="00053ABD"/>
    <w:rPr>
      <w:rFonts w:cs="Arial"/>
      <w:color w:val="auto"/>
      <w:sz w:val="20"/>
    </w:rPr>
  </w:style>
  <w:style w:type="paragraph" w:styleId="BlockText">
    <w:name w:val="Block Text"/>
    <w:basedOn w:val="Normal"/>
    <w:rsid w:val="00053ABD"/>
    <w:pPr>
      <w:spacing w:after="120" w:line="276" w:lineRule="auto"/>
      <w:ind w:left="1440" w:right="1440" w:hanging="3686"/>
      <w:jc w:val="both"/>
    </w:pPr>
    <w:rPr>
      <w:rFonts w:ascii="Calibri" w:eastAsia="Calibri" w:hAnsi="Calibri"/>
      <w:sz w:val="22"/>
      <w:szCs w:val="22"/>
    </w:rPr>
  </w:style>
  <w:style w:type="paragraph" w:styleId="BodyText">
    <w:name w:val="Body Text"/>
    <w:basedOn w:val="Normal"/>
    <w:link w:val="BodyTextChar"/>
    <w:rsid w:val="00053ABD"/>
    <w:pPr>
      <w:spacing w:after="120" w:line="276" w:lineRule="auto"/>
      <w:ind w:left="3686" w:hanging="3686"/>
      <w:jc w:val="both"/>
    </w:pPr>
    <w:rPr>
      <w:rFonts w:ascii="Calibri" w:eastAsia="Calibri" w:hAnsi="Calibri"/>
      <w:sz w:val="22"/>
      <w:szCs w:val="22"/>
    </w:rPr>
  </w:style>
  <w:style w:type="character" w:customStyle="1" w:styleId="BodyTextChar">
    <w:name w:val="Body Text Char"/>
    <w:basedOn w:val="DefaultParagraphFont"/>
    <w:link w:val="BodyText"/>
    <w:rsid w:val="00053ABD"/>
    <w:rPr>
      <w:rFonts w:ascii="Calibri" w:eastAsia="Calibri" w:hAnsi="Calibri"/>
      <w:sz w:val="22"/>
      <w:szCs w:val="22"/>
      <w:lang w:val="en-GB"/>
    </w:rPr>
  </w:style>
  <w:style w:type="paragraph" w:styleId="BodyText2">
    <w:name w:val="Body Text 2"/>
    <w:basedOn w:val="Normal"/>
    <w:link w:val="BodyText2Char"/>
    <w:rsid w:val="00053ABD"/>
    <w:pPr>
      <w:spacing w:after="120" w:line="480" w:lineRule="auto"/>
      <w:ind w:left="3686" w:hanging="3686"/>
      <w:jc w:val="both"/>
    </w:pPr>
    <w:rPr>
      <w:rFonts w:ascii="Calibri" w:eastAsia="Calibri" w:hAnsi="Calibri"/>
      <w:sz w:val="22"/>
      <w:szCs w:val="22"/>
    </w:rPr>
  </w:style>
  <w:style w:type="character" w:customStyle="1" w:styleId="BodyText2Char">
    <w:name w:val="Body Text 2 Char"/>
    <w:basedOn w:val="DefaultParagraphFont"/>
    <w:link w:val="BodyText2"/>
    <w:rsid w:val="00053ABD"/>
    <w:rPr>
      <w:rFonts w:ascii="Calibri" w:eastAsia="Calibri" w:hAnsi="Calibri"/>
      <w:sz w:val="22"/>
      <w:szCs w:val="22"/>
      <w:lang w:val="en-GB"/>
    </w:rPr>
  </w:style>
  <w:style w:type="paragraph" w:styleId="BodyText3">
    <w:name w:val="Body Text 3"/>
    <w:basedOn w:val="Normal"/>
    <w:link w:val="BodyText3Char"/>
    <w:rsid w:val="00053ABD"/>
    <w:pPr>
      <w:spacing w:after="120" w:line="276" w:lineRule="auto"/>
      <w:ind w:left="3686" w:hanging="3686"/>
      <w:jc w:val="both"/>
    </w:pPr>
    <w:rPr>
      <w:rFonts w:ascii="Calibri" w:eastAsia="Calibri" w:hAnsi="Calibri"/>
      <w:sz w:val="16"/>
      <w:szCs w:val="16"/>
    </w:rPr>
  </w:style>
  <w:style w:type="character" w:customStyle="1" w:styleId="BodyText3Char">
    <w:name w:val="Body Text 3 Char"/>
    <w:basedOn w:val="DefaultParagraphFont"/>
    <w:link w:val="BodyText3"/>
    <w:rsid w:val="00053ABD"/>
    <w:rPr>
      <w:rFonts w:ascii="Calibri" w:eastAsia="Calibri" w:hAnsi="Calibri"/>
      <w:sz w:val="16"/>
      <w:szCs w:val="16"/>
      <w:lang w:val="en-GB"/>
    </w:rPr>
  </w:style>
  <w:style w:type="paragraph" w:styleId="BodyTextFirstIndent">
    <w:name w:val="Body Text First Indent"/>
    <w:basedOn w:val="BodyText"/>
    <w:link w:val="BodyTextFirstIndentChar"/>
    <w:rsid w:val="00053ABD"/>
    <w:pPr>
      <w:ind w:firstLine="210"/>
    </w:pPr>
  </w:style>
  <w:style w:type="character" w:customStyle="1" w:styleId="BodyTextFirstIndentChar">
    <w:name w:val="Body Text First Indent Char"/>
    <w:basedOn w:val="BodyTextChar"/>
    <w:link w:val="BodyTextFirstIndent"/>
    <w:rsid w:val="00053ABD"/>
    <w:rPr>
      <w:rFonts w:ascii="Calibri" w:eastAsia="Calibri" w:hAnsi="Calibri"/>
      <w:sz w:val="22"/>
      <w:szCs w:val="22"/>
      <w:lang w:val="en-GB"/>
    </w:rPr>
  </w:style>
  <w:style w:type="paragraph" w:styleId="BodyTextIndent">
    <w:name w:val="Body Text Indent"/>
    <w:basedOn w:val="Normal"/>
    <w:link w:val="BodyTextIndentChar"/>
    <w:rsid w:val="00053ABD"/>
    <w:pPr>
      <w:spacing w:after="120" w:line="276" w:lineRule="auto"/>
      <w:ind w:left="283" w:hanging="3686"/>
      <w:jc w:val="both"/>
    </w:pPr>
    <w:rPr>
      <w:rFonts w:ascii="Calibri" w:eastAsia="Calibri" w:hAnsi="Calibri"/>
      <w:sz w:val="22"/>
      <w:szCs w:val="22"/>
    </w:rPr>
  </w:style>
  <w:style w:type="character" w:customStyle="1" w:styleId="BodyTextIndentChar">
    <w:name w:val="Body Text Indent Char"/>
    <w:basedOn w:val="DefaultParagraphFont"/>
    <w:link w:val="BodyTextIndent"/>
    <w:rsid w:val="00053ABD"/>
    <w:rPr>
      <w:rFonts w:ascii="Calibri" w:eastAsia="Calibri" w:hAnsi="Calibri"/>
      <w:sz w:val="22"/>
      <w:szCs w:val="22"/>
      <w:lang w:val="en-GB"/>
    </w:rPr>
  </w:style>
  <w:style w:type="paragraph" w:styleId="BodyTextFirstIndent2">
    <w:name w:val="Body Text First Indent 2"/>
    <w:basedOn w:val="BodyTextIndent"/>
    <w:link w:val="BodyTextFirstIndent2Char"/>
    <w:rsid w:val="00053ABD"/>
    <w:pPr>
      <w:ind w:firstLine="210"/>
    </w:pPr>
  </w:style>
  <w:style w:type="character" w:customStyle="1" w:styleId="BodyTextFirstIndent2Char">
    <w:name w:val="Body Text First Indent 2 Char"/>
    <w:basedOn w:val="BodyTextIndentChar"/>
    <w:link w:val="BodyTextFirstIndent2"/>
    <w:rsid w:val="00053ABD"/>
    <w:rPr>
      <w:rFonts w:ascii="Calibri" w:eastAsia="Calibri" w:hAnsi="Calibri"/>
      <w:sz w:val="22"/>
      <w:szCs w:val="22"/>
      <w:lang w:val="en-GB"/>
    </w:rPr>
  </w:style>
  <w:style w:type="paragraph" w:styleId="BodyTextIndent2">
    <w:name w:val="Body Text Indent 2"/>
    <w:basedOn w:val="Normal"/>
    <w:link w:val="BodyTextIndent2Char"/>
    <w:rsid w:val="00053ABD"/>
    <w:pPr>
      <w:spacing w:after="120" w:line="480" w:lineRule="auto"/>
      <w:ind w:left="283" w:hanging="3686"/>
      <w:jc w:val="both"/>
    </w:pPr>
    <w:rPr>
      <w:rFonts w:ascii="Calibri" w:eastAsia="Calibri" w:hAnsi="Calibri"/>
      <w:sz w:val="22"/>
      <w:szCs w:val="22"/>
    </w:rPr>
  </w:style>
  <w:style w:type="character" w:customStyle="1" w:styleId="BodyTextIndent2Char">
    <w:name w:val="Body Text Indent 2 Char"/>
    <w:basedOn w:val="DefaultParagraphFont"/>
    <w:link w:val="BodyTextIndent2"/>
    <w:rsid w:val="00053ABD"/>
    <w:rPr>
      <w:rFonts w:ascii="Calibri" w:eastAsia="Calibri" w:hAnsi="Calibri"/>
      <w:sz w:val="22"/>
      <w:szCs w:val="22"/>
      <w:lang w:val="en-GB"/>
    </w:rPr>
  </w:style>
  <w:style w:type="paragraph" w:styleId="BodyTextIndent3">
    <w:name w:val="Body Text Indent 3"/>
    <w:basedOn w:val="Normal"/>
    <w:link w:val="BodyTextIndent3Char"/>
    <w:rsid w:val="00053ABD"/>
    <w:pPr>
      <w:spacing w:after="120" w:line="276" w:lineRule="auto"/>
      <w:ind w:left="283" w:hanging="3686"/>
      <w:jc w:val="both"/>
    </w:pPr>
    <w:rPr>
      <w:rFonts w:ascii="Calibri" w:eastAsia="Calibri" w:hAnsi="Calibri"/>
      <w:sz w:val="16"/>
      <w:szCs w:val="16"/>
    </w:rPr>
  </w:style>
  <w:style w:type="character" w:customStyle="1" w:styleId="BodyTextIndent3Char">
    <w:name w:val="Body Text Indent 3 Char"/>
    <w:basedOn w:val="DefaultParagraphFont"/>
    <w:link w:val="BodyTextIndent3"/>
    <w:rsid w:val="00053ABD"/>
    <w:rPr>
      <w:rFonts w:ascii="Calibri" w:eastAsia="Calibri" w:hAnsi="Calibri"/>
      <w:sz w:val="16"/>
      <w:szCs w:val="16"/>
      <w:lang w:val="en-GB"/>
    </w:rPr>
  </w:style>
  <w:style w:type="paragraph" w:styleId="Closing">
    <w:name w:val="Closing"/>
    <w:basedOn w:val="Normal"/>
    <w:link w:val="ClosingChar"/>
    <w:rsid w:val="00053ABD"/>
    <w:pPr>
      <w:spacing w:line="276" w:lineRule="auto"/>
      <w:ind w:left="4252" w:hanging="3686"/>
      <w:jc w:val="both"/>
    </w:pPr>
    <w:rPr>
      <w:rFonts w:ascii="Calibri" w:eastAsia="Calibri" w:hAnsi="Calibri"/>
      <w:sz w:val="22"/>
      <w:szCs w:val="22"/>
    </w:rPr>
  </w:style>
  <w:style w:type="character" w:customStyle="1" w:styleId="ClosingChar">
    <w:name w:val="Closing Char"/>
    <w:basedOn w:val="DefaultParagraphFont"/>
    <w:link w:val="Closing"/>
    <w:rsid w:val="00053ABD"/>
    <w:rPr>
      <w:rFonts w:ascii="Calibri" w:eastAsia="Calibri" w:hAnsi="Calibri"/>
      <w:sz w:val="22"/>
      <w:szCs w:val="22"/>
      <w:lang w:val="en-GB"/>
    </w:rPr>
  </w:style>
  <w:style w:type="paragraph" w:styleId="E-mailSignature">
    <w:name w:val="E-mail Signature"/>
    <w:basedOn w:val="Normal"/>
    <w:link w:val="E-mailSignatureChar"/>
    <w:rsid w:val="00053ABD"/>
    <w:pPr>
      <w:spacing w:line="276" w:lineRule="auto"/>
      <w:ind w:left="3686" w:hanging="3686"/>
      <w:jc w:val="both"/>
    </w:pPr>
    <w:rPr>
      <w:rFonts w:ascii="Calibri" w:eastAsia="Calibri" w:hAnsi="Calibri"/>
      <w:sz w:val="22"/>
      <w:szCs w:val="22"/>
    </w:rPr>
  </w:style>
  <w:style w:type="character" w:customStyle="1" w:styleId="E-mailSignatureChar">
    <w:name w:val="E-mail Signature Char"/>
    <w:basedOn w:val="DefaultParagraphFont"/>
    <w:link w:val="E-mailSignature"/>
    <w:rsid w:val="00053ABD"/>
    <w:rPr>
      <w:rFonts w:ascii="Calibri" w:eastAsia="Calibri" w:hAnsi="Calibri"/>
      <w:sz w:val="22"/>
      <w:szCs w:val="22"/>
      <w:lang w:val="en-GB"/>
    </w:rPr>
  </w:style>
  <w:style w:type="character" w:styleId="EndnoteReference">
    <w:name w:val="endnote reference"/>
    <w:basedOn w:val="DefaultParagraphFont"/>
    <w:rsid w:val="00053ABD"/>
    <w:rPr>
      <w:vertAlign w:val="superscript"/>
    </w:rPr>
  </w:style>
  <w:style w:type="paragraph" w:styleId="EndnoteText">
    <w:name w:val="endnote text"/>
    <w:basedOn w:val="Normal"/>
    <w:link w:val="EndnoteTextChar"/>
    <w:rsid w:val="00053ABD"/>
    <w:pPr>
      <w:spacing w:line="276" w:lineRule="auto"/>
      <w:ind w:left="3686" w:hanging="3686"/>
      <w:jc w:val="both"/>
    </w:pPr>
    <w:rPr>
      <w:rFonts w:ascii="Calibri" w:eastAsia="Calibri" w:hAnsi="Calibri"/>
      <w:sz w:val="22"/>
      <w:szCs w:val="22"/>
    </w:rPr>
  </w:style>
  <w:style w:type="character" w:customStyle="1" w:styleId="EndnoteTextChar">
    <w:name w:val="Endnote Text Char"/>
    <w:basedOn w:val="DefaultParagraphFont"/>
    <w:link w:val="EndnoteText"/>
    <w:rsid w:val="00053ABD"/>
    <w:rPr>
      <w:rFonts w:ascii="Calibri" w:eastAsia="Calibri" w:hAnsi="Calibri"/>
      <w:sz w:val="22"/>
      <w:szCs w:val="22"/>
      <w:lang w:val="en-GB"/>
    </w:rPr>
  </w:style>
  <w:style w:type="paragraph" w:styleId="EnvelopeAddress">
    <w:name w:val="envelope address"/>
    <w:basedOn w:val="Normal"/>
    <w:rsid w:val="00053ABD"/>
    <w:pPr>
      <w:framePr w:w="7920" w:h="1980" w:hRule="exact" w:hSpace="180" w:wrap="auto" w:hAnchor="page" w:xAlign="center" w:yAlign="bottom"/>
      <w:spacing w:line="276" w:lineRule="auto"/>
      <w:ind w:left="2880" w:hanging="3686"/>
      <w:jc w:val="both"/>
    </w:pPr>
    <w:rPr>
      <w:rFonts w:ascii="Calibri" w:eastAsia="Calibri" w:hAnsi="Calibri"/>
      <w:sz w:val="24"/>
      <w:szCs w:val="24"/>
    </w:rPr>
  </w:style>
  <w:style w:type="paragraph" w:styleId="EnvelopeReturn">
    <w:name w:val="envelope return"/>
    <w:basedOn w:val="Normal"/>
    <w:rsid w:val="00053ABD"/>
    <w:pPr>
      <w:spacing w:line="276" w:lineRule="auto"/>
      <w:ind w:left="3686" w:hanging="3686"/>
      <w:jc w:val="both"/>
    </w:pPr>
    <w:rPr>
      <w:rFonts w:ascii="Calibri" w:eastAsia="Calibri" w:hAnsi="Calibri"/>
      <w:sz w:val="22"/>
      <w:szCs w:val="22"/>
    </w:rPr>
  </w:style>
  <w:style w:type="character" w:styleId="FollowedHyperlink">
    <w:name w:val="FollowedHyperlink"/>
    <w:basedOn w:val="DefaultParagraphFont"/>
    <w:rsid w:val="00053ABD"/>
    <w:rPr>
      <w:color w:val="800080"/>
      <w:u w:val="single"/>
    </w:rPr>
  </w:style>
  <w:style w:type="character" w:styleId="HTMLAcronym">
    <w:name w:val="HTML Acronym"/>
    <w:basedOn w:val="DefaultParagraphFont"/>
    <w:rsid w:val="00053ABD"/>
  </w:style>
  <w:style w:type="character" w:styleId="HTMLCite">
    <w:name w:val="HTML Cite"/>
    <w:basedOn w:val="DefaultParagraphFont"/>
    <w:rsid w:val="00053ABD"/>
    <w:rPr>
      <w:i/>
      <w:iCs/>
    </w:rPr>
  </w:style>
  <w:style w:type="character" w:styleId="HTMLCode">
    <w:name w:val="HTML Code"/>
    <w:basedOn w:val="DefaultParagraphFont"/>
    <w:rsid w:val="00053ABD"/>
    <w:rPr>
      <w:rFonts w:ascii="Courier New" w:hAnsi="Courier New"/>
      <w:sz w:val="20"/>
      <w:szCs w:val="20"/>
    </w:rPr>
  </w:style>
  <w:style w:type="character" w:styleId="HTMLDefinition">
    <w:name w:val="HTML Definition"/>
    <w:basedOn w:val="DefaultParagraphFont"/>
    <w:rsid w:val="00053ABD"/>
    <w:rPr>
      <w:i/>
      <w:iCs/>
    </w:rPr>
  </w:style>
  <w:style w:type="character" w:styleId="HTMLKeyboard">
    <w:name w:val="HTML Keyboard"/>
    <w:basedOn w:val="DefaultParagraphFont"/>
    <w:rsid w:val="00053ABD"/>
    <w:rPr>
      <w:rFonts w:ascii="Courier New" w:hAnsi="Courier New"/>
      <w:sz w:val="20"/>
      <w:szCs w:val="20"/>
    </w:rPr>
  </w:style>
  <w:style w:type="paragraph" w:styleId="HTMLPreformatted">
    <w:name w:val="HTML Preformatted"/>
    <w:basedOn w:val="Normal"/>
    <w:link w:val="HTMLPreformattedChar"/>
    <w:rsid w:val="00053ABD"/>
    <w:pPr>
      <w:spacing w:line="276" w:lineRule="auto"/>
      <w:ind w:left="3686" w:hanging="3686"/>
      <w:jc w:val="both"/>
    </w:pPr>
    <w:rPr>
      <w:rFonts w:ascii="Calibri" w:eastAsia="Calibri" w:hAnsi="Calibri" w:cs="Courier New"/>
      <w:sz w:val="22"/>
      <w:szCs w:val="22"/>
    </w:rPr>
  </w:style>
  <w:style w:type="character" w:customStyle="1" w:styleId="HTMLPreformattedChar">
    <w:name w:val="HTML Preformatted Char"/>
    <w:basedOn w:val="DefaultParagraphFont"/>
    <w:link w:val="HTMLPreformatted"/>
    <w:rsid w:val="00053ABD"/>
    <w:rPr>
      <w:rFonts w:ascii="Calibri" w:eastAsia="Calibri" w:hAnsi="Calibri" w:cs="Courier New"/>
      <w:sz w:val="22"/>
      <w:szCs w:val="22"/>
      <w:lang w:val="en-GB"/>
    </w:rPr>
  </w:style>
  <w:style w:type="character" w:styleId="HTMLSample">
    <w:name w:val="HTML Sample"/>
    <w:basedOn w:val="DefaultParagraphFont"/>
    <w:rsid w:val="00053ABD"/>
    <w:rPr>
      <w:rFonts w:ascii="Courier New" w:hAnsi="Courier New"/>
    </w:rPr>
  </w:style>
  <w:style w:type="character" w:styleId="HTMLTypewriter">
    <w:name w:val="HTML Typewriter"/>
    <w:basedOn w:val="DefaultParagraphFont"/>
    <w:rsid w:val="00053ABD"/>
    <w:rPr>
      <w:rFonts w:ascii="Courier New" w:hAnsi="Courier New"/>
      <w:sz w:val="20"/>
      <w:szCs w:val="20"/>
    </w:rPr>
  </w:style>
  <w:style w:type="character" w:styleId="HTMLVariable">
    <w:name w:val="HTML Variable"/>
    <w:basedOn w:val="DefaultParagraphFont"/>
    <w:rsid w:val="00053ABD"/>
    <w:rPr>
      <w:i/>
      <w:iCs/>
    </w:rPr>
  </w:style>
  <w:style w:type="paragraph" w:styleId="Index2">
    <w:name w:val="index 2"/>
    <w:basedOn w:val="Normal"/>
    <w:next w:val="Normal"/>
    <w:autoRedefine/>
    <w:rsid w:val="00053ABD"/>
    <w:pPr>
      <w:spacing w:line="276" w:lineRule="auto"/>
      <w:ind w:left="400" w:hanging="200"/>
      <w:jc w:val="both"/>
    </w:pPr>
    <w:rPr>
      <w:rFonts w:ascii="Calibri" w:eastAsia="Calibri" w:hAnsi="Calibri"/>
      <w:sz w:val="22"/>
      <w:szCs w:val="22"/>
    </w:rPr>
  </w:style>
  <w:style w:type="paragraph" w:styleId="Index3">
    <w:name w:val="index 3"/>
    <w:basedOn w:val="Normal"/>
    <w:next w:val="Normal"/>
    <w:autoRedefine/>
    <w:rsid w:val="00053ABD"/>
    <w:pPr>
      <w:spacing w:line="276" w:lineRule="auto"/>
      <w:ind w:left="600" w:hanging="200"/>
      <w:jc w:val="both"/>
    </w:pPr>
    <w:rPr>
      <w:rFonts w:ascii="Calibri" w:eastAsia="Calibri" w:hAnsi="Calibri"/>
      <w:sz w:val="22"/>
      <w:szCs w:val="22"/>
    </w:rPr>
  </w:style>
  <w:style w:type="paragraph" w:styleId="Index4">
    <w:name w:val="index 4"/>
    <w:basedOn w:val="Normal"/>
    <w:next w:val="Normal"/>
    <w:autoRedefine/>
    <w:rsid w:val="00053ABD"/>
    <w:pPr>
      <w:spacing w:line="276" w:lineRule="auto"/>
      <w:ind w:left="800" w:hanging="200"/>
      <w:jc w:val="both"/>
    </w:pPr>
    <w:rPr>
      <w:rFonts w:ascii="Calibri" w:eastAsia="Calibri" w:hAnsi="Calibri"/>
      <w:sz w:val="22"/>
      <w:szCs w:val="22"/>
    </w:rPr>
  </w:style>
  <w:style w:type="paragraph" w:styleId="Index5">
    <w:name w:val="index 5"/>
    <w:basedOn w:val="Normal"/>
    <w:next w:val="Normal"/>
    <w:autoRedefine/>
    <w:rsid w:val="00053ABD"/>
    <w:pPr>
      <w:spacing w:line="276" w:lineRule="auto"/>
      <w:ind w:left="1000" w:hanging="200"/>
      <w:jc w:val="both"/>
    </w:pPr>
    <w:rPr>
      <w:rFonts w:ascii="Calibri" w:eastAsia="Calibri" w:hAnsi="Calibri"/>
      <w:sz w:val="22"/>
      <w:szCs w:val="22"/>
    </w:rPr>
  </w:style>
  <w:style w:type="paragraph" w:styleId="Index6">
    <w:name w:val="index 6"/>
    <w:basedOn w:val="Normal"/>
    <w:next w:val="Normal"/>
    <w:autoRedefine/>
    <w:rsid w:val="00053ABD"/>
    <w:pPr>
      <w:spacing w:line="276" w:lineRule="auto"/>
      <w:ind w:left="1200" w:hanging="200"/>
      <w:jc w:val="both"/>
    </w:pPr>
    <w:rPr>
      <w:rFonts w:ascii="Calibri" w:eastAsia="Calibri" w:hAnsi="Calibri"/>
      <w:sz w:val="22"/>
      <w:szCs w:val="22"/>
    </w:rPr>
  </w:style>
  <w:style w:type="paragraph" w:styleId="Index7">
    <w:name w:val="index 7"/>
    <w:basedOn w:val="Normal"/>
    <w:next w:val="Normal"/>
    <w:autoRedefine/>
    <w:rsid w:val="00053ABD"/>
    <w:pPr>
      <w:spacing w:line="276" w:lineRule="auto"/>
      <w:ind w:left="1400" w:hanging="200"/>
      <w:jc w:val="both"/>
    </w:pPr>
    <w:rPr>
      <w:rFonts w:ascii="Calibri" w:eastAsia="Calibri" w:hAnsi="Calibri"/>
      <w:sz w:val="22"/>
      <w:szCs w:val="22"/>
    </w:rPr>
  </w:style>
  <w:style w:type="paragraph" w:styleId="Index8">
    <w:name w:val="index 8"/>
    <w:basedOn w:val="Normal"/>
    <w:next w:val="Normal"/>
    <w:autoRedefine/>
    <w:rsid w:val="00053ABD"/>
    <w:pPr>
      <w:spacing w:line="276" w:lineRule="auto"/>
      <w:ind w:left="1600" w:hanging="200"/>
      <w:jc w:val="both"/>
    </w:pPr>
    <w:rPr>
      <w:rFonts w:ascii="Calibri" w:eastAsia="Calibri" w:hAnsi="Calibri"/>
      <w:sz w:val="22"/>
      <w:szCs w:val="22"/>
    </w:rPr>
  </w:style>
  <w:style w:type="paragraph" w:styleId="Index9">
    <w:name w:val="index 9"/>
    <w:basedOn w:val="Normal"/>
    <w:next w:val="Normal"/>
    <w:autoRedefine/>
    <w:rsid w:val="00053ABD"/>
    <w:pPr>
      <w:spacing w:line="276" w:lineRule="auto"/>
      <w:ind w:left="1800" w:hanging="200"/>
      <w:jc w:val="both"/>
    </w:pPr>
    <w:rPr>
      <w:rFonts w:ascii="Calibri" w:eastAsia="Calibri" w:hAnsi="Calibri"/>
      <w:sz w:val="22"/>
      <w:szCs w:val="22"/>
    </w:rPr>
  </w:style>
  <w:style w:type="character" w:styleId="LineNumber">
    <w:name w:val="line number"/>
    <w:basedOn w:val="DefaultParagraphFont"/>
    <w:rsid w:val="00053ABD"/>
  </w:style>
  <w:style w:type="paragraph" w:styleId="List">
    <w:name w:val="List"/>
    <w:basedOn w:val="Normal"/>
    <w:rsid w:val="00053ABD"/>
    <w:pPr>
      <w:spacing w:line="276" w:lineRule="auto"/>
      <w:ind w:left="283" w:hanging="283"/>
      <w:jc w:val="both"/>
    </w:pPr>
    <w:rPr>
      <w:rFonts w:ascii="Calibri" w:eastAsia="Calibri" w:hAnsi="Calibri"/>
      <w:sz w:val="22"/>
      <w:szCs w:val="22"/>
    </w:rPr>
  </w:style>
  <w:style w:type="paragraph" w:styleId="List2">
    <w:name w:val="List 2"/>
    <w:basedOn w:val="Normal"/>
    <w:rsid w:val="00053ABD"/>
    <w:pPr>
      <w:spacing w:line="276" w:lineRule="auto"/>
      <w:ind w:left="566" w:hanging="283"/>
      <w:jc w:val="both"/>
    </w:pPr>
    <w:rPr>
      <w:rFonts w:ascii="Calibri" w:eastAsia="Calibri" w:hAnsi="Calibri"/>
      <w:sz w:val="22"/>
      <w:szCs w:val="22"/>
    </w:rPr>
  </w:style>
  <w:style w:type="paragraph" w:styleId="List3">
    <w:name w:val="List 3"/>
    <w:basedOn w:val="Normal"/>
    <w:rsid w:val="00053ABD"/>
    <w:pPr>
      <w:spacing w:line="276" w:lineRule="auto"/>
      <w:ind w:left="849" w:hanging="283"/>
      <w:jc w:val="both"/>
    </w:pPr>
    <w:rPr>
      <w:rFonts w:ascii="Calibri" w:eastAsia="Calibri" w:hAnsi="Calibri"/>
      <w:sz w:val="22"/>
      <w:szCs w:val="22"/>
    </w:rPr>
  </w:style>
  <w:style w:type="paragraph" w:styleId="List4">
    <w:name w:val="List 4"/>
    <w:basedOn w:val="Normal"/>
    <w:rsid w:val="00053ABD"/>
    <w:pPr>
      <w:spacing w:line="276" w:lineRule="auto"/>
      <w:ind w:left="1132" w:hanging="283"/>
      <w:jc w:val="both"/>
    </w:pPr>
    <w:rPr>
      <w:rFonts w:ascii="Calibri" w:eastAsia="Calibri" w:hAnsi="Calibri"/>
      <w:sz w:val="22"/>
      <w:szCs w:val="22"/>
    </w:rPr>
  </w:style>
  <w:style w:type="paragraph" w:styleId="List5">
    <w:name w:val="List 5"/>
    <w:basedOn w:val="Normal"/>
    <w:rsid w:val="00053ABD"/>
    <w:pPr>
      <w:spacing w:line="276" w:lineRule="auto"/>
      <w:ind w:left="1415" w:hanging="283"/>
      <w:jc w:val="both"/>
    </w:pPr>
    <w:rPr>
      <w:rFonts w:ascii="Calibri" w:eastAsia="Calibri" w:hAnsi="Calibri"/>
      <w:sz w:val="22"/>
      <w:szCs w:val="22"/>
    </w:rPr>
  </w:style>
  <w:style w:type="paragraph" w:styleId="ListBullet">
    <w:name w:val="List Bullet"/>
    <w:basedOn w:val="Normal"/>
    <w:autoRedefine/>
    <w:rsid w:val="00053ABD"/>
    <w:pPr>
      <w:numPr>
        <w:numId w:val="6"/>
      </w:numPr>
      <w:spacing w:line="276" w:lineRule="auto"/>
      <w:jc w:val="both"/>
    </w:pPr>
    <w:rPr>
      <w:rFonts w:ascii="Calibri" w:eastAsia="Calibri" w:hAnsi="Calibri"/>
      <w:sz w:val="22"/>
      <w:szCs w:val="22"/>
    </w:rPr>
  </w:style>
  <w:style w:type="paragraph" w:styleId="ListBullet2">
    <w:name w:val="List Bullet 2"/>
    <w:basedOn w:val="Normal"/>
    <w:link w:val="ListBullet2Char"/>
    <w:autoRedefine/>
    <w:rsid w:val="00053ABD"/>
    <w:pPr>
      <w:numPr>
        <w:numId w:val="7"/>
      </w:numPr>
      <w:spacing w:line="276" w:lineRule="auto"/>
      <w:jc w:val="both"/>
    </w:pPr>
    <w:rPr>
      <w:rFonts w:ascii="Calibri" w:eastAsia="Calibri" w:hAnsi="Calibri"/>
      <w:sz w:val="22"/>
      <w:szCs w:val="22"/>
    </w:rPr>
  </w:style>
  <w:style w:type="paragraph" w:styleId="ListBullet3">
    <w:name w:val="List Bullet 3"/>
    <w:basedOn w:val="Normal"/>
    <w:autoRedefine/>
    <w:rsid w:val="00053ABD"/>
    <w:pPr>
      <w:numPr>
        <w:numId w:val="8"/>
      </w:numPr>
      <w:spacing w:line="276" w:lineRule="auto"/>
      <w:jc w:val="both"/>
    </w:pPr>
    <w:rPr>
      <w:rFonts w:ascii="Calibri" w:eastAsia="Calibri" w:hAnsi="Calibri"/>
      <w:sz w:val="22"/>
      <w:szCs w:val="22"/>
    </w:rPr>
  </w:style>
  <w:style w:type="paragraph" w:styleId="ListBullet4">
    <w:name w:val="List Bullet 4"/>
    <w:basedOn w:val="Normal"/>
    <w:autoRedefine/>
    <w:rsid w:val="00053ABD"/>
    <w:pPr>
      <w:numPr>
        <w:numId w:val="9"/>
      </w:numPr>
      <w:spacing w:line="276" w:lineRule="auto"/>
      <w:jc w:val="both"/>
    </w:pPr>
    <w:rPr>
      <w:rFonts w:ascii="Calibri" w:eastAsia="Calibri" w:hAnsi="Calibri"/>
      <w:sz w:val="22"/>
      <w:szCs w:val="22"/>
    </w:rPr>
  </w:style>
  <w:style w:type="paragraph" w:styleId="ListContinue">
    <w:name w:val="List Continue"/>
    <w:basedOn w:val="Normal"/>
    <w:rsid w:val="00053ABD"/>
    <w:pPr>
      <w:spacing w:after="120" w:line="276" w:lineRule="auto"/>
      <w:ind w:left="283" w:hanging="3686"/>
      <w:jc w:val="both"/>
    </w:pPr>
    <w:rPr>
      <w:rFonts w:ascii="Calibri" w:eastAsia="Calibri" w:hAnsi="Calibri"/>
      <w:sz w:val="22"/>
      <w:szCs w:val="22"/>
    </w:rPr>
  </w:style>
  <w:style w:type="paragraph" w:styleId="ListContinue2">
    <w:name w:val="List Continue 2"/>
    <w:basedOn w:val="Normal"/>
    <w:rsid w:val="00053ABD"/>
    <w:pPr>
      <w:spacing w:after="120" w:line="276" w:lineRule="auto"/>
      <w:ind w:left="566" w:hanging="3686"/>
      <w:jc w:val="both"/>
    </w:pPr>
    <w:rPr>
      <w:rFonts w:ascii="Calibri" w:eastAsia="Calibri" w:hAnsi="Calibri"/>
      <w:sz w:val="22"/>
      <w:szCs w:val="22"/>
    </w:rPr>
  </w:style>
  <w:style w:type="paragraph" w:styleId="ListContinue3">
    <w:name w:val="List Continue 3"/>
    <w:basedOn w:val="Normal"/>
    <w:rsid w:val="00053ABD"/>
    <w:pPr>
      <w:spacing w:after="120" w:line="276" w:lineRule="auto"/>
      <w:ind w:left="849" w:hanging="3686"/>
      <w:jc w:val="both"/>
    </w:pPr>
    <w:rPr>
      <w:rFonts w:ascii="Calibri" w:eastAsia="Calibri" w:hAnsi="Calibri"/>
      <w:sz w:val="22"/>
      <w:szCs w:val="22"/>
    </w:rPr>
  </w:style>
  <w:style w:type="paragraph" w:styleId="ListContinue4">
    <w:name w:val="List Continue 4"/>
    <w:basedOn w:val="Normal"/>
    <w:rsid w:val="00053ABD"/>
    <w:pPr>
      <w:spacing w:after="120" w:line="276" w:lineRule="auto"/>
      <w:ind w:left="1132" w:hanging="3686"/>
      <w:jc w:val="both"/>
    </w:pPr>
    <w:rPr>
      <w:rFonts w:ascii="Calibri" w:eastAsia="Calibri" w:hAnsi="Calibri"/>
      <w:sz w:val="22"/>
      <w:szCs w:val="22"/>
    </w:rPr>
  </w:style>
  <w:style w:type="paragraph" w:styleId="ListContinue5">
    <w:name w:val="List Continue 5"/>
    <w:basedOn w:val="Normal"/>
    <w:rsid w:val="00053ABD"/>
    <w:pPr>
      <w:spacing w:after="120" w:line="276" w:lineRule="auto"/>
      <w:ind w:left="1415" w:hanging="3686"/>
      <w:jc w:val="both"/>
    </w:pPr>
    <w:rPr>
      <w:rFonts w:ascii="Calibri" w:eastAsia="Calibri" w:hAnsi="Calibri"/>
      <w:sz w:val="22"/>
      <w:szCs w:val="22"/>
    </w:rPr>
  </w:style>
  <w:style w:type="paragraph" w:styleId="ListNumber">
    <w:name w:val="List Number"/>
    <w:basedOn w:val="Normal"/>
    <w:rsid w:val="00053ABD"/>
    <w:pPr>
      <w:numPr>
        <w:numId w:val="10"/>
      </w:numPr>
      <w:spacing w:line="276" w:lineRule="auto"/>
      <w:jc w:val="both"/>
    </w:pPr>
    <w:rPr>
      <w:rFonts w:ascii="Calibri" w:eastAsia="Calibri" w:hAnsi="Calibri"/>
      <w:sz w:val="22"/>
      <w:szCs w:val="22"/>
    </w:rPr>
  </w:style>
  <w:style w:type="paragraph" w:styleId="ListNumber2">
    <w:name w:val="List Number 2"/>
    <w:basedOn w:val="Normal"/>
    <w:rsid w:val="00053ABD"/>
    <w:pPr>
      <w:numPr>
        <w:numId w:val="11"/>
      </w:numPr>
      <w:spacing w:line="276" w:lineRule="auto"/>
      <w:jc w:val="both"/>
    </w:pPr>
    <w:rPr>
      <w:rFonts w:ascii="Calibri" w:eastAsia="Calibri" w:hAnsi="Calibri"/>
      <w:sz w:val="22"/>
      <w:szCs w:val="22"/>
    </w:rPr>
  </w:style>
  <w:style w:type="paragraph" w:styleId="ListNumber3">
    <w:name w:val="List Number 3"/>
    <w:basedOn w:val="Normal"/>
    <w:rsid w:val="00053ABD"/>
    <w:pPr>
      <w:spacing w:line="276" w:lineRule="auto"/>
      <w:jc w:val="both"/>
    </w:pPr>
    <w:rPr>
      <w:rFonts w:ascii="Calibri" w:eastAsia="Calibri" w:hAnsi="Calibri"/>
      <w:sz w:val="22"/>
      <w:szCs w:val="22"/>
    </w:rPr>
  </w:style>
  <w:style w:type="paragraph" w:styleId="ListNumber4">
    <w:name w:val="List Number 4"/>
    <w:basedOn w:val="Normal"/>
    <w:rsid w:val="00053ABD"/>
    <w:pPr>
      <w:numPr>
        <w:numId w:val="12"/>
      </w:numPr>
      <w:spacing w:line="276" w:lineRule="auto"/>
      <w:jc w:val="both"/>
    </w:pPr>
    <w:rPr>
      <w:rFonts w:ascii="Calibri" w:eastAsia="Calibri" w:hAnsi="Calibri"/>
      <w:sz w:val="22"/>
      <w:szCs w:val="22"/>
    </w:rPr>
  </w:style>
  <w:style w:type="paragraph" w:styleId="ListNumber5">
    <w:name w:val="List Number 5"/>
    <w:basedOn w:val="Normal"/>
    <w:rsid w:val="00053ABD"/>
    <w:pPr>
      <w:numPr>
        <w:numId w:val="13"/>
      </w:numPr>
      <w:spacing w:line="276" w:lineRule="auto"/>
      <w:jc w:val="both"/>
    </w:pPr>
    <w:rPr>
      <w:rFonts w:ascii="Calibri" w:eastAsia="Calibri" w:hAnsi="Calibri"/>
      <w:sz w:val="22"/>
      <w:szCs w:val="22"/>
    </w:rPr>
  </w:style>
  <w:style w:type="paragraph" w:styleId="MacroText">
    <w:name w:val="macro"/>
    <w:link w:val="MacroTextChar"/>
    <w:rsid w:val="00053ABD"/>
    <w:pPr>
      <w:tabs>
        <w:tab w:val="left" w:pos="480"/>
        <w:tab w:val="left" w:pos="960"/>
        <w:tab w:val="left" w:pos="1440"/>
        <w:tab w:val="left" w:pos="1920"/>
        <w:tab w:val="left" w:pos="2400"/>
        <w:tab w:val="left" w:pos="2880"/>
        <w:tab w:val="left" w:pos="3360"/>
        <w:tab w:val="left" w:pos="3840"/>
        <w:tab w:val="left" w:pos="4320"/>
      </w:tabs>
      <w:spacing w:line="264" w:lineRule="auto"/>
      <w:jc w:val="both"/>
    </w:pPr>
    <w:rPr>
      <w:rFonts w:ascii="Arial" w:hAnsi="Arial" w:cs="Courier New"/>
      <w:lang w:val="en-GB"/>
    </w:rPr>
  </w:style>
  <w:style w:type="character" w:customStyle="1" w:styleId="MacroTextChar">
    <w:name w:val="Macro Text Char"/>
    <w:basedOn w:val="DefaultParagraphFont"/>
    <w:link w:val="MacroText"/>
    <w:rsid w:val="00053ABD"/>
    <w:rPr>
      <w:rFonts w:ascii="Arial" w:hAnsi="Arial" w:cs="Courier New"/>
      <w:lang w:val="en-GB"/>
    </w:rPr>
  </w:style>
  <w:style w:type="paragraph" w:styleId="MessageHeader">
    <w:name w:val="Message Header"/>
    <w:basedOn w:val="Normal"/>
    <w:link w:val="MessageHeaderChar"/>
    <w:rsid w:val="00053ABD"/>
    <w:pPr>
      <w:pBdr>
        <w:top w:val="single" w:sz="6" w:space="1" w:color="auto"/>
        <w:left w:val="single" w:sz="6" w:space="1" w:color="auto"/>
        <w:bottom w:val="single" w:sz="6" w:space="1" w:color="auto"/>
        <w:right w:val="single" w:sz="6" w:space="1" w:color="auto"/>
      </w:pBdr>
      <w:shd w:val="pct20" w:color="auto" w:fill="auto"/>
      <w:spacing w:line="276" w:lineRule="auto"/>
      <w:ind w:left="1134" w:hanging="1134"/>
      <w:jc w:val="both"/>
    </w:pPr>
    <w:rPr>
      <w:rFonts w:ascii="Calibri" w:eastAsia="Calibri" w:hAnsi="Calibri"/>
      <w:sz w:val="24"/>
      <w:szCs w:val="24"/>
    </w:rPr>
  </w:style>
  <w:style w:type="character" w:customStyle="1" w:styleId="MessageHeaderChar">
    <w:name w:val="Message Header Char"/>
    <w:basedOn w:val="DefaultParagraphFont"/>
    <w:link w:val="MessageHeader"/>
    <w:rsid w:val="00053ABD"/>
    <w:rPr>
      <w:rFonts w:ascii="Calibri" w:eastAsia="Calibri" w:hAnsi="Calibri"/>
      <w:sz w:val="24"/>
      <w:szCs w:val="24"/>
      <w:shd w:val="pct20" w:color="auto" w:fill="auto"/>
      <w:lang w:val="en-GB"/>
    </w:rPr>
  </w:style>
  <w:style w:type="paragraph" w:styleId="NormalIndent">
    <w:name w:val="Normal Indent"/>
    <w:basedOn w:val="Normal"/>
    <w:rsid w:val="00053ABD"/>
    <w:pPr>
      <w:spacing w:line="276" w:lineRule="auto"/>
      <w:ind w:left="720" w:hanging="3686"/>
      <w:jc w:val="both"/>
    </w:pPr>
    <w:rPr>
      <w:rFonts w:ascii="Calibri" w:eastAsia="Calibri" w:hAnsi="Calibri"/>
      <w:sz w:val="22"/>
      <w:szCs w:val="22"/>
    </w:rPr>
  </w:style>
  <w:style w:type="paragraph" w:styleId="NoteHeading">
    <w:name w:val="Note Heading"/>
    <w:basedOn w:val="Normal"/>
    <w:next w:val="Normal"/>
    <w:link w:val="NoteHeadingChar"/>
    <w:rsid w:val="00053ABD"/>
    <w:pPr>
      <w:spacing w:line="276" w:lineRule="auto"/>
      <w:ind w:left="3686" w:hanging="3686"/>
      <w:jc w:val="both"/>
    </w:pPr>
    <w:rPr>
      <w:rFonts w:ascii="Calibri" w:eastAsia="Calibri" w:hAnsi="Calibri"/>
      <w:sz w:val="22"/>
      <w:szCs w:val="22"/>
    </w:rPr>
  </w:style>
  <w:style w:type="character" w:customStyle="1" w:styleId="NoteHeadingChar">
    <w:name w:val="Note Heading Char"/>
    <w:basedOn w:val="DefaultParagraphFont"/>
    <w:link w:val="NoteHeading"/>
    <w:rsid w:val="00053ABD"/>
    <w:rPr>
      <w:rFonts w:ascii="Calibri" w:eastAsia="Calibri" w:hAnsi="Calibri"/>
      <w:sz w:val="22"/>
      <w:szCs w:val="22"/>
      <w:lang w:val="en-GB"/>
    </w:rPr>
  </w:style>
  <w:style w:type="paragraph" w:styleId="PlainText">
    <w:name w:val="Plain Text"/>
    <w:basedOn w:val="Normal"/>
    <w:link w:val="PlainTextChar"/>
    <w:rsid w:val="00053ABD"/>
    <w:pPr>
      <w:spacing w:line="276" w:lineRule="auto"/>
      <w:ind w:left="3686" w:hanging="3686"/>
      <w:jc w:val="both"/>
    </w:pPr>
    <w:rPr>
      <w:rFonts w:ascii="Calibri" w:eastAsia="Calibri" w:hAnsi="Calibri" w:cs="Courier New"/>
      <w:sz w:val="22"/>
      <w:szCs w:val="22"/>
    </w:rPr>
  </w:style>
  <w:style w:type="character" w:customStyle="1" w:styleId="PlainTextChar">
    <w:name w:val="Plain Text Char"/>
    <w:basedOn w:val="DefaultParagraphFont"/>
    <w:link w:val="PlainText"/>
    <w:rsid w:val="00053ABD"/>
    <w:rPr>
      <w:rFonts w:ascii="Calibri" w:eastAsia="Calibri" w:hAnsi="Calibri" w:cs="Courier New"/>
      <w:sz w:val="22"/>
      <w:szCs w:val="22"/>
      <w:lang w:val="en-GB"/>
    </w:rPr>
  </w:style>
  <w:style w:type="paragraph" w:styleId="Salutation">
    <w:name w:val="Salutation"/>
    <w:basedOn w:val="Normal"/>
    <w:next w:val="Normal"/>
    <w:link w:val="SalutationChar"/>
    <w:rsid w:val="00053ABD"/>
    <w:pPr>
      <w:spacing w:line="276" w:lineRule="auto"/>
      <w:ind w:left="3686" w:hanging="3686"/>
      <w:jc w:val="both"/>
    </w:pPr>
    <w:rPr>
      <w:rFonts w:ascii="Calibri" w:eastAsia="Calibri" w:hAnsi="Calibri"/>
      <w:sz w:val="22"/>
      <w:szCs w:val="22"/>
    </w:rPr>
  </w:style>
  <w:style w:type="character" w:customStyle="1" w:styleId="SalutationChar">
    <w:name w:val="Salutation Char"/>
    <w:basedOn w:val="DefaultParagraphFont"/>
    <w:link w:val="Salutation"/>
    <w:rsid w:val="00053ABD"/>
    <w:rPr>
      <w:rFonts w:ascii="Calibri" w:eastAsia="Calibri" w:hAnsi="Calibri"/>
      <w:sz w:val="22"/>
      <w:szCs w:val="22"/>
      <w:lang w:val="en-GB"/>
    </w:rPr>
  </w:style>
  <w:style w:type="paragraph" w:styleId="Signature">
    <w:name w:val="Signature"/>
    <w:basedOn w:val="Normal"/>
    <w:link w:val="SignatureChar"/>
    <w:rsid w:val="00053ABD"/>
    <w:pPr>
      <w:spacing w:line="276" w:lineRule="auto"/>
      <w:ind w:left="4252" w:hanging="3686"/>
      <w:jc w:val="both"/>
    </w:pPr>
    <w:rPr>
      <w:rFonts w:ascii="Calibri" w:eastAsia="Calibri" w:hAnsi="Calibri"/>
      <w:sz w:val="22"/>
      <w:szCs w:val="22"/>
    </w:rPr>
  </w:style>
  <w:style w:type="character" w:customStyle="1" w:styleId="SignatureChar">
    <w:name w:val="Signature Char"/>
    <w:basedOn w:val="DefaultParagraphFont"/>
    <w:link w:val="Signature"/>
    <w:rsid w:val="00053ABD"/>
    <w:rPr>
      <w:rFonts w:ascii="Calibri" w:eastAsia="Calibri" w:hAnsi="Calibri"/>
      <w:sz w:val="22"/>
      <w:szCs w:val="22"/>
      <w:lang w:val="en-GB"/>
    </w:rPr>
  </w:style>
  <w:style w:type="paragraph" w:styleId="Subtitle">
    <w:name w:val="Subtitle"/>
    <w:basedOn w:val="Normal"/>
    <w:link w:val="SubtitleChar"/>
    <w:qFormat/>
    <w:rsid w:val="00053ABD"/>
    <w:pPr>
      <w:spacing w:after="60" w:line="276" w:lineRule="auto"/>
      <w:ind w:left="3686" w:hanging="3686"/>
      <w:jc w:val="center"/>
      <w:outlineLvl w:val="1"/>
    </w:pPr>
    <w:rPr>
      <w:rFonts w:ascii="Calibri" w:eastAsia="Calibri" w:hAnsi="Calibri"/>
      <w:sz w:val="24"/>
      <w:szCs w:val="24"/>
    </w:rPr>
  </w:style>
  <w:style w:type="character" w:customStyle="1" w:styleId="SubtitleChar">
    <w:name w:val="Subtitle Char"/>
    <w:basedOn w:val="DefaultParagraphFont"/>
    <w:link w:val="Subtitle"/>
    <w:rsid w:val="00053ABD"/>
    <w:rPr>
      <w:rFonts w:ascii="Calibri" w:eastAsia="Calibri" w:hAnsi="Calibri"/>
      <w:sz w:val="24"/>
      <w:szCs w:val="24"/>
      <w:lang w:val="en-GB"/>
    </w:rPr>
  </w:style>
  <w:style w:type="paragraph" w:styleId="TableofAuthorities">
    <w:name w:val="table of authorities"/>
    <w:basedOn w:val="Normal"/>
    <w:next w:val="Normal"/>
    <w:rsid w:val="00053ABD"/>
    <w:pPr>
      <w:spacing w:line="276" w:lineRule="auto"/>
      <w:ind w:left="190" w:hanging="190"/>
      <w:jc w:val="both"/>
    </w:pPr>
    <w:rPr>
      <w:rFonts w:ascii="Calibri" w:eastAsia="Calibri" w:hAnsi="Calibri"/>
      <w:sz w:val="22"/>
      <w:szCs w:val="22"/>
    </w:rPr>
  </w:style>
  <w:style w:type="paragraph" w:styleId="Title">
    <w:name w:val="Title"/>
    <w:basedOn w:val="Normal"/>
    <w:link w:val="TitleChar"/>
    <w:qFormat/>
    <w:rsid w:val="00A021B7"/>
    <w:pPr>
      <w:spacing w:before="240" w:after="60" w:line="276" w:lineRule="auto"/>
      <w:ind w:left="3686" w:hanging="3686"/>
      <w:outlineLvl w:val="0"/>
    </w:pPr>
    <w:rPr>
      <w:rFonts w:eastAsia="Calibri" w:cs="Arial"/>
      <w:b/>
      <w:bCs/>
      <w:kern w:val="28"/>
      <w:sz w:val="22"/>
      <w:szCs w:val="22"/>
    </w:rPr>
  </w:style>
  <w:style w:type="character" w:customStyle="1" w:styleId="TitleChar">
    <w:name w:val="Title Char"/>
    <w:basedOn w:val="DefaultParagraphFont"/>
    <w:link w:val="Title"/>
    <w:rsid w:val="00A021B7"/>
    <w:rPr>
      <w:rFonts w:ascii="Arial" w:eastAsia="Calibri" w:hAnsi="Arial" w:cs="Arial"/>
      <w:b/>
      <w:bCs/>
      <w:kern w:val="28"/>
      <w:sz w:val="22"/>
      <w:szCs w:val="22"/>
      <w:lang w:val="en-GB"/>
    </w:rPr>
  </w:style>
  <w:style w:type="paragraph" w:styleId="TOAHeading">
    <w:name w:val="toa heading"/>
    <w:basedOn w:val="Normal"/>
    <w:next w:val="Normal"/>
    <w:rsid w:val="00053ABD"/>
    <w:pPr>
      <w:spacing w:before="120" w:line="276" w:lineRule="auto"/>
      <w:ind w:left="3686" w:hanging="3686"/>
      <w:jc w:val="both"/>
    </w:pPr>
    <w:rPr>
      <w:rFonts w:ascii="Calibri" w:eastAsia="Calibri" w:hAnsi="Calibri"/>
      <w:b/>
      <w:bCs/>
      <w:sz w:val="24"/>
      <w:szCs w:val="24"/>
    </w:rPr>
  </w:style>
  <w:style w:type="character" w:customStyle="1" w:styleId="google-src-text1">
    <w:name w:val="google-src-text1"/>
    <w:basedOn w:val="DefaultParagraphFont"/>
    <w:rsid w:val="00053ABD"/>
    <w:rPr>
      <w:vanish/>
      <w:webHidden w:val="0"/>
      <w:specVanish w:val="0"/>
    </w:rPr>
  </w:style>
  <w:style w:type="character" w:customStyle="1" w:styleId="hps">
    <w:name w:val="hps"/>
    <w:basedOn w:val="DefaultParagraphFont"/>
    <w:rsid w:val="00053ABD"/>
  </w:style>
  <w:style w:type="character" w:customStyle="1" w:styleId="st1">
    <w:name w:val="st1"/>
    <w:basedOn w:val="DefaultParagraphFont"/>
    <w:rsid w:val="00053ABD"/>
  </w:style>
  <w:style w:type="paragraph" w:customStyle="1" w:styleId="Bullet1">
    <w:name w:val="Bullet 1"/>
    <w:basedOn w:val="Normal"/>
    <w:rsid w:val="00053ABD"/>
    <w:pPr>
      <w:numPr>
        <w:numId w:val="14"/>
      </w:numPr>
      <w:spacing w:after="60" w:line="280" w:lineRule="atLeast"/>
    </w:pPr>
    <w:rPr>
      <w:lang w:val="en-AU"/>
    </w:rPr>
  </w:style>
  <w:style w:type="paragraph" w:customStyle="1" w:styleId="CaptionHeading">
    <w:name w:val="Caption Heading"/>
    <w:next w:val="Caption"/>
    <w:rsid w:val="00053ABD"/>
    <w:pPr>
      <w:spacing w:line="170" w:lineRule="exact"/>
    </w:pPr>
    <w:rPr>
      <w:rFonts w:ascii="Arial" w:hAnsi="Arial"/>
      <w:b/>
      <w:bCs/>
      <w:color w:val="63C1DF"/>
      <w:sz w:val="14"/>
      <w:szCs w:val="28"/>
    </w:rPr>
  </w:style>
  <w:style w:type="character" w:customStyle="1" w:styleId="apple-converted-space">
    <w:name w:val="apple-converted-space"/>
    <w:basedOn w:val="DefaultParagraphFont"/>
    <w:rsid w:val="00053ABD"/>
  </w:style>
  <w:style w:type="paragraph" w:customStyle="1" w:styleId="TableText">
    <w:name w:val="Table Text"/>
    <w:basedOn w:val="Normal"/>
    <w:link w:val="TableTextChar"/>
    <w:qFormat/>
    <w:rsid w:val="00053ABD"/>
    <w:pPr>
      <w:spacing w:line="230" w:lineRule="atLeast"/>
    </w:pPr>
    <w:rPr>
      <w:rFonts w:ascii="Calibri" w:hAnsi="Calibri" w:cs="Calibri"/>
      <w:szCs w:val="20"/>
      <w:lang w:val="en-AU"/>
    </w:rPr>
  </w:style>
  <w:style w:type="paragraph" w:customStyle="1" w:styleId="TableSolidFillH1">
    <w:name w:val="Table Solid Fill H1"/>
    <w:basedOn w:val="Normal"/>
    <w:link w:val="TableSolidFillH1Char"/>
    <w:rsid w:val="00053ABD"/>
    <w:pPr>
      <w:spacing w:line="230" w:lineRule="atLeast"/>
    </w:pPr>
    <w:rPr>
      <w:rFonts w:ascii="Calibri" w:hAnsi="Calibri" w:cs="Calibri"/>
      <w:b/>
      <w:szCs w:val="20"/>
      <w:lang w:val="en-AU"/>
    </w:rPr>
  </w:style>
  <w:style w:type="character" w:customStyle="1" w:styleId="TableSolidFillH1Char">
    <w:name w:val="Table Solid Fill H1 Char"/>
    <w:basedOn w:val="DefaultParagraphFont"/>
    <w:link w:val="TableSolidFillH1"/>
    <w:rsid w:val="00053ABD"/>
    <w:rPr>
      <w:rFonts w:ascii="Calibri" w:hAnsi="Calibri" w:cs="Calibri"/>
      <w:b/>
      <w:sz w:val="18"/>
      <w:lang w:val="en-AU"/>
    </w:rPr>
  </w:style>
  <w:style w:type="character" w:customStyle="1" w:styleId="TableTextChar">
    <w:name w:val="Table Text Char"/>
    <w:basedOn w:val="DefaultParagraphFont"/>
    <w:link w:val="TableText"/>
    <w:rsid w:val="00053ABD"/>
    <w:rPr>
      <w:rFonts w:ascii="Calibri" w:hAnsi="Calibri" w:cs="Calibri"/>
      <w:sz w:val="18"/>
      <w:lang w:val="en-AU"/>
    </w:rPr>
  </w:style>
  <w:style w:type="character" w:customStyle="1" w:styleId="EmailStyle199">
    <w:name w:val="EmailStyle199"/>
    <w:basedOn w:val="DefaultParagraphFont"/>
    <w:rsid w:val="00053ABD"/>
    <w:rPr>
      <w:rFonts w:cs="Arial"/>
      <w:color w:val="auto"/>
      <w:sz w:val="20"/>
    </w:rPr>
  </w:style>
  <w:style w:type="character" w:customStyle="1" w:styleId="EmailStyle200">
    <w:name w:val="EmailStyle200"/>
    <w:basedOn w:val="DefaultParagraphFont"/>
    <w:rsid w:val="00053ABD"/>
    <w:rPr>
      <w:rFonts w:cs="Arial"/>
      <w:color w:val="auto"/>
      <w:sz w:val="20"/>
    </w:rPr>
  </w:style>
  <w:style w:type="character" w:customStyle="1" w:styleId="EmailStyle201">
    <w:name w:val="EmailStyle201"/>
    <w:basedOn w:val="DefaultParagraphFont"/>
    <w:rsid w:val="00053ABD"/>
    <w:rPr>
      <w:rFonts w:cs="Arial"/>
      <w:color w:val="auto"/>
      <w:sz w:val="20"/>
    </w:rPr>
  </w:style>
  <w:style w:type="character" w:customStyle="1" w:styleId="EmailStyle202">
    <w:name w:val="EmailStyle202"/>
    <w:basedOn w:val="DefaultParagraphFont"/>
    <w:rsid w:val="00053ABD"/>
    <w:rPr>
      <w:rFonts w:cs="Arial"/>
      <w:color w:val="auto"/>
      <w:sz w:val="20"/>
    </w:rPr>
  </w:style>
  <w:style w:type="paragraph" w:customStyle="1" w:styleId="ListParagraph1">
    <w:name w:val="List Paragraph1"/>
    <w:basedOn w:val="Normal"/>
    <w:qFormat/>
    <w:rsid w:val="00053ABD"/>
    <w:pPr>
      <w:spacing w:after="200" w:line="276" w:lineRule="auto"/>
      <w:ind w:left="720"/>
    </w:pPr>
    <w:rPr>
      <w:rFonts w:eastAsia="Calibri"/>
      <w:sz w:val="22"/>
      <w:szCs w:val="22"/>
      <w:lang w:val="en-US"/>
    </w:rPr>
  </w:style>
  <w:style w:type="paragraph" w:customStyle="1" w:styleId="xl65">
    <w:name w:val="xl65"/>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6">
    <w:name w:val="xl66"/>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7">
    <w:name w:val="xl6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8">
    <w:name w:val="xl68"/>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69">
    <w:name w:val="xl69"/>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0">
    <w:name w:val="xl70"/>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1">
    <w:name w:val="xl71"/>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2">
    <w:name w:val="xl72"/>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3">
    <w:name w:val="xl73"/>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4">
    <w:name w:val="xl74"/>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5">
    <w:name w:val="xl75"/>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6">
    <w:name w:val="xl76"/>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7">
    <w:name w:val="xl77"/>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8">
    <w:name w:val="xl78"/>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9">
    <w:name w:val="xl79"/>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80">
    <w:name w:val="xl80"/>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1">
    <w:name w:val="xl81"/>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2">
    <w:name w:val="xl8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3">
    <w:name w:val="xl83"/>
    <w:basedOn w:val="Normal"/>
    <w:rsid w:val="004F14DF"/>
    <w:pPr>
      <w:pBdr>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4">
    <w:name w:val="xl84"/>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5">
    <w:name w:val="xl85"/>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6">
    <w:name w:val="xl86"/>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7">
    <w:name w:val="xl8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8">
    <w:name w:val="xl88"/>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9">
    <w:name w:val="xl89"/>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0">
    <w:name w:val="xl9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1">
    <w:name w:val="xl91"/>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2">
    <w:name w:val="xl92"/>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3">
    <w:name w:val="xl9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94">
    <w:name w:val="xl94"/>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5">
    <w:name w:val="xl95"/>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6">
    <w:name w:val="xl96"/>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7">
    <w:name w:val="xl97"/>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8">
    <w:name w:val="xl98"/>
    <w:basedOn w:val="Normal"/>
    <w:rsid w:val="004F14DF"/>
    <w:pPr>
      <w:pBdr>
        <w:left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99">
    <w:name w:val="xl99"/>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100">
    <w:name w:val="xl10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1">
    <w:name w:val="xl101"/>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2">
    <w:name w:val="xl10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sz w:val="20"/>
      <w:szCs w:val="20"/>
      <w:lang w:eastAsia="en-GB"/>
    </w:rPr>
  </w:style>
  <w:style w:type="paragraph" w:customStyle="1" w:styleId="xl103">
    <w:name w:val="xl10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104">
    <w:name w:val="xl104"/>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table" w:styleId="TableClassic1">
    <w:name w:val="Table Classic 1"/>
    <w:basedOn w:val="TableNormal"/>
    <w:rsid w:val="009D72F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NBody">
    <w:name w:val="TN_Body"/>
    <w:basedOn w:val="Normal"/>
    <w:link w:val="TNBodyChar"/>
    <w:qFormat/>
    <w:rsid w:val="009D72F1"/>
    <w:pPr>
      <w:tabs>
        <w:tab w:val="left" w:pos="567"/>
      </w:tabs>
      <w:spacing w:after="120" w:line="264" w:lineRule="auto"/>
      <w:jc w:val="both"/>
    </w:pPr>
    <w:rPr>
      <w:sz w:val="20"/>
      <w:szCs w:val="20"/>
    </w:rPr>
  </w:style>
  <w:style w:type="paragraph" w:customStyle="1" w:styleId="TNBullet">
    <w:name w:val="TN_Bullet"/>
    <w:basedOn w:val="TNBody"/>
    <w:link w:val="TNBulletChar"/>
    <w:qFormat/>
    <w:rsid w:val="009D72F1"/>
    <w:pPr>
      <w:numPr>
        <w:numId w:val="15"/>
      </w:numPr>
      <w:tabs>
        <w:tab w:val="clear" w:pos="567"/>
        <w:tab w:val="left" w:pos="851"/>
      </w:tabs>
      <w:spacing w:after="0"/>
    </w:pPr>
  </w:style>
  <w:style w:type="character" w:customStyle="1" w:styleId="TNBodyChar">
    <w:name w:val="TN_Body Char"/>
    <w:basedOn w:val="DefaultParagraphFont"/>
    <w:link w:val="TNBody"/>
    <w:rsid w:val="009D72F1"/>
    <w:rPr>
      <w:rFonts w:ascii="Arial" w:hAnsi="Arial"/>
      <w:lang w:val="en-GB"/>
    </w:rPr>
  </w:style>
  <w:style w:type="character" w:customStyle="1" w:styleId="TNBulletChar">
    <w:name w:val="TN_Bullet Char"/>
    <w:basedOn w:val="TNBodyChar"/>
    <w:link w:val="TNBullet"/>
    <w:rsid w:val="009D72F1"/>
    <w:rPr>
      <w:rFonts w:ascii="Arial" w:hAnsi="Arial"/>
      <w:lang w:val="en-GB"/>
    </w:rPr>
  </w:style>
  <w:style w:type="paragraph" w:customStyle="1" w:styleId="Normal63left">
    <w:name w:val="Normal 6:3 left"/>
    <w:rsid w:val="00AE0228"/>
    <w:pPr>
      <w:spacing w:before="120" w:after="60" w:line="264" w:lineRule="auto"/>
      <w:ind w:left="28" w:right="28"/>
    </w:pPr>
    <w:rPr>
      <w:rFonts w:ascii="Arial" w:hAnsi="Arial"/>
      <w:noProof/>
      <w:lang w:val="en-GB"/>
    </w:rPr>
  </w:style>
  <w:style w:type="paragraph" w:customStyle="1" w:styleId="Bold63Left">
    <w:name w:val="Bold 6:3 Left"/>
    <w:rsid w:val="00AE0228"/>
    <w:pPr>
      <w:spacing w:before="120" w:after="60" w:line="264" w:lineRule="auto"/>
      <w:ind w:left="28" w:right="28"/>
    </w:pPr>
    <w:rPr>
      <w:rFonts w:ascii="Arial" w:hAnsi="Arial"/>
      <w:b/>
      <w:noProof/>
      <w:lang w:val="en-GB"/>
    </w:rPr>
  </w:style>
  <w:style w:type="paragraph" w:customStyle="1" w:styleId="Bold63Right">
    <w:name w:val="Bold 6:3 Right"/>
    <w:rsid w:val="00AE0228"/>
    <w:pPr>
      <w:spacing w:before="120" w:after="60" w:line="264" w:lineRule="auto"/>
      <w:ind w:left="28" w:right="28"/>
      <w:jc w:val="right"/>
    </w:pPr>
    <w:rPr>
      <w:rFonts w:ascii="Arial" w:hAnsi="Arial"/>
      <w:b/>
      <w:noProof/>
      <w:lang w:val="en-GB"/>
    </w:rPr>
  </w:style>
  <w:style w:type="paragraph" w:customStyle="1" w:styleId="TNHeading1">
    <w:name w:val="TN_Heading1"/>
    <w:basedOn w:val="Normal"/>
    <w:link w:val="TNHeading1Char"/>
    <w:qFormat/>
    <w:rsid w:val="00AE0228"/>
    <w:pPr>
      <w:numPr>
        <w:numId w:val="16"/>
      </w:numPr>
      <w:tabs>
        <w:tab w:val="left" w:pos="567"/>
      </w:tabs>
      <w:spacing w:line="264" w:lineRule="auto"/>
      <w:ind w:left="567" w:hanging="567"/>
      <w:jc w:val="both"/>
    </w:pPr>
    <w:rPr>
      <w:b/>
      <w:sz w:val="20"/>
      <w:szCs w:val="20"/>
    </w:rPr>
  </w:style>
  <w:style w:type="character" w:customStyle="1" w:styleId="TNHeading1Char">
    <w:name w:val="TN_Heading1 Char"/>
    <w:basedOn w:val="DefaultParagraphFont"/>
    <w:link w:val="TNHeading1"/>
    <w:rsid w:val="00AE0228"/>
    <w:rPr>
      <w:rFonts w:ascii="Arial" w:hAnsi="Arial"/>
      <w:b/>
      <w:lang w:val="en-GB"/>
    </w:rPr>
  </w:style>
  <w:style w:type="character" w:styleId="IntenseEmphasis">
    <w:name w:val="Intense Emphasis"/>
    <w:basedOn w:val="DefaultParagraphFont"/>
    <w:uiPriority w:val="21"/>
    <w:qFormat/>
    <w:rsid w:val="00AE0228"/>
    <w:rPr>
      <w:b/>
      <w:bCs/>
      <w:i/>
      <w:iCs/>
      <w:color w:val="4F81BD" w:themeColor="accent1"/>
    </w:rPr>
  </w:style>
  <w:style w:type="character" w:customStyle="1" w:styleId="Heading2Char1">
    <w:name w:val="Heading 2 Char1"/>
    <w:aliases w:val="Oscar Faber 2 Char1,Arial 12 Fett Kursiv Char,ASAPHeading 2 Char,Chapter Title Char,R&amp;S - Titre 2 Char,tt Char,Fonctionnalité Char,Titre 21 Char,t2.T2 Char,Table2 Char,H2 Char,heading 2 Char,Heading 2 Hidden Char,header 2 Char,h2 Char"/>
    <w:basedOn w:val="DefaultParagraphFont"/>
    <w:rsid w:val="00EE64B9"/>
    <w:rPr>
      <w:rFonts w:asciiTheme="majorHAnsi" w:eastAsiaTheme="majorEastAsia" w:hAnsiTheme="majorHAnsi" w:cstheme="majorBidi"/>
      <w:b/>
      <w:bCs/>
      <w:color w:val="4F81BD" w:themeColor="accent1"/>
      <w:sz w:val="26"/>
      <w:szCs w:val="26"/>
      <w:lang w:val="en-GB"/>
    </w:rPr>
  </w:style>
  <w:style w:type="character" w:customStyle="1" w:styleId="Heading1Char1">
    <w:name w:val="Heading 1 Char1"/>
    <w:aliases w:val="Titre a Char,Titre 11 Char,t1.T1.Titre 1 Char,t1 Char,Titre1 Char,stydde Char,Arial 14 Fett Char,Arial 14 Fett1 Char,Arial 14 Fett2 Char,ASAPHeading 1 Char,H1 Char1,h1 Char,app heading 1 Char,ITT t1 Char,II+ Char,I Char,H11 Char,H12 Char"/>
    <w:locked/>
    <w:rsid w:val="008B7CC2"/>
    <w:rPr>
      <w:rFonts w:ascii="Arial Narrow" w:eastAsia="Times New Roman" w:hAnsi="Arial Narrow" w:cs="Arial Narrow"/>
      <w:b/>
      <w:bCs/>
      <w:caps/>
      <w:color w:val="FFFFFF"/>
      <w:kern w:val="28"/>
      <w:sz w:val="30"/>
      <w:szCs w:val="30"/>
      <w:shd w:val="solid" w:color="008080" w:fill="auto"/>
      <w:lang w:val="fr-FR" w:eastAsia="fr-FR"/>
    </w:rPr>
  </w:style>
  <w:style w:type="character" w:customStyle="1" w:styleId="CaptionChar">
    <w:name w:val="Caption Char"/>
    <w:aliases w:val="Titlu Tabel Char,Map Char Char1,Map Char Char Char,Map Char1,Map Char Char Char Char Char Char,Caption Char Char Car Car Char,Caption Char Char Car Car Car Char,Map Char Char Char Car Car Char,Caption Char Char Char,Caption Char1 Char"/>
    <w:link w:val="Caption"/>
    <w:rsid w:val="008B7CC2"/>
    <w:rPr>
      <w:rFonts w:ascii="Arial" w:hAnsi="Arial"/>
      <w:bCs/>
      <w:sz w:val="18"/>
      <w:szCs w:val="18"/>
      <w:lang w:val="en-GB"/>
    </w:rPr>
  </w:style>
  <w:style w:type="paragraph" w:styleId="NoSpacing">
    <w:name w:val="No Spacing"/>
    <w:link w:val="NoSpacingChar"/>
    <w:uiPriority w:val="1"/>
    <w:qFormat/>
    <w:rsid w:val="008B7CC2"/>
    <w:rPr>
      <w:rFonts w:eastAsia="Calibri"/>
      <w:sz w:val="22"/>
      <w:szCs w:val="22"/>
      <w:lang w:val="ro-RO"/>
    </w:rPr>
  </w:style>
  <w:style w:type="character" w:customStyle="1" w:styleId="NoSpacingChar">
    <w:name w:val="No Spacing Char"/>
    <w:link w:val="NoSpacing"/>
    <w:uiPriority w:val="1"/>
    <w:rsid w:val="008B7CC2"/>
    <w:rPr>
      <w:rFonts w:eastAsia="Calibri"/>
      <w:sz w:val="22"/>
      <w:szCs w:val="22"/>
      <w:lang w:val="ro-RO"/>
    </w:rPr>
  </w:style>
  <w:style w:type="paragraph" w:styleId="TOCHeading">
    <w:name w:val="TOC Heading"/>
    <w:basedOn w:val="Normal"/>
    <w:next w:val="Normal"/>
    <w:uiPriority w:val="39"/>
    <w:qFormat/>
    <w:rsid w:val="008B7CC2"/>
    <w:pPr>
      <w:keepNext/>
      <w:spacing w:before="240" w:after="240"/>
      <w:jc w:val="center"/>
    </w:pPr>
    <w:rPr>
      <w:b/>
      <w:bCs/>
      <w:caps/>
      <w:sz w:val="24"/>
      <w:szCs w:val="24"/>
      <w:lang w:val="ro-RO"/>
    </w:rPr>
  </w:style>
  <w:style w:type="paragraph" w:customStyle="1" w:styleId="StyleMV">
    <w:name w:val="StyleMV"/>
    <w:basedOn w:val="Normal"/>
    <w:link w:val="StyleMVChar"/>
    <w:qFormat/>
    <w:rsid w:val="008B7CC2"/>
    <w:pPr>
      <w:jc w:val="both"/>
    </w:pPr>
    <w:rPr>
      <w:bCs/>
      <w:sz w:val="20"/>
      <w:szCs w:val="16"/>
      <w:lang w:val="ro-RO" w:eastAsia="ro-RO"/>
    </w:rPr>
  </w:style>
  <w:style w:type="character" w:customStyle="1" w:styleId="StyleMVChar">
    <w:name w:val="StyleMV Char"/>
    <w:link w:val="StyleMV"/>
    <w:locked/>
    <w:rsid w:val="008B7CC2"/>
    <w:rPr>
      <w:rFonts w:ascii="Arial" w:hAnsi="Arial"/>
      <w:bCs/>
      <w:szCs w:val="16"/>
      <w:lang w:val="ro-RO" w:eastAsia="ro-RO"/>
    </w:rPr>
  </w:style>
  <w:style w:type="paragraph" w:customStyle="1" w:styleId="Style11">
    <w:name w:val="Style11"/>
    <w:basedOn w:val="Heading2"/>
    <w:link w:val="Style11Char"/>
    <w:qFormat/>
    <w:rsid w:val="008B7CC2"/>
    <w:pPr>
      <w:keepLines/>
      <w:numPr>
        <w:ilvl w:val="2"/>
        <w:numId w:val="28"/>
      </w:numPr>
      <w:tabs>
        <w:tab w:val="left" w:pos="720"/>
      </w:tabs>
      <w:spacing w:before="0" w:line="240" w:lineRule="atLeast"/>
      <w:contextualSpacing/>
    </w:pPr>
    <w:rPr>
      <w:bCs/>
      <w:iCs/>
      <w:color w:val="9C0880"/>
      <w:kern w:val="32"/>
      <w:sz w:val="22"/>
      <w:szCs w:val="28"/>
      <w:lang w:eastAsia="en-GB"/>
    </w:rPr>
  </w:style>
  <w:style w:type="character" w:customStyle="1" w:styleId="Style11Char">
    <w:name w:val="Style11 Char"/>
    <w:link w:val="Style11"/>
    <w:rsid w:val="008B7CC2"/>
    <w:rPr>
      <w:rFonts w:ascii="Arial" w:hAnsi="Arial"/>
      <w:b/>
      <w:bCs/>
      <w:iCs/>
      <w:color w:val="9C0880"/>
      <w:kern w:val="32"/>
      <w:sz w:val="22"/>
      <w:szCs w:val="28"/>
      <w:lang w:val="en-GB" w:eastAsia="en-GB"/>
    </w:rPr>
  </w:style>
  <w:style w:type="paragraph" w:customStyle="1" w:styleId="Listparagraf">
    <w:name w:val="Listă paragraf"/>
    <w:basedOn w:val="Normal"/>
    <w:qFormat/>
    <w:rsid w:val="008B7CC2"/>
    <w:pPr>
      <w:widowControl w:val="0"/>
      <w:spacing w:after="120" w:line="280" w:lineRule="exact"/>
      <w:ind w:left="708"/>
    </w:pPr>
    <w:rPr>
      <w:rFonts w:ascii="Times New Roman" w:hAnsi="Times New Roman"/>
      <w:snapToGrid w:val="0"/>
      <w:sz w:val="24"/>
      <w:szCs w:val="24"/>
    </w:rPr>
  </w:style>
  <w:style w:type="paragraph" w:customStyle="1" w:styleId="Style12">
    <w:name w:val="Style12"/>
    <w:basedOn w:val="Heading3"/>
    <w:link w:val="Style12Char"/>
    <w:qFormat/>
    <w:rsid w:val="008B7CC2"/>
    <w:pPr>
      <w:numPr>
        <w:numId w:val="30"/>
      </w:numPr>
      <w:spacing w:before="0" w:after="120" w:line="276" w:lineRule="auto"/>
      <w:jc w:val="both"/>
    </w:pPr>
    <w:rPr>
      <w:b/>
      <w:kern w:val="28"/>
      <w:sz w:val="22"/>
      <w:szCs w:val="24"/>
      <w:lang w:val="ro-RO"/>
    </w:rPr>
  </w:style>
  <w:style w:type="character" w:customStyle="1" w:styleId="Style12Char">
    <w:name w:val="Style12 Char"/>
    <w:basedOn w:val="Heading3Char"/>
    <w:link w:val="Style12"/>
    <w:rsid w:val="008B7CC2"/>
    <w:rPr>
      <w:rFonts w:ascii="Arial" w:hAnsi="Arial"/>
      <w:b/>
      <w:kern w:val="28"/>
      <w:sz w:val="22"/>
      <w:szCs w:val="24"/>
      <w:lang w:val="ro-RO"/>
    </w:rPr>
  </w:style>
  <w:style w:type="paragraph" w:customStyle="1" w:styleId="Style15">
    <w:name w:val="Style15"/>
    <w:basedOn w:val="Heading1"/>
    <w:link w:val="Style15Char"/>
    <w:qFormat/>
    <w:rsid w:val="008B7CC2"/>
    <w:pPr>
      <w:framePr w:w="0" w:hRule="auto" w:wrap="auto" w:vAnchor="margin" w:hAnchor="text" w:yAlign="inline"/>
      <w:shd w:val="clear" w:color="008080" w:fill="auto"/>
      <w:tabs>
        <w:tab w:val="num" w:pos="1301"/>
      </w:tabs>
      <w:ind w:hanging="851"/>
      <w:jc w:val="center"/>
    </w:pPr>
    <w:rPr>
      <w:rFonts w:cs="Times New Roman"/>
      <w:b/>
      <w:caps/>
      <w:color w:val="9E0880"/>
      <w:szCs w:val="24"/>
      <w:lang w:val="ro-RO" w:eastAsia="fr-FR"/>
    </w:rPr>
  </w:style>
  <w:style w:type="character" w:customStyle="1" w:styleId="Style15Char">
    <w:name w:val="Style15 Char"/>
    <w:link w:val="Style15"/>
    <w:rsid w:val="008B7CC2"/>
    <w:rPr>
      <w:rFonts w:ascii="Arial" w:hAnsi="Arial"/>
      <w:b/>
      <w:bCs/>
      <w:caps/>
      <w:color w:val="9E0880"/>
      <w:kern w:val="28"/>
      <w:sz w:val="30"/>
      <w:szCs w:val="24"/>
      <w:shd w:val="clear" w:color="008080" w:fill="auto"/>
      <w:lang w:val="ro-RO" w:eastAsia="fr-FR"/>
    </w:rPr>
  </w:style>
  <w:style w:type="paragraph" w:customStyle="1" w:styleId="Style17">
    <w:name w:val="Style17"/>
    <w:basedOn w:val="Heading2"/>
    <w:link w:val="Style17Char"/>
    <w:qFormat/>
    <w:rsid w:val="008B7CC2"/>
    <w:pPr>
      <w:keepLines/>
      <w:numPr>
        <w:numId w:val="29"/>
      </w:numPr>
      <w:tabs>
        <w:tab w:val="left" w:pos="720"/>
      </w:tabs>
      <w:spacing w:before="0" w:line="240" w:lineRule="atLeast"/>
      <w:contextualSpacing/>
    </w:pPr>
    <w:rPr>
      <w:bCs/>
      <w:iCs/>
      <w:color w:val="008080"/>
      <w:kern w:val="32"/>
      <w:sz w:val="22"/>
      <w:szCs w:val="28"/>
      <w:lang w:eastAsia="en-GB"/>
    </w:rPr>
  </w:style>
  <w:style w:type="character" w:customStyle="1" w:styleId="Style17Char">
    <w:name w:val="Style17 Char"/>
    <w:link w:val="Style17"/>
    <w:rsid w:val="008B7CC2"/>
    <w:rPr>
      <w:rFonts w:ascii="Arial" w:hAnsi="Arial"/>
      <w:b/>
      <w:bCs/>
      <w:iCs/>
      <w:color w:val="008080"/>
      <w:kern w:val="32"/>
      <w:sz w:val="22"/>
      <w:szCs w:val="28"/>
      <w:lang w:val="en-GB" w:eastAsia="en-GB"/>
    </w:rPr>
  </w:style>
  <w:style w:type="paragraph" w:customStyle="1" w:styleId="Style18">
    <w:name w:val="Style18"/>
    <w:basedOn w:val="Style12"/>
    <w:link w:val="Style18Char"/>
    <w:qFormat/>
    <w:rsid w:val="008B7CC2"/>
    <w:pPr>
      <w:numPr>
        <w:numId w:val="0"/>
      </w:numPr>
    </w:pPr>
    <w:rPr>
      <w:color w:val="000000"/>
    </w:rPr>
  </w:style>
  <w:style w:type="character" w:customStyle="1" w:styleId="Style18Char">
    <w:name w:val="Style18 Char"/>
    <w:link w:val="Style18"/>
    <w:rsid w:val="008B7CC2"/>
    <w:rPr>
      <w:rFonts w:ascii="Arial" w:hAnsi="Arial"/>
      <w:b/>
      <w:color w:val="000000"/>
      <w:kern w:val="28"/>
      <w:sz w:val="22"/>
      <w:szCs w:val="24"/>
      <w:lang w:val="ro-RO"/>
    </w:rPr>
  </w:style>
  <w:style w:type="character" w:customStyle="1" w:styleId="EmailStyle441">
    <w:name w:val="EmailStyle441"/>
    <w:rsid w:val="008B7CC2"/>
    <w:rPr>
      <w:rFonts w:cs="Arial"/>
      <w:color w:val="auto"/>
      <w:sz w:val="20"/>
    </w:rPr>
  </w:style>
  <w:style w:type="character" w:customStyle="1" w:styleId="EmailStyle451">
    <w:name w:val="EmailStyle451"/>
    <w:rsid w:val="008B7CC2"/>
    <w:rPr>
      <w:rFonts w:cs="Arial"/>
      <w:color w:val="auto"/>
      <w:sz w:val="20"/>
    </w:rPr>
  </w:style>
  <w:style w:type="character" w:customStyle="1" w:styleId="hpsatn">
    <w:name w:val="hps atn"/>
    <w:basedOn w:val="DefaultParagraphFont"/>
    <w:rsid w:val="008B7CC2"/>
  </w:style>
  <w:style w:type="character" w:customStyle="1" w:styleId="description">
    <w:name w:val="description"/>
    <w:basedOn w:val="DefaultParagraphFont"/>
    <w:rsid w:val="008B7CC2"/>
  </w:style>
  <w:style w:type="character" w:customStyle="1" w:styleId="highlightedsearchterm">
    <w:name w:val="highlightedsearchterm"/>
    <w:basedOn w:val="DefaultParagraphFont"/>
    <w:rsid w:val="008B7CC2"/>
  </w:style>
  <w:style w:type="character" w:customStyle="1" w:styleId="txtcontact1">
    <w:name w:val="txtcontact1"/>
    <w:rsid w:val="008B7CC2"/>
    <w:rPr>
      <w:rFonts w:ascii="Arial" w:hAnsi="Arial" w:cs="Arial" w:hint="default"/>
      <w:color w:val="595959"/>
      <w:sz w:val="12"/>
      <w:szCs w:val="12"/>
    </w:rPr>
  </w:style>
  <w:style w:type="character" w:customStyle="1" w:styleId="tpa1">
    <w:name w:val="tpa1"/>
    <w:basedOn w:val="DefaultParagraphFont"/>
    <w:rsid w:val="008B7CC2"/>
  </w:style>
  <w:style w:type="character" w:customStyle="1" w:styleId="tal1">
    <w:name w:val="tal1"/>
    <w:basedOn w:val="DefaultParagraphFont"/>
    <w:rsid w:val="008B7CC2"/>
  </w:style>
  <w:style w:type="character" w:customStyle="1" w:styleId="al1">
    <w:name w:val="al1"/>
    <w:uiPriority w:val="99"/>
    <w:rsid w:val="008B7CC2"/>
    <w:rPr>
      <w:b/>
      <w:bCs/>
      <w:color w:val="008F00"/>
    </w:rPr>
  </w:style>
  <w:style w:type="character" w:customStyle="1" w:styleId="do1">
    <w:name w:val="do1"/>
    <w:rsid w:val="008B7CC2"/>
    <w:rPr>
      <w:b/>
      <w:bCs/>
      <w:sz w:val="26"/>
      <w:szCs w:val="26"/>
    </w:rPr>
  </w:style>
  <w:style w:type="character" w:customStyle="1" w:styleId="tpt1">
    <w:name w:val="tpt1"/>
    <w:basedOn w:val="DefaultParagraphFont"/>
    <w:rsid w:val="008B7CC2"/>
  </w:style>
  <w:style w:type="character" w:customStyle="1" w:styleId="li1">
    <w:name w:val="li1"/>
    <w:rsid w:val="008B7CC2"/>
    <w:rPr>
      <w:b/>
      <w:bCs/>
      <w:color w:val="8F0000"/>
    </w:rPr>
  </w:style>
  <w:style w:type="character" w:customStyle="1" w:styleId="tli1">
    <w:name w:val="tli1"/>
    <w:basedOn w:val="DefaultParagraphFont"/>
    <w:rsid w:val="008B7CC2"/>
  </w:style>
  <w:style w:type="character" w:customStyle="1" w:styleId="ar1">
    <w:name w:val="ar1"/>
    <w:uiPriority w:val="99"/>
    <w:rsid w:val="008B7CC2"/>
    <w:rPr>
      <w:b/>
      <w:bCs/>
      <w:color w:val="0000AF"/>
      <w:sz w:val="22"/>
      <w:szCs w:val="22"/>
    </w:rPr>
  </w:style>
  <w:style w:type="paragraph" w:customStyle="1" w:styleId="just1">
    <w:name w:val="just1"/>
    <w:basedOn w:val="Normal"/>
    <w:rsid w:val="008B7CC2"/>
    <w:pPr>
      <w:spacing w:before="111"/>
      <w:jc w:val="both"/>
    </w:pPr>
    <w:rPr>
      <w:rFonts w:cs="Arial"/>
      <w:color w:val="4D4D4D"/>
      <w:sz w:val="17"/>
      <w:szCs w:val="17"/>
      <w:lang w:val="en-US"/>
    </w:rPr>
  </w:style>
  <w:style w:type="paragraph" w:customStyle="1" w:styleId="CharCharCaracterCaracter">
    <w:name w:val="Char Char Caracter Caracter"/>
    <w:basedOn w:val="Normal"/>
    <w:rsid w:val="008B7CC2"/>
    <w:pPr>
      <w:jc w:val="both"/>
    </w:pPr>
    <w:rPr>
      <w:rFonts w:ascii="Times New Roman" w:hAnsi="Times New Roman"/>
      <w:sz w:val="24"/>
      <w:szCs w:val="24"/>
      <w:lang w:val="pl-PL" w:eastAsia="pl-PL"/>
    </w:rPr>
  </w:style>
  <w:style w:type="character" w:customStyle="1" w:styleId="link-pdf">
    <w:name w:val="link-pdf"/>
    <w:basedOn w:val="DefaultParagraphFont"/>
    <w:rsid w:val="008B7CC2"/>
  </w:style>
  <w:style w:type="paragraph" w:customStyle="1" w:styleId="CharCharCaracterCaracter1">
    <w:name w:val="Char Char Caracter Caracter1"/>
    <w:basedOn w:val="Normal"/>
    <w:rsid w:val="008B7CC2"/>
    <w:pPr>
      <w:jc w:val="both"/>
    </w:pPr>
    <w:rPr>
      <w:rFonts w:ascii="Times New Roman" w:hAnsi="Times New Roman"/>
      <w:sz w:val="24"/>
      <w:szCs w:val="24"/>
      <w:lang w:val="pl-PL" w:eastAsia="pl-PL"/>
    </w:rPr>
  </w:style>
  <w:style w:type="table" w:styleId="TableElegant">
    <w:name w:val="Table Elegant"/>
    <w:basedOn w:val="TableNormal"/>
    <w:rsid w:val="008B7CC2"/>
    <w:pPr>
      <w:suppressAutoHyphen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1">
    <w:name w:val="tax1"/>
    <w:rsid w:val="008B7CC2"/>
    <w:rPr>
      <w:b/>
      <w:bCs/>
      <w:sz w:val="26"/>
      <w:szCs w:val="26"/>
    </w:rPr>
  </w:style>
  <w:style w:type="character" w:customStyle="1" w:styleId="atn">
    <w:name w:val="atn"/>
    <w:basedOn w:val="DefaultParagraphFont"/>
    <w:rsid w:val="008B7CC2"/>
  </w:style>
  <w:style w:type="table" w:customStyle="1" w:styleId="TableGrid2">
    <w:name w:val="Table Grid2"/>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8B7CC2"/>
  </w:style>
  <w:style w:type="character" w:customStyle="1" w:styleId="longtext">
    <w:name w:val="long_text"/>
    <w:basedOn w:val="DefaultParagraphFont"/>
    <w:rsid w:val="008B7CC2"/>
  </w:style>
  <w:style w:type="character" w:customStyle="1" w:styleId="separator1">
    <w:name w:val="separator1"/>
    <w:rsid w:val="008B7CC2"/>
    <w:rPr>
      <w:vanish/>
      <w:webHidden w:val="0"/>
      <w:specVanish w:val="0"/>
    </w:rPr>
  </w:style>
  <w:style w:type="character" w:customStyle="1" w:styleId="apple-style-span">
    <w:name w:val="apple-style-span"/>
    <w:basedOn w:val="DefaultParagraphFont"/>
    <w:rsid w:val="008B7CC2"/>
  </w:style>
  <w:style w:type="paragraph" w:customStyle="1" w:styleId="CM1">
    <w:name w:val="CM1"/>
    <w:basedOn w:val="Default"/>
    <w:next w:val="Default"/>
    <w:uiPriority w:val="99"/>
    <w:rsid w:val="008B7CC2"/>
    <w:rPr>
      <w:rFonts w:ascii="EUAlbertina" w:hAnsi="EUAlbertina" w:cs="Times New Roman"/>
      <w:color w:val="auto"/>
      <w:lang w:val="en-US"/>
    </w:rPr>
  </w:style>
  <w:style w:type="paragraph" w:customStyle="1" w:styleId="CM3">
    <w:name w:val="CM3"/>
    <w:basedOn w:val="Default"/>
    <w:next w:val="Default"/>
    <w:uiPriority w:val="99"/>
    <w:rsid w:val="008B7CC2"/>
    <w:rPr>
      <w:rFonts w:ascii="EUAlbertina" w:hAnsi="EUAlbertina" w:cs="Times New Roman"/>
      <w:color w:val="auto"/>
      <w:lang w:val="en-US"/>
    </w:rPr>
  </w:style>
  <w:style w:type="character" w:customStyle="1" w:styleId="pt1">
    <w:name w:val="pt1"/>
    <w:rsid w:val="008B7CC2"/>
    <w:rPr>
      <w:b/>
      <w:bCs/>
      <w:color w:val="8F0000"/>
    </w:rPr>
  </w:style>
  <w:style w:type="character" w:customStyle="1" w:styleId="tar1">
    <w:name w:val="tar1"/>
    <w:rsid w:val="008B7CC2"/>
    <w:rPr>
      <w:b/>
      <w:bCs/>
      <w:sz w:val="22"/>
      <w:szCs w:val="22"/>
    </w:rPr>
  </w:style>
  <w:style w:type="character" w:customStyle="1" w:styleId="shorttext">
    <w:name w:val="short_text"/>
    <w:basedOn w:val="DefaultParagraphFont"/>
    <w:rsid w:val="008B7CC2"/>
  </w:style>
  <w:style w:type="paragraph" w:customStyle="1" w:styleId="Frspaiere1">
    <w:name w:val="Fără spațiere1"/>
    <w:qFormat/>
    <w:rsid w:val="00A96365"/>
    <w:pPr>
      <w:ind w:left="964"/>
    </w:pPr>
    <w:rPr>
      <w:rFonts w:ascii="Calibri" w:eastAsia="Calibri" w:hAnsi="Calibri"/>
      <w:sz w:val="22"/>
      <w:szCs w:val="22"/>
      <w:lang w:bidi="en-US"/>
    </w:rPr>
  </w:style>
  <w:style w:type="paragraph" w:customStyle="1" w:styleId="Listparagraf1">
    <w:name w:val="Listă paragraf1"/>
    <w:basedOn w:val="Normal"/>
    <w:link w:val="ListparagrafCaracter1"/>
    <w:qFormat/>
    <w:rsid w:val="008B7CC2"/>
    <w:pPr>
      <w:suppressAutoHyphens/>
      <w:spacing w:after="200" w:line="276" w:lineRule="auto"/>
      <w:ind w:left="720"/>
      <w:jc w:val="both"/>
    </w:pPr>
    <w:rPr>
      <w:rFonts w:ascii="Cambria" w:hAnsi="Cambria" w:cs="Cambria"/>
      <w:sz w:val="20"/>
      <w:szCs w:val="20"/>
      <w:lang w:bidi="en-US"/>
    </w:rPr>
  </w:style>
  <w:style w:type="character" w:customStyle="1" w:styleId="ListparagrafCaracter1">
    <w:name w:val="Listă paragraf Caracter1"/>
    <w:link w:val="Listparagraf1"/>
    <w:rsid w:val="008B7CC2"/>
    <w:rPr>
      <w:rFonts w:ascii="Cambria" w:hAnsi="Cambria" w:cs="Cambria"/>
      <w:lang w:bidi="en-US"/>
    </w:rPr>
  </w:style>
  <w:style w:type="character" w:customStyle="1" w:styleId="reporttitle">
    <w:name w:val="reporttitle"/>
    <w:basedOn w:val="DefaultParagraphFont"/>
    <w:rsid w:val="008B7CC2"/>
  </w:style>
  <w:style w:type="character" w:customStyle="1" w:styleId="st">
    <w:name w:val="st"/>
    <w:basedOn w:val="DefaultParagraphFont"/>
    <w:rsid w:val="008B7CC2"/>
  </w:style>
  <w:style w:type="paragraph" w:styleId="z-TopofForm">
    <w:name w:val="HTML Top of Form"/>
    <w:basedOn w:val="Normal"/>
    <w:next w:val="Normal"/>
    <w:link w:val="z-TopofFormChar"/>
    <w:hidden/>
    <w:uiPriority w:val="99"/>
    <w:unhideWhenUsed/>
    <w:rsid w:val="008B7CC2"/>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rsid w:val="008B7CC2"/>
    <w:rPr>
      <w:rFonts w:ascii="Arial" w:hAnsi="Arial"/>
      <w:vanish/>
      <w:sz w:val="16"/>
      <w:szCs w:val="16"/>
    </w:rPr>
  </w:style>
  <w:style w:type="character" w:customStyle="1" w:styleId="st-stp1-text1">
    <w:name w:val="st-stp1-text1"/>
    <w:rsid w:val="008B7CC2"/>
    <w:rPr>
      <w:color w:val="222222"/>
    </w:rPr>
  </w:style>
  <w:style w:type="character" w:customStyle="1" w:styleId="jfk-butterbar1">
    <w:name w:val="jfk-butterbar1"/>
    <w:rsid w:val="008B7CC2"/>
    <w:rPr>
      <w:sz w:val="17"/>
      <w:szCs w:val="17"/>
      <w:bdr w:val="single" w:sz="2" w:space="0" w:color="auto" w:frame="1"/>
    </w:rPr>
  </w:style>
  <w:style w:type="character" w:customStyle="1" w:styleId="gt-ft-text1">
    <w:name w:val="gt-ft-text1"/>
    <w:basedOn w:val="DefaultParagraphFont"/>
    <w:rsid w:val="008B7CC2"/>
  </w:style>
  <w:style w:type="paragraph" w:styleId="z-BottomofForm">
    <w:name w:val="HTML Bottom of Form"/>
    <w:basedOn w:val="Normal"/>
    <w:next w:val="Normal"/>
    <w:link w:val="z-BottomofFormChar"/>
    <w:hidden/>
    <w:uiPriority w:val="99"/>
    <w:unhideWhenUsed/>
    <w:rsid w:val="008B7CC2"/>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rsid w:val="008B7CC2"/>
    <w:rPr>
      <w:rFonts w:ascii="Arial" w:hAnsi="Arial"/>
      <w:vanish/>
      <w:sz w:val="16"/>
      <w:szCs w:val="16"/>
    </w:rPr>
  </w:style>
  <w:style w:type="paragraph" w:customStyle="1" w:styleId="NormalArial">
    <w:name w:val="Normal + Arial"/>
    <w:aliases w:val="12 pt,Black,Justified,Condensed by  0,2 pt"/>
    <w:basedOn w:val="Normal"/>
    <w:link w:val="NormalArialChar"/>
    <w:rsid w:val="008B7CC2"/>
    <w:pPr>
      <w:tabs>
        <w:tab w:val="left" w:pos="800"/>
      </w:tabs>
      <w:spacing w:line="360" w:lineRule="auto"/>
      <w:jc w:val="both"/>
    </w:pPr>
    <w:rPr>
      <w:sz w:val="24"/>
      <w:szCs w:val="24"/>
      <w:lang w:val="ro-RO" w:eastAsia="ro-RO"/>
    </w:rPr>
  </w:style>
  <w:style w:type="character" w:customStyle="1" w:styleId="NormalArialChar">
    <w:name w:val="Normal + Arial Char"/>
    <w:aliases w:val="12 pt Char"/>
    <w:link w:val="NormalArial"/>
    <w:rsid w:val="008B7CC2"/>
    <w:rPr>
      <w:rFonts w:ascii="Arial" w:hAnsi="Arial"/>
      <w:sz w:val="24"/>
      <w:szCs w:val="24"/>
      <w:lang w:val="ro-RO" w:eastAsia="ro-RO"/>
    </w:rPr>
  </w:style>
  <w:style w:type="paragraph" w:customStyle="1" w:styleId="CM4">
    <w:name w:val="CM4"/>
    <w:basedOn w:val="Default"/>
    <w:next w:val="Default"/>
    <w:uiPriority w:val="99"/>
    <w:rsid w:val="008B7CC2"/>
    <w:rPr>
      <w:rFonts w:ascii="EUAlbertina" w:hAnsi="EUAlbertina" w:cs="Times New Roman"/>
      <w:color w:val="auto"/>
      <w:lang w:val="en-US"/>
    </w:rPr>
  </w:style>
  <w:style w:type="numbering" w:customStyle="1" w:styleId="NoList1">
    <w:name w:val="No List1"/>
    <w:next w:val="NoList"/>
    <w:uiPriority w:val="99"/>
    <w:semiHidden/>
    <w:unhideWhenUsed/>
    <w:rsid w:val="008B7CC2"/>
  </w:style>
  <w:style w:type="paragraph" w:customStyle="1" w:styleId="subtext">
    <w:name w:val="subtext"/>
    <w:basedOn w:val="Normal"/>
    <w:rsid w:val="008B7CC2"/>
    <w:pPr>
      <w:spacing w:before="100" w:beforeAutospacing="1" w:after="100" w:afterAutospacing="1"/>
      <w:jc w:val="both"/>
    </w:pPr>
    <w:rPr>
      <w:rFonts w:ascii="Times New Roman" w:hAnsi="Times New Roman"/>
      <w:color w:val="000000"/>
      <w:sz w:val="14"/>
      <w:szCs w:val="14"/>
      <w:lang w:val="en-US"/>
    </w:rPr>
  </w:style>
  <w:style w:type="paragraph" w:customStyle="1" w:styleId="formelement">
    <w:name w:val="formelement"/>
    <w:basedOn w:val="Normal"/>
    <w:rsid w:val="008B7CC2"/>
    <w:pPr>
      <w:spacing w:before="100" w:beforeAutospacing="1" w:after="100" w:afterAutospacing="1"/>
      <w:jc w:val="both"/>
    </w:pPr>
    <w:rPr>
      <w:rFonts w:ascii="Times New Roman" w:hAnsi="Times New Roman"/>
      <w:color w:val="000000"/>
      <w:sz w:val="24"/>
      <w:szCs w:val="24"/>
      <w:lang w:val="en-US"/>
    </w:rPr>
  </w:style>
  <w:style w:type="character" w:customStyle="1" w:styleId="ax1">
    <w:name w:val="ax1"/>
    <w:rsid w:val="008B7CC2"/>
    <w:rPr>
      <w:b/>
      <w:bCs/>
      <w:sz w:val="26"/>
      <w:szCs w:val="26"/>
    </w:rPr>
  </w:style>
  <w:style w:type="character" w:customStyle="1" w:styleId="tsp1">
    <w:name w:val="tsp1"/>
    <w:basedOn w:val="DefaultParagraphFont"/>
    <w:rsid w:val="008B7CC2"/>
  </w:style>
  <w:style w:type="character" w:customStyle="1" w:styleId="ListBullet2Char">
    <w:name w:val="List Bullet 2 Char"/>
    <w:link w:val="ListBullet2"/>
    <w:rsid w:val="008B7CC2"/>
    <w:rPr>
      <w:rFonts w:ascii="Calibri" w:eastAsia="Calibri" w:hAnsi="Calibri"/>
      <w:sz w:val="22"/>
      <w:szCs w:val="22"/>
      <w:lang w:val="en-GB"/>
    </w:rPr>
  </w:style>
  <w:style w:type="paragraph" w:styleId="Quote">
    <w:name w:val="Quote"/>
    <w:basedOn w:val="Normal"/>
    <w:next w:val="Normal"/>
    <w:link w:val="QuoteChar"/>
    <w:uiPriority w:val="29"/>
    <w:qFormat/>
    <w:rsid w:val="008B7CC2"/>
    <w:pPr>
      <w:tabs>
        <w:tab w:val="left" w:pos="357"/>
      </w:tabs>
      <w:spacing w:before="200" w:line="276" w:lineRule="auto"/>
      <w:ind w:left="360" w:right="360"/>
      <w:jc w:val="both"/>
    </w:pPr>
    <w:rPr>
      <w:i/>
      <w:iCs/>
      <w:sz w:val="20"/>
      <w:szCs w:val="20"/>
      <w:lang w:val="ro-RO"/>
    </w:rPr>
  </w:style>
  <w:style w:type="character" w:customStyle="1" w:styleId="QuoteChar">
    <w:name w:val="Quote Char"/>
    <w:basedOn w:val="DefaultParagraphFont"/>
    <w:link w:val="Quote"/>
    <w:uiPriority w:val="29"/>
    <w:rsid w:val="008B7CC2"/>
    <w:rPr>
      <w:rFonts w:ascii="Arial" w:hAnsi="Arial"/>
      <w:i/>
      <w:iCs/>
      <w:lang w:val="ro-RO"/>
    </w:rPr>
  </w:style>
  <w:style w:type="paragraph" w:styleId="IntenseQuote">
    <w:name w:val="Intense Quote"/>
    <w:basedOn w:val="Normal"/>
    <w:next w:val="Normal"/>
    <w:link w:val="IntenseQuoteChar"/>
    <w:uiPriority w:val="30"/>
    <w:qFormat/>
    <w:rsid w:val="008B7CC2"/>
    <w:pPr>
      <w:pBdr>
        <w:bottom w:val="single" w:sz="4" w:space="1" w:color="auto"/>
      </w:pBdr>
      <w:tabs>
        <w:tab w:val="left" w:pos="357"/>
      </w:tabs>
      <w:spacing w:before="200" w:after="280" w:line="276" w:lineRule="auto"/>
      <w:ind w:left="1008" w:right="1152"/>
      <w:jc w:val="both"/>
    </w:pPr>
    <w:rPr>
      <w:b/>
      <w:bCs/>
      <w:i/>
      <w:iCs/>
      <w:sz w:val="20"/>
      <w:szCs w:val="20"/>
      <w:lang w:val="ro-RO"/>
    </w:rPr>
  </w:style>
  <w:style w:type="character" w:customStyle="1" w:styleId="IntenseQuoteChar">
    <w:name w:val="Intense Quote Char"/>
    <w:basedOn w:val="DefaultParagraphFont"/>
    <w:link w:val="IntenseQuote"/>
    <w:uiPriority w:val="30"/>
    <w:rsid w:val="008B7CC2"/>
    <w:rPr>
      <w:rFonts w:ascii="Arial" w:hAnsi="Arial"/>
      <w:b/>
      <w:bCs/>
      <w:i/>
      <w:iCs/>
      <w:lang w:val="ro-RO"/>
    </w:rPr>
  </w:style>
  <w:style w:type="character" w:styleId="SubtleEmphasis">
    <w:name w:val="Subtle Emphasis"/>
    <w:uiPriority w:val="19"/>
    <w:qFormat/>
    <w:rsid w:val="008B7CC2"/>
    <w:rPr>
      <w:i/>
      <w:iCs/>
    </w:rPr>
  </w:style>
  <w:style w:type="character" w:styleId="SubtleReference">
    <w:name w:val="Subtle Reference"/>
    <w:uiPriority w:val="31"/>
    <w:qFormat/>
    <w:rsid w:val="008B7CC2"/>
    <w:rPr>
      <w:rFonts w:cs="Arial"/>
      <w:i/>
      <w:szCs w:val="22"/>
      <w:lang w:val="ro-RO"/>
    </w:rPr>
  </w:style>
  <w:style w:type="character" w:styleId="IntenseReference">
    <w:name w:val="Intense Reference"/>
    <w:uiPriority w:val="32"/>
    <w:qFormat/>
    <w:rsid w:val="008B7CC2"/>
    <w:rPr>
      <w:smallCaps/>
      <w:spacing w:val="5"/>
      <w:u w:val="single"/>
    </w:rPr>
  </w:style>
  <w:style w:type="character" w:styleId="BookTitle">
    <w:name w:val="Book Title"/>
    <w:uiPriority w:val="33"/>
    <w:qFormat/>
    <w:rsid w:val="008B7CC2"/>
    <w:rPr>
      <w:i/>
      <w:iCs/>
      <w:smallCaps/>
      <w:spacing w:val="5"/>
    </w:rPr>
  </w:style>
  <w:style w:type="character" w:customStyle="1" w:styleId="ListParagraphChar">
    <w:name w:val="List Paragraph Char"/>
    <w:aliases w:val="List_Paragraph Char,Multilevel para_II Char"/>
    <w:link w:val="ListParagraph"/>
    <w:uiPriority w:val="99"/>
    <w:rsid w:val="008B7CC2"/>
    <w:rPr>
      <w:rFonts w:ascii="Arial" w:hAnsi="Arial" w:cs="Arial"/>
      <w:lang w:val="en-GB"/>
    </w:rPr>
  </w:style>
  <w:style w:type="character" w:customStyle="1" w:styleId="A2">
    <w:name w:val="A2"/>
    <w:uiPriority w:val="99"/>
    <w:rsid w:val="008B7CC2"/>
    <w:rPr>
      <w:color w:val="000000"/>
      <w:sz w:val="22"/>
      <w:szCs w:val="22"/>
    </w:rPr>
  </w:style>
  <w:style w:type="character" w:customStyle="1" w:styleId="plainlinks">
    <w:name w:val="plainlinks"/>
    <w:basedOn w:val="DefaultParagraphFont"/>
    <w:rsid w:val="008B7CC2"/>
  </w:style>
  <w:style w:type="character" w:customStyle="1" w:styleId="latitude">
    <w:name w:val="latitude"/>
    <w:basedOn w:val="DefaultParagraphFont"/>
    <w:rsid w:val="008B7CC2"/>
  </w:style>
  <w:style w:type="character" w:customStyle="1" w:styleId="longitude">
    <w:name w:val="longitude"/>
    <w:basedOn w:val="DefaultParagraphFont"/>
    <w:rsid w:val="008B7CC2"/>
  </w:style>
  <w:style w:type="character" w:customStyle="1" w:styleId="mw-headline">
    <w:name w:val="mw-headline"/>
    <w:basedOn w:val="DefaultParagraphFont"/>
    <w:rsid w:val="008B7CC2"/>
  </w:style>
  <w:style w:type="character" w:customStyle="1" w:styleId="mw-editsection">
    <w:name w:val="mw-editsection"/>
    <w:basedOn w:val="DefaultParagraphFont"/>
    <w:rsid w:val="008B7CC2"/>
  </w:style>
  <w:style w:type="character" w:customStyle="1" w:styleId="mw-editsection-bracket">
    <w:name w:val="mw-editsection-bracket"/>
    <w:basedOn w:val="DefaultParagraphFont"/>
    <w:rsid w:val="008B7CC2"/>
  </w:style>
  <w:style w:type="character" w:customStyle="1" w:styleId="mw-editsection-divider">
    <w:name w:val="mw-editsection-divider"/>
    <w:basedOn w:val="DefaultParagraphFont"/>
    <w:rsid w:val="008B7CC2"/>
  </w:style>
  <w:style w:type="paragraph" w:customStyle="1" w:styleId="astandard3520normal">
    <w:name w:val="a_standard__35__20_normal"/>
    <w:basedOn w:val="Normal"/>
    <w:rsid w:val="008B7CC2"/>
    <w:pPr>
      <w:spacing w:after="120"/>
      <w:ind w:right="57"/>
      <w:jc w:val="both"/>
    </w:pPr>
    <w:rPr>
      <w:rFonts w:ascii="Times New Roman" w:hAnsi="Times New Roman"/>
      <w:sz w:val="24"/>
      <w:szCs w:val="24"/>
      <w:lang w:val="en-US"/>
    </w:rPr>
  </w:style>
  <w:style w:type="character" w:customStyle="1" w:styleId="at4">
    <w:name w:val="a__t4"/>
    <w:basedOn w:val="DefaultParagraphFont"/>
    <w:rsid w:val="008B7CC2"/>
  </w:style>
  <w:style w:type="character" w:customStyle="1" w:styleId="blue">
    <w:name w:val="blue"/>
    <w:basedOn w:val="DefaultParagraphFont"/>
    <w:rsid w:val="008B7CC2"/>
  </w:style>
  <w:style w:type="paragraph" w:customStyle="1" w:styleId="a3520normal">
    <w:name w:val="a___35__20_normal"/>
    <w:basedOn w:val="Normal"/>
    <w:rsid w:val="008B7CC2"/>
    <w:pPr>
      <w:spacing w:before="100" w:beforeAutospacing="1" w:after="100" w:afterAutospacing="1"/>
    </w:pPr>
    <w:rPr>
      <w:rFonts w:ascii="Times New Roman" w:hAnsi="Times New Roman"/>
      <w:sz w:val="24"/>
      <w:szCs w:val="24"/>
      <w:lang w:val="en-US"/>
    </w:rPr>
  </w:style>
  <w:style w:type="paragraph" w:customStyle="1" w:styleId="a3420chapeaup4">
    <w:name w:val="a__34__20_chapeau_p4"/>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5">
    <w:name w:val="a__35__20_normal_p5"/>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6">
    <w:name w:val="a__35__20_normal_p6"/>
    <w:basedOn w:val="Normal"/>
    <w:rsid w:val="008B7CC2"/>
    <w:pPr>
      <w:spacing w:before="100" w:beforeAutospacing="1" w:after="100" w:afterAutospacing="1"/>
    </w:pPr>
    <w:rPr>
      <w:rFonts w:ascii="Times New Roman" w:hAnsi="Times New Roman"/>
      <w:sz w:val="24"/>
      <w:szCs w:val="24"/>
      <w:lang w:val="en-US"/>
    </w:rPr>
  </w:style>
  <w:style w:type="character" w:customStyle="1" w:styleId="at2">
    <w:name w:val="a__t2"/>
    <w:basedOn w:val="DefaultParagraphFont"/>
    <w:rsid w:val="008B7CC2"/>
  </w:style>
  <w:style w:type="character" w:customStyle="1" w:styleId="at3">
    <w:name w:val="a__t3"/>
    <w:basedOn w:val="DefaultParagraphFont"/>
    <w:rsid w:val="008B7CC2"/>
  </w:style>
  <w:style w:type="character" w:customStyle="1" w:styleId="at6">
    <w:name w:val="a__t6"/>
    <w:basedOn w:val="DefaultParagraphFont"/>
    <w:rsid w:val="008B7CC2"/>
  </w:style>
  <w:style w:type="character" w:customStyle="1" w:styleId="at7">
    <w:name w:val="a__t7"/>
    <w:basedOn w:val="DefaultParagraphFont"/>
    <w:rsid w:val="008B7CC2"/>
  </w:style>
  <w:style w:type="character" w:customStyle="1" w:styleId="at8">
    <w:name w:val="a__t8"/>
    <w:basedOn w:val="DefaultParagraphFont"/>
    <w:rsid w:val="008B7CC2"/>
  </w:style>
  <w:style w:type="character" w:customStyle="1" w:styleId="at9">
    <w:name w:val="a__t9"/>
    <w:basedOn w:val="DefaultParagraphFont"/>
    <w:rsid w:val="008B7CC2"/>
  </w:style>
  <w:style w:type="paragraph" w:customStyle="1" w:styleId="asous-titre201p7">
    <w:name w:val="a_sous-titre_20_1_p7"/>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1">
    <w:name w:val="a_standard_sous-titre_20_1"/>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2">
    <w:name w:val="a_standard_sous-titre_20_2"/>
    <w:basedOn w:val="Normal"/>
    <w:rsid w:val="008B7CC2"/>
    <w:pPr>
      <w:spacing w:before="100" w:beforeAutospacing="1" w:after="100" w:afterAutospacing="1"/>
    </w:pPr>
    <w:rPr>
      <w:rFonts w:ascii="Times New Roman" w:hAnsi="Times New Roman"/>
      <w:sz w:val="24"/>
      <w:szCs w:val="24"/>
      <w:lang w:val="en-US"/>
    </w:rPr>
  </w:style>
  <w:style w:type="paragraph" w:customStyle="1" w:styleId="atexte201tiret201">
    <w:name w:val="a_texte_20_1_tiret_20_1"/>
    <w:basedOn w:val="Normal"/>
    <w:rsid w:val="008B7CC2"/>
    <w:pPr>
      <w:spacing w:before="100" w:beforeAutospacing="1" w:after="100" w:afterAutospacing="1"/>
    </w:pPr>
    <w:rPr>
      <w:rFonts w:ascii="Times New Roman" w:hAnsi="Times New Roman"/>
      <w:sz w:val="24"/>
      <w:szCs w:val="24"/>
      <w:lang w:val="en-US"/>
    </w:rPr>
  </w:style>
  <w:style w:type="paragraph" w:customStyle="1" w:styleId="atiret201p8">
    <w:name w:val="a_tiret_20_1_p8"/>
    <w:basedOn w:val="Normal"/>
    <w:rsid w:val="008B7CC2"/>
    <w:pPr>
      <w:spacing w:before="100" w:beforeAutospacing="1" w:after="100" w:afterAutospacing="1"/>
    </w:pPr>
    <w:rPr>
      <w:rFonts w:ascii="Times New Roman" w:hAnsi="Times New Roman"/>
      <w:sz w:val="24"/>
      <w:szCs w:val="24"/>
      <w:lang w:val="en-US"/>
    </w:rPr>
  </w:style>
  <w:style w:type="character" w:customStyle="1" w:styleId="BodyText1">
    <w:name w:val="Body Text1"/>
    <w:rsid w:val="008B7CC2"/>
    <w:rPr>
      <w:rFonts w:ascii="Times New Roman" w:eastAsia="Times New Roman" w:hAnsi="Times New Roman" w:cs="Times New Roman"/>
      <w:b w:val="0"/>
      <w:bCs w:val="0"/>
      <w:i w:val="0"/>
      <w:iCs w:val="0"/>
      <w:smallCaps w:val="0"/>
      <w:strike w:val="0"/>
      <w:spacing w:val="0"/>
      <w:sz w:val="22"/>
      <w:szCs w:val="22"/>
    </w:rPr>
  </w:style>
  <w:style w:type="paragraph" w:customStyle="1" w:styleId="Bodytext10">
    <w:name w:val="Body text (10)"/>
    <w:basedOn w:val="Normal"/>
    <w:rsid w:val="008B7CC2"/>
    <w:pPr>
      <w:shd w:val="clear" w:color="auto" w:fill="FFFFFF"/>
      <w:spacing w:line="202" w:lineRule="exact"/>
    </w:pPr>
    <w:rPr>
      <w:rFonts w:eastAsia="Arial" w:cs="Arial"/>
      <w:spacing w:val="3"/>
      <w:sz w:val="13"/>
      <w:szCs w:val="13"/>
      <w:lang w:eastAsia="en-GB"/>
    </w:rPr>
  </w:style>
  <w:style w:type="paragraph" w:customStyle="1" w:styleId="Bodytext13">
    <w:name w:val="Body text (13)"/>
    <w:basedOn w:val="Normal"/>
    <w:rsid w:val="008B7CC2"/>
    <w:pPr>
      <w:shd w:val="clear" w:color="auto" w:fill="FFFFFF"/>
      <w:spacing w:line="226" w:lineRule="exact"/>
      <w:jc w:val="center"/>
    </w:pPr>
    <w:rPr>
      <w:spacing w:val="10"/>
      <w:sz w:val="16"/>
      <w:szCs w:val="16"/>
      <w:lang w:val="en-US" w:eastAsia="en-GB"/>
    </w:rPr>
  </w:style>
  <w:style w:type="paragraph" w:customStyle="1" w:styleId="Bodytext7">
    <w:name w:val="Body text (7)"/>
    <w:basedOn w:val="Normal"/>
    <w:rsid w:val="008B7CC2"/>
    <w:pPr>
      <w:shd w:val="clear" w:color="auto" w:fill="FFFFFF"/>
      <w:spacing w:after="180" w:line="259" w:lineRule="exact"/>
    </w:pPr>
    <w:rPr>
      <w:spacing w:val="10"/>
      <w:sz w:val="15"/>
      <w:szCs w:val="15"/>
      <w:lang w:eastAsia="en-GB"/>
    </w:rPr>
  </w:style>
  <w:style w:type="paragraph" w:customStyle="1" w:styleId="NotaSursa">
    <w:name w:val="Nota/Sursa"/>
    <w:basedOn w:val="Normal"/>
    <w:qFormat/>
    <w:rsid w:val="008B7CC2"/>
    <w:pPr>
      <w:spacing w:after="120" w:line="240" w:lineRule="atLeast"/>
      <w:jc w:val="both"/>
    </w:pPr>
    <w:rPr>
      <w:i/>
      <w:sz w:val="22"/>
    </w:rPr>
  </w:style>
  <w:style w:type="paragraph" w:customStyle="1" w:styleId="Referinta">
    <w:name w:val="Referinta"/>
    <w:basedOn w:val="NotaSursa"/>
    <w:qFormat/>
    <w:rsid w:val="008B7CC2"/>
    <w:pPr>
      <w:spacing w:after="0"/>
    </w:pPr>
    <w:rPr>
      <w:i w:val="0"/>
    </w:rPr>
  </w:style>
  <w:style w:type="paragraph" w:customStyle="1" w:styleId="Bullet">
    <w:name w:val="Bullet"/>
    <w:basedOn w:val="Normal"/>
    <w:qFormat/>
    <w:rsid w:val="008B7CC2"/>
    <w:pPr>
      <w:numPr>
        <w:numId w:val="31"/>
      </w:numPr>
      <w:spacing w:after="120"/>
      <w:contextualSpacing/>
      <w:jc w:val="both"/>
    </w:pPr>
    <w:rPr>
      <w:sz w:val="22"/>
      <w:szCs w:val="22"/>
      <w:lang w:val="ro-RO"/>
    </w:rPr>
  </w:style>
  <w:style w:type="character" w:customStyle="1" w:styleId="CommentTextChar1">
    <w:name w:val="Comment Text Char1"/>
    <w:uiPriority w:val="99"/>
    <w:rsid w:val="000B5539"/>
    <w:rPr>
      <w:lang w:eastAsia="en-US"/>
    </w:rPr>
  </w:style>
  <w:style w:type="character" w:customStyle="1" w:styleId="CommentSubjectChar1">
    <w:name w:val="Comment Subject Char1"/>
    <w:uiPriority w:val="99"/>
    <w:semiHidden/>
    <w:rsid w:val="000B5539"/>
    <w:rPr>
      <w:b/>
      <w:bCs/>
      <w:lang w:eastAsia="en-US"/>
    </w:rPr>
  </w:style>
  <w:style w:type="character" w:customStyle="1" w:styleId="DocumentMapChar1">
    <w:name w:val="Document Map Char1"/>
    <w:uiPriority w:val="99"/>
    <w:semiHidden/>
    <w:rsid w:val="000B5539"/>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584409">
      <w:bodyDiv w:val="1"/>
      <w:marLeft w:val="0"/>
      <w:marRight w:val="0"/>
      <w:marTop w:val="0"/>
      <w:marBottom w:val="0"/>
      <w:divBdr>
        <w:top w:val="none" w:sz="0" w:space="0" w:color="auto"/>
        <w:left w:val="none" w:sz="0" w:space="0" w:color="auto"/>
        <w:bottom w:val="none" w:sz="0" w:space="0" w:color="auto"/>
        <w:right w:val="none" w:sz="0" w:space="0" w:color="auto"/>
      </w:divBdr>
    </w:div>
    <w:div w:id="123155220">
      <w:bodyDiv w:val="1"/>
      <w:marLeft w:val="0"/>
      <w:marRight w:val="0"/>
      <w:marTop w:val="0"/>
      <w:marBottom w:val="0"/>
      <w:divBdr>
        <w:top w:val="none" w:sz="0" w:space="0" w:color="auto"/>
        <w:left w:val="none" w:sz="0" w:space="0" w:color="auto"/>
        <w:bottom w:val="none" w:sz="0" w:space="0" w:color="auto"/>
        <w:right w:val="none" w:sz="0" w:space="0" w:color="auto"/>
      </w:divBdr>
      <w:divsChild>
        <w:div w:id="1607493396">
          <w:marLeft w:val="0"/>
          <w:marRight w:val="0"/>
          <w:marTop w:val="0"/>
          <w:marBottom w:val="0"/>
          <w:divBdr>
            <w:top w:val="none" w:sz="0" w:space="0" w:color="auto"/>
            <w:left w:val="none" w:sz="0" w:space="0" w:color="auto"/>
            <w:bottom w:val="none" w:sz="0" w:space="0" w:color="auto"/>
            <w:right w:val="none" w:sz="0" w:space="0" w:color="auto"/>
          </w:divBdr>
          <w:divsChild>
            <w:div w:id="1573156521">
              <w:marLeft w:val="0"/>
              <w:marRight w:val="0"/>
              <w:marTop w:val="0"/>
              <w:marBottom w:val="0"/>
              <w:divBdr>
                <w:top w:val="none" w:sz="0" w:space="0" w:color="auto"/>
                <w:left w:val="none" w:sz="0" w:space="0" w:color="auto"/>
                <w:bottom w:val="none" w:sz="0" w:space="0" w:color="auto"/>
                <w:right w:val="none" w:sz="0" w:space="0" w:color="auto"/>
              </w:divBdr>
              <w:divsChild>
                <w:div w:id="812335915">
                  <w:marLeft w:val="0"/>
                  <w:marRight w:val="0"/>
                  <w:marTop w:val="0"/>
                  <w:marBottom w:val="0"/>
                  <w:divBdr>
                    <w:top w:val="none" w:sz="0" w:space="0" w:color="auto"/>
                    <w:left w:val="none" w:sz="0" w:space="0" w:color="auto"/>
                    <w:bottom w:val="none" w:sz="0" w:space="0" w:color="auto"/>
                    <w:right w:val="none" w:sz="0" w:space="0" w:color="auto"/>
                  </w:divBdr>
                  <w:divsChild>
                    <w:div w:id="1113524980">
                      <w:marLeft w:val="0"/>
                      <w:marRight w:val="0"/>
                      <w:marTop w:val="0"/>
                      <w:marBottom w:val="0"/>
                      <w:divBdr>
                        <w:top w:val="none" w:sz="0" w:space="0" w:color="auto"/>
                        <w:left w:val="none" w:sz="0" w:space="0" w:color="auto"/>
                        <w:bottom w:val="none" w:sz="0" w:space="0" w:color="auto"/>
                        <w:right w:val="none" w:sz="0" w:space="0" w:color="auto"/>
                      </w:divBdr>
                      <w:divsChild>
                        <w:div w:id="2024553124">
                          <w:marLeft w:val="0"/>
                          <w:marRight w:val="0"/>
                          <w:marTop w:val="0"/>
                          <w:marBottom w:val="0"/>
                          <w:divBdr>
                            <w:top w:val="none" w:sz="0" w:space="0" w:color="auto"/>
                            <w:left w:val="none" w:sz="0" w:space="0" w:color="auto"/>
                            <w:bottom w:val="none" w:sz="0" w:space="0" w:color="auto"/>
                            <w:right w:val="none" w:sz="0" w:space="0" w:color="auto"/>
                          </w:divBdr>
                          <w:divsChild>
                            <w:div w:id="1843154736">
                              <w:marLeft w:val="0"/>
                              <w:marRight w:val="0"/>
                              <w:marTop w:val="0"/>
                              <w:marBottom w:val="0"/>
                              <w:divBdr>
                                <w:top w:val="none" w:sz="0" w:space="0" w:color="auto"/>
                                <w:left w:val="none" w:sz="0" w:space="0" w:color="auto"/>
                                <w:bottom w:val="none" w:sz="0" w:space="0" w:color="auto"/>
                                <w:right w:val="none" w:sz="0" w:space="0" w:color="auto"/>
                              </w:divBdr>
                              <w:divsChild>
                                <w:div w:id="99707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608245">
      <w:bodyDiv w:val="1"/>
      <w:marLeft w:val="0"/>
      <w:marRight w:val="0"/>
      <w:marTop w:val="0"/>
      <w:marBottom w:val="0"/>
      <w:divBdr>
        <w:top w:val="none" w:sz="0" w:space="0" w:color="auto"/>
        <w:left w:val="none" w:sz="0" w:space="0" w:color="auto"/>
        <w:bottom w:val="none" w:sz="0" w:space="0" w:color="auto"/>
        <w:right w:val="none" w:sz="0" w:space="0" w:color="auto"/>
      </w:divBdr>
    </w:div>
    <w:div w:id="137193883">
      <w:bodyDiv w:val="1"/>
      <w:marLeft w:val="0"/>
      <w:marRight w:val="0"/>
      <w:marTop w:val="0"/>
      <w:marBottom w:val="0"/>
      <w:divBdr>
        <w:top w:val="none" w:sz="0" w:space="0" w:color="auto"/>
        <w:left w:val="none" w:sz="0" w:space="0" w:color="auto"/>
        <w:bottom w:val="none" w:sz="0" w:space="0" w:color="auto"/>
        <w:right w:val="none" w:sz="0" w:space="0" w:color="auto"/>
      </w:divBdr>
    </w:div>
    <w:div w:id="137647508">
      <w:bodyDiv w:val="1"/>
      <w:marLeft w:val="0"/>
      <w:marRight w:val="0"/>
      <w:marTop w:val="0"/>
      <w:marBottom w:val="0"/>
      <w:divBdr>
        <w:top w:val="none" w:sz="0" w:space="0" w:color="auto"/>
        <w:left w:val="none" w:sz="0" w:space="0" w:color="auto"/>
        <w:bottom w:val="none" w:sz="0" w:space="0" w:color="auto"/>
        <w:right w:val="none" w:sz="0" w:space="0" w:color="auto"/>
      </w:divBdr>
    </w:div>
    <w:div w:id="145438750">
      <w:bodyDiv w:val="1"/>
      <w:marLeft w:val="0"/>
      <w:marRight w:val="0"/>
      <w:marTop w:val="0"/>
      <w:marBottom w:val="0"/>
      <w:divBdr>
        <w:top w:val="none" w:sz="0" w:space="0" w:color="auto"/>
        <w:left w:val="none" w:sz="0" w:space="0" w:color="auto"/>
        <w:bottom w:val="none" w:sz="0" w:space="0" w:color="auto"/>
        <w:right w:val="none" w:sz="0" w:space="0" w:color="auto"/>
      </w:divBdr>
    </w:div>
    <w:div w:id="248855564">
      <w:bodyDiv w:val="1"/>
      <w:marLeft w:val="0"/>
      <w:marRight w:val="0"/>
      <w:marTop w:val="0"/>
      <w:marBottom w:val="0"/>
      <w:divBdr>
        <w:top w:val="none" w:sz="0" w:space="0" w:color="auto"/>
        <w:left w:val="none" w:sz="0" w:space="0" w:color="auto"/>
        <w:bottom w:val="none" w:sz="0" w:space="0" w:color="auto"/>
        <w:right w:val="none" w:sz="0" w:space="0" w:color="auto"/>
      </w:divBdr>
    </w:div>
    <w:div w:id="320930458">
      <w:bodyDiv w:val="1"/>
      <w:marLeft w:val="0"/>
      <w:marRight w:val="0"/>
      <w:marTop w:val="0"/>
      <w:marBottom w:val="0"/>
      <w:divBdr>
        <w:top w:val="none" w:sz="0" w:space="0" w:color="auto"/>
        <w:left w:val="none" w:sz="0" w:space="0" w:color="auto"/>
        <w:bottom w:val="none" w:sz="0" w:space="0" w:color="auto"/>
        <w:right w:val="none" w:sz="0" w:space="0" w:color="auto"/>
      </w:divBdr>
    </w:div>
    <w:div w:id="327635173">
      <w:bodyDiv w:val="1"/>
      <w:marLeft w:val="0"/>
      <w:marRight w:val="0"/>
      <w:marTop w:val="0"/>
      <w:marBottom w:val="0"/>
      <w:divBdr>
        <w:top w:val="none" w:sz="0" w:space="0" w:color="auto"/>
        <w:left w:val="none" w:sz="0" w:space="0" w:color="auto"/>
        <w:bottom w:val="none" w:sz="0" w:space="0" w:color="auto"/>
        <w:right w:val="none" w:sz="0" w:space="0" w:color="auto"/>
      </w:divBdr>
    </w:div>
    <w:div w:id="393822590">
      <w:bodyDiv w:val="1"/>
      <w:marLeft w:val="0"/>
      <w:marRight w:val="0"/>
      <w:marTop w:val="0"/>
      <w:marBottom w:val="0"/>
      <w:divBdr>
        <w:top w:val="none" w:sz="0" w:space="0" w:color="auto"/>
        <w:left w:val="none" w:sz="0" w:space="0" w:color="auto"/>
        <w:bottom w:val="none" w:sz="0" w:space="0" w:color="auto"/>
        <w:right w:val="none" w:sz="0" w:space="0" w:color="auto"/>
      </w:divBdr>
    </w:div>
    <w:div w:id="397361129">
      <w:bodyDiv w:val="1"/>
      <w:marLeft w:val="0"/>
      <w:marRight w:val="0"/>
      <w:marTop w:val="0"/>
      <w:marBottom w:val="0"/>
      <w:divBdr>
        <w:top w:val="none" w:sz="0" w:space="0" w:color="auto"/>
        <w:left w:val="none" w:sz="0" w:space="0" w:color="auto"/>
        <w:bottom w:val="none" w:sz="0" w:space="0" w:color="auto"/>
        <w:right w:val="none" w:sz="0" w:space="0" w:color="auto"/>
      </w:divBdr>
    </w:div>
    <w:div w:id="472210890">
      <w:bodyDiv w:val="1"/>
      <w:marLeft w:val="0"/>
      <w:marRight w:val="0"/>
      <w:marTop w:val="0"/>
      <w:marBottom w:val="0"/>
      <w:divBdr>
        <w:top w:val="none" w:sz="0" w:space="0" w:color="auto"/>
        <w:left w:val="none" w:sz="0" w:space="0" w:color="auto"/>
        <w:bottom w:val="none" w:sz="0" w:space="0" w:color="auto"/>
        <w:right w:val="none" w:sz="0" w:space="0" w:color="auto"/>
      </w:divBdr>
    </w:div>
    <w:div w:id="473184131">
      <w:bodyDiv w:val="1"/>
      <w:marLeft w:val="0"/>
      <w:marRight w:val="0"/>
      <w:marTop w:val="0"/>
      <w:marBottom w:val="0"/>
      <w:divBdr>
        <w:top w:val="none" w:sz="0" w:space="0" w:color="auto"/>
        <w:left w:val="none" w:sz="0" w:space="0" w:color="auto"/>
        <w:bottom w:val="none" w:sz="0" w:space="0" w:color="auto"/>
        <w:right w:val="none" w:sz="0" w:space="0" w:color="auto"/>
      </w:divBdr>
    </w:div>
    <w:div w:id="489491719">
      <w:bodyDiv w:val="1"/>
      <w:marLeft w:val="0"/>
      <w:marRight w:val="0"/>
      <w:marTop w:val="0"/>
      <w:marBottom w:val="0"/>
      <w:divBdr>
        <w:top w:val="none" w:sz="0" w:space="0" w:color="auto"/>
        <w:left w:val="none" w:sz="0" w:space="0" w:color="auto"/>
        <w:bottom w:val="none" w:sz="0" w:space="0" w:color="auto"/>
        <w:right w:val="none" w:sz="0" w:space="0" w:color="auto"/>
      </w:divBdr>
    </w:div>
    <w:div w:id="614866074">
      <w:bodyDiv w:val="1"/>
      <w:marLeft w:val="0"/>
      <w:marRight w:val="0"/>
      <w:marTop w:val="0"/>
      <w:marBottom w:val="0"/>
      <w:divBdr>
        <w:top w:val="none" w:sz="0" w:space="0" w:color="auto"/>
        <w:left w:val="none" w:sz="0" w:space="0" w:color="auto"/>
        <w:bottom w:val="none" w:sz="0" w:space="0" w:color="auto"/>
        <w:right w:val="none" w:sz="0" w:space="0" w:color="auto"/>
      </w:divBdr>
    </w:div>
    <w:div w:id="670448152">
      <w:bodyDiv w:val="1"/>
      <w:marLeft w:val="0"/>
      <w:marRight w:val="0"/>
      <w:marTop w:val="0"/>
      <w:marBottom w:val="0"/>
      <w:divBdr>
        <w:top w:val="none" w:sz="0" w:space="0" w:color="auto"/>
        <w:left w:val="none" w:sz="0" w:space="0" w:color="auto"/>
        <w:bottom w:val="none" w:sz="0" w:space="0" w:color="auto"/>
        <w:right w:val="none" w:sz="0" w:space="0" w:color="auto"/>
      </w:divBdr>
    </w:div>
    <w:div w:id="677654712">
      <w:bodyDiv w:val="1"/>
      <w:marLeft w:val="0"/>
      <w:marRight w:val="0"/>
      <w:marTop w:val="0"/>
      <w:marBottom w:val="0"/>
      <w:divBdr>
        <w:top w:val="none" w:sz="0" w:space="0" w:color="auto"/>
        <w:left w:val="none" w:sz="0" w:space="0" w:color="auto"/>
        <w:bottom w:val="none" w:sz="0" w:space="0" w:color="auto"/>
        <w:right w:val="none" w:sz="0" w:space="0" w:color="auto"/>
      </w:divBdr>
    </w:div>
    <w:div w:id="704519921">
      <w:bodyDiv w:val="1"/>
      <w:marLeft w:val="0"/>
      <w:marRight w:val="0"/>
      <w:marTop w:val="0"/>
      <w:marBottom w:val="0"/>
      <w:divBdr>
        <w:top w:val="none" w:sz="0" w:space="0" w:color="auto"/>
        <w:left w:val="none" w:sz="0" w:space="0" w:color="auto"/>
        <w:bottom w:val="none" w:sz="0" w:space="0" w:color="auto"/>
        <w:right w:val="none" w:sz="0" w:space="0" w:color="auto"/>
      </w:divBdr>
    </w:div>
    <w:div w:id="729378241">
      <w:bodyDiv w:val="1"/>
      <w:marLeft w:val="0"/>
      <w:marRight w:val="0"/>
      <w:marTop w:val="0"/>
      <w:marBottom w:val="0"/>
      <w:divBdr>
        <w:top w:val="none" w:sz="0" w:space="0" w:color="auto"/>
        <w:left w:val="none" w:sz="0" w:space="0" w:color="auto"/>
        <w:bottom w:val="none" w:sz="0" w:space="0" w:color="auto"/>
        <w:right w:val="none" w:sz="0" w:space="0" w:color="auto"/>
      </w:divBdr>
    </w:div>
    <w:div w:id="759109088">
      <w:bodyDiv w:val="1"/>
      <w:marLeft w:val="0"/>
      <w:marRight w:val="0"/>
      <w:marTop w:val="0"/>
      <w:marBottom w:val="0"/>
      <w:divBdr>
        <w:top w:val="none" w:sz="0" w:space="0" w:color="auto"/>
        <w:left w:val="none" w:sz="0" w:space="0" w:color="auto"/>
        <w:bottom w:val="none" w:sz="0" w:space="0" w:color="auto"/>
        <w:right w:val="none" w:sz="0" w:space="0" w:color="auto"/>
      </w:divBdr>
    </w:div>
    <w:div w:id="797383253">
      <w:bodyDiv w:val="1"/>
      <w:marLeft w:val="0"/>
      <w:marRight w:val="0"/>
      <w:marTop w:val="0"/>
      <w:marBottom w:val="0"/>
      <w:divBdr>
        <w:top w:val="none" w:sz="0" w:space="0" w:color="auto"/>
        <w:left w:val="none" w:sz="0" w:space="0" w:color="auto"/>
        <w:bottom w:val="none" w:sz="0" w:space="0" w:color="auto"/>
        <w:right w:val="none" w:sz="0" w:space="0" w:color="auto"/>
      </w:divBdr>
      <w:divsChild>
        <w:div w:id="2118481990">
          <w:marLeft w:val="0"/>
          <w:marRight w:val="0"/>
          <w:marTop w:val="0"/>
          <w:marBottom w:val="0"/>
          <w:divBdr>
            <w:top w:val="none" w:sz="0" w:space="0" w:color="auto"/>
            <w:left w:val="none" w:sz="0" w:space="0" w:color="auto"/>
            <w:bottom w:val="none" w:sz="0" w:space="0" w:color="auto"/>
            <w:right w:val="none" w:sz="0" w:space="0" w:color="auto"/>
          </w:divBdr>
        </w:div>
      </w:divsChild>
    </w:div>
    <w:div w:id="814493881">
      <w:bodyDiv w:val="1"/>
      <w:marLeft w:val="0"/>
      <w:marRight w:val="0"/>
      <w:marTop w:val="0"/>
      <w:marBottom w:val="0"/>
      <w:divBdr>
        <w:top w:val="none" w:sz="0" w:space="0" w:color="auto"/>
        <w:left w:val="none" w:sz="0" w:space="0" w:color="auto"/>
        <w:bottom w:val="none" w:sz="0" w:space="0" w:color="auto"/>
        <w:right w:val="none" w:sz="0" w:space="0" w:color="auto"/>
      </w:divBdr>
    </w:div>
    <w:div w:id="940450507">
      <w:bodyDiv w:val="1"/>
      <w:marLeft w:val="0"/>
      <w:marRight w:val="0"/>
      <w:marTop w:val="0"/>
      <w:marBottom w:val="0"/>
      <w:divBdr>
        <w:top w:val="none" w:sz="0" w:space="0" w:color="auto"/>
        <w:left w:val="none" w:sz="0" w:space="0" w:color="auto"/>
        <w:bottom w:val="none" w:sz="0" w:space="0" w:color="auto"/>
        <w:right w:val="none" w:sz="0" w:space="0" w:color="auto"/>
      </w:divBdr>
    </w:div>
    <w:div w:id="942767333">
      <w:bodyDiv w:val="1"/>
      <w:marLeft w:val="0"/>
      <w:marRight w:val="0"/>
      <w:marTop w:val="0"/>
      <w:marBottom w:val="0"/>
      <w:divBdr>
        <w:top w:val="none" w:sz="0" w:space="0" w:color="auto"/>
        <w:left w:val="none" w:sz="0" w:space="0" w:color="auto"/>
        <w:bottom w:val="none" w:sz="0" w:space="0" w:color="auto"/>
        <w:right w:val="none" w:sz="0" w:space="0" w:color="auto"/>
      </w:divBdr>
    </w:div>
    <w:div w:id="952636844">
      <w:bodyDiv w:val="1"/>
      <w:marLeft w:val="0"/>
      <w:marRight w:val="0"/>
      <w:marTop w:val="0"/>
      <w:marBottom w:val="0"/>
      <w:divBdr>
        <w:top w:val="none" w:sz="0" w:space="0" w:color="auto"/>
        <w:left w:val="none" w:sz="0" w:space="0" w:color="auto"/>
        <w:bottom w:val="none" w:sz="0" w:space="0" w:color="auto"/>
        <w:right w:val="none" w:sz="0" w:space="0" w:color="auto"/>
      </w:divBdr>
    </w:div>
    <w:div w:id="968703856">
      <w:bodyDiv w:val="1"/>
      <w:marLeft w:val="0"/>
      <w:marRight w:val="0"/>
      <w:marTop w:val="0"/>
      <w:marBottom w:val="0"/>
      <w:divBdr>
        <w:top w:val="none" w:sz="0" w:space="0" w:color="auto"/>
        <w:left w:val="none" w:sz="0" w:space="0" w:color="auto"/>
        <w:bottom w:val="none" w:sz="0" w:space="0" w:color="auto"/>
        <w:right w:val="none" w:sz="0" w:space="0" w:color="auto"/>
      </w:divBdr>
    </w:div>
    <w:div w:id="977760379">
      <w:bodyDiv w:val="1"/>
      <w:marLeft w:val="0"/>
      <w:marRight w:val="0"/>
      <w:marTop w:val="0"/>
      <w:marBottom w:val="0"/>
      <w:divBdr>
        <w:top w:val="none" w:sz="0" w:space="0" w:color="auto"/>
        <w:left w:val="none" w:sz="0" w:space="0" w:color="auto"/>
        <w:bottom w:val="none" w:sz="0" w:space="0" w:color="auto"/>
        <w:right w:val="none" w:sz="0" w:space="0" w:color="auto"/>
      </w:divBdr>
    </w:div>
    <w:div w:id="1066805537">
      <w:bodyDiv w:val="1"/>
      <w:marLeft w:val="0"/>
      <w:marRight w:val="0"/>
      <w:marTop w:val="0"/>
      <w:marBottom w:val="0"/>
      <w:divBdr>
        <w:top w:val="none" w:sz="0" w:space="0" w:color="auto"/>
        <w:left w:val="none" w:sz="0" w:space="0" w:color="auto"/>
        <w:bottom w:val="none" w:sz="0" w:space="0" w:color="auto"/>
        <w:right w:val="none" w:sz="0" w:space="0" w:color="auto"/>
      </w:divBdr>
    </w:div>
    <w:div w:id="1086461213">
      <w:bodyDiv w:val="1"/>
      <w:marLeft w:val="0"/>
      <w:marRight w:val="0"/>
      <w:marTop w:val="0"/>
      <w:marBottom w:val="0"/>
      <w:divBdr>
        <w:top w:val="none" w:sz="0" w:space="0" w:color="auto"/>
        <w:left w:val="none" w:sz="0" w:space="0" w:color="auto"/>
        <w:bottom w:val="none" w:sz="0" w:space="0" w:color="auto"/>
        <w:right w:val="none" w:sz="0" w:space="0" w:color="auto"/>
      </w:divBdr>
    </w:div>
    <w:div w:id="1099986695">
      <w:bodyDiv w:val="1"/>
      <w:marLeft w:val="0"/>
      <w:marRight w:val="0"/>
      <w:marTop w:val="0"/>
      <w:marBottom w:val="0"/>
      <w:divBdr>
        <w:top w:val="none" w:sz="0" w:space="0" w:color="auto"/>
        <w:left w:val="none" w:sz="0" w:space="0" w:color="auto"/>
        <w:bottom w:val="none" w:sz="0" w:space="0" w:color="auto"/>
        <w:right w:val="none" w:sz="0" w:space="0" w:color="auto"/>
      </w:divBdr>
    </w:div>
    <w:div w:id="1111166747">
      <w:bodyDiv w:val="1"/>
      <w:marLeft w:val="0"/>
      <w:marRight w:val="0"/>
      <w:marTop w:val="0"/>
      <w:marBottom w:val="0"/>
      <w:divBdr>
        <w:top w:val="none" w:sz="0" w:space="0" w:color="auto"/>
        <w:left w:val="none" w:sz="0" w:space="0" w:color="auto"/>
        <w:bottom w:val="none" w:sz="0" w:space="0" w:color="auto"/>
        <w:right w:val="none" w:sz="0" w:space="0" w:color="auto"/>
      </w:divBdr>
    </w:div>
    <w:div w:id="1144272927">
      <w:bodyDiv w:val="1"/>
      <w:marLeft w:val="0"/>
      <w:marRight w:val="0"/>
      <w:marTop w:val="0"/>
      <w:marBottom w:val="0"/>
      <w:divBdr>
        <w:top w:val="none" w:sz="0" w:space="0" w:color="auto"/>
        <w:left w:val="none" w:sz="0" w:space="0" w:color="auto"/>
        <w:bottom w:val="none" w:sz="0" w:space="0" w:color="auto"/>
        <w:right w:val="none" w:sz="0" w:space="0" w:color="auto"/>
      </w:divBdr>
    </w:div>
    <w:div w:id="1152678496">
      <w:bodyDiv w:val="1"/>
      <w:marLeft w:val="0"/>
      <w:marRight w:val="0"/>
      <w:marTop w:val="0"/>
      <w:marBottom w:val="0"/>
      <w:divBdr>
        <w:top w:val="none" w:sz="0" w:space="0" w:color="auto"/>
        <w:left w:val="none" w:sz="0" w:space="0" w:color="auto"/>
        <w:bottom w:val="none" w:sz="0" w:space="0" w:color="auto"/>
        <w:right w:val="none" w:sz="0" w:space="0" w:color="auto"/>
      </w:divBdr>
    </w:div>
    <w:div w:id="1158036527">
      <w:bodyDiv w:val="1"/>
      <w:marLeft w:val="0"/>
      <w:marRight w:val="0"/>
      <w:marTop w:val="0"/>
      <w:marBottom w:val="0"/>
      <w:divBdr>
        <w:top w:val="none" w:sz="0" w:space="0" w:color="auto"/>
        <w:left w:val="none" w:sz="0" w:space="0" w:color="auto"/>
        <w:bottom w:val="none" w:sz="0" w:space="0" w:color="auto"/>
        <w:right w:val="none" w:sz="0" w:space="0" w:color="auto"/>
      </w:divBdr>
    </w:div>
    <w:div w:id="1207717072">
      <w:bodyDiv w:val="1"/>
      <w:marLeft w:val="0"/>
      <w:marRight w:val="0"/>
      <w:marTop w:val="0"/>
      <w:marBottom w:val="0"/>
      <w:divBdr>
        <w:top w:val="none" w:sz="0" w:space="0" w:color="auto"/>
        <w:left w:val="none" w:sz="0" w:space="0" w:color="auto"/>
        <w:bottom w:val="none" w:sz="0" w:space="0" w:color="auto"/>
        <w:right w:val="none" w:sz="0" w:space="0" w:color="auto"/>
      </w:divBdr>
    </w:div>
    <w:div w:id="1237663621">
      <w:bodyDiv w:val="1"/>
      <w:marLeft w:val="0"/>
      <w:marRight w:val="0"/>
      <w:marTop w:val="0"/>
      <w:marBottom w:val="0"/>
      <w:divBdr>
        <w:top w:val="none" w:sz="0" w:space="0" w:color="auto"/>
        <w:left w:val="none" w:sz="0" w:space="0" w:color="auto"/>
        <w:bottom w:val="none" w:sz="0" w:space="0" w:color="auto"/>
        <w:right w:val="none" w:sz="0" w:space="0" w:color="auto"/>
      </w:divBdr>
    </w:div>
    <w:div w:id="1302420252">
      <w:bodyDiv w:val="1"/>
      <w:marLeft w:val="0"/>
      <w:marRight w:val="0"/>
      <w:marTop w:val="0"/>
      <w:marBottom w:val="0"/>
      <w:divBdr>
        <w:top w:val="none" w:sz="0" w:space="0" w:color="auto"/>
        <w:left w:val="none" w:sz="0" w:space="0" w:color="auto"/>
        <w:bottom w:val="none" w:sz="0" w:space="0" w:color="auto"/>
        <w:right w:val="none" w:sz="0" w:space="0" w:color="auto"/>
      </w:divBdr>
    </w:div>
    <w:div w:id="1337071123">
      <w:bodyDiv w:val="1"/>
      <w:marLeft w:val="0"/>
      <w:marRight w:val="0"/>
      <w:marTop w:val="0"/>
      <w:marBottom w:val="0"/>
      <w:divBdr>
        <w:top w:val="none" w:sz="0" w:space="0" w:color="auto"/>
        <w:left w:val="none" w:sz="0" w:space="0" w:color="auto"/>
        <w:bottom w:val="none" w:sz="0" w:space="0" w:color="auto"/>
        <w:right w:val="none" w:sz="0" w:space="0" w:color="auto"/>
      </w:divBdr>
    </w:div>
    <w:div w:id="1376082016">
      <w:bodyDiv w:val="1"/>
      <w:marLeft w:val="0"/>
      <w:marRight w:val="0"/>
      <w:marTop w:val="0"/>
      <w:marBottom w:val="0"/>
      <w:divBdr>
        <w:top w:val="none" w:sz="0" w:space="0" w:color="auto"/>
        <w:left w:val="none" w:sz="0" w:space="0" w:color="auto"/>
        <w:bottom w:val="none" w:sz="0" w:space="0" w:color="auto"/>
        <w:right w:val="none" w:sz="0" w:space="0" w:color="auto"/>
      </w:divBdr>
    </w:div>
    <w:div w:id="1416245122">
      <w:bodyDiv w:val="1"/>
      <w:marLeft w:val="0"/>
      <w:marRight w:val="0"/>
      <w:marTop w:val="0"/>
      <w:marBottom w:val="0"/>
      <w:divBdr>
        <w:top w:val="none" w:sz="0" w:space="0" w:color="auto"/>
        <w:left w:val="none" w:sz="0" w:space="0" w:color="auto"/>
        <w:bottom w:val="none" w:sz="0" w:space="0" w:color="auto"/>
        <w:right w:val="none" w:sz="0" w:space="0" w:color="auto"/>
      </w:divBdr>
    </w:div>
    <w:div w:id="1438602936">
      <w:bodyDiv w:val="1"/>
      <w:marLeft w:val="0"/>
      <w:marRight w:val="0"/>
      <w:marTop w:val="0"/>
      <w:marBottom w:val="0"/>
      <w:divBdr>
        <w:top w:val="none" w:sz="0" w:space="0" w:color="auto"/>
        <w:left w:val="none" w:sz="0" w:space="0" w:color="auto"/>
        <w:bottom w:val="none" w:sz="0" w:space="0" w:color="auto"/>
        <w:right w:val="none" w:sz="0" w:space="0" w:color="auto"/>
      </w:divBdr>
    </w:div>
    <w:div w:id="1471169437">
      <w:bodyDiv w:val="1"/>
      <w:marLeft w:val="0"/>
      <w:marRight w:val="0"/>
      <w:marTop w:val="0"/>
      <w:marBottom w:val="0"/>
      <w:divBdr>
        <w:top w:val="none" w:sz="0" w:space="0" w:color="auto"/>
        <w:left w:val="none" w:sz="0" w:space="0" w:color="auto"/>
        <w:bottom w:val="none" w:sz="0" w:space="0" w:color="auto"/>
        <w:right w:val="none" w:sz="0" w:space="0" w:color="auto"/>
      </w:divBdr>
    </w:div>
    <w:div w:id="1471939475">
      <w:bodyDiv w:val="1"/>
      <w:marLeft w:val="0"/>
      <w:marRight w:val="0"/>
      <w:marTop w:val="0"/>
      <w:marBottom w:val="0"/>
      <w:divBdr>
        <w:top w:val="none" w:sz="0" w:space="0" w:color="auto"/>
        <w:left w:val="none" w:sz="0" w:space="0" w:color="auto"/>
        <w:bottom w:val="none" w:sz="0" w:space="0" w:color="auto"/>
        <w:right w:val="none" w:sz="0" w:space="0" w:color="auto"/>
      </w:divBdr>
    </w:div>
    <w:div w:id="1472479025">
      <w:bodyDiv w:val="1"/>
      <w:marLeft w:val="0"/>
      <w:marRight w:val="0"/>
      <w:marTop w:val="0"/>
      <w:marBottom w:val="0"/>
      <w:divBdr>
        <w:top w:val="none" w:sz="0" w:space="0" w:color="auto"/>
        <w:left w:val="none" w:sz="0" w:space="0" w:color="auto"/>
        <w:bottom w:val="none" w:sz="0" w:space="0" w:color="auto"/>
        <w:right w:val="none" w:sz="0" w:space="0" w:color="auto"/>
      </w:divBdr>
    </w:div>
    <w:div w:id="1517185949">
      <w:bodyDiv w:val="1"/>
      <w:marLeft w:val="0"/>
      <w:marRight w:val="0"/>
      <w:marTop w:val="0"/>
      <w:marBottom w:val="0"/>
      <w:divBdr>
        <w:top w:val="none" w:sz="0" w:space="0" w:color="auto"/>
        <w:left w:val="none" w:sz="0" w:space="0" w:color="auto"/>
        <w:bottom w:val="none" w:sz="0" w:space="0" w:color="auto"/>
        <w:right w:val="none" w:sz="0" w:space="0" w:color="auto"/>
      </w:divBdr>
    </w:div>
    <w:div w:id="1600529581">
      <w:bodyDiv w:val="1"/>
      <w:marLeft w:val="0"/>
      <w:marRight w:val="0"/>
      <w:marTop w:val="0"/>
      <w:marBottom w:val="0"/>
      <w:divBdr>
        <w:top w:val="none" w:sz="0" w:space="0" w:color="auto"/>
        <w:left w:val="none" w:sz="0" w:space="0" w:color="auto"/>
        <w:bottom w:val="none" w:sz="0" w:space="0" w:color="auto"/>
        <w:right w:val="none" w:sz="0" w:space="0" w:color="auto"/>
      </w:divBdr>
    </w:div>
    <w:div w:id="1601571766">
      <w:bodyDiv w:val="1"/>
      <w:marLeft w:val="0"/>
      <w:marRight w:val="0"/>
      <w:marTop w:val="0"/>
      <w:marBottom w:val="0"/>
      <w:divBdr>
        <w:top w:val="none" w:sz="0" w:space="0" w:color="auto"/>
        <w:left w:val="none" w:sz="0" w:space="0" w:color="auto"/>
        <w:bottom w:val="none" w:sz="0" w:space="0" w:color="auto"/>
        <w:right w:val="none" w:sz="0" w:space="0" w:color="auto"/>
      </w:divBdr>
    </w:div>
    <w:div w:id="1623801625">
      <w:bodyDiv w:val="1"/>
      <w:marLeft w:val="0"/>
      <w:marRight w:val="0"/>
      <w:marTop w:val="0"/>
      <w:marBottom w:val="0"/>
      <w:divBdr>
        <w:top w:val="none" w:sz="0" w:space="0" w:color="auto"/>
        <w:left w:val="none" w:sz="0" w:space="0" w:color="auto"/>
        <w:bottom w:val="none" w:sz="0" w:space="0" w:color="auto"/>
        <w:right w:val="none" w:sz="0" w:space="0" w:color="auto"/>
      </w:divBdr>
    </w:div>
    <w:div w:id="1628008723">
      <w:bodyDiv w:val="1"/>
      <w:marLeft w:val="0"/>
      <w:marRight w:val="0"/>
      <w:marTop w:val="0"/>
      <w:marBottom w:val="0"/>
      <w:divBdr>
        <w:top w:val="none" w:sz="0" w:space="0" w:color="auto"/>
        <w:left w:val="none" w:sz="0" w:space="0" w:color="auto"/>
        <w:bottom w:val="none" w:sz="0" w:space="0" w:color="auto"/>
        <w:right w:val="none" w:sz="0" w:space="0" w:color="auto"/>
      </w:divBdr>
    </w:div>
    <w:div w:id="1683894335">
      <w:bodyDiv w:val="1"/>
      <w:marLeft w:val="0"/>
      <w:marRight w:val="0"/>
      <w:marTop w:val="0"/>
      <w:marBottom w:val="0"/>
      <w:divBdr>
        <w:top w:val="none" w:sz="0" w:space="0" w:color="auto"/>
        <w:left w:val="none" w:sz="0" w:space="0" w:color="auto"/>
        <w:bottom w:val="none" w:sz="0" w:space="0" w:color="auto"/>
        <w:right w:val="none" w:sz="0" w:space="0" w:color="auto"/>
      </w:divBdr>
    </w:div>
    <w:div w:id="1701324328">
      <w:bodyDiv w:val="1"/>
      <w:marLeft w:val="0"/>
      <w:marRight w:val="0"/>
      <w:marTop w:val="0"/>
      <w:marBottom w:val="0"/>
      <w:divBdr>
        <w:top w:val="none" w:sz="0" w:space="0" w:color="auto"/>
        <w:left w:val="none" w:sz="0" w:space="0" w:color="auto"/>
        <w:bottom w:val="none" w:sz="0" w:space="0" w:color="auto"/>
        <w:right w:val="none" w:sz="0" w:space="0" w:color="auto"/>
      </w:divBdr>
      <w:divsChild>
        <w:div w:id="1725133614">
          <w:marLeft w:val="547"/>
          <w:marRight w:val="0"/>
          <w:marTop w:val="0"/>
          <w:marBottom w:val="0"/>
          <w:divBdr>
            <w:top w:val="none" w:sz="0" w:space="0" w:color="auto"/>
            <w:left w:val="none" w:sz="0" w:space="0" w:color="auto"/>
            <w:bottom w:val="none" w:sz="0" w:space="0" w:color="auto"/>
            <w:right w:val="none" w:sz="0" w:space="0" w:color="auto"/>
          </w:divBdr>
        </w:div>
      </w:divsChild>
    </w:div>
    <w:div w:id="1753892034">
      <w:bodyDiv w:val="1"/>
      <w:marLeft w:val="0"/>
      <w:marRight w:val="0"/>
      <w:marTop w:val="0"/>
      <w:marBottom w:val="0"/>
      <w:divBdr>
        <w:top w:val="none" w:sz="0" w:space="0" w:color="auto"/>
        <w:left w:val="none" w:sz="0" w:space="0" w:color="auto"/>
        <w:bottom w:val="none" w:sz="0" w:space="0" w:color="auto"/>
        <w:right w:val="none" w:sz="0" w:space="0" w:color="auto"/>
      </w:divBdr>
    </w:div>
    <w:div w:id="1814829279">
      <w:bodyDiv w:val="1"/>
      <w:marLeft w:val="0"/>
      <w:marRight w:val="0"/>
      <w:marTop w:val="0"/>
      <w:marBottom w:val="0"/>
      <w:divBdr>
        <w:top w:val="none" w:sz="0" w:space="0" w:color="auto"/>
        <w:left w:val="none" w:sz="0" w:space="0" w:color="auto"/>
        <w:bottom w:val="none" w:sz="0" w:space="0" w:color="auto"/>
        <w:right w:val="none" w:sz="0" w:space="0" w:color="auto"/>
      </w:divBdr>
    </w:div>
    <w:div w:id="1876770479">
      <w:bodyDiv w:val="1"/>
      <w:marLeft w:val="0"/>
      <w:marRight w:val="0"/>
      <w:marTop w:val="0"/>
      <w:marBottom w:val="0"/>
      <w:divBdr>
        <w:top w:val="none" w:sz="0" w:space="0" w:color="auto"/>
        <w:left w:val="none" w:sz="0" w:space="0" w:color="auto"/>
        <w:bottom w:val="none" w:sz="0" w:space="0" w:color="auto"/>
        <w:right w:val="none" w:sz="0" w:space="0" w:color="auto"/>
      </w:divBdr>
    </w:div>
    <w:div w:id="1916358781">
      <w:bodyDiv w:val="1"/>
      <w:marLeft w:val="0"/>
      <w:marRight w:val="0"/>
      <w:marTop w:val="0"/>
      <w:marBottom w:val="0"/>
      <w:divBdr>
        <w:top w:val="none" w:sz="0" w:space="0" w:color="auto"/>
        <w:left w:val="none" w:sz="0" w:space="0" w:color="auto"/>
        <w:bottom w:val="none" w:sz="0" w:space="0" w:color="auto"/>
        <w:right w:val="none" w:sz="0" w:space="0" w:color="auto"/>
      </w:divBdr>
    </w:div>
    <w:div w:id="1933080759">
      <w:bodyDiv w:val="1"/>
      <w:marLeft w:val="0"/>
      <w:marRight w:val="0"/>
      <w:marTop w:val="0"/>
      <w:marBottom w:val="0"/>
      <w:divBdr>
        <w:top w:val="none" w:sz="0" w:space="0" w:color="auto"/>
        <w:left w:val="none" w:sz="0" w:space="0" w:color="auto"/>
        <w:bottom w:val="none" w:sz="0" w:space="0" w:color="auto"/>
        <w:right w:val="none" w:sz="0" w:space="0" w:color="auto"/>
      </w:divBdr>
    </w:div>
    <w:div w:id="1939480523">
      <w:bodyDiv w:val="1"/>
      <w:marLeft w:val="0"/>
      <w:marRight w:val="0"/>
      <w:marTop w:val="0"/>
      <w:marBottom w:val="0"/>
      <w:divBdr>
        <w:top w:val="none" w:sz="0" w:space="0" w:color="auto"/>
        <w:left w:val="none" w:sz="0" w:space="0" w:color="auto"/>
        <w:bottom w:val="none" w:sz="0" w:space="0" w:color="auto"/>
        <w:right w:val="none" w:sz="0" w:space="0" w:color="auto"/>
      </w:divBdr>
    </w:div>
    <w:div w:id="2035769077">
      <w:bodyDiv w:val="1"/>
      <w:marLeft w:val="0"/>
      <w:marRight w:val="0"/>
      <w:marTop w:val="0"/>
      <w:marBottom w:val="0"/>
      <w:divBdr>
        <w:top w:val="none" w:sz="0" w:space="0" w:color="auto"/>
        <w:left w:val="none" w:sz="0" w:space="0" w:color="auto"/>
        <w:bottom w:val="none" w:sz="0" w:space="0" w:color="auto"/>
        <w:right w:val="none" w:sz="0" w:space="0" w:color="auto"/>
      </w:divBdr>
    </w:div>
    <w:div w:id="2058161563">
      <w:bodyDiv w:val="1"/>
      <w:marLeft w:val="0"/>
      <w:marRight w:val="0"/>
      <w:marTop w:val="0"/>
      <w:marBottom w:val="0"/>
      <w:divBdr>
        <w:top w:val="none" w:sz="0" w:space="0" w:color="auto"/>
        <w:left w:val="none" w:sz="0" w:space="0" w:color="auto"/>
        <w:bottom w:val="none" w:sz="0" w:space="0" w:color="auto"/>
        <w:right w:val="none" w:sz="0" w:space="0" w:color="auto"/>
      </w:divBdr>
    </w:div>
    <w:div w:id="2107115865">
      <w:bodyDiv w:val="1"/>
      <w:marLeft w:val="0"/>
      <w:marRight w:val="0"/>
      <w:marTop w:val="0"/>
      <w:marBottom w:val="0"/>
      <w:divBdr>
        <w:top w:val="none" w:sz="0" w:space="0" w:color="auto"/>
        <w:left w:val="none" w:sz="0" w:space="0" w:color="auto"/>
        <w:bottom w:val="none" w:sz="0" w:space="0" w:color="auto"/>
        <w:right w:val="none" w:sz="0" w:space="0" w:color="auto"/>
      </w:divBdr>
    </w:div>
    <w:div w:id="214677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image" Target="media/image207.png"/><Relationship Id="rId21" Type="http://schemas.openxmlformats.org/officeDocument/2006/relationships/header" Target="header4.xml"/><Relationship Id="rId63" Type="http://schemas.openxmlformats.org/officeDocument/2006/relationships/image" Target="media/image30.png"/><Relationship Id="rId159" Type="http://schemas.openxmlformats.org/officeDocument/2006/relationships/image" Target="media/image105.png"/><Relationship Id="rId324" Type="http://schemas.openxmlformats.org/officeDocument/2006/relationships/chart" Target="charts/chart44.xml"/><Relationship Id="rId366" Type="http://schemas.openxmlformats.org/officeDocument/2006/relationships/image" Target="media/image248.png"/><Relationship Id="rId170" Type="http://schemas.openxmlformats.org/officeDocument/2006/relationships/image" Target="media/image112.emf"/><Relationship Id="rId226" Type="http://schemas.openxmlformats.org/officeDocument/2006/relationships/image" Target="media/image161.jpeg"/><Relationship Id="rId268" Type="http://schemas.openxmlformats.org/officeDocument/2006/relationships/chart" Target="charts/chart28.xml"/><Relationship Id="rId32" Type="http://schemas.openxmlformats.org/officeDocument/2006/relationships/diagramLayout" Target="diagrams/layout1.xml"/><Relationship Id="rId74" Type="http://schemas.openxmlformats.org/officeDocument/2006/relationships/image" Target="media/image36.emf"/><Relationship Id="rId128" Type="http://schemas.openxmlformats.org/officeDocument/2006/relationships/image" Target="media/image74.png"/><Relationship Id="rId335" Type="http://schemas.openxmlformats.org/officeDocument/2006/relationships/chart" Target="charts/chart49.xml"/><Relationship Id="rId377" Type="http://schemas.openxmlformats.org/officeDocument/2006/relationships/header" Target="header33.xml"/><Relationship Id="rId5" Type="http://schemas.openxmlformats.org/officeDocument/2006/relationships/settings" Target="settings.xml"/><Relationship Id="rId181" Type="http://schemas.openxmlformats.org/officeDocument/2006/relationships/image" Target="media/image120.png"/><Relationship Id="rId237" Type="http://schemas.openxmlformats.org/officeDocument/2006/relationships/image" Target="media/image172.jpeg"/><Relationship Id="rId279" Type="http://schemas.openxmlformats.org/officeDocument/2006/relationships/chart" Target="charts/chart34.xml"/><Relationship Id="rId43" Type="http://schemas.openxmlformats.org/officeDocument/2006/relationships/image" Target="media/image19.jpeg"/><Relationship Id="rId139" Type="http://schemas.openxmlformats.org/officeDocument/2006/relationships/image" Target="media/image85.png"/><Relationship Id="rId290" Type="http://schemas.openxmlformats.org/officeDocument/2006/relationships/image" Target="media/image198.png"/><Relationship Id="rId304" Type="http://schemas.openxmlformats.org/officeDocument/2006/relationships/header" Target="header26.xml"/><Relationship Id="rId346" Type="http://schemas.openxmlformats.org/officeDocument/2006/relationships/image" Target="media/image229.emf"/><Relationship Id="rId85" Type="http://schemas.openxmlformats.org/officeDocument/2006/relationships/header" Target="header14.xml"/><Relationship Id="rId150" Type="http://schemas.openxmlformats.org/officeDocument/2006/relationships/image" Target="media/image96.png"/><Relationship Id="rId192" Type="http://schemas.openxmlformats.org/officeDocument/2006/relationships/header" Target="header20.xml"/><Relationship Id="rId206" Type="http://schemas.openxmlformats.org/officeDocument/2006/relationships/image" Target="media/image141.jpeg"/><Relationship Id="rId248" Type="http://schemas.openxmlformats.org/officeDocument/2006/relationships/image" Target="media/image183.jpeg"/><Relationship Id="rId12" Type="http://schemas.openxmlformats.org/officeDocument/2006/relationships/image" Target="media/image4.jpeg"/><Relationship Id="rId108" Type="http://schemas.openxmlformats.org/officeDocument/2006/relationships/image" Target="media/image55.jpeg"/><Relationship Id="rId315" Type="http://schemas.openxmlformats.org/officeDocument/2006/relationships/image" Target="media/image217.png"/><Relationship Id="rId357" Type="http://schemas.openxmlformats.org/officeDocument/2006/relationships/image" Target="media/image240.emf"/><Relationship Id="rId54" Type="http://schemas.openxmlformats.org/officeDocument/2006/relationships/image" Target="media/image26.png"/><Relationship Id="rId96" Type="http://schemas.openxmlformats.org/officeDocument/2006/relationships/chart" Target="charts/chart13.xml"/><Relationship Id="rId161" Type="http://schemas.openxmlformats.org/officeDocument/2006/relationships/header" Target="header18.xml"/><Relationship Id="rId217" Type="http://schemas.openxmlformats.org/officeDocument/2006/relationships/image" Target="media/image152.jpeg"/><Relationship Id="rId259" Type="http://schemas.openxmlformats.org/officeDocument/2006/relationships/image" Target="media/image186.jpeg"/><Relationship Id="rId23" Type="http://schemas.openxmlformats.org/officeDocument/2006/relationships/header" Target="header5.xml"/><Relationship Id="rId119" Type="http://schemas.openxmlformats.org/officeDocument/2006/relationships/image" Target="media/image65.png"/><Relationship Id="rId270" Type="http://schemas.openxmlformats.org/officeDocument/2006/relationships/chart" Target="charts/chart29.xml"/><Relationship Id="rId326" Type="http://schemas.openxmlformats.org/officeDocument/2006/relationships/chart" Target="charts/chart46.xml"/><Relationship Id="rId65" Type="http://schemas.openxmlformats.org/officeDocument/2006/relationships/image" Target="media/image32.png"/><Relationship Id="rId130" Type="http://schemas.openxmlformats.org/officeDocument/2006/relationships/image" Target="media/image76.png"/><Relationship Id="rId368" Type="http://schemas.openxmlformats.org/officeDocument/2006/relationships/hyperlink" Target="http://roadpricing.gw-world.com/en/RoadPricingAustria.aspx" TargetMode="External"/><Relationship Id="rId172" Type="http://schemas.openxmlformats.org/officeDocument/2006/relationships/chart" Target="charts/chart15.xml"/><Relationship Id="rId228" Type="http://schemas.openxmlformats.org/officeDocument/2006/relationships/image" Target="media/image163.jpeg"/><Relationship Id="rId281" Type="http://schemas.openxmlformats.org/officeDocument/2006/relationships/header" Target="header23.xml"/><Relationship Id="rId337" Type="http://schemas.openxmlformats.org/officeDocument/2006/relationships/footer" Target="footer14.xml"/><Relationship Id="rId34" Type="http://schemas.openxmlformats.org/officeDocument/2006/relationships/diagramColors" Target="diagrams/colors1.xml"/><Relationship Id="rId76" Type="http://schemas.openxmlformats.org/officeDocument/2006/relationships/hyperlink" Target="http://ec.europa.eu/transport/facts-fundings/statistics/pocketbook-2013_en.htm" TargetMode="External"/><Relationship Id="rId141" Type="http://schemas.openxmlformats.org/officeDocument/2006/relationships/image" Target="media/image87.png"/><Relationship Id="rId379" Type="http://schemas.openxmlformats.org/officeDocument/2006/relationships/header" Target="header34.xml"/><Relationship Id="rId7" Type="http://schemas.openxmlformats.org/officeDocument/2006/relationships/footnotes" Target="footnotes.xml"/><Relationship Id="rId183" Type="http://schemas.openxmlformats.org/officeDocument/2006/relationships/image" Target="media/image122.jpeg"/><Relationship Id="rId239" Type="http://schemas.openxmlformats.org/officeDocument/2006/relationships/image" Target="media/image174.jpeg"/><Relationship Id="rId250" Type="http://schemas.openxmlformats.org/officeDocument/2006/relationships/image" Target="media/image185.jpeg"/><Relationship Id="rId292" Type="http://schemas.openxmlformats.org/officeDocument/2006/relationships/image" Target="media/image200.png"/><Relationship Id="rId306" Type="http://schemas.openxmlformats.org/officeDocument/2006/relationships/image" Target="media/image211.jpeg"/><Relationship Id="rId45" Type="http://schemas.openxmlformats.org/officeDocument/2006/relationships/image" Target="media/image21.jpeg"/><Relationship Id="rId87" Type="http://schemas.openxmlformats.org/officeDocument/2006/relationships/chart" Target="charts/chart6.xml"/><Relationship Id="rId110" Type="http://schemas.openxmlformats.org/officeDocument/2006/relationships/image" Target="media/image56.png"/><Relationship Id="rId348" Type="http://schemas.openxmlformats.org/officeDocument/2006/relationships/image" Target="media/image231.emf"/><Relationship Id="rId152" Type="http://schemas.openxmlformats.org/officeDocument/2006/relationships/image" Target="media/image98.png"/><Relationship Id="rId194" Type="http://schemas.openxmlformats.org/officeDocument/2006/relationships/image" Target="media/image130.jpeg"/><Relationship Id="rId208" Type="http://schemas.openxmlformats.org/officeDocument/2006/relationships/image" Target="media/image143.jpeg"/><Relationship Id="rId261" Type="http://schemas.openxmlformats.org/officeDocument/2006/relationships/image" Target="media/image188.png"/><Relationship Id="rId14" Type="http://schemas.openxmlformats.org/officeDocument/2006/relationships/header" Target="header2.xml"/><Relationship Id="rId56" Type="http://schemas.openxmlformats.org/officeDocument/2006/relationships/image" Target="media/image28.png"/><Relationship Id="rId317" Type="http://schemas.openxmlformats.org/officeDocument/2006/relationships/image" Target="media/image219.tiff"/><Relationship Id="rId359" Type="http://schemas.openxmlformats.org/officeDocument/2006/relationships/oleObject" Target="embeddings/Microsoft_Excel_97-2003_Worksheet1.xls"/><Relationship Id="rId98" Type="http://schemas.openxmlformats.org/officeDocument/2006/relationships/image" Target="media/image47.emf"/><Relationship Id="rId121" Type="http://schemas.openxmlformats.org/officeDocument/2006/relationships/image" Target="media/image67.png"/><Relationship Id="rId163" Type="http://schemas.openxmlformats.org/officeDocument/2006/relationships/image" Target="media/image106.png"/><Relationship Id="rId219" Type="http://schemas.openxmlformats.org/officeDocument/2006/relationships/image" Target="media/image154.jpeg"/><Relationship Id="rId370" Type="http://schemas.openxmlformats.org/officeDocument/2006/relationships/hyperlink" Target="http://www.ages.de/en/hgv-toll-germany-tariffs.html" TargetMode="External"/><Relationship Id="rId230" Type="http://schemas.openxmlformats.org/officeDocument/2006/relationships/image" Target="media/image165.jpeg"/><Relationship Id="rId25" Type="http://schemas.openxmlformats.org/officeDocument/2006/relationships/header" Target="header7.xml"/><Relationship Id="rId67" Type="http://schemas.openxmlformats.org/officeDocument/2006/relationships/image" Target="media/image34.png"/><Relationship Id="rId272" Type="http://schemas.openxmlformats.org/officeDocument/2006/relationships/image" Target="media/image191.emf"/><Relationship Id="rId328" Type="http://schemas.openxmlformats.org/officeDocument/2006/relationships/chart" Target="charts/chart48.xml"/><Relationship Id="rId132" Type="http://schemas.openxmlformats.org/officeDocument/2006/relationships/image" Target="media/image78.png"/><Relationship Id="rId174" Type="http://schemas.openxmlformats.org/officeDocument/2006/relationships/image" Target="media/image113.jpeg"/><Relationship Id="rId381" Type="http://schemas.openxmlformats.org/officeDocument/2006/relationships/image" Target="media/image256.jpeg"/><Relationship Id="rId241" Type="http://schemas.openxmlformats.org/officeDocument/2006/relationships/image" Target="media/image176.jpeg"/><Relationship Id="rId36" Type="http://schemas.openxmlformats.org/officeDocument/2006/relationships/image" Target="media/image13.emf"/><Relationship Id="rId283" Type="http://schemas.openxmlformats.org/officeDocument/2006/relationships/footer" Target="footer11.xml"/><Relationship Id="rId339" Type="http://schemas.openxmlformats.org/officeDocument/2006/relationships/image" Target="media/image225.png"/><Relationship Id="rId78" Type="http://schemas.openxmlformats.org/officeDocument/2006/relationships/image" Target="media/image39.png"/><Relationship Id="rId101" Type="http://schemas.openxmlformats.org/officeDocument/2006/relationships/image" Target="media/image50.emf"/><Relationship Id="rId143" Type="http://schemas.openxmlformats.org/officeDocument/2006/relationships/image" Target="media/image89.png"/><Relationship Id="rId185" Type="http://schemas.openxmlformats.org/officeDocument/2006/relationships/chart" Target="charts/chart16.xml"/><Relationship Id="rId350" Type="http://schemas.openxmlformats.org/officeDocument/2006/relationships/image" Target="media/image233.emf"/><Relationship Id="rId9" Type="http://schemas.openxmlformats.org/officeDocument/2006/relationships/image" Target="media/image1.jpeg"/><Relationship Id="rId210" Type="http://schemas.openxmlformats.org/officeDocument/2006/relationships/image" Target="media/image145.jpeg"/><Relationship Id="rId252" Type="http://schemas.openxmlformats.org/officeDocument/2006/relationships/header" Target="header22.xml"/><Relationship Id="rId294" Type="http://schemas.openxmlformats.org/officeDocument/2006/relationships/image" Target="media/image202.png"/><Relationship Id="rId308" Type="http://schemas.openxmlformats.org/officeDocument/2006/relationships/header" Target="header27.xml"/><Relationship Id="rId47" Type="http://schemas.openxmlformats.org/officeDocument/2006/relationships/image" Target="media/image23.jpeg"/><Relationship Id="rId68" Type="http://schemas.openxmlformats.org/officeDocument/2006/relationships/image" Target="media/image35.png"/><Relationship Id="rId89" Type="http://schemas.openxmlformats.org/officeDocument/2006/relationships/image" Target="media/image44.png"/><Relationship Id="rId112" Type="http://schemas.openxmlformats.org/officeDocument/2006/relationships/image" Target="media/image58.png"/><Relationship Id="rId133" Type="http://schemas.openxmlformats.org/officeDocument/2006/relationships/image" Target="media/image79.png"/><Relationship Id="rId154" Type="http://schemas.openxmlformats.org/officeDocument/2006/relationships/image" Target="media/image100.png"/><Relationship Id="rId175" Type="http://schemas.openxmlformats.org/officeDocument/2006/relationships/image" Target="media/image114.jpeg"/><Relationship Id="rId340" Type="http://schemas.openxmlformats.org/officeDocument/2006/relationships/image" Target="media/image227.png"/><Relationship Id="rId361" Type="http://schemas.openxmlformats.org/officeDocument/2006/relationships/image" Target="media/image243.emf"/><Relationship Id="rId196" Type="http://schemas.openxmlformats.org/officeDocument/2006/relationships/image" Target="media/image131.jpeg"/><Relationship Id="rId200" Type="http://schemas.openxmlformats.org/officeDocument/2006/relationships/image" Target="media/image135.jpeg"/><Relationship Id="rId382" Type="http://schemas.openxmlformats.org/officeDocument/2006/relationships/image" Target="media/image257.jpeg"/><Relationship Id="rId16" Type="http://schemas.openxmlformats.org/officeDocument/2006/relationships/footer" Target="footer2.xml"/><Relationship Id="rId221" Type="http://schemas.openxmlformats.org/officeDocument/2006/relationships/image" Target="media/image156.jpeg"/><Relationship Id="rId242" Type="http://schemas.openxmlformats.org/officeDocument/2006/relationships/image" Target="media/image177.jpeg"/><Relationship Id="rId263" Type="http://schemas.openxmlformats.org/officeDocument/2006/relationships/chart" Target="charts/chart23.xml"/><Relationship Id="rId284" Type="http://schemas.openxmlformats.org/officeDocument/2006/relationships/chart" Target="charts/chart36.xml"/><Relationship Id="rId319" Type="http://schemas.openxmlformats.org/officeDocument/2006/relationships/image" Target="media/image221.jpeg"/><Relationship Id="rId37" Type="http://schemas.openxmlformats.org/officeDocument/2006/relationships/image" Target="media/image14.emf"/><Relationship Id="rId58" Type="http://schemas.openxmlformats.org/officeDocument/2006/relationships/diagramData" Target="diagrams/data2.xml"/><Relationship Id="rId79" Type="http://schemas.openxmlformats.org/officeDocument/2006/relationships/image" Target="media/image40.png"/><Relationship Id="rId102" Type="http://schemas.openxmlformats.org/officeDocument/2006/relationships/header" Target="header15.xml"/><Relationship Id="rId123" Type="http://schemas.openxmlformats.org/officeDocument/2006/relationships/image" Target="media/image69.png"/><Relationship Id="rId144" Type="http://schemas.openxmlformats.org/officeDocument/2006/relationships/image" Target="media/image90.png"/><Relationship Id="rId330" Type="http://schemas.openxmlformats.org/officeDocument/2006/relationships/image" Target="media/image223.jpeg"/><Relationship Id="rId90" Type="http://schemas.openxmlformats.org/officeDocument/2006/relationships/image" Target="media/image45.png"/><Relationship Id="rId165" Type="http://schemas.openxmlformats.org/officeDocument/2006/relationships/hyperlink" Target="http://ec.europa.eu/transport/facts-fundings/statistics/pocketbook-2013_en.htm" TargetMode="External"/><Relationship Id="rId186" Type="http://schemas.openxmlformats.org/officeDocument/2006/relationships/image" Target="media/image124.emf"/><Relationship Id="rId351" Type="http://schemas.openxmlformats.org/officeDocument/2006/relationships/image" Target="media/image234.emf"/><Relationship Id="rId372" Type="http://schemas.openxmlformats.org/officeDocument/2006/relationships/package" Target="embeddings/Microsoft_Excel_Worksheet7.xlsx"/><Relationship Id="rId211" Type="http://schemas.openxmlformats.org/officeDocument/2006/relationships/image" Target="media/image146.jpeg"/><Relationship Id="rId232" Type="http://schemas.openxmlformats.org/officeDocument/2006/relationships/image" Target="media/image167.jpeg"/><Relationship Id="rId253" Type="http://schemas.openxmlformats.org/officeDocument/2006/relationships/footer" Target="footer10.xml"/><Relationship Id="rId274" Type="http://schemas.openxmlformats.org/officeDocument/2006/relationships/image" Target="media/image192.png"/><Relationship Id="rId295" Type="http://schemas.openxmlformats.org/officeDocument/2006/relationships/image" Target="media/image203.png"/><Relationship Id="rId309" Type="http://schemas.openxmlformats.org/officeDocument/2006/relationships/image" Target="media/image213.jpeg"/><Relationship Id="rId27" Type="http://schemas.openxmlformats.org/officeDocument/2006/relationships/footer" Target="footer5.xml"/><Relationship Id="rId48" Type="http://schemas.openxmlformats.org/officeDocument/2006/relationships/header" Target="header11.xml"/><Relationship Id="rId69" Type="http://schemas.openxmlformats.org/officeDocument/2006/relationships/header" Target="header12.xml"/><Relationship Id="rId113" Type="http://schemas.openxmlformats.org/officeDocument/2006/relationships/image" Target="media/image59.png"/><Relationship Id="rId134" Type="http://schemas.openxmlformats.org/officeDocument/2006/relationships/image" Target="media/image80.png"/><Relationship Id="rId320" Type="http://schemas.openxmlformats.org/officeDocument/2006/relationships/chart" Target="charts/chart40.xml"/><Relationship Id="rId80" Type="http://schemas.openxmlformats.org/officeDocument/2006/relationships/oleObject" Target="embeddings/oleObject1.bin"/><Relationship Id="rId155" Type="http://schemas.openxmlformats.org/officeDocument/2006/relationships/image" Target="media/image101.png"/><Relationship Id="rId176" Type="http://schemas.openxmlformats.org/officeDocument/2006/relationships/image" Target="media/image115.png"/><Relationship Id="rId197" Type="http://schemas.openxmlformats.org/officeDocument/2006/relationships/image" Target="media/image132.jpeg"/><Relationship Id="rId341" Type="http://schemas.openxmlformats.org/officeDocument/2006/relationships/image" Target="media/image228.png"/><Relationship Id="rId362" Type="http://schemas.openxmlformats.org/officeDocument/2006/relationships/image" Target="media/image244.emf"/><Relationship Id="rId383" Type="http://schemas.openxmlformats.org/officeDocument/2006/relationships/header" Target="header35.xml"/><Relationship Id="rId201" Type="http://schemas.openxmlformats.org/officeDocument/2006/relationships/image" Target="media/image136.jpeg"/><Relationship Id="rId222" Type="http://schemas.openxmlformats.org/officeDocument/2006/relationships/image" Target="media/image157.jpeg"/><Relationship Id="rId243" Type="http://schemas.openxmlformats.org/officeDocument/2006/relationships/image" Target="media/image178.jpeg"/><Relationship Id="rId264" Type="http://schemas.openxmlformats.org/officeDocument/2006/relationships/chart" Target="charts/chart24.xml"/><Relationship Id="rId285" Type="http://schemas.openxmlformats.org/officeDocument/2006/relationships/image" Target="media/image195.png"/><Relationship Id="rId17" Type="http://schemas.openxmlformats.org/officeDocument/2006/relationships/header" Target="header3.xml"/><Relationship Id="rId38" Type="http://schemas.openxmlformats.org/officeDocument/2006/relationships/package" Target="embeddings/Microsoft_Word_Document1.docx"/><Relationship Id="rId59" Type="http://schemas.openxmlformats.org/officeDocument/2006/relationships/diagramLayout" Target="diagrams/layout2.xml"/><Relationship Id="rId103" Type="http://schemas.openxmlformats.org/officeDocument/2006/relationships/image" Target="media/image51.emf"/><Relationship Id="rId124" Type="http://schemas.openxmlformats.org/officeDocument/2006/relationships/image" Target="media/image70.png"/><Relationship Id="rId310" Type="http://schemas.openxmlformats.org/officeDocument/2006/relationships/image" Target="media/image214.jpeg"/><Relationship Id="rId70" Type="http://schemas.openxmlformats.org/officeDocument/2006/relationships/footer" Target="footer7.xml"/><Relationship Id="rId91" Type="http://schemas.openxmlformats.org/officeDocument/2006/relationships/chart" Target="charts/chart8.xml"/><Relationship Id="rId145" Type="http://schemas.openxmlformats.org/officeDocument/2006/relationships/image" Target="media/image91.png"/><Relationship Id="rId166" Type="http://schemas.openxmlformats.org/officeDocument/2006/relationships/image" Target="media/image108.jpeg"/><Relationship Id="rId187" Type="http://schemas.openxmlformats.org/officeDocument/2006/relationships/image" Target="media/image125.png"/><Relationship Id="rId331" Type="http://schemas.openxmlformats.org/officeDocument/2006/relationships/header" Target="header28.xml"/><Relationship Id="rId352" Type="http://schemas.openxmlformats.org/officeDocument/2006/relationships/image" Target="media/image235.emf"/><Relationship Id="rId373" Type="http://schemas.openxmlformats.org/officeDocument/2006/relationships/image" Target="media/image251.png"/><Relationship Id="rId1" Type="http://schemas.openxmlformats.org/officeDocument/2006/relationships/customXml" Target="../customXml/item1.xml"/><Relationship Id="rId212" Type="http://schemas.openxmlformats.org/officeDocument/2006/relationships/image" Target="media/image147.jpeg"/><Relationship Id="rId233" Type="http://schemas.openxmlformats.org/officeDocument/2006/relationships/image" Target="media/image168.jpeg"/><Relationship Id="rId254" Type="http://schemas.openxmlformats.org/officeDocument/2006/relationships/chart" Target="charts/chart18.xml"/><Relationship Id="rId28" Type="http://schemas.openxmlformats.org/officeDocument/2006/relationships/header" Target="header9.xml"/><Relationship Id="rId49" Type="http://schemas.openxmlformats.org/officeDocument/2006/relationships/chart" Target="charts/chart1.xml"/><Relationship Id="rId114" Type="http://schemas.openxmlformats.org/officeDocument/2006/relationships/image" Target="media/image60.png"/><Relationship Id="rId275" Type="http://schemas.openxmlformats.org/officeDocument/2006/relationships/image" Target="media/image193.emf"/><Relationship Id="rId296" Type="http://schemas.openxmlformats.org/officeDocument/2006/relationships/image" Target="media/image204.png"/><Relationship Id="rId300" Type="http://schemas.openxmlformats.org/officeDocument/2006/relationships/image" Target="media/image208.png"/><Relationship Id="rId60" Type="http://schemas.openxmlformats.org/officeDocument/2006/relationships/diagramQuickStyle" Target="diagrams/quickStyle2.xml"/><Relationship Id="rId81" Type="http://schemas.openxmlformats.org/officeDocument/2006/relationships/image" Target="media/image41.png"/><Relationship Id="rId135" Type="http://schemas.openxmlformats.org/officeDocument/2006/relationships/image" Target="media/image81.png"/><Relationship Id="rId156" Type="http://schemas.openxmlformats.org/officeDocument/2006/relationships/image" Target="media/image102.png"/><Relationship Id="rId177" Type="http://schemas.openxmlformats.org/officeDocument/2006/relationships/image" Target="media/image116.jpeg"/><Relationship Id="rId198" Type="http://schemas.openxmlformats.org/officeDocument/2006/relationships/image" Target="media/image133.jpeg"/><Relationship Id="rId321" Type="http://schemas.openxmlformats.org/officeDocument/2006/relationships/chart" Target="charts/chart41.xml"/><Relationship Id="rId342" Type="http://schemas.openxmlformats.org/officeDocument/2006/relationships/header" Target="header32.xml"/><Relationship Id="rId363" Type="http://schemas.openxmlformats.org/officeDocument/2006/relationships/image" Target="media/image245.emf"/><Relationship Id="rId384" Type="http://schemas.openxmlformats.org/officeDocument/2006/relationships/image" Target="media/image258.png"/><Relationship Id="rId202" Type="http://schemas.openxmlformats.org/officeDocument/2006/relationships/image" Target="media/image137.jpeg"/><Relationship Id="rId223" Type="http://schemas.openxmlformats.org/officeDocument/2006/relationships/image" Target="media/image158.jpeg"/><Relationship Id="rId244" Type="http://schemas.openxmlformats.org/officeDocument/2006/relationships/image" Target="media/image179.jpeg"/><Relationship Id="rId18" Type="http://schemas.openxmlformats.org/officeDocument/2006/relationships/footer" Target="footer3.xml"/><Relationship Id="rId39" Type="http://schemas.openxmlformats.org/officeDocument/2006/relationships/image" Target="media/image15.jpeg"/><Relationship Id="rId265" Type="http://schemas.openxmlformats.org/officeDocument/2006/relationships/chart" Target="charts/chart25.xml"/><Relationship Id="rId286" Type="http://schemas.openxmlformats.org/officeDocument/2006/relationships/image" Target="media/image196.jpeg"/><Relationship Id="rId50" Type="http://schemas.openxmlformats.org/officeDocument/2006/relationships/image" Target="media/image24.emf"/><Relationship Id="rId104" Type="http://schemas.openxmlformats.org/officeDocument/2006/relationships/image" Target="media/image52.emf"/><Relationship Id="rId125" Type="http://schemas.openxmlformats.org/officeDocument/2006/relationships/image" Target="media/image71.png"/><Relationship Id="rId146" Type="http://schemas.openxmlformats.org/officeDocument/2006/relationships/image" Target="media/image92.png"/><Relationship Id="rId167" Type="http://schemas.openxmlformats.org/officeDocument/2006/relationships/image" Target="media/image109.jpeg"/><Relationship Id="rId188" Type="http://schemas.openxmlformats.org/officeDocument/2006/relationships/image" Target="media/image126.png"/><Relationship Id="rId311" Type="http://schemas.openxmlformats.org/officeDocument/2006/relationships/chart" Target="charts/chart38.xml"/><Relationship Id="rId332" Type="http://schemas.openxmlformats.org/officeDocument/2006/relationships/header" Target="header29.xml"/><Relationship Id="rId353" Type="http://schemas.openxmlformats.org/officeDocument/2006/relationships/image" Target="media/image236.emf"/><Relationship Id="rId374" Type="http://schemas.openxmlformats.org/officeDocument/2006/relationships/image" Target="media/image252.png"/><Relationship Id="rId71" Type="http://schemas.openxmlformats.org/officeDocument/2006/relationships/chart" Target="charts/chart3.xml"/><Relationship Id="rId92" Type="http://schemas.openxmlformats.org/officeDocument/2006/relationships/chart" Target="charts/chart9.xml"/><Relationship Id="rId213" Type="http://schemas.openxmlformats.org/officeDocument/2006/relationships/image" Target="media/image148.jpeg"/><Relationship Id="rId234" Type="http://schemas.openxmlformats.org/officeDocument/2006/relationships/image" Target="media/image169.jpeg"/><Relationship Id="rId2" Type="http://schemas.openxmlformats.org/officeDocument/2006/relationships/numbering" Target="numbering.xml"/><Relationship Id="rId29" Type="http://schemas.openxmlformats.org/officeDocument/2006/relationships/header" Target="header10.xml"/><Relationship Id="rId255" Type="http://schemas.openxmlformats.org/officeDocument/2006/relationships/chart" Target="charts/chart19.xml"/><Relationship Id="rId276" Type="http://schemas.openxmlformats.org/officeDocument/2006/relationships/chart" Target="charts/chart32.xml"/><Relationship Id="rId297" Type="http://schemas.openxmlformats.org/officeDocument/2006/relationships/image" Target="media/image205.png"/><Relationship Id="rId40" Type="http://schemas.openxmlformats.org/officeDocument/2006/relationships/image" Target="media/image16.jpeg"/><Relationship Id="rId115" Type="http://schemas.openxmlformats.org/officeDocument/2006/relationships/image" Target="media/image61.png"/><Relationship Id="rId136" Type="http://schemas.openxmlformats.org/officeDocument/2006/relationships/image" Target="media/image82.png"/><Relationship Id="rId157" Type="http://schemas.openxmlformats.org/officeDocument/2006/relationships/image" Target="media/image103.png"/><Relationship Id="rId178" Type="http://schemas.openxmlformats.org/officeDocument/2006/relationships/image" Target="media/image117.emf"/><Relationship Id="rId301" Type="http://schemas.openxmlformats.org/officeDocument/2006/relationships/image" Target="media/image209.png"/><Relationship Id="rId322" Type="http://schemas.openxmlformats.org/officeDocument/2006/relationships/chart" Target="charts/chart42.xml"/><Relationship Id="rId343" Type="http://schemas.openxmlformats.org/officeDocument/2006/relationships/image" Target="media/image226.emf"/><Relationship Id="rId364" Type="http://schemas.openxmlformats.org/officeDocument/2006/relationships/image" Target="media/image246.emf"/><Relationship Id="rId61" Type="http://schemas.openxmlformats.org/officeDocument/2006/relationships/diagramColors" Target="diagrams/colors2.xml"/><Relationship Id="rId82" Type="http://schemas.openxmlformats.org/officeDocument/2006/relationships/image" Target="media/image42.png"/><Relationship Id="rId199" Type="http://schemas.openxmlformats.org/officeDocument/2006/relationships/image" Target="media/image134.jpeg"/><Relationship Id="rId203" Type="http://schemas.openxmlformats.org/officeDocument/2006/relationships/image" Target="media/image138.jpeg"/><Relationship Id="rId385" Type="http://schemas.openxmlformats.org/officeDocument/2006/relationships/fontTable" Target="fontTable.xml"/><Relationship Id="rId19" Type="http://schemas.openxmlformats.org/officeDocument/2006/relationships/image" Target="media/image10.png"/><Relationship Id="rId224" Type="http://schemas.openxmlformats.org/officeDocument/2006/relationships/image" Target="media/image159.jpeg"/><Relationship Id="rId245" Type="http://schemas.openxmlformats.org/officeDocument/2006/relationships/image" Target="media/image180.jpeg"/><Relationship Id="rId266" Type="http://schemas.openxmlformats.org/officeDocument/2006/relationships/chart" Target="charts/chart26.xml"/><Relationship Id="rId287" Type="http://schemas.openxmlformats.org/officeDocument/2006/relationships/image" Target="media/image197.jpeg"/><Relationship Id="rId30" Type="http://schemas.openxmlformats.org/officeDocument/2006/relationships/footer" Target="footer6.xml"/><Relationship Id="rId105" Type="http://schemas.openxmlformats.org/officeDocument/2006/relationships/header" Target="header16.xml"/><Relationship Id="rId126" Type="http://schemas.openxmlformats.org/officeDocument/2006/relationships/image" Target="media/image72.png"/><Relationship Id="rId147" Type="http://schemas.openxmlformats.org/officeDocument/2006/relationships/image" Target="media/image93.png"/><Relationship Id="rId168" Type="http://schemas.openxmlformats.org/officeDocument/2006/relationships/image" Target="media/image110.png"/><Relationship Id="rId312" Type="http://schemas.openxmlformats.org/officeDocument/2006/relationships/chart" Target="charts/chart39.xml"/><Relationship Id="rId333" Type="http://schemas.openxmlformats.org/officeDocument/2006/relationships/footer" Target="footer13.xml"/><Relationship Id="rId354" Type="http://schemas.openxmlformats.org/officeDocument/2006/relationships/image" Target="media/image237.emf"/><Relationship Id="rId51" Type="http://schemas.openxmlformats.org/officeDocument/2006/relationships/package" Target="embeddings/Microsoft_Word_Document2.docx"/><Relationship Id="rId72" Type="http://schemas.openxmlformats.org/officeDocument/2006/relationships/chart" Target="charts/chart4.xml"/><Relationship Id="rId93" Type="http://schemas.openxmlformats.org/officeDocument/2006/relationships/chart" Target="charts/chart10.xml"/><Relationship Id="rId189" Type="http://schemas.openxmlformats.org/officeDocument/2006/relationships/header" Target="header19.xml"/><Relationship Id="rId375" Type="http://schemas.openxmlformats.org/officeDocument/2006/relationships/image" Target="media/image253.png"/><Relationship Id="rId3" Type="http://schemas.openxmlformats.org/officeDocument/2006/relationships/styles" Target="styles.xml"/><Relationship Id="rId214" Type="http://schemas.openxmlformats.org/officeDocument/2006/relationships/image" Target="media/image149.jpeg"/><Relationship Id="rId235" Type="http://schemas.openxmlformats.org/officeDocument/2006/relationships/image" Target="media/image170.jpeg"/><Relationship Id="rId256" Type="http://schemas.openxmlformats.org/officeDocument/2006/relationships/chart" Target="charts/chart20.xml"/><Relationship Id="rId277" Type="http://schemas.openxmlformats.org/officeDocument/2006/relationships/image" Target="media/image194.emf"/><Relationship Id="rId298" Type="http://schemas.openxmlformats.org/officeDocument/2006/relationships/image" Target="media/image206.png"/><Relationship Id="rId116" Type="http://schemas.openxmlformats.org/officeDocument/2006/relationships/image" Target="media/image62.png"/><Relationship Id="rId137" Type="http://schemas.openxmlformats.org/officeDocument/2006/relationships/image" Target="media/image83.png"/><Relationship Id="rId158" Type="http://schemas.openxmlformats.org/officeDocument/2006/relationships/image" Target="media/image104.png"/><Relationship Id="rId302" Type="http://schemas.openxmlformats.org/officeDocument/2006/relationships/image" Target="media/image210.png"/><Relationship Id="rId323" Type="http://schemas.openxmlformats.org/officeDocument/2006/relationships/chart" Target="charts/chart43.xml"/><Relationship Id="rId344" Type="http://schemas.openxmlformats.org/officeDocument/2006/relationships/image" Target="media/image227.emf"/><Relationship Id="rId20" Type="http://schemas.openxmlformats.org/officeDocument/2006/relationships/image" Target="media/image11.jpeg"/><Relationship Id="rId41" Type="http://schemas.openxmlformats.org/officeDocument/2006/relationships/image" Target="media/image17.jpeg"/><Relationship Id="rId62" Type="http://schemas.microsoft.com/office/2007/relationships/diagramDrawing" Target="diagrams/drawing2.xml"/><Relationship Id="rId83" Type="http://schemas.openxmlformats.org/officeDocument/2006/relationships/image" Target="media/image43.jpeg"/><Relationship Id="rId179" Type="http://schemas.openxmlformats.org/officeDocument/2006/relationships/image" Target="media/image118.jpeg"/><Relationship Id="rId365" Type="http://schemas.openxmlformats.org/officeDocument/2006/relationships/image" Target="media/image247.emf"/><Relationship Id="rId386" Type="http://schemas.openxmlformats.org/officeDocument/2006/relationships/theme" Target="theme/theme1.xml"/><Relationship Id="rId190" Type="http://schemas.openxmlformats.org/officeDocument/2006/relationships/image" Target="media/image127.emf"/><Relationship Id="rId204" Type="http://schemas.openxmlformats.org/officeDocument/2006/relationships/image" Target="media/image139.jpeg"/><Relationship Id="rId225" Type="http://schemas.openxmlformats.org/officeDocument/2006/relationships/image" Target="media/image160.jpeg"/><Relationship Id="rId246" Type="http://schemas.openxmlformats.org/officeDocument/2006/relationships/image" Target="media/image181.jpeg"/><Relationship Id="rId267" Type="http://schemas.openxmlformats.org/officeDocument/2006/relationships/chart" Target="charts/chart27.xml"/><Relationship Id="rId288" Type="http://schemas.openxmlformats.org/officeDocument/2006/relationships/image" Target="media/image197.png"/><Relationship Id="rId106" Type="http://schemas.openxmlformats.org/officeDocument/2006/relationships/image" Target="media/image53.jpeg"/><Relationship Id="rId127" Type="http://schemas.openxmlformats.org/officeDocument/2006/relationships/image" Target="media/image73.png"/><Relationship Id="rId313" Type="http://schemas.openxmlformats.org/officeDocument/2006/relationships/image" Target="media/image215.png"/><Relationship Id="rId10" Type="http://schemas.openxmlformats.org/officeDocument/2006/relationships/image" Target="media/image2.jpeg"/><Relationship Id="rId31" Type="http://schemas.openxmlformats.org/officeDocument/2006/relationships/diagramData" Target="diagrams/data1.xml"/><Relationship Id="rId52" Type="http://schemas.openxmlformats.org/officeDocument/2006/relationships/image" Target="media/image25.wmf"/><Relationship Id="rId73" Type="http://schemas.openxmlformats.org/officeDocument/2006/relationships/chart" Target="charts/chart5.xml"/><Relationship Id="rId94" Type="http://schemas.openxmlformats.org/officeDocument/2006/relationships/chart" Target="charts/chart11.xml"/><Relationship Id="rId148" Type="http://schemas.openxmlformats.org/officeDocument/2006/relationships/image" Target="media/image94.png"/><Relationship Id="rId169" Type="http://schemas.openxmlformats.org/officeDocument/2006/relationships/image" Target="media/image111.png"/><Relationship Id="rId334" Type="http://schemas.openxmlformats.org/officeDocument/2006/relationships/header" Target="header30.xml"/><Relationship Id="rId355" Type="http://schemas.openxmlformats.org/officeDocument/2006/relationships/image" Target="media/image238.emf"/><Relationship Id="rId376" Type="http://schemas.openxmlformats.org/officeDocument/2006/relationships/image" Target="media/image254.png"/><Relationship Id="rId4" Type="http://schemas.microsoft.com/office/2007/relationships/stylesWithEffects" Target="stylesWithEffects.xml"/><Relationship Id="rId180" Type="http://schemas.openxmlformats.org/officeDocument/2006/relationships/image" Target="media/image119.png"/><Relationship Id="rId215" Type="http://schemas.openxmlformats.org/officeDocument/2006/relationships/image" Target="media/image150.jpeg"/><Relationship Id="rId236" Type="http://schemas.openxmlformats.org/officeDocument/2006/relationships/image" Target="media/image171.jpeg"/><Relationship Id="rId257" Type="http://schemas.openxmlformats.org/officeDocument/2006/relationships/chart" Target="charts/chart21.xml"/><Relationship Id="rId278" Type="http://schemas.openxmlformats.org/officeDocument/2006/relationships/chart" Target="charts/chart33.xml"/><Relationship Id="rId303" Type="http://schemas.openxmlformats.org/officeDocument/2006/relationships/header" Target="header25.xml"/><Relationship Id="rId42" Type="http://schemas.openxmlformats.org/officeDocument/2006/relationships/image" Target="media/image18.png"/><Relationship Id="rId84" Type="http://schemas.openxmlformats.org/officeDocument/2006/relationships/header" Target="header13.xml"/><Relationship Id="rId138" Type="http://schemas.openxmlformats.org/officeDocument/2006/relationships/image" Target="media/image84.png"/><Relationship Id="rId345" Type="http://schemas.openxmlformats.org/officeDocument/2006/relationships/image" Target="media/image228.emf"/><Relationship Id="rId191" Type="http://schemas.openxmlformats.org/officeDocument/2006/relationships/image" Target="media/image128.jpeg"/><Relationship Id="rId205" Type="http://schemas.openxmlformats.org/officeDocument/2006/relationships/image" Target="media/image140.jpeg"/><Relationship Id="rId247" Type="http://schemas.openxmlformats.org/officeDocument/2006/relationships/image" Target="media/image182.jpeg"/><Relationship Id="rId107" Type="http://schemas.openxmlformats.org/officeDocument/2006/relationships/image" Target="media/image54.jpeg"/><Relationship Id="rId289" Type="http://schemas.openxmlformats.org/officeDocument/2006/relationships/chart" Target="charts/chart37.xml"/><Relationship Id="rId11" Type="http://schemas.openxmlformats.org/officeDocument/2006/relationships/image" Target="media/image3.jpeg"/><Relationship Id="rId53" Type="http://schemas.openxmlformats.org/officeDocument/2006/relationships/chart" Target="charts/chart2.xml"/><Relationship Id="rId149" Type="http://schemas.openxmlformats.org/officeDocument/2006/relationships/image" Target="media/image95.png"/><Relationship Id="rId314" Type="http://schemas.openxmlformats.org/officeDocument/2006/relationships/image" Target="media/image216.png"/><Relationship Id="rId356" Type="http://schemas.openxmlformats.org/officeDocument/2006/relationships/image" Target="media/image239.emf"/><Relationship Id="rId95" Type="http://schemas.openxmlformats.org/officeDocument/2006/relationships/chart" Target="charts/chart12.xml"/><Relationship Id="rId160" Type="http://schemas.openxmlformats.org/officeDocument/2006/relationships/header" Target="header17.xml"/><Relationship Id="rId216" Type="http://schemas.openxmlformats.org/officeDocument/2006/relationships/image" Target="media/image151.jpeg"/><Relationship Id="rId258" Type="http://schemas.openxmlformats.org/officeDocument/2006/relationships/chart" Target="charts/chart22.xml"/><Relationship Id="rId22" Type="http://schemas.openxmlformats.org/officeDocument/2006/relationships/footer" Target="footer4.xml"/><Relationship Id="rId64" Type="http://schemas.openxmlformats.org/officeDocument/2006/relationships/image" Target="media/image31.png"/><Relationship Id="rId118" Type="http://schemas.openxmlformats.org/officeDocument/2006/relationships/image" Target="media/image64.png"/><Relationship Id="rId325" Type="http://schemas.openxmlformats.org/officeDocument/2006/relationships/chart" Target="charts/chart45.xml"/><Relationship Id="rId367" Type="http://schemas.openxmlformats.org/officeDocument/2006/relationships/image" Target="media/image249.png"/><Relationship Id="rId171" Type="http://schemas.openxmlformats.org/officeDocument/2006/relationships/hyperlink" Target="http://www.insse.ro/cms/files/publicatii/Romania%20in%20cifre%202013_ro.pdf" TargetMode="External"/><Relationship Id="rId227" Type="http://schemas.openxmlformats.org/officeDocument/2006/relationships/image" Target="media/image162.jpeg"/><Relationship Id="rId269" Type="http://schemas.openxmlformats.org/officeDocument/2006/relationships/image" Target="media/image190.emf"/><Relationship Id="rId33" Type="http://schemas.openxmlformats.org/officeDocument/2006/relationships/diagramQuickStyle" Target="diagrams/quickStyle1.xml"/><Relationship Id="rId129" Type="http://schemas.openxmlformats.org/officeDocument/2006/relationships/image" Target="media/image75.png"/><Relationship Id="rId280" Type="http://schemas.openxmlformats.org/officeDocument/2006/relationships/chart" Target="charts/chart35.xml"/><Relationship Id="rId336" Type="http://schemas.openxmlformats.org/officeDocument/2006/relationships/header" Target="header31.xml"/><Relationship Id="rId75" Type="http://schemas.openxmlformats.org/officeDocument/2006/relationships/image" Target="media/image37.png"/><Relationship Id="rId140" Type="http://schemas.openxmlformats.org/officeDocument/2006/relationships/image" Target="media/image86.png"/><Relationship Id="rId182" Type="http://schemas.openxmlformats.org/officeDocument/2006/relationships/image" Target="media/image121.jpeg"/><Relationship Id="rId378" Type="http://schemas.openxmlformats.org/officeDocument/2006/relationships/footer" Target="footer15.xml"/><Relationship Id="rId6" Type="http://schemas.openxmlformats.org/officeDocument/2006/relationships/webSettings" Target="webSettings.xml"/><Relationship Id="rId238" Type="http://schemas.openxmlformats.org/officeDocument/2006/relationships/image" Target="media/image173.jpeg"/><Relationship Id="rId291" Type="http://schemas.openxmlformats.org/officeDocument/2006/relationships/image" Target="media/image199.png"/><Relationship Id="rId305" Type="http://schemas.openxmlformats.org/officeDocument/2006/relationships/footer" Target="footer12.xml"/><Relationship Id="rId347" Type="http://schemas.openxmlformats.org/officeDocument/2006/relationships/image" Target="media/image230.emf"/><Relationship Id="rId44" Type="http://schemas.openxmlformats.org/officeDocument/2006/relationships/image" Target="media/image20.jpeg"/><Relationship Id="rId86" Type="http://schemas.openxmlformats.org/officeDocument/2006/relationships/footer" Target="footer8.xml"/><Relationship Id="rId151" Type="http://schemas.openxmlformats.org/officeDocument/2006/relationships/image" Target="media/image97.png"/><Relationship Id="rId193" Type="http://schemas.openxmlformats.org/officeDocument/2006/relationships/image" Target="media/image129.jpeg"/><Relationship Id="rId207" Type="http://schemas.openxmlformats.org/officeDocument/2006/relationships/image" Target="media/image142.jpeg"/><Relationship Id="rId249" Type="http://schemas.openxmlformats.org/officeDocument/2006/relationships/image" Target="media/image184.jpeg"/><Relationship Id="rId13" Type="http://schemas.openxmlformats.org/officeDocument/2006/relationships/header" Target="header1.xml"/><Relationship Id="rId109" Type="http://schemas.openxmlformats.org/officeDocument/2006/relationships/chart" Target="charts/chart14.xml"/><Relationship Id="rId260" Type="http://schemas.openxmlformats.org/officeDocument/2006/relationships/image" Target="media/image187.png"/><Relationship Id="rId316" Type="http://schemas.openxmlformats.org/officeDocument/2006/relationships/image" Target="media/image218.png"/><Relationship Id="rId55" Type="http://schemas.openxmlformats.org/officeDocument/2006/relationships/image" Target="media/image27.png"/><Relationship Id="rId97" Type="http://schemas.openxmlformats.org/officeDocument/2006/relationships/image" Target="media/image46.emf"/><Relationship Id="rId120" Type="http://schemas.openxmlformats.org/officeDocument/2006/relationships/image" Target="media/image66.png"/><Relationship Id="rId358" Type="http://schemas.openxmlformats.org/officeDocument/2006/relationships/image" Target="media/image241.emf"/><Relationship Id="rId162" Type="http://schemas.openxmlformats.org/officeDocument/2006/relationships/footer" Target="footer9.xml"/><Relationship Id="rId218" Type="http://schemas.openxmlformats.org/officeDocument/2006/relationships/image" Target="media/image153.jpeg"/><Relationship Id="rId271" Type="http://schemas.openxmlformats.org/officeDocument/2006/relationships/chart" Target="charts/chart30.xml"/><Relationship Id="rId24" Type="http://schemas.openxmlformats.org/officeDocument/2006/relationships/header" Target="header6.xml"/><Relationship Id="rId66" Type="http://schemas.openxmlformats.org/officeDocument/2006/relationships/image" Target="media/image33.png"/><Relationship Id="rId131" Type="http://schemas.openxmlformats.org/officeDocument/2006/relationships/image" Target="media/image77.png"/><Relationship Id="rId327" Type="http://schemas.openxmlformats.org/officeDocument/2006/relationships/chart" Target="charts/chart47.xml"/><Relationship Id="rId369" Type="http://schemas.openxmlformats.org/officeDocument/2006/relationships/hyperlink" Target="http://www.gddkia.gov.pl/en/1126/motorway-tolls" TargetMode="External"/><Relationship Id="rId173" Type="http://schemas.openxmlformats.org/officeDocument/2006/relationships/hyperlink" Target="http://www.insse.ro/cms/files/publicatii/Romania%20in%20cifre%202013_ro.pdf" TargetMode="External"/><Relationship Id="rId229" Type="http://schemas.openxmlformats.org/officeDocument/2006/relationships/image" Target="media/image164.jpeg"/><Relationship Id="rId380" Type="http://schemas.openxmlformats.org/officeDocument/2006/relationships/image" Target="media/image255.emf"/><Relationship Id="rId240" Type="http://schemas.openxmlformats.org/officeDocument/2006/relationships/image" Target="media/image175.jpeg"/><Relationship Id="rId35" Type="http://schemas.microsoft.com/office/2007/relationships/diagramDrawing" Target="diagrams/drawing1.xml"/><Relationship Id="rId77" Type="http://schemas.openxmlformats.org/officeDocument/2006/relationships/image" Target="media/image38.emf"/><Relationship Id="rId100" Type="http://schemas.openxmlformats.org/officeDocument/2006/relationships/image" Target="media/image49.emf"/><Relationship Id="rId282" Type="http://schemas.openxmlformats.org/officeDocument/2006/relationships/header" Target="header24.xml"/><Relationship Id="rId338" Type="http://schemas.openxmlformats.org/officeDocument/2006/relationships/image" Target="media/image224.png"/><Relationship Id="rId8" Type="http://schemas.openxmlformats.org/officeDocument/2006/relationships/endnotes" Target="endnotes.xml"/><Relationship Id="rId142" Type="http://schemas.openxmlformats.org/officeDocument/2006/relationships/image" Target="media/image88.png"/><Relationship Id="rId184" Type="http://schemas.openxmlformats.org/officeDocument/2006/relationships/image" Target="media/image123.jpeg"/><Relationship Id="rId251" Type="http://schemas.openxmlformats.org/officeDocument/2006/relationships/header" Target="header21.xml"/><Relationship Id="rId46" Type="http://schemas.openxmlformats.org/officeDocument/2006/relationships/image" Target="media/image22.jpeg"/><Relationship Id="rId293" Type="http://schemas.openxmlformats.org/officeDocument/2006/relationships/image" Target="media/image201.png"/><Relationship Id="rId307" Type="http://schemas.openxmlformats.org/officeDocument/2006/relationships/image" Target="media/image212.jpeg"/><Relationship Id="rId349" Type="http://schemas.openxmlformats.org/officeDocument/2006/relationships/image" Target="media/image232.emf"/><Relationship Id="rId88" Type="http://schemas.openxmlformats.org/officeDocument/2006/relationships/chart" Target="charts/chart7.xml"/><Relationship Id="rId111" Type="http://schemas.openxmlformats.org/officeDocument/2006/relationships/image" Target="media/image57.png"/><Relationship Id="rId153" Type="http://schemas.openxmlformats.org/officeDocument/2006/relationships/image" Target="media/image99.png"/><Relationship Id="rId195" Type="http://schemas.openxmlformats.org/officeDocument/2006/relationships/chart" Target="charts/chart17.xml"/><Relationship Id="rId209" Type="http://schemas.openxmlformats.org/officeDocument/2006/relationships/image" Target="media/image144.jpeg"/><Relationship Id="rId360" Type="http://schemas.openxmlformats.org/officeDocument/2006/relationships/image" Target="media/image242.emf"/><Relationship Id="rId220" Type="http://schemas.openxmlformats.org/officeDocument/2006/relationships/image" Target="media/image155.jpeg"/><Relationship Id="rId15" Type="http://schemas.openxmlformats.org/officeDocument/2006/relationships/footer" Target="footer1.xml"/><Relationship Id="rId57" Type="http://schemas.openxmlformats.org/officeDocument/2006/relationships/image" Target="media/image29.png"/><Relationship Id="rId262" Type="http://schemas.openxmlformats.org/officeDocument/2006/relationships/image" Target="media/image189.png"/><Relationship Id="rId318" Type="http://schemas.openxmlformats.org/officeDocument/2006/relationships/image" Target="media/image220.jpeg"/><Relationship Id="rId99" Type="http://schemas.openxmlformats.org/officeDocument/2006/relationships/image" Target="media/image48.emf"/><Relationship Id="rId122" Type="http://schemas.openxmlformats.org/officeDocument/2006/relationships/image" Target="media/image68.png"/><Relationship Id="rId164" Type="http://schemas.openxmlformats.org/officeDocument/2006/relationships/image" Target="media/image107.png"/><Relationship Id="rId371" Type="http://schemas.openxmlformats.org/officeDocument/2006/relationships/image" Target="media/image250.emf"/><Relationship Id="rId26" Type="http://schemas.openxmlformats.org/officeDocument/2006/relationships/header" Target="header8.xml"/><Relationship Id="rId231" Type="http://schemas.openxmlformats.org/officeDocument/2006/relationships/image" Target="media/image166.jpeg"/><Relationship Id="rId273" Type="http://schemas.openxmlformats.org/officeDocument/2006/relationships/chart" Target="charts/chart31.xml"/><Relationship Id="rId329" Type="http://schemas.openxmlformats.org/officeDocument/2006/relationships/image" Target="media/image222.jpeg"/></Relationships>
</file>

<file path=word/_rels/footnotes.xml.rels><?xml version="1.0" encoding="UTF-8" standalone="yes"?>
<Relationships xmlns="http://schemas.openxmlformats.org/package/2006/relationships"><Relationship Id="rId1" Type="http://schemas.openxmlformats.org/officeDocument/2006/relationships/hyperlink" Target="http://www.mt.ro/nou/_img/documente/strategie_de_transport_intermodal_text.pdf"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png"/><Relationship Id="rId5" Type="http://schemas.openxmlformats.org/officeDocument/2006/relationships/image" Target="media/image9.jpeg"/><Relationship Id="rId4" Type="http://schemas.openxmlformats.org/officeDocument/2006/relationships/image" Target="media/image8.jpe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Reports\A4%20Portrait%20Report.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rian\Documents\romania\FM_Masterplan_Tables_Charts_Road%20(Autosave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Eurostat_28-2008_road%20typ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Eurostat_car_ownership.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Jan-2015\Analysis_v22_RefCasev2vsPreviousRefCase_ReportChart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Jan-2015\Analysis_v22_RefCasev2vsPreviousRefCase_ReportChart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Jan-2015\Jan%202015_Prioritisation_MP_v10_E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4"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file:///C:\Users\davisonp\AppData\Local\Microsoft\Windows\Temporary%20Internet%20Files\Content.Outlook\YV9CFEDA\Rail%20Freight%20Train%20Delays%202010-2012.xls" TargetMode="External"/><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PUBLIC%20TRANSPORT\Rail\07_Reporting\Charts_theme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ublic\Documents\co_model_romani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turpinm\AppData\Local\Microsoft\Windows\Temporary%20Internet%20Files\Content.Outlook\RQJO0V1E\Analysis_v22_BaseDoNRefConstrained_Value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turpinm\AppData\Local\Microsoft\Windows\Temporary%20Internet%20Files\Content.Outlook\RQJO0V1E\Analysis_v22_BaseDoNRefConstrained_Value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onstanta%20-%20just%20river%20freight.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Tulcea.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Galati.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ernavoda.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Basarabi.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Oltenita.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Giurgiu.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ellcdg\AppData\Local\Microsoft\Windows\Temporary%20Internet%20Files\Content.Outlook\RZ0M3FDJ\EU_Stats_Infrastructure_Comparisons_2013%20(2).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alafat.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Drobet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Orsova.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Moldova%20Veche.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aster%20Plan%20Report\Model%20Outputs%20-%20BCRs%20EIRRs\Danube%20Bucharest%20Channel%20Commodities.xls"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elsj\Documents\Romania\Forecasting\Air_demand_external_model_CBA3_120814%20updated%20apron%20stand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elsj\Documents\Romania\Forecasting\Air_demand_external_model_CBA3_120814%20updated%20apron%20stand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Brian\Documents\romania\Base_Freight_Matrice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Brian\Documents\romania\Base_Freight_Matric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Eurostat_car_ownership.xlsx"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1.xml.rels><?xml version="1.0" encoding="UTF-8" standalone="yes"?>
<Relationships xmlns="http://schemas.openxmlformats.org/package/2006/relationships"><Relationship Id="rId1" Type="http://schemas.openxmlformats.org/officeDocument/2006/relationships/oleObject" Target="file:///C:\Users\Masamvin\AppData\Local\Microsoft\Windows\Temporary%20Internet%20Files\Content.Outlook\8PT79GKI\Romania%20IM%20Terminal%20Run%20140707.xlsx" TargetMode="External"/></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3.xml.rels><?xml version="1.0" encoding="UTF-8" standalone="yes"?>
<Relationships xmlns="http://schemas.openxmlformats.org/package/2006/relationships"><Relationship Id="rId1" Type="http://schemas.openxmlformats.org/officeDocument/2006/relationships/oleObject" Target="file:///C:\Users\Masamvin\AppData\Local\Microsoft\Windows\Temporary%20Internet%20Files\Content.Outlook\8PT79GKI\Romania%20IM%20Terminal%20Run%20140707.xlsx" TargetMode="External"/></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5.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9.xml.rels><?xml version="1.0" encoding="UTF-8" standalone="yes"?>
<Relationships xmlns="http://schemas.openxmlformats.org/package/2006/relationships"><Relationship Id="rId1" Type="http://schemas.openxmlformats.org/officeDocument/2006/relationships/oleObject" Target="file:///\\ROBUH2FP001\ROBUH2FP001-VOL1\Departments\Technical\Master%20Plan\Work\03.%20REPORTS\03.M.%20FINAL%20MASTER%20PLAN\MCA_prioritisation\_Final_Jan%202015\Feb%202015_Prioritisation_MP_v11_E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ublic\Documents\co_model_romani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INSSE_Table17-10_passenger%20transport%20by%20mod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INSSE_Table17-10_passenger%20transport%20by%20mode.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Road_stats_02-12_Condition_Life_Expired.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Eurostat_28-2008_road%20typ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31252628082014905"/>
          <c:y val="2.3949124102703553E-2"/>
          <c:w val="0.6850573107390906"/>
          <c:h val="0.72538325335047482"/>
        </c:manualLayout>
      </c:layout>
      <c:bar3DChart>
        <c:barDir val="col"/>
        <c:grouping val="clustered"/>
        <c:varyColors val="0"/>
        <c:ser>
          <c:idx val="0"/>
          <c:order val="0"/>
          <c:tx>
            <c:v>Car Available</c:v>
          </c:tx>
          <c:invertIfNegative val="0"/>
          <c:cat>
            <c:strRef>
              <c:f>workshop!$AS$25:$AS$29</c:f>
              <c:strCache>
                <c:ptCount val="5"/>
                <c:pt idx="0">
                  <c:v>Car</c:v>
                </c:pt>
                <c:pt idx="1">
                  <c:v>Bus</c:v>
                </c:pt>
                <c:pt idx="2">
                  <c:v>Rail</c:v>
                </c:pt>
                <c:pt idx="3">
                  <c:v>Air</c:v>
                </c:pt>
                <c:pt idx="4">
                  <c:v>Total</c:v>
                </c:pt>
              </c:strCache>
            </c:strRef>
          </c:cat>
          <c:val>
            <c:numRef>
              <c:f>workshop!$AT$25:$AT$29</c:f>
              <c:numCache>
                <c:formatCode>General</c:formatCode>
                <c:ptCount val="5"/>
                <c:pt idx="0">
                  <c:v>2355831</c:v>
                </c:pt>
                <c:pt idx="1">
                  <c:v>180577</c:v>
                </c:pt>
                <c:pt idx="2">
                  <c:v>54689</c:v>
                </c:pt>
                <c:pt idx="3">
                  <c:v>13428</c:v>
                </c:pt>
                <c:pt idx="4">
                  <c:v>2604525</c:v>
                </c:pt>
              </c:numCache>
            </c:numRef>
          </c:val>
        </c:ser>
        <c:ser>
          <c:idx val="1"/>
          <c:order val="1"/>
          <c:tx>
            <c:v>Non Car Available</c:v>
          </c:tx>
          <c:invertIfNegative val="0"/>
          <c:cat>
            <c:strRef>
              <c:f>workshop!$AS$25:$AS$29</c:f>
              <c:strCache>
                <c:ptCount val="5"/>
                <c:pt idx="0">
                  <c:v>Car</c:v>
                </c:pt>
                <c:pt idx="1">
                  <c:v>Bus</c:v>
                </c:pt>
                <c:pt idx="2">
                  <c:v>Rail</c:v>
                </c:pt>
                <c:pt idx="3">
                  <c:v>Air</c:v>
                </c:pt>
                <c:pt idx="4">
                  <c:v>Total</c:v>
                </c:pt>
              </c:strCache>
            </c:strRef>
          </c:cat>
          <c:val>
            <c:numRef>
              <c:f>workshop!$AU$25:$AU$29</c:f>
              <c:numCache>
                <c:formatCode>General</c:formatCode>
                <c:ptCount val="5"/>
                <c:pt idx="1">
                  <c:v>409859</c:v>
                </c:pt>
                <c:pt idx="2">
                  <c:v>108347</c:v>
                </c:pt>
                <c:pt idx="3">
                  <c:v>15854</c:v>
                </c:pt>
                <c:pt idx="4">
                  <c:v>534060</c:v>
                </c:pt>
              </c:numCache>
            </c:numRef>
          </c:val>
        </c:ser>
        <c:dLbls>
          <c:showLegendKey val="0"/>
          <c:showVal val="0"/>
          <c:showCatName val="0"/>
          <c:showSerName val="0"/>
          <c:showPercent val="0"/>
          <c:showBubbleSize val="0"/>
        </c:dLbls>
        <c:gapWidth val="150"/>
        <c:shape val="box"/>
        <c:axId val="241458176"/>
        <c:axId val="187693824"/>
        <c:axId val="0"/>
      </c:bar3DChart>
      <c:catAx>
        <c:axId val="241458176"/>
        <c:scaling>
          <c:orientation val="minMax"/>
        </c:scaling>
        <c:delete val="0"/>
        <c:axPos val="b"/>
        <c:numFmt formatCode="General" sourceLinked="0"/>
        <c:majorTickMark val="out"/>
        <c:minorTickMark val="none"/>
        <c:tickLblPos val="nextTo"/>
        <c:crossAx val="187693824"/>
        <c:crosses val="autoZero"/>
        <c:auto val="1"/>
        <c:lblAlgn val="ctr"/>
        <c:lblOffset val="100"/>
        <c:noMultiLvlLbl val="0"/>
      </c:catAx>
      <c:valAx>
        <c:axId val="187693824"/>
        <c:scaling>
          <c:orientation val="minMax"/>
        </c:scaling>
        <c:delete val="0"/>
        <c:axPos val="l"/>
        <c:majorGridlines/>
        <c:numFmt formatCode="General" sourceLinked="1"/>
        <c:majorTickMark val="out"/>
        <c:minorTickMark val="none"/>
        <c:tickLblPos val="nextTo"/>
        <c:txPr>
          <a:bodyPr/>
          <a:lstStyle/>
          <a:p>
            <a:pPr>
              <a:defRPr sz="1100">
                <a:latin typeface="Arial" pitchFamily="34" charset="0"/>
                <a:cs typeface="Arial" pitchFamily="34" charset="0"/>
              </a:defRPr>
            </a:pPr>
            <a:endParaRPr lang="ro-RO"/>
          </a:p>
        </c:txPr>
        <c:crossAx val="241458176"/>
        <c:crosses val="autoZero"/>
        <c:crossBetween val="between"/>
      </c:valAx>
      <c:dTable>
        <c:showHorzBorder val="1"/>
        <c:showVertBorder val="1"/>
        <c:showOutline val="1"/>
        <c:showKeys val="1"/>
        <c:spPr>
          <a:ln>
            <a:solidFill>
              <a:sysClr val="window" lastClr="FFFFFF"/>
            </a:solidFill>
          </a:ln>
        </c:spPr>
        <c:txPr>
          <a:bodyPr/>
          <a:lstStyle/>
          <a:p>
            <a:pPr rtl="0">
              <a:defRPr sz="1100" baseline="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Data!$K$8</c:f>
              <c:strCache>
                <c:ptCount val="1"/>
                <c:pt idx="0">
                  <c:v>Proportion of Motorways</c:v>
                </c:pt>
              </c:strCache>
            </c:strRef>
          </c:tx>
          <c:invertIfNegative val="0"/>
          <c:dPt>
            <c:idx val="16"/>
            <c:invertIfNegative val="0"/>
            <c:bubble3D val="0"/>
            <c:spPr>
              <a:solidFill>
                <a:schemeClr val="accent2"/>
              </a:solidFill>
            </c:spPr>
          </c:dPt>
          <c:dPt>
            <c:idx val="17"/>
            <c:invertIfNegative val="0"/>
            <c:bubble3D val="0"/>
            <c:spPr>
              <a:solidFill>
                <a:schemeClr val="accent1"/>
              </a:solidFill>
            </c:spPr>
          </c:dPt>
          <c:cat>
            <c:strRef>
              <c:f>Data!$D$9:$D$30</c:f>
              <c:strCache>
                <c:ptCount val="22"/>
                <c:pt idx="0">
                  <c:v>Bulgaria</c:v>
                </c:pt>
                <c:pt idx="1">
                  <c:v>Czech Republic</c:v>
                </c:pt>
                <c:pt idx="2">
                  <c:v>Denmark</c:v>
                </c:pt>
                <c:pt idx="3">
                  <c:v>Germany</c:v>
                </c:pt>
                <c:pt idx="4">
                  <c:v>Estonia</c:v>
                </c:pt>
                <c:pt idx="5">
                  <c:v>Ireland</c:v>
                </c:pt>
                <c:pt idx="6">
                  <c:v>Spain</c:v>
                </c:pt>
                <c:pt idx="7">
                  <c:v>France</c:v>
                </c:pt>
                <c:pt idx="8">
                  <c:v>Italy</c:v>
                </c:pt>
                <c:pt idx="9">
                  <c:v>Cyprus</c:v>
                </c:pt>
                <c:pt idx="10">
                  <c:v>Lithuania</c:v>
                </c:pt>
                <c:pt idx="11">
                  <c:v>Luxembourg</c:v>
                </c:pt>
                <c:pt idx="12">
                  <c:v>Hungary</c:v>
                </c:pt>
                <c:pt idx="13">
                  <c:v>Netherlands</c:v>
                </c:pt>
                <c:pt idx="14">
                  <c:v>Austria</c:v>
                </c:pt>
                <c:pt idx="15">
                  <c:v>Poland</c:v>
                </c:pt>
                <c:pt idx="16">
                  <c:v>Romania</c:v>
                </c:pt>
                <c:pt idx="17">
                  <c:v>Slovenia</c:v>
                </c:pt>
                <c:pt idx="18">
                  <c:v>Slovakia</c:v>
                </c:pt>
                <c:pt idx="19">
                  <c:v>Finland</c:v>
                </c:pt>
                <c:pt idx="20">
                  <c:v>Sweden</c:v>
                </c:pt>
                <c:pt idx="21">
                  <c:v>United Kingdom</c:v>
                </c:pt>
              </c:strCache>
            </c:strRef>
          </c:cat>
          <c:val>
            <c:numRef>
              <c:f>Data!$K$9:$K$30</c:f>
              <c:numCache>
                <c:formatCode>0.0%</c:formatCode>
                <c:ptCount val="22"/>
                <c:pt idx="0">
                  <c:v>1.7160929075072603E-2</c:v>
                </c:pt>
                <c:pt idx="1">
                  <c:v>1.0160514511160621E-2</c:v>
                </c:pt>
                <c:pt idx="2">
                  <c:v>1.4282353266811603E-2</c:v>
                </c:pt>
                <c:pt idx="3">
                  <c:v>5.3408501814412104E-2</c:v>
                </c:pt>
                <c:pt idx="4">
                  <c:v>1.7334360554699458E-3</c:v>
                </c:pt>
                <c:pt idx="5">
                  <c:v>2.7042413891261012E-3</c:v>
                </c:pt>
                <c:pt idx="6">
                  <c:v>6.9014645690206794E-2</c:v>
                </c:pt>
                <c:pt idx="7">
                  <c:v>1.0896419949497801E-2</c:v>
                </c:pt>
                <c:pt idx="8">
                  <c:v>3.7291227270136416E-2</c:v>
                </c:pt>
                <c:pt idx="9">
                  <c:v>2.2723530380372111E-2</c:v>
                </c:pt>
                <c:pt idx="10">
                  <c:v>5.2454809615457201E-3</c:v>
                </c:pt>
                <c:pt idx="11">
                  <c:v>5.1130434782608723E-2</c:v>
                </c:pt>
                <c:pt idx="12">
                  <c:v>2.0643988574397028E-2</c:v>
                </c:pt>
                <c:pt idx="13">
                  <c:v>1.9386371425591201E-2</c:v>
                </c:pt>
                <c:pt idx="14">
                  <c:v>1.5623253214086414E-2</c:v>
                </c:pt>
                <c:pt idx="15">
                  <c:v>1.4449694383728399E-3</c:v>
                </c:pt>
                <c:pt idx="16">
                  <c:v>2.8534241089307492E-3</c:v>
                </c:pt>
                <c:pt idx="17">
                  <c:v>1.4784981161491498E-2</c:v>
                </c:pt>
                <c:pt idx="18">
                  <c:v>7.6341112203149701E-3</c:v>
                </c:pt>
                <c:pt idx="19">
                  <c:v>8.7599544937430728E-3</c:v>
                </c:pt>
                <c:pt idx="20">
                  <c:v>1.6820396102859E-2</c:v>
                </c:pt>
                <c:pt idx="21">
                  <c:v>8.8155898787922304E-3</c:v>
                </c:pt>
              </c:numCache>
            </c:numRef>
          </c:val>
        </c:ser>
        <c:dLbls>
          <c:showLegendKey val="0"/>
          <c:showVal val="0"/>
          <c:showCatName val="0"/>
          <c:showSerName val="0"/>
          <c:showPercent val="0"/>
          <c:showBubbleSize val="0"/>
        </c:dLbls>
        <c:gapWidth val="150"/>
        <c:axId val="243529216"/>
        <c:axId val="278886592"/>
      </c:barChart>
      <c:catAx>
        <c:axId val="243529216"/>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278886592"/>
        <c:crosses val="autoZero"/>
        <c:auto val="1"/>
        <c:lblAlgn val="ctr"/>
        <c:lblOffset val="100"/>
        <c:noMultiLvlLbl val="0"/>
      </c:catAx>
      <c:valAx>
        <c:axId val="278886592"/>
        <c:scaling>
          <c:orientation val="minMax"/>
        </c:scaling>
        <c:delete val="0"/>
        <c:axPos val="l"/>
        <c:majorGridlines/>
        <c:numFmt formatCode="0.0%" sourceLinked="1"/>
        <c:majorTickMark val="out"/>
        <c:minorTickMark val="none"/>
        <c:tickLblPos val="nextTo"/>
        <c:txPr>
          <a:bodyPr/>
          <a:lstStyle/>
          <a:p>
            <a:pPr>
              <a:defRPr sz="1100">
                <a:latin typeface="Arial" pitchFamily="34" charset="0"/>
                <a:cs typeface="Arial" pitchFamily="34" charset="0"/>
              </a:defRPr>
            </a:pPr>
            <a:endParaRPr lang="ro-RO"/>
          </a:p>
        </c:txPr>
        <c:crossAx val="243529216"/>
        <c:crosses val="autoZero"/>
        <c:crossBetween val="between"/>
      </c:valAx>
    </c:plotArea>
    <c:plotVisOnly val="1"/>
    <c:dispBlanksAs val="gap"/>
    <c:showDLblsOverMax val="0"/>
  </c:chart>
  <c:spPr>
    <a:ln w="19050">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4"/>
            <c:invertIfNegative val="0"/>
            <c:bubble3D val="0"/>
            <c:spPr>
              <a:solidFill>
                <a:schemeClr val="accent2"/>
              </a:solidFill>
            </c:spPr>
          </c:dPt>
          <c:cat>
            <c:strRef>
              <c:f>'2010_extract_avail_data'!$C$4:$C$28</c:f>
              <c:strCache>
                <c:ptCount val="25"/>
                <c:pt idx="0">
                  <c:v>Belgium</c:v>
                </c:pt>
                <c:pt idx="1">
                  <c:v>Bulgaria</c:v>
                </c:pt>
                <c:pt idx="2">
                  <c:v>Czech Republic</c:v>
                </c:pt>
                <c:pt idx="3">
                  <c:v>Germany</c:v>
                </c:pt>
                <c:pt idx="4">
                  <c:v>Estonia</c:v>
                </c:pt>
                <c:pt idx="5">
                  <c:v>Spain</c:v>
                </c:pt>
                <c:pt idx="6">
                  <c:v>Croatia</c:v>
                </c:pt>
                <c:pt idx="7">
                  <c:v>Italy</c:v>
                </c:pt>
                <c:pt idx="8">
                  <c:v>Cyprus</c:v>
                </c:pt>
                <c:pt idx="9">
                  <c:v>Latvia</c:v>
                </c:pt>
                <c:pt idx="10">
                  <c:v>Lithuania</c:v>
                </c:pt>
                <c:pt idx="11">
                  <c:v>Netherlands</c:v>
                </c:pt>
                <c:pt idx="12">
                  <c:v>Austria</c:v>
                </c:pt>
                <c:pt idx="13">
                  <c:v>Poland</c:v>
                </c:pt>
                <c:pt idx="14">
                  <c:v>Romania</c:v>
                </c:pt>
                <c:pt idx="15">
                  <c:v>Slovenia</c:v>
                </c:pt>
                <c:pt idx="16">
                  <c:v>Slovakia</c:v>
                </c:pt>
                <c:pt idx="17">
                  <c:v>Finland</c:v>
                </c:pt>
                <c:pt idx="18">
                  <c:v>Sweden</c:v>
                </c:pt>
                <c:pt idx="19">
                  <c:v>United Kingdom</c:v>
                </c:pt>
                <c:pt idx="20">
                  <c:v>Norway</c:v>
                </c:pt>
                <c:pt idx="21">
                  <c:v>Switzerland</c:v>
                </c:pt>
                <c:pt idx="22">
                  <c:v>Macedonia</c:v>
                </c:pt>
                <c:pt idx="23">
                  <c:v>Serbia</c:v>
                </c:pt>
                <c:pt idx="24">
                  <c:v>Turkey</c:v>
                </c:pt>
              </c:strCache>
            </c:strRef>
          </c:cat>
          <c:val>
            <c:numRef>
              <c:f>'2010_extract_avail_data'!$D$4:$D$28</c:f>
              <c:numCache>
                <c:formatCode>#,##0</c:formatCode>
                <c:ptCount val="25"/>
                <c:pt idx="0">
                  <c:v>480</c:v>
                </c:pt>
                <c:pt idx="1">
                  <c:v>353</c:v>
                </c:pt>
                <c:pt idx="2">
                  <c:v>429</c:v>
                </c:pt>
                <c:pt idx="3">
                  <c:v>517</c:v>
                </c:pt>
                <c:pt idx="4">
                  <c:v>412</c:v>
                </c:pt>
                <c:pt idx="5">
                  <c:v>480</c:v>
                </c:pt>
                <c:pt idx="6">
                  <c:v>345</c:v>
                </c:pt>
                <c:pt idx="7">
                  <c:v>606</c:v>
                </c:pt>
                <c:pt idx="8">
                  <c:v>551</c:v>
                </c:pt>
                <c:pt idx="9">
                  <c:v>307</c:v>
                </c:pt>
                <c:pt idx="10">
                  <c:v>554</c:v>
                </c:pt>
                <c:pt idx="11">
                  <c:v>464</c:v>
                </c:pt>
                <c:pt idx="12">
                  <c:v>528</c:v>
                </c:pt>
                <c:pt idx="13">
                  <c:v>447</c:v>
                </c:pt>
                <c:pt idx="14">
                  <c:v>202</c:v>
                </c:pt>
                <c:pt idx="15">
                  <c:v>518</c:v>
                </c:pt>
                <c:pt idx="16">
                  <c:v>310</c:v>
                </c:pt>
                <c:pt idx="17">
                  <c:v>535</c:v>
                </c:pt>
                <c:pt idx="18">
                  <c:v>460</c:v>
                </c:pt>
                <c:pt idx="19">
                  <c:v>455</c:v>
                </c:pt>
                <c:pt idx="20">
                  <c:v>469</c:v>
                </c:pt>
                <c:pt idx="21">
                  <c:v>518</c:v>
                </c:pt>
                <c:pt idx="22">
                  <c:v>151</c:v>
                </c:pt>
                <c:pt idx="23">
                  <c:v>215</c:v>
                </c:pt>
                <c:pt idx="24">
                  <c:v>102</c:v>
                </c:pt>
              </c:numCache>
            </c:numRef>
          </c:val>
        </c:ser>
        <c:dLbls>
          <c:showLegendKey val="0"/>
          <c:showVal val="0"/>
          <c:showCatName val="0"/>
          <c:showSerName val="0"/>
          <c:showPercent val="0"/>
          <c:showBubbleSize val="0"/>
        </c:dLbls>
        <c:gapWidth val="150"/>
        <c:axId val="243529728"/>
        <c:axId val="278887744"/>
      </c:barChart>
      <c:catAx>
        <c:axId val="243529728"/>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ro-RO"/>
          </a:p>
        </c:txPr>
        <c:crossAx val="278887744"/>
        <c:crosses val="autoZero"/>
        <c:auto val="1"/>
        <c:lblAlgn val="ctr"/>
        <c:lblOffset val="100"/>
        <c:noMultiLvlLbl val="0"/>
      </c:catAx>
      <c:valAx>
        <c:axId val="278887744"/>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ro-RO"/>
          </a:p>
        </c:txPr>
        <c:crossAx val="24352972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'Figs 4.8-4.9 Data'!$C$13</c:f>
          <c:strCache>
            <c:ptCount val="1"/>
            <c:pt idx="0">
              <c:v>Cars - Growth = 15.1%</c:v>
            </c:pt>
          </c:strCache>
        </c:strRef>
      </c:tx>
      <c:overlay val="0"/>
      <c:txPr>
        <a:bodyPr/>
        <a:lstStyle/>
        <a:p>
          <a:pPr>
            <a:defRPr sz="1100" b="0">
              <a:latin typeface="Arial" pitchFamily="34" charset="0"/>
              <a:cs typeface="Arial" pitchFamily="34" charset="0"/>
            </a:defRPr>
          </a:pPr>
          <a:endParaRPr lang="ro-RO"/>
        </a:p>
      </c:txPr>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1"/>
        <c:ser>
          <c:idx val="0"/>
          <c:order val="0"/>
          <c:tx>
            <c:strRef>
              <c:f>'Figs 4.8-4.9 Data'!$D$3</c:f>
              <c:strCache>
                <c:ptCount val="1"/>
                <c:pt idx="0">
                  <c:v>Motorway</c:v>
                </c:pt>
              </c:strCache>
            </c:strRef>
          </c:tx>
          <c:invertIfNegative val="1"/>
          <c:dLbls>
            <c:delete val="1"/>
          </c:dLbls>
          <c:cat>
            <c:strRef>
              <c:f>'Figs 4.8-4.9 Data'!$C$4:$C$7</c:f>
              <c:strCache>
                <c:ptCount val="4"/>
                <c:pt idx="0">
                  <c:v>Network Kilometres</c:v>
                </c:pt>
                <c:pt idx="1">
                  <c:v>Vehicle Kilometres</c:v>
                </c:pt>
                <c:pt idx="2">
                  <c:v>Vehicle Hours</c:v>
                </c:pt>
                <c:pt idx="3">
                  <c:v>Average Speed</c:v>
                </c:pt>
              </c:strCache>
            </c:strRef>
          </c:cat>
          <c:val>
            <c:numRef>
              <c:f>'Figs 4.8-4.9 Data'!$D$4:$D$7</c:f>
              <c:numCache>
                <c:formatCode>\+0.0%;\-0.0%;0</c:formatCode>
                <c:ptCount val="4"/>
                <c:pt idx="0">
                  <c:v>1.1056869178946758</c:v>
                </c:pt>
                <c:pt idx="1">
                  <c:v>2.1693113890011482</c:v>
                </c:pt>
                <c:pt idx="2">
                  <c:v>2.0796547752297143</c:v>
                </c:pt>
                <c:pt idx="3">
                  <c:v>2.9112553294141641E-2</c:v>
                </c:pt>
              </c:numCache>
            </c:numRef>
          </c:val>
        </c:ser>
        <c:ser>
          <c:idx val="1"/>
          <c:order val="1"/>
          <c:tx>
            <c:strRef>
              <c:f>'Figs 4.8-4.9 Data'!$E$3</c:f>
              <c:strCache>
                <c:ptCount val="1"/>
                <c:pt idx="0">
                  <c:v>National</c:v>
                </c:pt>
              </c:strCache>
            </c:strRef>
          </c:tx>
          <c:invertIfNegative val="0"/>
          <c:dLbls>
            <c:delete val="1"/>
          </c:dLbls>
          <c:cat>
            <c:strRef>
              <c:f>'Figs 4.8-4.9 Data'!$C$4:$C$7</c:f>
              <c:strCache>
                <c:ptCount val="4"/>
                <c:pt idx="0">
                  <c:v>Network Kilometres</c:v>
                </c:pt>
                <c:pt idx="1">
                  <c:v>Vehicle Kilometres</c:v>
                </c:pt>
                <c:pt idx="2">
                  <c:v>Vehicle Hours</c:v>
                </c:pt>
                <c:pt idx="3">
                  <c:v>Average Speed</c:v>
                </c:pt>
              </c:strCache>
            </c:strRef>
          </c:cat>
          <c:val>
            <c:numRef>
              <c:f>'Figs 4.8-4.9 Data'!$E$4:$E$7</c:f>
              <c:numCache>
                <c:formatCode>\+0.0%;\-0.0%;0</c:formatCode>
                <c:ptCount val="4"/>
                <c:pt idx="0">
                  <c:v>1.283298798988915E-2</c:v>
                </c:pt>
                <c:pt idx="1">
                  <c:v>0.31969679164640147</c:v>
                </c:pt>
                <c:pt idx="2">
                  <c:v>0.34632233979330618</c:v>
                </c:pt>
                <c:pt idx="3">
                  <c:v>-1.9776503263692752E-2</c:v>
                </c:pt>
              </c:numCache>
            </c:numRef>
          </c:val>
        </c:ser>
        <c:ser>
          <c:idx val="2"/>
          <c:order val="2"/>
          <c:tx>
            <c:strRef>
              <c:f>'Figs 4.8-4.9 Data'!$F$3</c:f>
              <c:strCache>
                <c:ptCount val="1"/>
                <c:pt idx="0">
                  <c:v>County</c:v>
                </c:pt>
              </c:strCache>
            </c:strRef>
          </c:tx>
          <c:invertIfNegative val="0"/>
          <c:dLbls>
            <c:delete val="1"/>
          </c:dLbls>
          <c:cat>
            <c:strRef>
              <c:f>'Figs 4.8-4.9 Data'!$C$4:$C$7</c:f>
              <c:strCache>
                <c:ptCount val="4"/>
                <c:pt idx="0">
                  <c:v>Network Kilometres</c:v>
                </c:pt>
                <c:pt idx="1">
                  <c:v>Vehicle Kilometres</c:v>
                </c:pt>
                <c:pt idx="2">
                  <c:v>Vehicle Hours</c:v>
                </c:pt>
                <c:pt idx="3">
                  <c:v>Average Speed</c:v>
                </c:pt>
              </c:strCache>
            </c:strRef>
          </c:cat>
          <c:val>
            <c:numRef>
              <c:f>'Figs 4.8-4.9 Data'!$F$4:$F$7</c:f>
              <c:numCache>
                <c:formatCode>\+0.0%;\-0.0%;0</c:formatCode>
                <c:ptCount val="4"/>
                <c:pt idx="0" formatCode="\+0.0%;\-0.0%;0.0%">
                  <c:v>0</c:v>
                </c:pt>
                <c:pt idx="1">
                  <c:v>0.19200358805742052</c:v>
                </c:pt>
                <c:pt idx="2">
                  <c:v>0.19270130890944509</c:v>
                </c:pt>
                <c:pt idx="3">
                  <c:v>-5.8499210725502149E-4</c:v>
                </c:pt>
              </c:numCache>
            </c:numRef>
          </c:val>
        </c:ser>
        <c:ser>
          <c:idx val="3"/>
          <c:order val="3"/>
          <c:tx>
            <c:strRef>
              <c:f>'Figs 4.8-4.9 Data'!$G$3</c:f>
              <c:strCache>
                <c:ptCount val="1"/>
                <c:pt idx="0">
                  <c:v>Total</c:v>
                </c:pt>
              </c:strCache>
            </c:strRef>
          </c:tx>
          <c:invertIfNegative val="0"/>
          <c:dLbls>
            <c:delete val="1"/>
          </c:dLbls>
          <c:cat>
            <c:strRef>
              <c:f>'Figs 4.8-4.9 Data'!$C$4:$C$7</c:f>
              <c:strCache>
                <c:ptCount val="4"/>
                <c:pt idx="0">
                  <c:v>Network Kilometres</c:v>
                </c:pt>
                <c:pt idx="1">
                  <c:v>Vehicle Kilometres</c:v>
                </c:pt>
                <c:pt idx="2">
                  <c:v>Vehicle Hours</c:v>
                </c:pt>
                <c:pt idx="3">
                  <c:v>Average Speed</c:v>
                </c:pt>
              </c:strCache>
            </c:strRef>
          </c:cat>
          <c:val>
            <c:numRef>
              <c:f>'Figs 4.8-4.9 Data'!$G$4:$G$7</c:f>
              <c:numCache>
                <c:formatCode>\+0.0%;\-0.0%;0</c:formatCode>
                <c:ptCount val="4"/>
                <c:pt idx="0">
                  <c:v>2.3086175671052752E-2</c:v>
                </c:pt>
                <c:pt idx="1">
                  <c:v>0.44339044091722385</c:v>
                </c:pt>
                <c:pt idx="2">
                  <c:v>0.37604977367671538</c:v>
                </c:pt>
                <c:pt idx="3">
                  <c:v>4.8937668192465762E-2</c:v>
                </c:pt>
              </c:numCache>
            </c:numRef>
          </c:val>
        </c:ser>
        <c:dLbls>
          <c:showLegendKey val="0"/>
          <c:showVal val="1"/>
          <c:showCatName val="0"/>
          <c:showSerName val="0"/>
          <c:showPercent val="0"/>
          <c:showBubbleSize val="0"/>
        </c:dLbls>
        <c:gapWidth val="52"/>
        <c:gapDepth val="0"/>
        <c:shape val="box"/>
        <c:axId val="243530752"/>
        <c:axId val="279168128"/>
        <c:axId val="0"/>
      </c:bar3DChart>
      <c:catAx>
        <c:axId val="243530752"/>
        <c:scaling>
          <c:orientation val="minMax"/>
        </c:scaling>
        <c:delete val="0"/>
        <c:axPos val="b"/>
        <c:numFmt formatCode="General" sourceLinked="0"/>
        <c:majorTickMark val="out"/>
        <c:minorTickMark val="none"/>
        <c:tickLblPos val="nextTo"/>
        <c:spPr>
          <a:ln>
            <a:noFill/>
          </a:ln>
        </c:spPr>
        <c:crossAx val="279168128"/>
        <c:crosses val="autoZero"/>
        <c:auto val="1"/>
        <c:lblAlgn val="ctr"/>
        <c:lblOffset val="100"/>
        <c:noMultiLvlLbl val="0"/>
      </c:catAx>
      <c:valAx>
        <c:axId val="279168128"/>
        <c:scaling>
          <c:orientation val="minMax"/>
        </c:scaling>
        <c:delete val="1"/>
        <c:axPos val="l"/>
        <c:numFmt formatCode="\+0.0%;\-0.0%;0" sourceLinked="1"/>
        <c:majorTickMark val="out"/>
        <c:minorTickMark val="none"/>
        <c:tickLblPos val="none"/>
        <c:crossAx val="243530752"/>
        <c:crosses val="autoZero"/>
        <c:crossBetween val="between"/>
      </c:valAx>
      <c:dTable>
        <c:showHorzBorder val="0"/>
        <c:showVertBorder val="0"/>
        <c:showOutline val="0"/>
        <c:showKeys val="1"/>
        <c:txPr>
          <a:bodyPr/>
          <a:lstStyle/>
          <a:p>
            <a:pPr rtl="0">
              <a:defRPr sz="110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'Figs 4.8-4.9 Data'!$C$30</c:f>
          <c:strCache>
            <c:ptCount val="1"/>
            <c:pt idx="0">
              <c:v>Goods - Growth = 30.9%</c:v>
            </c:pt>
          </c:strCache>
        </c:strRef>
      </c:tx>
      <c:overlay val="0"/>
      <c:txPr>
        <a:bodyPr/>
        <a:lstStyle/>
        <a:p>
          <a:pPr>
            <a:defRPr sz="1100" b="0">
              <a:latin typeface="Arial" pitchFamily="34" charset="0"/>
              <a:cs typeface="Arial" pitchFamily="34" charset="0"/>
            </a:defRPr>
          </a:pPr>
          <a:endParaRPr lang="ro-RO"/>
        </a:p>
      </c:txPr>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1"/>
        <c:ser>
          <c:idx val="0"/>
          <c:order val="0"/>
          <c:tx>
            <c:strRef>
              <c:f>'Figs 4.8-4.9 Data'!$D$20</c:f>
              <c:strCache>
                <c:ptCount val="1"/>
                <c:pt idx="0">
                  <c:v>Motorway</c:v>
                </c:pt>
              </c:strCache>
            </c:strRef>
          </c:tx>
          <c:invertIfNegative val="1"/>
          <c:dLbls>
            <c:delete val="1"/>
          </c:dLbls>
          <c:cat>
            <c:strRef>
              <c:f>'Figs 4.8-4.9 Data'!$C$21:$C$24</c:f>
              <c:strCache>
                <c:ptCount val="4"/>
                <c:pt idx="0">
                  <c:v>Network Kilometres</c:v>
                </c:pt>
                <c:pt idx="1">
                  <c:v>Vehicle Kilometres</c:v>
                </c:pt>
                <c:pt idx="2">
                  <c:v>Vehicle Hours</c:v>
                </c:pt>
                <c:pt idx="3">
                  <c:v>Average Speed</c:v>
                </c:pt>
              </c:strCache>
            </c:strRef>
          </c:cat>
          <c:val>
            <c:numRef>
              <c:f>'Figs 4.8-4.9 Data'!$D$21:$D$24</c:f>
              <c:numCache>
                <c:formatCode>\+0.0%;\-0.0%;0</c:formatCode>
                <c:ptCount val="4"/>
                <c:pt idx="0">
                  <c:v>1.1056869178946758</c:v>
                </c:pt>
                <c:pt idx="1">
                  <c:v>2.0675695827506217</c:v>
                </c:pt>
                <c:pt idx="2">
                  <c:v>1.906859288233465</c:v>
                </c:pt>
                <c:pt idx="3">
                  <c:v>5.5286575159550093E-2</c:v>
                </c:pt>
              </c:numCache>
            </c:numRef>
          </c:val>
        </c:ser>
        <c:ser>
          <c:idx val="1"/>
          <c:order val="1"/>
          <c:tx>
            <c:strRef>
              <c:f>'Figs 4.8-4.9 Data'!$E$20</c:f>
              <c:strCache>
                <c:ptCount val="1"/>
                <c:pt idx="0">
                  <c:v>National</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Data'!$E$21:$E$24</c:f>
              <c:numCache>
                <c:formatCode>\+0.0%;\-0.0%;0</c:formatCode>
                <c:ptCount val="4"/>
                <c:pt idx="0">
                  <c:v>1.283298798988915E-2</c:v>
                </c:pt>
                <c:pt idx="1">
                  <c:v>0.16041343416346945</c:v>
                </c:pt>
                <c:pt idx="2">
                  <c:v>0.20786542272731387</c:v>
                </c:pt>
                <c:pt idx="3">
                  <c:v>-3.9285824124926039E-2</c:v>
                </c:pt>
              </c:numCache>
            </c:numRef>
          </c:val>
        </c:ser>
        <c:ser>
          <c:idx val="2"/>
          <c:order val="2"/>
          <c:tx>
            <c:strRef>
              <c:f>'Figs 4.8-4.9 Data'!$F$20</c:f>
              <c:strCache>
                <c:ptCount val="1"/>
                <c:pt idx="0">
                  <c:v>County</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Data'!$F$21:$F$24</c:f>
              <c:numCache>
                <c:formatCode>\+0.0%;\-0.0%;0</c:formatCode>
                <c:ptCount val="4"/>
                <c:pt idx="0" formatCode="\+0.0%;\-0.0%;0.0%">
                  <c:v>0</c:v>
                </c:pt>
                <c:pt idx="1">
                  <c:v>0.15829551055352725</c:v>
                </c:pt>
                <c:pt idx="2">
                  <c:v>0.17123807680155956</c:v>
                </c:pt>
                <c:pt idx="3">
                  <c:v>-1.1050329138356095E-2</c:v>
                </c:pt>
              </c:numCache>
            </c:numRef>
          </c:val>
        </c:ser>
        <c:ser>
          <c:idx val="3"/>
          <c:order val="3"/>
          <c:tx>
            <c:strRef>
              <c:f>'Figs 4.8-4.9 Data'!$G$20</c:f>
              <c:strCache>
                <c:ptCount val="1"/>
                <c:pt idx="0">
                  <c:v>Total</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Data'!$G$21:$G$24</c:f>
              <c:numCache>
                <c:formatCode>\+0.0%;\-0.0%;0</c:formatCode>
                <c:ptCount val="4"/>
                <c:pt idx="0">
                  <c:v>2.3086175671052752E-2</c:v>
                </c:pt>
                <c:pt idx="1">
                  <c:v>0.34962048992680694</c:v>
                </c:pt>
                <c:pt idx="2">
                  <c:v>0.32643136984324639</c:v>
                </c:pt>
                <c:pt idx="3">
                  <c:v>1.7482336900929138E-2</c:v>
                </c:pt>
              </c:numCache>
            </c:numRef>
          </c:val>
        </c:ser>
        <c:dLbls>
          <c:showLegendKey val="0"/>
          <c:showVal val="1"/>
          <c:showCatName val="0"/>
          <c:showSerName val="0"/>
          <c:showPercent val="0"/>
          <c:showBubbleSize val="0"/>
        </c:dLbls>
        <c:gapWidth val="52"/>
        <c:gapDepth val="0"/>
        <c:shape val="box"/>
        <c:axId val="243528704"/>
        <c:axId val="279169856"/>
        <c:axId val="0"/>
      </c:bar3DChart>
      <c:catAx>
        <c:axId val="243528704"/>
        <c:scaling>
          <c:orientation val="minMax"/>
        </c:scaling>
        <c:delete val="0"/>
        <c:axPos val="b"/>
        <c:numFmt formatCode="General" sourceLinked="0"/>
        <c:majorTickMark val="out"/>
        <c:minorTickMark val="none"/>
        <c:tickLblPos val="nextTo"/>
        <c:spPr>
          <a:ln>
            <a:noFill/>
          </a:ln>
        </c:spPr>
        <c:crossAx val="279169856"/>
        <c:crosses val="autoZero"/>
        <c:auto val="1"/>
        <c:lblAlgn val="ctr"/>
        <c:lblOffset val="100"/>
        <c:noMultiLvlLbl val="0"/>
      </c:catAx>
      <c:valAx>
        <c:axId val="279169856"/>
        <c:scaling>
          <c:orientation val="minMax"/>
        </c:scaling>
        <c:delete val="1"/>
        <c:axPos val="l"/>
        <c:numFmt formatCode="\+0.0%;\-0.0%;0" sourceLinked="1"/>
        <c:majorTickMark val="out"/>
        <c:minorTickMark val="none"/>
        <c:tickLblPos val="none"/>
        <c:crossAx val="243528704"/>
        <c:crosses val="autoZero"/>
        <c:crossBetween val="between"/>
      </c:valAx>
      <c:dTable>
        <c:showHorzBorder val="0"/>
        <c:showVertBorder val="0"/>
        <c:showOutline val="0"/>
        <c:showKeys val="1"/>
        <c:txPr>
          <a:bodyPr/>
          <a:lstStyle/>
          <a:p>
            <a:pPr rtl="0">
              <a:defRPr sz="110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rgbClr val="4F81BD">
            <a:lumMod val="20000"/>
            <a:lumOff val="80000"/>
          </a:srgbClr>
        </a:solidFill>
      </c:spPr>
    </c:floor>
    <c:sideWall>
      <c:thickness val="0"/>
      <c:spPr>
        <a:solidFill>
          <a:schemeClr val="accent1">
            <a:lumMod val="20000"/>
            <a:lumOff val="80000"/>
          </a:schemeClr>
        </a:solidFill>
      </c:spPr>
    </c:sideWall>
    <c:backWall>
      <c:thickness val="0"/>
      <c:spPr>
        <a:solidFill>
          <a:schemeClr val="accent1">
            <a:lumMod val="20000"/>
            <a:lumOff val="80000"/>
          </a:schemeClr>
        </a:solidFill>
      </c:spPr>
    </c:backWall>
    <c:plotArea>
      <c:layout/>
      <c:bar3DChart>
        <c:barDir val="col"/>
        <c:grouping val="clustered"/>
        <c:varyColors val="0"/>
        <c:ser>
          <c:idx val="0"/>
          <c:order val="0"/>
          <c:tx>
            <c:strRef>
              <c:f>'Table 4.17'!$D$23</c:f>
              <c:strCache>
                <c:ptCount val="1"/>
                <c:pt idx="0">
                  <c:v>Investment Cost (M€)</c:v>
                </c:pt>
              </c:strCache>
            </c:strRef>
          </c:tx>
          <c:invertIfNegative val="0"/>
          <c:cat>
            <c:strRef>
              <c:f>'Table 4.17'!$C$24:$C$26</c:f>
              <c:strCache>
                <c:ptCount val="3"/>
                <c:pt idx="0">
                  <c:v>Level 1 Preferred</c:v>
                </c:pt>
                <c:pt idx="1">
                  <c:v>Level 1 Alternative</c:v>
                </c:pt>
                <c:pt idx="2">
                  <c:v>Difference</c:v>
                </c:pt>
              </c:strCache>
            </c:strRef>
          </c:cat>
          <c:val>
            <c:numRef>
              <c:f>'Table 4.17'!$D$24:$D$26</c:f>
              <c:numCache>
                <c:formatCode>#,##0</c:formatCode>
                <c:ptCount val="3"/>
                <c:pt idx="0">
                  <c:v>5988.485647940839</c:v>
                </c:pt>
                <c:pt idx="1">
                  <c:v>17080.225612274615</c:v>
                </c:pt>
                <c:pt idx="2">
                  <c:v>-11091.739964333769</c:v>
                </c:pt>
              </c:numCache>
            </c:numRef>
          </c:val>
        </c:ser>
        <c:ser>
          <c:idx val="1"/>
          <c:order val="1"/>
          <c:tx>
            <c:strRef>
              <c:f>'Table 4.17'!$E$23</c:f>
              <c:strCache>
                <c:ptCount val="1"/>
                <c:pt idx="0">
                  <c:v>NPV (M€)</c:v>
                </c:pt>
              </c:strCache>
            </c:strRef>
          </c:tx>
          <c:invertIfNegative val="0"/>
          <c:cat>
            <c:strRef>
              <c:f>'Table 4.17'!$C$24:$C$26</c:f>
              <c:strCache>
                <c:ptCount val="3"/>
                <c:pt idx="0">
                  <c:v>Level 1 Preferred</c:v>
                </c:pt>
                <c:pt idx="1">
                  <c:v>Level 1 Alternative</c:v>
                </c:pt>
                <c:pt idx="2">
                  <c:v>Difference</c:v>
                </c:pt>
              </c:strCache>
            </c:strRef>
          </c:cat>
          <c:val>
            <c:numRef>
              <c:f>'Table 4.17'!$E$24:$E$26</c:f>
              <c:numCache>
                <c:formatCode>#,##0</c:formatCode>
                <c:ptCount val="3"/>
                <c:pt idx="0">
                  <c:v>9834.8732806577209</c:v>
                </c:pt>
                <c:pt idx="1">
                  <c:v>9469.9109741431839</c:v>
                </c:pt>
                <c:pt idx="2">
                  <c:v>364.96230651453698</c:v>
                </c:pt>
              </c:numCache>
            </c:numRef>
          </c:val>
        </c:ser>
        <c:dLbls>
          <c:showLegendKey val="0"/>
          <c:showVal val="0"/>
          <c:showCatName val="0"/>
          <c:showSerName val="0"/>
          <c:showPercent val="0"/>
          <c:showBubbleSize val="0"/>
        </c:dLbls>
        <c:gapWidth val="150"/>
        <c:shape val="box"/>
        <c:axId val="276345856"/>
        <c:axId val="279172160"/>
        <c:axId val="0"/>
      </c:bar3DChart>
      <c:catAx>
        <c:axId val="276345856"/>
        <c:scaling>
          <c:orientation val="minMax"/>
        </c:scaling>
        <c:delete val="0"/>
        <c:axPos val="b"/>
        <c:numFmt formatCode="General" sourceLinked="0"/>
        <c:majorTickMark val="out"/>
        <c:minorTickMark val="none"/>
        <c:tickLblPos val="low"/>
        <c:txPr>
          <a:bodyPr/>
          <a:lstStyle/>
          <a:p>
            <a:pPr>
              <a:defRPr sz="1100">
                <a:latin typeface="Arial" pitchFamily="34" charset="0"/>
                <a:cs typeface="Arial" pitchFamily="34" charset="0"/>
              </a:defRPr>
            </a:pPr>
            <a:endParaRPr lang="ro-RO"/>
          </a:p>
        </c:txPr>
        <c:crossAx val="279172160"/>
        <c:crosses val="autoZero"/>
        <c:auto val="1"/>
        <c:lblAlgn val="ctr"/>
        <c:lblOffset val="100"/>
        <c:noMultiLvlLbl val="0"/>
      </c:catAx>
      <c:valAx>
        <c:axId val="279172160"/>
        <c:scaling>
          <c:orientation val="minMax"/>
        </c:scaling>
        <c:delete val="0"/>
        <c:axPos val="l"/>
        <c:majorGridlines/>
        <c:numFmt formatCode="#,##0" sourceLinked="1"/>
        <c:majorTickMark val="out"/>
        <c:minorTickMark val="none"/>
        <c:tickLblPos val="nextTo"/>
        <c:txPr>
          <a:bodyPr/>
          <a:lstStyle/>
          <a:p>
            <a:pPr>
              <a:defRPr sz="1100">
                <a:latin typeface="Arial" pitchFamily="34" charset="0"/>
                <a:cs typeface="Arial" pitchFamily="34" charset="0"/>
              </a:defRPr>
            </a:pPr>
            <a:endParaRPr lang="ro-RO"/>
          </a:p>
        </c:txPr>
        <c:crossAx val="276345856"/>
        <c:crosses val="autoZero"/>
        <c:crossBetween val="between"/>
      </c:valAx>
    </c:plotArea>
    <c:legend>
      <c:legendPos val="b"/>
      <c:overlay val="0"/>
      <c:txPr>
        <a:bodyPr/>
        <a:lstStyle/>
        <a:p>
          <a:pPr>
            <a:defRPr sz="1100">
              <a:latin typeface="Arial" pitchFamily="34" charset="0"/>
              <a:cs typeface="Arial" pitchFamily="34" charset="0"/>
            </a:defRPr>
          </a:pPr>
          <a:endParaRPr lang="ro-RO"/>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Sheet1!$C$1</c:f>
              <c:strCache>
                <c:ptCount val="1"/>
                <c:pt idx="0">
                  <c:v>Water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Sheet1!$C$2:$C$17</c:f>
              <c:numCache>
                <c:formatCode>General</c:formatCode>
                <c:ptCount val="16"/>
                <c:pt idx="0" formatCode="#,##0">
                  <c:v>5675</c:v>
                </c:pt>
                <c:pt idx="1">
                  <c:v>3</c:v>
                </c:pt>
                <c:pt idx="2" formatCode="#,##0">
                  <c:v>4740</c:v>
                </c:pt>
                <c:pt idx="3" formatCode="#,##0">
                  <c:v>1074</c:v>
                </c:pt>
                <c:pt idx="4" formatCode="#,##0">
                  <c:v>18758</c:v>
                </c:pt>
                <c:pt idx="5">
                  <c:v>20</c:v>
                </c:pt>
                <c:pt idx="6" formatCode="#,##0">
                  <c:v>39275</c:v>
                </c:pt>
                <c:pt idx="7" formatCode="#,##0">
                  <c:v>1006</c:v>
                </c:pt>
                <c:pt idx="8">
                  <c:v>11</c:v>
                </c:pt>
                <c:pt idx="9">
                  <c:v>1</c:v>
                </c:pt>
                <c:pt idx="10">
                  <c:v>0</c:v>
                </c:pt>
                <c:pt idx="11">
                  <c:v>0</c:v>
                </c:pt>
                <c:pt idx="12" formatCode="#,##0">
                  <c:v>1080</c:v>
                </c:pt>
                <c:pt idx="13">
                  <c:v>82</c:v>
                </c:pt>
                <c:pt idx="14">
                  <c:v>303</c:v>
                </c:pt>
                <c:pt idx="15">
                  <c:v>0</c:v>
                </c:pt>
              </c:numCache>
            </c:numRef>
          </c:val>
        </c:ser>
        <c:ser>
          <c:idx val="1"/>
          <c:order val="1"/>
          <c:tx>
            <c:strRef>
              <c:f>Sheet1!$E$1</c:f>
              <c:strCache>
                <c:ptCount val="1"/>
                <c:pt idx="0">
                  <c:v>Rail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Sheet1!$E$2:$E$17</c:f>
              <c:numCache>
                <c:formatCode>#,##0</c:formatCode>
                <c:ptCount val="16"/>
                <c:pt idx="0">
                  <c:v>3002</c:v>
                </c:pt>
                <c:pt idx="1">
                  <c:v>1133</c:v>
                </c:pt>
                <c:pt idx="2">
                  <c:v>90535</c:v>
                </c:pt>
                <c:pt idx="3">
                  <c:v>4318</c:v>
                </c:pt>
                <c:pt idx="4">
                  <c:v>4046</c:v>
                </c:pt>
                <c:pt idx="5">
                  <c:v>9951</c:v>
                </c:pt>
                <c:pt idx="6">
                  <c:v>7889</c:v>
                </c:pt>
                <c:pt idx="7">
                  <c:v>9261</c:v>
                </c:pt>
                <c:pt idx="8">
                  <c:v>3611</c:v>
                </c:pt>
                <c:pt idx="9" formatCode="General">
                  <c:v>0</c:v>
                </c:pt>
                <c:pt idx="10">
                  <c:v>23291</c:v>
                </c:pt>
                <c:pt idx="11" formatCode="General">
                  <c:v>0</c:v>
                </c:pt>
                <c:pt idx="12">
                  <c:v>6086</c:v>
                </c:pt>
                <c:pt idx="13" formatCode="General">
                  <c:v>297</c:v>
                </c:pt>
                <c:pt idx="14">
                  <c:v>2077</c:v>
                </c:pt>
                <c:pt idx="15" formatCode="General">
                  <c:v>0</c:v>
                </c:pt>
              </c:numCache>
            </c:numRef>
          </c:val>
        </c:ser>
        <c:ser>
          <c:idx val="2"/>
          <c:order val="2"/>
          <c:tx>
            <c:strRef>
              <c:f>Sheet1!$G$1</c:f>
              <c:strCache>
                <c:ptCount val="1"/>
                <c:pt idx="0">
                  <c:v>Road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Sheet1!$G$2:$G$17</c:f>
              <c:numCache>
                <c:formatCode>#,##0</c:formatCode>
                <c:ptCount val="16"/>
                <c:pt idx="0">
                  <c:v>40751</c:v>
                </c:pt>
                <c:pt idx="1">
                  <c:v>63441</c:v>
                </c:pt>
                <c:pt idx="2">
                  <c:v>6644</c:v>
                </c:pt>
                <c:pt idx="3">
                  <c:v>1716</c:v>
                </c:pt>
                <c:pt idx="4">
                  <c:v>18504</c:v>
                </c:pt>
                <c:pt idx="5">
                  <c:v>30972</c:v>
                </c:pt>
                <c:pt idx="6">
                  <c:v>176448</c:v>
                </c:pt>
                <c:pt idx="7">
                  <c:v>19467</c:v>
                </c:pt>
                <c:pt idx="8">
                  <c:v>30926</c:v>
                </c:pt>
                <c:pt idx="9">
                  <c:v>32243</c:v>
                </c:pt>
                <c:pt idx="10">
                  <c:v>15981</c:v>
                </c:pt>
                <c:pt idx="11">
                  <c:v>3027</c:v>
                </c:pt>
                <c:pt idx="12">
                  <c:v>83188</c:v>
                </c:pt>
                <c:pt idx="13">
                  <c:v>6172</c:v>
                </c:pt>
                <c:pt idx="14">
                  <c:v>33733</c:v>
                </c:pt>
                <c:pt idx="15">
                  <c:v>19769</c:v>
                </c:pt>
              </c:numCache>
            </c:numRef>
          </c:val>
        </c:ser>
        <c:dLbls>
          <c:showLegendKey val="0"/>
          <c:showVal val="0"/>
          <c:showCatName val="0"/>
          <c:showSerName val="0"/>
          <c:showPercent val="0"/>
          <c:showBubbleSize val="0"/>
        </c:dLbls>
        <c:gapWidth val="150"/>
        <c:overlap val="100"/>
        <c:axId val="280540160"/>
        <c:axId val="278878400"/>
      </c:barChart>
      <c:catAx>
        <c:axId val="280540160"/>
        <c:scaling>
          <c:orientation val="minMax"/>
        </c:scaling>
        <c:delete val="0"/>
        <c:axPos val="b"/>
        <c:numFmt formatCode="General" sourceLinked="0"/>
        <c:majorTickMark val="out"/>
        <c:minorTickMark val="none"/>
        <c:tickLblPos val="nextTo"/>
        <c:txPr>
          <a:bodyPr/>
          <a:lstStyle/>
          <a:p>
            <a:pPr>
              <a:defRPr sz="800"/>
            </a:pPr>
            <a:endParaRPr lang="ro-RO"/>
          </a:p>
        </c:txPr>
        <c:crossAx val="278878400"/>
        <c:crosses val="autoZero"/>
        <c:auto val="1"/>
        <c:lblAlgn val="ctr"/>
        <c:lblOffset val="100"/>
        <c:noMultiLvlLbl val="0"/>
      </c:catAx>
      <c:valAx>
        <c:axId val="278878400"/>
        <c:scaling>
          <c:orientation val="minMax"/>
        </c:scaling>
        <c:delete val="0"/>
        <c:axPos val="l"/>
        <c:majorGridlines/>
        <c:numFmt formatCode="#,##0" sourceLinked="1"/>
        <c:majorTickMark val="out"/>
        <c:minorTickMark val="none"/>
        <c:tickLblPos val="nextTo"/>
        <c:crossAx val="280540160"/>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Rail Freight Train Delays in Romania</a:t>
            </a:r>
          </a:p>
        </c:rich>
      </c:tx>
      <c:overlay val="0"/>
    </c:title>
    <c:autoTitleDeleted val="0"/>
    <c:plotArea>
      <c:layout/>
      <c:barChart>
        <c:barDir val="col"/>
        <c:grouping val="stacked"/>
        <c:varyColors val="0"/>
        <c:ser>
          <c:idx val="0"/>
          <c:order val="0"/>
          <c:tx>
            <c:strRef>
              <c:f>'English Translation + Analysis'!$C$36</c:f>
              <c:strCache>
                <c:ptCount val="1"/>
                <c:pt idx="0">
                  <c:v>CFR</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Analysis'!$C$37:$C$42</c:f>
              <c:numCache>
                <c:formatCode>#,##0</c:formatCode>
                <c:ptCount val="6"/>
                <c:pt idx="0">
                  <c:v>180106</c:v>
                </c:pt>
                <c:pt idx="1">
                  <c:v>126294</c:v>
                </c:pt>
                <c:pt idx="2">
                  <c:v>168715</c:v>
                </c:pt>
                <c:pt idx="3">
                  <c:v>127617</c:v>
                </c:pt>
                <c:pt idx="4">
                  <c:v>127065</c:v>
                </c:pt>
                <c:pt idx="5">
                  <c:v>86591</c:v>
                </c:pt>
              </c:numCache>
            </c:numRef>
          </c:val>
        </c:ser>
        <c:ser>
          <c:idx val="1"/>
          <c:order val="1"/>
          <c:tx>
            <c:strRef>
              <c:f>'English Translation + Analysis'!$D$36</c:f>
              <c:strCache>
                <c:ptCount val="1"/>
                <c:pt idx="0">
                  <c:v>Operator</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Analysis'!$D$37:$D$42</c:f>
              <c:numCache>
                <c:formatCode>#,##0</c:formatCode>
                <c:ptCount val="6"/>
                <c:pt idx="0">
                  <c:v>559987</c:v>
                </c:pt>
                <c:pt idx="1">
                  <c:v>1896536</c:v>
                </c:pt>
                <c:pt idx="2">
                  <c:v>1000981</c:v>
                </c:pt>
                <c:pt idx="3">
                  <c:v>2960158</c:v>
                </c:pt>
                <c:pt idx="4">
                  <c:v>792878</c:v>
                </c:pt>
                <c:pt idx="5">
                  <c:v>2896836</c:v>
                </c:pt>
              </c:numCache>
            </c:numRef>
          </c:val>
        </c:ser>
        <c:ser>
          <c:idx val="2"/>
          <c:order val="2"/>
          <c:tx>
            <c:strRef>
              <c:f>'English Translation + Analysis'!$E$36</c:f>
              <c:strCache>
                <c:ptCount val="1"/>
                <c:pt idx="0">
                  <c:v>Force Majeure</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Analysis'!$E$37:$E$42</c:f>
              <c:numCache>
                <c:formatCode>#,##0</c:formatCode>
                <c:ptCount val="6"/>
                <c:pt idx="0">
                  <c:v>225891</c:v>
                </c:pt>
                <c:pt idx="1">
                  <c:v>210217</c:v>
                </c:pt>
                <c:pt idx="2">
                  <c:v>237950</c:v>
                </c:pt>
                <c:pt idx="3">
                  <c:v>149536</c:v>
                </c:pt>
                <c:pt idx="4">
                  <c:v>642207</c:v>
                </c:pt>
                <c:pt idx="5">
                  <c:v>611515</c:v>
                </c:pt>
              </c:numCache>
            </c:numRef>
          </c:val>
        </c:ser>
        <c:ser>
          <c:idx val="3"/>
          <c:order val="3"/>
          <c:tx>
            <c:strRef>
              <c:f>'English Translation + Analysis'!$F$36</c:f>
              <c:strCache>
                <c:ptCount val="1"/>
                <c:pt idx="0">
                  <c:v>Other Companies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Analysis'!$F$37:$F$42</c:f>
              <c:numCache>
                <c:formatCode>#,##0</c:formatCode>
                <c:ptCount val="6"/>
                <c:pt idx="0">
                  <c:v>1632636</c:v>
                </c:pt>
                <c:pt idx="1">
                  <c:v>1550292</c:v>
                </c:pt>
                <c:pt idx="2">
                  <c:v>893873</c:v>
                </c:pt>
                <c:pt idx="3">
                  <c:v>765657</c:v>
                </c:pt>
                <c:pt idx="4">
                  <c:v>512615</c:v>
                </c:pt>
                <c:pt idx="5">
                  <c:v>507820</c:v>
                </c:pt>
              </c:numCache>
            </c:numRef>
          </c:val>
        </c:ser>
        <c:ser>
          <c:idx val="4"/>
          <c:order val="4"/>
          <c:tx>
            <c:strRef>
              <c:f>'English Translation + Analysis'!$G$36</c:f>
              <c:strCache>
                <c:ptCount val="1"/>
                <c:pt idx="0">
                  <c:v>Events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Analysis'!$G$37:$G$42</c:f>
              <c:numCache>
                <c:formatCode>#,##0</c:formatCode>
                <c:ptCount val="6"/>
                <c:pt idx="0">
                  <c:v>19813</c:v>
                </c:pt>
                <c:pt idx="1">
                  <c:v>20905</c:v>
                </c:pt>
                <c:pt idx="2">
                  <c:v>22287</c:v>
                </c:pt>
                <c:pt idx="3">
                  <c:v>10676</c:v>
                </c:pt>
                <c:pt idx="4">
                  <c:v>18818</c:v>
                </c:pt>
                <c:pt idx="5">
                  <c:v>14695</c:v>
                </c:pt>
              </c:numCache>
            </c:numRef>
          </c:val>
        </c:ser>
        <c:ser>
          <c:idx val="5"/>
          <c:order val="5"/>
          <c:tx>
            <c:strRef>
              <c:f>'English Translation + Analysis'!$H$36</c:f>
              <c:strCache>
                <c:ptCount val="1"/>
                <c:pt idx="0">
                  <c:v>Border Controls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Analysis'!$H$37:$H$42</c:f>
              <c:numCache>
                <c:formatCode>#,##0</c:formatCode>
                <c:ptCount val="6"/>
                <c:pt idx="0">
                  <c:v>65</c:v>
                </c:pt>
                <c:pt idx="1">
                  <c:v>757</c:v>
                </c:pt>
                <c:pt idx="2">
                  <c:v>1050</c:v>
                </c:pt>
                <c:pt idx="3">
                  <c:v>675</c:v>
                </c:pt>
                <c:pt idx="4">
                  <c:v>1360</c:v>
                </c:pt>
                <c:pt idx="5">
                  <c:v>513</c:v>
                </c:pt>
              </c:numCache>
            </c:numRef>
          </c:val>
        </c:ser>
        <c:dLbls>
          <c:showLegendKey val="0"/>
          <c:showVal val="0"/>
          <c:showCatName val="0"/>
          <c:showSerName val="0"/>
          <c:showPercent val="0"/>
          <c:showBubbleSize val="0"/>
        </c:dLbls>
        <c:gapWidth val="150"/>
        <c:overlap val="100"/>
        <c:axId val="280542720"/>
        <c:axId val="280674304"/>
      </c:barChart>
      <c:catAx>
        <c:axId val="280542720"/>
        <c:scaling>
          <c:orientation val="minMax"/>
        </c:scaling>
        <c:delete val="0"/>
        <c:axPos val="b"/>
        <c:numFmt formatCode="General" sourceLinked="1"/>
        <c:majorTickMark val="out"/>
        <c:minorTickMark val="none"/>
        <c:tickLblPos val="nextTo"/>
        <c:crossAx val="280674304"/>
        <c:crosses val="autoZero"/>
        <c:auto val="1"/>
        <c:lblAlgn val="ctr"/>
        <c:lblOffset val="100"/>
        <c:noMultiLvlLbl val="0"/>
      </c:catAx>
      <c:valAx>
        <c:axId val="280674304"/>
        <c:scaling>
          <c:orientation val="minMax"/>
        </c:scaling>
        <c:delete val="0"/>
        <c:axPos val="l"/>
        <c:majorGridlines/>
        <c:title>
          <c:tx>
            <c:rich>
              <a:bodyPr rot="-5400000" vert="horz"/>
              <a:lstStyle/>
              <a:p>
                <a:pPr>
                  <a:defRPr/>
                </a:pPr>
                <a:r>
                  <a:rPr lang="en-US"/>
                  <a:t>Minutes</a:t>
                </a:r>
              </a:p>
            </c:rich>
          </c:tx>
          <c:overlay val="0"/>
        </c:title>
        <c:numFmt formatCode="#,##0" sourceLinked="1"/>
        <c:majorTickMark val="out"/>
        <c:minorTickMark val="none"/>
        <c:tickLblPos val="nextTo"/>
        <c:crossAx val="280542720"/>
        <c:crosses val="autoZero"/>
        <c:crossBetween val="between"/>
      </c:valAx>
    </c:plotArea>
    <c:legend>
      <c:legendPos val="r"/>
      <c:overlay val="0"/>
    </c:legend>
    <c:plotVisOnly val="1"/>
    <c:dispBlanksAs val="gap"/>
    <c:showDLblsOverMax val="0"/>
  </c:chart>
  <c:txPr>
    <a:bodyPr/>
    <a:lstStyle/>
    <a:p>
      <a:pPr>
        <a:defRPr>
          <a:latin typeface="Arial" pitchFamily="34" charset="0"/>
          <a:cs typeface="Arial" pitchFamily="34" charset="0"/>
        </a:defRPr>
      </a:pPr>
      <a:endParaRPr lang="ro-RO"/>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0"/>
    <c:plotArea>
      <c:layout/>
      <c:barChart>
        <c:barDir val="bar"/>
        <c:grouping val="clustered"/>
        <c:varyColors val="0"/>
        <c:ser>
          <c:idx val="0"/>
          <c:order val="0"/>
          <c:invertIfNegative val="0"/>
          <c:cat>
            <c:strRef>
              <c:f>'v_2014-11'!$L$4:$L$14</c:f>
              <c:strCache>
                <c:ptCount val="11"/>
                <c:pt idx="0">
                  <c:v>Bucharest to Arad/Cluj via Brasov</c:v>
                </c:pt>
                <c:pt idx="1">
                  <c:v>Bucharest to Arad via Craiova</c:v>
                </c:pt>
                <c:pt idx="2">
                  <c:v>Bucharest to Galati/Iasi/Suceava</c:v>
                </c:pt>
                <c:pt idx="3">
                  <c:v>Bucharest to Sibiu via Ramnicu V.</c:v>
                </c:pt>
                <c:pt idx="4">
                  <c:v>Cluj to Iasi</c:v>
                </c:pt>
                <c:pt idx="5">
                  <c:v>Cluj to Oradea</c:v>
                </c:pt>
                <c:pt idx="6">
                  <c:v>Timisoara to Oreadea</c:v>
                </c:pt>
                <c:pt idx="7">
                  <c:v>Oradea to Cluj via Baia Mare</c:v>
                </c:pt>
                <c:pt idx="8">
                  <c:v>Bucharest to Giurgiu via Gradistea </c:v>
                </c:pt>
                <c:pt idx="9">
                  <c:v>Craiova to Calafat</c:v>
                </c:pt>
                <c:pt idx="10">
                  <c:v>Combined scenario</c:v>
                </c:pt>
              </c:strCache>
            </c:strRef>
          </c:cat>
          <c:val>
            <c:numRef>
              <c:f>'v_2014-11'!$K$4:$K$14</c:f>
              <c:numCache>
                <c:formatCode>General</c:formatCode>
                <c:ptCount val="11"/>
                <c:pt idx="0">
                  <c:v>1.0606966360514998</c:v>
                </c:pt>
                <c:pt idx="1">
                  <c:v>1.0706973093157581</c:v>
                </c:pt>
                <c:pt idx="2">
                  <c:v>1.2428501769842757</c:v>
                </c:pt>
                <c:pt idx="3">
                  <c:v>1.6217938268147343</c:v>
                </c:pt>
                <c:pt idx="4">
                  <c:v>0.39374061420952983</c:v>
                </c:pt>
                <c:pt idx="5">
                  <c:v>0.98009933132802962</c:v>
                </c:pt>
                <c:pt idx="6">
                  <c:v>0.64440069788941445</c:v>
                </c:pt>
                <c:pt idx="7">
                  <c:v>0.25277454731090881</c:v>
                </c:pt>
                <c:pt idx="8">
                  <c:v>4.1955822042062367</c:v>
                </c:pt>
                <c:pt idx="9">
                  <c:v>0.90620277315706288</c:v>
                </c:pt>
                <c:pt idx="10">
                  <c:v>1.035470949008618</c:v>
                </c:pt>
              </c:numCache>
            </c:numRef>
          </c:val>
        </c:ser>
        <c:dLbls>
          <c:showLegendKey val="0"/>
          <c:showVal val="0"/>
          <c:showCatName val="0"/>
          <c:showSerName val="0"/>
          <c:showPercent val="0"/>
          <c:showBubbleSize val="0"/>
        </c:dLbls>
        <c:gapWidth val="150"/>
        <c:axId val="280541696"/>
        <c:axId val="280674880"/>
      </c:barChart>
      <c:catAx>
        <c:axId val="280541696"/>
        <c:scaling>
          <c:orientation val="maxMin"/>
        </c:scaling>
        <c:delete val="0"/>
        <c:axPos val="l"/>
        <c:numFmt formatCode="General" sourceLinked="0"/>
        <c:majorTickMark val="out"/>
        <c:minorTickMark val="none"/>
        <c:tickLblPos val="nextTo"/>
        <c:crossAx val="280674880"/>
        <c:crosses val="autoZero"/>
        <c:auto val="1"/>
        <c:lblAlgn val="ctr"/>
        <c:lblOffset val="100"/>
        <c:noMultiLvlLbl val="0"/>
      </c:catAx>
      <c:valAx>
        <c:axId val="280674880"/>
        <c:scaling>
          <c:orientation val="minMax"/>
          <c:max val="4.5"/>
        </c:scaling>
        <c:delete val="0"/>
        <c:axPos val="t"/>
        <c:minorGridlines/>
        <c:title>
          <c:tx>
            <c:rich>
              <a:bodyPr/>
              <a:lstStyle/>
              <a:p>
                <a:pPr>
                  <a:defRPr/>
                </a:pPr>
                <a:r>
                  <a:rPr lang="en-US"/>
                  <a:t>BCR</a:t>
                </a:r>
              </a:p>
            </c:rich>
          </c:tx>
          <c:overlay val="0"/>
        </c:title>
        <c:numFmt formatCode="#,##0.0" sourceLinked="0"/>
        <c:majorTickMark val="out"/>
        <c:minorTickMark val="none"/>
        <c:tickLblPos val="nextTo"/>
        <c:crossAx val="280541696"/>
        <c:crosses val="autoZero"/>
        <c:crossBetween val="between"/>
        <c:majorUnit val="0.5"/>
        <c:minorUnit val="0.25"/>
      </c:valAx>
      <c:spPr>
        <a:ln>
          <a:solidFill>
            <a:schemeClr val="bg1">
              <a:lumMod val="65000"/>
            </a:schemeClr>
          </a:solidFill>
        </a:ln>
      </c:spPr>
    </c:plotArea>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3"/>
              <c:layout>
                <c:manualLayout>
                  <c:x val="-4.0600174978127727E-2"/>
                  <c:y val="0.15063502478856811"/>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Sheet1!$A$20:$A$26</c:f>
              <c:strCache>
                <c:ptCount val="7"/>
                <c:pt idx="0">
                  <c:v>CFR Marfa (rail)</c:v>
                </c:pt>
                <c:pt idx="1">
                  <c:v>Private rail operators</c:v>
                </c:pt>
                <c:pt idx="2">
                  <c:v>Road</c:v>
                </c:pt>
                <c:pt idx="3">
                  <c:v>River</c:v>
                </c:pt>
                <c:pt idx="4">
                  <c:v>Maritime</c:v>
                </c:pt>
                <c:pt idx="5">
                  <c:v>Air</c:v>
                </c:pt>
                <c:pt idx="6">
                  <c:v>Pipeline</c:v>
                </c:pt>
              </c:strCache>
            </c:strRef>
          </c:cat>
          <c:val>
            <c:numRef>
              <c:f>Sheet1!$B$20:$B$26</c:f>
              <c:numCache>
                <c:formatCode>#,##0</c:formatCode>
                <c:ptCount val="7"/>
                <c:pt idx="0">
                  <c:v>36736</c:v>
                </c:pt>
                <c:pt idx="1">
                  <c:v>23988</c:v>
                </c:pt>
                <c:pt idx="2">
                  <c:v>183629</c:v>
                </c:pt>
                <c:pt idx="3">
                  <c:v>29396</c:v>
                </c:pt>
                <c:pt idx="4">
                  <c:v>38883</c:v>
                </c:pt>
                <c:pt idx="5" formatCode="General">
                  <c:v>27</c:v>
                </c:pt>
                <c:pt idx="6">
                  <c:v>6020</c:v>
                </c:pt>
              </c:numCache>
            </c:numRef>
          </c:val>
        </c:ser>
        <c:dLbls>
          <c:showLegendKey val="0"/>
          <c:showVal val="1"/>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26618547681792"/>
          <c:y val="5.1400554097404488E-2"/>
          <c:w val="0.6107629046369204"/>
          <c:h val="0.70027247816516824"/>
        </c:manualLayout>
      </c:layout>
      <c:barChart>
        <c:barDir val="col"/>
        <c:grouping val="stacked"/>
        <c:varyColors val="0"/>
        <c:ser>
          <c:idx val="0"/>
          <c:order val="0"/>
          <c:tx>
            <c:strRef>
              <c:f>Sheet1!$E$23</c:f>
              <c:strCache>
                <c:ptCount val="1"/>
                <c:pt idx="0">
                  <c:v>Major Commodity</c:v>
                </c:pt>
              </c:strCache>
            </c:strRef>
          </c:tx>
          <c:invertIfNegative val="0"/>
          <c:dLbls>
            <c:dLbl>
              <c:idx val="0"/>
              <c:layout>
                <c:manualLayout>
                  <c:x val="0"/>
                  <c:y val="-0.19559902200488988"/>
                </c:manualLayout>
              </c:layout>
              <c:tx>
                <c:rich>
                  <a:bodyPr/>
                  <a:lstStyle/>
                  <a:p>
                    <a:r>
                      <a:rPr lang="en-US"/>
                      <a:t>Ores</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11522633744856E-3"/>
                  <c:y val="-0.57701711491442542"/>
                </c:manualLayout>
              </c:layout>
              <c:tx>
                <c:rich>
                  <a:bodyPr/>
                  <a:lstStyle/>
                  <a:p>
                    <a:r>
                      <a:rPr lang="en-US"/>
                      <a:t>Iron Ore</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05761316872428E-3"/>
                  <c:y val="-0.27709912789018726"/>
                </c:manualLayout>
              </c:layout>
              <c:tx>
                <c:rich>
                  <a:bodyPr/>
                  <a:lstStyle/>
                  <a:p>
                    <a:r>
                      <a:rPr lang="en-US"/>
                      <a:t>Cereals</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0576131687243455E-3"/>
                  <c:y val="-0.23471882640586791"/>
                </c:manualLayout>
              </c:layout>
              <c:tx>
                <c:rich>
                  <a:bodyPr/>
                  <a:lstStyle/>
                  <a:p>
                    <a:r>
                      <a:rPr lang="en-US"/>
                      <a:t>Mineral</a:t>
                    </a:r>
                    <a:r>
                      <a:rPr lang="en-US" baseline="0"/>
                      <a:t> Products</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6.1728395061728392E-3"/>
                  <c:y val="-0.23471882640586841"/>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4.11522633744856E-3"/>
                  <c:y val="-0.25101874490627546"/>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4.11522633744856E-3"/>
                  <c:y val="-0.21515892420537897"/>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0"/>
                  <c:y val="-0.22819885900570497"/>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8"/>
              <c:layout>
                <c:manualLayout>
                  <c:x val="7.5444944640121195E-17"/>
                  <c:y val="-0.16951915240423951"/>
                </c:manualLayout>
              </c:layout>
              <c:tx>
                <c:rich>
                  <a:bodyPr/>
                  <a:lstStyle/>
                  <a:p>
                    <a:r>
                      <a:rPr lang="en-US"/>
                      <a:t>Cereals</a:t>
                    </a:r>
                  </a:p>
                </c:rich>
              </c:tx>
              <c:showLegendKey val="0"/>
              <c:showVal val="1"/>
              <c:showCatName val="0"/>
              <c:showSerName val="0"/>
              <c:showPercent val="0"/>
              <c:showBubbleSize val="0"/>
              <c:extLst>
                <c:ext xmlns:c15="http://schemas.microsoft.com/office/drawing/2012/chart" uri="{CE6537A1-D6FC-4f65-9D91-7224C49458BB}"/>
              </c:extLst>
            </c:dLbl>
            <c:dLbl>
              <c:idx val="9"/>
              <c:layout>
                <c:manualLayout>
                  <c:x val="-1.6201678493892297E-7"/>
                  <c:y val="-0.18255908720456399"/>
                </c:manualLayout>
              </c:layout>
              <c:tx>
                <c:rich>
                  <a:bodyPr/>
                  <a:lstStyle/>
                  <a:p>
                    <a:r>
                      <a:rPr lang="en-US"/>
                      <a:t>Foodstuffs</a:t>
                    </a:r>
                  </a:p>
                </c:rich>
              </c:tx>
              <c:showLegendKey val="0"/>
              <c:showVal val="1"/>
              <c:showCatName val="0"/>
              <c:showSerName val="0"/>
              <c:showPercent val="0"/>
              <c:showBubbleSize val="0"/>
              <c:extLst>
                <c:ext xmlns:c15="http://schemas.microsoft.com/office/drawing/2012/chart" uri="{CE6537A1-D6FC-4f65-9D91-7224C49458BB}"/>
              </c:extLst>
            </c:dLbl>
            <c:dLbl>
              <c:idx val="10"/>
              <c:layout>
                <c:manualLayout>
                  <c:x val="0"/>
                  <c:y val="-0.23145909939741832"/>
                </c:manualLayout>
              </c:layout>
              <c:tx>
                <c:rich>
                  <a:bodyPr/>
                  <a:lstStyle/>
                  <a:p>
                    <a:r>
                      <a:rPr lang="en-US"/>
                      <a:t>Petroleum Products</a:t>
                    </a:r>
                  </a:p>
                </c:rich>
              </c:tx>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0.17277913610431991"/>
                </c:manualLayout>
              </c:layout>
              <c:tx>
                <c:rich>
                  <a:bodyPr/>
                  <a:lstStyle/>
                  <a:p>
                    <a:r>
                      <a:rPr lang="en-US"/>
                      <a:t>Iron Ore</a:t>
                    </a:r>
                  </a:p>
                </c:rich>
              </c:tx>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0.21841890790546301"/>
                </c:manualLayout>
              </c:layout>
              <c:tx>
                <c:rich>
                  <a:bodyPr/>
                  <a:lstStyle/>
                  <a:p>
                    <a:r>
                      <a:rPr lang="en-US"/>
                      <a:t>Metal Products</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vert="horz"/>
              <a:lstStyle/>
              <a:p>
                <a:pPr>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Sheet1!$D$24:$D$36</c:f>
              <c:strCache>
                <c:ptCount val="13"/>
                <c:pt idx="0">
                  <c:v>Tulcea</c:v>
                </c:pt>
                <c:pt idx="1">
                  <c:v>Galati</c:v>
                </c:pt>
                <c:pt idx="2">
                  <c:v>Braila</c:v>
                </c:pt>
                <c:pt idx="3">
                  <c:v>Cernavoda</c:v>
                </c:pt>
                <c:pt idx="4">
                  <c:v>Medgidia</c:v>
                </c:pt>
                <c:pt idx="5">
                  <c:v>Basarabi</c:v>
                </c:pt>
                <c:pt idx="6">
                  <c:v>Oltenita</c:v>
                </c:pt>
                <c:pt idx="7">
                  <c:v>Giurgiu</c:v>
                </c:pt>
                <c:pt idx="8">
                  <c:v>Corabia</c:v>
                </c:pt>
                <c:pt idx="9">
                  <c:v>Calafat</c:v>
                </c:pt>
                <c:pt idx="10">
                  <c:v>Drobeta</c:v>
                </c:pt>
                <c:pt idx="11">
                  <c:v>Orsova</c:v>
                </c:pt>
                <c:pt idx="12">
                  <c:v>Moldova Veche</c:v>
                </c:pt>
              </c:strCache>
            </c:strRef>
          </c:cat>
          <c:val>
            <c:numRef>
              <c:f>Sheet1!$E$24:$E$36</c:f>
              <c:numCache>
                <c:formatCode>General</c:formatCode>
                <c:ptCount val="13"/>
                <c:pt idx="0" formatCode="0">
                  <c:v>1344729</c:v>
                </c:pt>
                <c:pt idx="1">
                  <c:v>1364306</c:v>
                </c:pt>
                <c:pt idx="2">
                  <c:v>287096</c:v>
                </c:pt>
                <c:pt idx="3">
                  <c:v>106387</c:v>
                </c:pt>
                <c:pt idx="4">
                  <c:v>147000</c:v>
                </c:pt>
                <c:pt idx="5">
                  <c:v>1701000</c:v>
                </c:pt>
                <c:pt idx="6">
                  <c:v>310214</c:v>
                </c:pt>
                <c:pt idx="7">
                  <c:v>67030</c:v>
                </c:pt>
                <c:pt idx="8">
                  <c:v>15594</c:v>
                </c:pt>
                <c:pt idx="9">
                  <c:v>42795</c:v>
                </c:pt>
                <c:pt idx="10">
                  <c:v>326312</c:v>
                </c:pt>
                <c:pt idx="11">
                  <c:v>63608</c:v>
                </c:pt>
                <c:pt idx="12">
                  <c:v>13075</c:v>
                </c:pt>
              </c:numCache>
            </c:numRef>
          </c:val>
        </c:ser>
        <c:ser>
          <c:idx val="1"/>
          <c:order val="1"/>
          <c:tx>
            <c:strRef>
              <c:f>Sheet1!$F$23</c:f>
              <c:strCache>
                <c:ptCount val="1"/>
                <c:pt idx="0">
                  <c:v>Other Commodities</c:v>
                </c:pt>
              </c:strCache>
            </c:strRef>
          </c:tx>
          <c:invertIfNegative val="0"/>
          <c:dLbls>
            <c:delete val="1"/>
          </c:dLbls>
          <c:cat>
            <c:strRef>
              <c:f>Sheet1!$D$24:$D$36</c:f>
              <c:strCache>
                <c:ptCount val="13"/>
                <c:pt idx="0">
                  <c:v>Tulcea</c:v>
                </c:pt>
                <c:pt idx="1">
                  <c:v>Galati</c:v>
                </c:pt>
                <c:pt idx="2">
                  <c:v>Braila</c:v>
                </c:pt>
                <c:pt idx="3">
                  <c:v>Cernavoda</c:v>
                </c:pt>
                <c:pt idx="4">
                  <c:v>Medgidia</c:v>
                </c:pt>
                <c:pt idx="5">
                  <c:v>Basarabi</c:v>
                </c:pt>
                <c:pt idx="6">
                  <c:v>Oltenita</c:v>
                </c:pt>
                <c:pt idx="7">
                  <c:v>Giurgiu</c:v>
                </c:pt>
                <c:pt idx="8">
                  <c:v>Corabia</c:v>
                </c:pt>
                <c:pt idx="9">
                  <c:v>Calafat</c:v>
                </c:pt>
                <c:pt idx="10">
                  <c:v>Drobeta</c:v>
                </c:pt>
                <c:pt idx="11">
                  <c:v>Orsova</c:v>
                </c:pt>
                <c:pt idx="12">
                  <c:v>Moldova Veche</c:v>
                </c:pt>
              </c:strCache>
            </c:strRef>
          </c:cat>
          <c:val>
            <c:numRef>
              <c:f>Sheet1!$F$24:$F$36</c:f>
              <c:numCache>
                <c:formatCode>0</c:formatCode>
                <c:ptCount val="13"/>
                <c:pt idx="0">
                  <c:v>305591.00000000023</c:v>
                </c:pt>
                <c:pt idx="1">
                  <c:v>3735408</c:v>
                </c:pt>
                <c:pt idx="2">
                  <c:v>916455</c:v>
                </c:pt>
                <c:pt idx="3">
                  <c:v>25446</c:v>
                </c:pt>
                <c:pt idx="4">
                  <c:v>237000</c:v>
                </c:pt>
                <c:pt idx="5">
                  <c:v>18000</c:v>
                </c:pt>
                <c:pt idx="6">
                  <c:v>198193</c:v>
                </c:pt>
                <c:pt idx="7">
                  <c:v>189258</c:v>
                </c:pt>
                <c:pt idx="8">
                  <c:v>7019</c:v>
                </c:pt>
                <c:pt idx="9">
                  <c:v>96310</c:v>
                </c:pt>
                <c:pt idx="10">
                  <c:v>163800</c:v>
                </c:pt>
                <c:pt idx="11">
                  <c:v>124144</c:v>
                </c:pt>
                <c:pt idx="12">
                  <c:v>8430</c:v>
                </c:pt>
              </c:numCache>
            </c:numRef>
          </c:val>
        </c:ser>
        <c:dLbls>
          <c:showLegendKey val="0"/>
          <c:showVal val="1"/>
          <c:showCatName val="0"/>
          <c:showSerName val="0"/>
          <c:showPercent val="0"/>
          <c:showBubbleSize val="0"/>
        </c:dLbls>
        <c:gapWidth val="150"/>
        <c:overlap val="100"/>
        <c:axId val="275937280"/>
        <c:axId val="280677760"/>
      </c:barChart>
      <c:catAx>
        <c:axId val="275937280"/>
        <c:scaling>
          <c:orientation val="minMax"/>
        </c:scaling>
        <c:delete val="0"/>
        <c:axPos val="b"/>
        <c:numFmt formatCode="General" sourceLinked="0"/>
        <c:majorTickMark val="out"/>
        <c:minorTickMark val="none"/>
        <c:tickLblPos val="nextTo"/>
        <c:txPr>
          <a:bodyPr rot="-5400000" vert="horz"/>
          <a:lstStyle/>
          <a:p>
            <a:pPr>
              <a:defRPr/>
            </a:pPr>
            <a:endParaRPr lang="ro-RO"/>
          </a:p>
        </c:txPr>
        <c:crossAx val="280677760"/>
        <c:crosses val="autoZero"/>
        <c:auto val="1"/>
        <c:lblAlgn val="ctr"/>
        <c:lblOffset val="100"/>
        <c:noMultiLvlLbl val="0"/>
      </c:catAx>
      <c:valAx>
        <c:axId val="280677760"/>
        <c:scaling>
          <c:orientation val="minMax"/>
        </c:scaling>
        <c:delete val="0"/>
        <c:axPos val="l"/>
        <c:majorGridlines/>
        <c:title>
          <c:tx>
            <c:rich>
              <a:bodyPr rot="-5400000" vert="horz"/>
              <a:lstStyle/>
              <a:p>
                <a:pPr>
                  <a:defRPr/>
                </a:pPr>
                <a:r>
                  <a:rPr lang="en-US"/>
                  <a:t>Tonnes</a:t>
                </a:r>
              </a:p>
            </c:rich>
          </c:tx>
          <c:overlay val="0"/>
        </c:title>
        <c:numFmt formatCode="#,##0" sourceLinked="0"/>
        <c:majorTickMark val="out"/>
        <c:minorTickMark val="none"/>
        <c:tickLblPos val="nextTo"/>
        <c:crossAx val="275937280"/>
        <c:crosses val="autoZero"/>
        <c:crossBetween val="between"/>
      </c:valAx>
    </c:plotArea>
    <c:legend>
      <c:legendPos val="r"/>
      <c:layout>
        <c:manualLayout>
          <c:xMode val="edge"/>
          <c:yMode val="edge"/>
          <c:x val="0.82207025047794968"/>
          <c:y val="0.27276428988043389"/>
          <c:w val="0.16126308285538554"/>
          <c:h val="0.3109529017206234"/>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300908540279881E-2"/>
          <c:y val="6.5395095367847433E-2"/>
          <c:w val="0.84754516454673934"/>
          <c:h val="0.77308760110708263"/>
        </c:manualLayout>
      </c:layout>
      <c:lineChart>
        <c:grouping val="standard"/>
        <c:varyColors val="0"/>
        <c:ser>
          <c:idx val="4"/>
          <c:order val="0"/>
          <c:tx>
            <c:v>Forecast</c:v>
          </c:tx>
          <c:spPr>
            <a:ln w="22225"/>
          </c:spPr>
          <c:marker>
            <c:symbol val="none"/>
          </c:marker>
          <c:cat>
            <c:numRef>
              <c:f>'Sheet2 (2)'!$AS$6:$AS$37</c:f>
              <c:numCache>
                <c:formatCode>General</c:formatCode>
                <c:ptCount val="32"/>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pt idx="23">
                  <c:v>2022</c:v>
                </c:pt>
                <c:pt idx="24">
                  <c:v>2023</c:v>
                </c:pt>
                <c:pt idx="25">
                  <c:v>2024</c:v>
                </c:pt>
                <c:pt idx="26">
                  <c:v>2025</c:v>
                </c:pt>
                <c:pt idx="27">
                  <c:v>2026</c:v>
                </c:pt>
                <c:pt idx="28">
                  <c:v>2027</c:v>
                </c:pt>
                <c:pt idx="29">
                  <c:v>2028</c:v>
                </c:pt>
                <c:pt idx="30">
                  <c:v>2029</c:v>
                </c:pt>
                <c:pt idx="31">
                  <c:v>2030</c:v>
                </c:pt>
              </c:numCache>
            </c:numRef>
          </c:cat>
          <c:val>
            <c:numRef>
              <c:f>'Sheet2 (2)'!$AW$6:$AW$37</c:f>
              <c:numCache>
                <c:formatCode>General</c:formatCode>
                <c:ptCount val="32"/>
                <c:pt idx="0">
                  <c:v>124.98284551053735</c:v>
                </c:pt>
                <c:pt idx="1">
                  <c:v>122.87769655045715</c:v>
                </c:pt>
                <c:pt idx="2">
                  <c:v>122.57391961500792</c:v>
                </c:pt>
                <c:pt idx="3">
                  <c:v>128.06785618620773</c:v>
                </c:pt>
                <c:pt idx="4">
                  <c:v>134.84368840048921</c:v>
                </c:pt>
                <c:pt idx="5">
                  <c:v>141.41737040106619</c:v>
                </c:pt>
                <c:pt idx="6">
                  <c:v>148.52559326524749</c:v>
                </c:pt>
                <c:pt idx="7">
                  <c:v>160.75388002173995</c:v>
                </c:pt>
                <c:pt idx="8">
                  <c:v>167.57396217552972</c:v>
                </c:pt>
                <c:pt idx="9">
                  <c:v>180.76427259972436</c:v>
                </c:pt>
                <c:pt idx="10">
                  <c:v>192.27047698079627</c:v>
                </c:pt>
                <c:pt idx="11">
                  <c:v>206.59466924578172</c:v>
                </c:pt>
                <c:pt idx="12">
                  <c:v>193.40998880867627</c:v>
                </c:pt>
                <c:pt idx="13">
                  <c:v>197.76604443639658</c:v>
                </c:pt>
                <c:pt idx="14">
                  <c:v>200.09560087965858</c:v>
                </c:pt>
                <c:pt idx="15">
                  <c:v>207.99712783948848</c:v>
                </c:pt>
                <c:pt idx="16">
                  <c:v>217.25825904675602</c:v>
                </c:pt>
                <c:pt idx="17">
                  <c:v>226.71985716145952</c:v>
                </c:pt>
                <c:pt idx="18">
                  <c:v>237.02731706110276</c:v>
                </c:pt>
                <c:pt idx="19">
                  <c:v>243.79025049119952</c:v>
                </c:pt>
                <c:pt idx="20">
                  <c:v>250.72195218409792</c:v>
                </c:pt>
                <c:pt idx="21">
                  <c:v>257.81951803855026</c:v>
                </c:pt>
                <c:pt idx="22">
                  <c:v>267.56166845430158</c:v>
                </c:pt>
                <c:pt idx="23">
                  <c:v>277.57447590754356</c:v>
                </c:pt>
                <c:pt idx="24">
                  <c:v>287.84346973815036</c:v>
                </c:pt>
                <c:pt idx="25">
                  <c:v>298.35143550295385</c:v>
                </c:pt>
                <c:pt idx="26">
                  <c:v>309.07835754248242</c:v>
                </c:pt>
                <c:pt idx="27">
                  <c:v>320.00140194440149</c:v>
                </c:pt>
                <c:pt idx="28">
                  <c:v>331.09494527248694</c:v>
                </c:pt>
                <c:pt idx="29">
                  <c:v>342.33065380823899</c:v>
                </c:pt>
                <c:pt idx="30">
                  <c:v>353.67761715839225</c:v>
                </c:pt>
                <c:pt idx="31">
                  <c:v>365.10253891678559</c:v>
                </c:pt>
              </c:numCache>
            </c:numRef>
          </c:val>
          <c:smooth val="0"/>
        </c:ser>
        <c:ser>
          <c:idx val="0"/>
          <c:order val="1"/>
          <c:tx>
            <c:v>Observed</c:v>
          </c:tx>
          <c:spPr>
            <a:ln w="22225">
              <a:solidFill>
                <a:srgbClr val="FF0000"/>
              </a:solidFill>
            </a:ln>
          </c:spPr>
          <c:marker>
            <c:symbol val="none"/>
          </c:marker>
          <c:val>
            <c:numRef>
              <c:f>'Sheet2 (2)'!$AT$6:$AT$18</c:f>
              <c:numCache>
                <c:formatCode>General</c:formatCode>
                <c:ptCount val="13"/>
                <c:pt idx="0">
                  <c:v>120.15294863907575</c:v>
                </c:pt>
                <c:pt idx="1">
                  <c:v>123.69334262876085</c:v>
                </c:pt>
                <c:pt idx="2">
                  <c:v>128.44994642775222</c:v>
                </c:pt>
                <c:pt idx="3">
                  <c:v>136.18486798464542</c:v>
                </c:pt>
                <c:pt idx="4">
                  <c:v>141.81142007904003</c:v>
                </c:pt>
                <c:pt idx="5">
                  <c:v>148.55739318948667</c:v>
                </c:pt>
                <c:pt idx="6">
                  <c:v>155.30967755518748</c:v>
                </c:pt>
                <c:pt idx="7">
                  <c:v>149.03518072681169</c:v>
                </c:pt>
                <c:pt idx="8">
                  <c:v>164.82190522574905</c:v>
                </c:pt>
                <c:pt idx="9">
                  <c:v>187.07031340177892</c:v>
                </c:pt>
                <c:pt idx="10">
                  <c:v>197.45094288860929</c:v>
                </c:pt>
                <c:pt idx="11">
                  <c:v>201.27031794431377</c:v>
                </c:pt>
                <c:pt idx="12">
                  <c:v>202.40347332941408</c:v>
                </c:pt>
              </c:numCache>
            </c:numRef>
          </c:val>
          <c:smooth val="0"/>
        </c:ser>
        <c:dLbls>
          <c:showLegendKey val="0"/>
          <c:showVal val="0"/>
          <c:showCatName val="0"/>
          <c:showSerName val="0"/>
          <c:showPercent val="0"/>
          <c:showBubbleSize val="0"/>
        </c:dLbls>
        <c:marker val="1"/>
        <c:smooth val="0"/>
        <c:axId val="274730496"/>
        <c:axId val="187690944"/>
      </c:lineChart>
      <c:catAx>
        <c:axId val="274730496"/>
        <c:scaling>
          <c:orientation val="minMax"/>
        </c:scaling>
        <c:delete val="0"/>
        <c:axPos val="b"/>
        <c:numFmt formatCode="General" sourceLinked="1"/>
        <c:majorTickMark val="out"/>
        <c:minorTickMark val="none"/>
        <c:tickLblPos val="nextTo"/>
        <c:crossAx val="187690944"/>
        <c:crosses val="autoZero"/>
        <c:auto val="1"/>
        <c:lblAlgn val="ctr"/>
        <c:lblOffset val="100"/>
        <c:noMultiLvlLbl val="0"/>
      </c:catAx>
      <c:valAx>
        <c:axId val="187690944"/>
        <c:scaling>
          <c:orientation val="minMax"/>
        </c:scaling>
        <c:delete val="0"/>
        <c:axPos val="l"/>
        <c:majorGridlines>
          <c:spPr>
            <a:ln>
              <a:solidFill>
                <a:srgbClr val="FFFFFF">
                  <a:lumMod val="75000"/>
                </a:srgbClr>
              </a:solidFill>
            </a:ln>
          </c:spPr>
        </c:majorGridlines>
        <c:title>
          <c:tx>
            <c:rich>
              <a:bodyPr rot="-5400000" vert="horz"/>
              <a:lstStyle/>
              <a:p>
                <a:pPr>
                  <a:defRPr/>
                </a:pPr>
                <a:r>
                  <a:rPr lang="en-GB"/>
                  <a:t>Car Ownership (cars per 1000 population)</a:t>
                </a:r>
              </a:p>
            </c:rich>
          </c:tx>
          <c:layout>
            <c:manualLayout>
              <c:xMode val="edge"/>
              <c:yMode val="edge"/>
              <c:x val="1.0967413688673561E-2"/>
              <c:y val="5.8578386148597908E-2"/>
            </c:manualLayout>
          </c:layout>
          <c:overlay val="0"/>
        </c:title>
        <c:numFmt formatCode="General" sourceLinked="1"/>
        <c:majorTickMark val="out"/>
        <c:minorTickMark val="none"/>
        <c:tickLblPos val="nextTo"/>
        <c:crossAx val="274730496"/>
        <c:crosses val="autoZero"/>
        <c:crossBetween val="between"/>
      </c:valAx>
    </c:plotArea>
    <c:legend>
      <c:legendPos val="b"/>
      <c:layout>
        <c:manualLayout>
          <c:xMode val="edge"/>
          <c:yMode val="edge"/>
          <c:x val="0.12007171411265899"/>
          <c:y val="9.1918156007065849E-2"/>
          <c:w val="0.16293333333333804"/>
          <c:h val="0.14513906470138099"/>
        </c:manualLayout>
      </c:layout>
      <c:overlay val="0"/>
    </c:legend>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INTERNATIONAL</c:v>
                </c:pt>
              </c:strCache>
            </c:strRef>
          </c:tx>
          <c:invertIfNegative val="0"/>
          <c:cat>
            <c:strRef>
              <c:f>Sheet1!$A$2:$A$6</c:f>
              <c:strCache>
                <c:ptCount val="5"/>
                <c:pt idx="0">
                  <c:v>2009 </c:v>
                </c:pt>
                <c:pt idx="1">
                  <c:v>2010</c:v>
                </c:pt>
                <c:pt idx="2">
                  <c:v>2011</c:v>
                </c:pt>
                <c:pt idx="3">
                  <c:v>2012</c:v>
                </c:pt>
                <c:pt idx="4">
                  <c:v>2013</c:v>
                </c:pt>
              </c:strCache>
            </c:strRef>
          </c:cat>
          <c:val>
            <c:numRef>
              <c:f>Sheet1!$B$2:$B$6</c:f>
              <c:numCache>
                <c:formatCode>General</c:formatCode>
                <c:ptCount val="5"/>
                <c:pt idx="0">
                  <c:v>5104389</c:v>
                </c:pt>
                <c:pt idx="1">
                  <c:v>6332034</c:v>
                </c:pt>
                <c:pt idx="2">
                  <c:v>4860952</c:v>
                </c:pt>
                <c:pt idx="3">
                  <c:v>8433856</c:v>
                </c:pt>
                <c:pt idx="4">
                  <c:v>8631657</c:v>
                </c:pt>
              </c:numCache>
            </c:numRef>
          </c:val>
        </c:ser>
        <c:ser>
          <c:idx val="1"/>
          <c:order val="1"/>
          <c:tx>
            <c:strRef>
              <c:f>Sheet1!$C$1</c:f>
              <c:strCache>
                <c:ptCount val="1"/>
                <c:pt idx="0">
                  <c:v>DOMESTIC</c:v>
                </c:pt>
              </c:strCache>
            </c:strRef>
          </c:tx>
          <c:invertIfNegative val="0"/>
          <c:cat>
            <c:strRef>
              <c:f>Sheet1!$A$2:$A$6</c:f>
              <c:strCache>
                <c:ptCount val="5"/>
                <c:pt idx="0">
                  <c:v>2009 </c:v>
                </c:pt>
                <c:pt idx="1">
                  <c:v>2010</c:v>
                </c:pt>
                <c:pt idx="2">
                  <c:v>2011</c:v>
                </c:pt>
                <c:pt idx="3">
                  <c:v>2012</c:v>
                </c:pt>
                <c:pt idx="4">
                  <c:v>2013</c:v>
                </c:pt>
              </c:strCache>
            </c:strRef>
          </c:cat>
          <c:val>
            <c:numRef>
              <c:f>Sheet1!$C$2:$C$6</c:f>
              <c:numCache>
                <c:formatCode>General</c:formatCode>
                <c:ptCount val="5"/>
                <c:pt idx="0">
                  <c:v>4166344</c:v>
                </c:pt>
                <c:pt idx="1">
                  <c:v>6026315</c:v>
                </c:pt>
                <c:pt idx="2">
                  <c:v>6754217</c:v>
                </c:pt>
                <c:pt idx="3">
                  <c:v>5288305</c:v>
                </c:pt>
                <c:pt idx="4">
                  <c:v>5334386</c:v>
                </c:pt>
              </c:numCache>
            </c:numRef>
          </c:val>
        </c:ser>
        <c:dLbls>
          <c:showLegendKey val="0"/>
          <c:showVal val="0"/>
          <c:showCatName val="0"/>
          <c:showSerName val="0"/>
          <c:showPercent val="0"/>
          <c:showBubbleSize val="0"/>
        </c:dLbls>
        <c:gapWidth val="150"/>
        <c:overlap val="100"/>
        <c:axId val="275936768"/>
        <c:axId val="280679488"/>
      </c:barChart>
      <c:catAx>
        <c:axId val="275936768"/>
        <c:scaling>
          <c:orientation val="minMax"/>
        </c:scaling>
        <c:delete val="0"/>
        <c:axPos val="b"/>
        <c:numFmt formatCode="General" sourceLinked="0"/>
        <c:majorTickMark val="out"/>
        <c:minorTickMark val="none"/>
        <c:tickLblPos val="nextTo"/>
        <c:crossAx val="280679488"/>
        <c:crosses val="autoZero"/>
        <c:auto val="1"/>
        <c:lblAlgn val="ctr"/>
        <c:lblOffset val="100"/>
        <c:noMultiLvlLbl val="0"/>
      </c:catAx>
      <c:valAx>
        <c:axId val="280679488"/>
        <c:scaling>
          <c:orientation val="minMax"/>
        </c:scaling>
        <c:delete val="0"/>
        <c:axPos val="l"/>
        <c:majorGridlines/>
        <c:numFmt formatCode="#,##0" sourceLinked="0"/>
        <c:majorTickMark val="out"/>
        <c:minorTickMark val="none"/>
        <c:tickLblPos val="nextTo"/>
        <c:crossAx val="275936768"/>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Report!$N$393</c:f>
              <c:strCache>
                <c:ptCount val="1"/>
                <c:pt idx="0">
                  <c:v>Base 
Scenario</c:v>
                </c:pt>
              </c:strCache>
            </c:strRef>
          </c:tx>
          <c:invertIfNegative val="0"/>
          <c:cat>
            <c:numRef>
              <c:f>Report!$M$394:$M$396</c:f>
              <c:numCache>
                <c:formatCode>General</c:formatCode>
                <c:ptCount val="3"/>
                <c:pt idx="0">
                  <c:v>2011</c:v>
                </c:pt>
                <c:pt idx="1">
                  <c:v>2020</c:v>
                </c:pt>
                <c:pt idx="2">
                  <c:v>2030</c:v>
                </c:pt>
              </c:numCache>
            </c:numRef>
          </c:cat>
          <c:val>
            <c:numRef>
              <c:f>Report!$N$394:$N$396</c:f>
              <c:numCache>
                <c:formatCode>General</c:formatCode>
                <c:ptCount val="3"/>
                <c:pt idx="0">
                  <c:v>13018906.140000001</c:v>
                </c:pt>
              </c:numCache>
            </c:numRef>
          </c:val>
        </c:ser>
        <c:ser>
          <c:idx val="1"/>
          <c:order val="1"/>
          <c:tx>
            <c:strRef>
              <c:f>Report!$O$393</c:f>
              <c:strCache>
                <c:ptCount val="1"/>
                <c:pt idx="0">
                  <c:v>Do Nothing Scenario</c:v>
                </c:pt>
              </c:strCache>
            </c:strRef>
          </c:tx>
          <c:invertIfNegative val="0"/>
          <c:cat>
            <c:numRef>
              <c:f>Report!$M$394:$M$396</c:f>
              <c:numCache>
                <c:formatCode>General</c:formatCode>
                <c:ptCount val="3"/>
                <c:pt idx="0">
                  <c:v>2011</c:v>
                </c:pt>
                <c:pt idx="1">
                  <c:v>2020</c:v>
                </c:pt>
                <c:pt idx="2">
                  <c:v>2030</c:v>
                </c:pt>
              </c:numCache>
            </c:numRef>
          </c:cat>
          <c:val>
            <c:numRef>
              <c:f>Report!$O$394:$O$396</c:f>
              <c:numCache>
                <c:formatCode>General</c:formatCode>
                <c:ptCount val="3"/>
                <c:pt idx="1">
                  <c:v>12301905.615</c:v>
                </c:pt>
                <c:pt idx="2">
                  <c:v>14408654.590000002</c:v>
                </c:pt>
              </c:numCache>
            </c:numRef>
          </c:val>
        </c:ser>
        <c:ser>
          <c:idx val="2"/>
          <c:order val="2"/>
          <c:tx>
            <c:strRef>
              <c:f>Report!$P$393</c:f>
              <c:strCache>
                <c:ptCount val="1"/>
                <c:pt idx="0">
                  <c:v>Reference Case</c:v>
                </c:pt>
              </c:strCache>
            </c:strRef>
          </c:tx>
          <c:invertIfNegative val="0"/>
          <c:cat>
            <c:numRef>
              <c:f>Report!$M$394:$M$396</c:f>
              <c:numCache>
                <c:formatCode>General</c:formatCode>
                <c:ptCount val="3"/>
                <c:pt idx="0">
                  <c:v>2011</c:v>
                </c:pt>
                <c:pt idx="1">
                  <c:v>2020</c:v>
                </c:pt>
                <c:pt idx="2">
                  <c:v>2030</c:v>
                </c:pt>
              </c:numCache>
            </c:numRef>
          </c:cat>
          <c:val>
            <c:numRef>
              <c:f>Report!$P$394:$P$396</c:f>
              <c:numCache>
                <c:formatCode>#,##0</c:formatCode>
                <c:ptCount val="3"/>
                <c:pt idx="1">
                  <c:v>29470.099999999617</c:v>
                </c:pt>
                <c:pt idx="2">
                  <c:v>6135.6499999985099</c:v>
                </c:pt>
              </c:numCache>
            </c:numRef>
          </c:val>
        </c:ser>
        <c:dLbls>
          <c:showLegendKey val="0"/>
          <c:showVal val="0"/>
          <c:showCatName val="0"/>
          <c:showSerName val="0"/>
          <c:showPercent val="0"/>
          <c:showBubbleSize val="0"/>
        </c:dLbls>
        <c:gapWidth val="150"/>
        <c:overlap val="100"/>
        <c:axId val="275937792"/>
        <c:axId val="280681216"/>
      </c:barChart>
      <c:catAx>
        <c:axId val="275937792"/>
        <c:scaling>
          <c:orientation val="minMax"/>
        </c:scaling>
        <c:delete val="0"/>
        <c:axPos val="b"/>
        <c:numFmt formatCode="General" sourceLinked="1"/>
        <c:majorTickMark val="out"/>
        <c:minorTickMark val="none"/>
        <c:tickLblPos val="nextTo"/>
        <c:crossAx val="280681216"/>
        <c:crosses val="autoZero"/>
        <c:auto val="1"/>
        <c:lblAlgn val="ctr"/>
        <c:lblOffset val="100"/>
        <c:noMultiLvlLbl val="0"/>
      </c:catAx>
      <c:valAx>
        <c:axId val="280681216"/>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75937792"/>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Report!$N$412</c:f>
              <c:strCache>
                <c:ptCount val="1"/>
                <c:pt idx="0">
                  <c:v>Base 
Scenario</c:v>
                </c:pt>
              </c:strCache>
            </c:strRef>
          </c:tx>
          <c:invertIfNegative val="0"/>
          <c:cat>
            <c:numRef>
              <c:f>Report!$M$413:$M$415</c:f>
              <c:numCache>
                <c:formatCode>General</c:formatCode>
                <c:ptCount val="3"/>
                <c:pt idx="0">
                  <c:v>2011</c:v>
                </c:pt>
                <c:pt idx="1">
                  <c:v>2020</c:v>
                </c:pt>
                <c:pt idx="2">
                  <c:v>2030</c:v>
                </c:pt>
              </c:numCache>
            </c:numRef>
          </c:cat>
          <c:val>
            <c:numRef>
              <c:f>Report!$N$413:$N$415</c:f>
              <c:numCache>
                <c:formatCode>General</c:formatCode>
                <c:ptCount val="3"/>
                <c:pt idx="0" formatCode="#,##0">
                  <c:v>11764879.27905</c:v>
                </c:pt>
              </c:numCache>
            </c:numRef>
          </c:val>
        </c:ser>
        <c:ser>
          <c:idx val="1"/>
          <c:order val="1"/>
          <c:tx>
            <c:strRef>
              <c:f>Report!$O$412</c:f>
              <c:strCache>
                <c:ptCount val="1"/>
                <c:pt idx="0">
                  <c:v>Do Nothing Scenario</c:v>
                </c:pt>
              </c:strCache>
            </c:strRef>
          </c:tx>
          <c:invertIfNegative val="0"/>
          <c:cat>
            <c:numRef>
              <c:f>Report!$M$413:$M$415</c:f>
              <c:numCache>
                <c:formatCode>General</c:formatCode>
                <c:ptCount val="3"/>
                <c:pt idx="0">
                  <c:v>2011</c:v>
                </c:pt>
                <c:pt idx="1">
                  <c:v>2020</c:v>
                </c:pt>
                <c:pt idx="2">
                  <c:v>2030</c:v>
                </c:pt>
              </c:numCache>
            </c:numRef>
          </c:cat>
          <c:val>
            <c:numRef>
              <c:f>Report!$O$413:$O$415</c:f>
              <c:numCache>
                <c:formatCode>#,##0</c:formatCode>
                <c:ptCount val="3"/>
                <c:pt idx="1">
                  <c:v>11350854.216449922</c:v>
                </c:pt>
                <c:pt idx="2">
                  <c:v>12603622.276349979</c:v>
                </c:pt>
              </c:numCache>
            </c:numRef>
          </c:val>
        </c:ser>
        <c:ser>
          <c:idx val="2"/>
          <c:order val="2"/>
          <c:tx>
            <c:strRef>
              <c:f>Report!$P$412</c:f>
              <c:strCache>
                <c:ptCount val="1"/>
                <c:pt idx="0">
                  <c:v>Reference Case</c:v>
                </c:pt>
              </c:strCache>
            </c:strRef>
          </c:tx>
          <c:invertIfNegative val="0"/>
          <c:cat>
            <c:numRef>
              <c:f>Report!$M$413:$M$415</c:f>
              <c:numCache>
                <c:formatCode>General</c:formatCode>
                <c:ptCount val="3"/>
                <c:pt idx="0">
                  <c:v>2011</c:v>
                </c:pt>
                <c:pt idx="1">
                  <c:v>2020</c:v>
                </c:pt>
                <c:pt idx="2">
                  <c:v>2030</c:v>
                </c:pt>
              </c:numCache>
            </c:numRef>
          </c:cat>
          <c:val>
            <c:numRef>
              <c:f>Report!$P$413:$P$415</c:f>
              <c:numCache>
                <c:formatCode>#,##0</c:formatCode>
                <c:ptCount val="3"/>
                <c:pt idx="1">
                  <c:v>28687.404950000346</c:v>
                </c:pt>
                <c:pt idx="2">
                  <c:v>57903.567150004194</c:v>
                </c:pt>
              </c:numCache>
            </c:numRef>
          </c:val>
        </c:ser>
        <c:dLbls>
          <c:showLegendKey val="0"/>
          <c:showVal val="0"/>
          <c:showCatName val="0"/>
          <c:showSerName val="0"/>
          <c:showPercent val="0"/>
          <c:showBubbleSize val="0"/>
        </c:dLbls>
        <c:gapWidth val="150"/>
        <c:overlap val="100"/>
        <c:axId val="275938304"/>
        <c:axId val="282526272"/>
      </c:barChart>
      <c:catAx>
        <c:axId val="275938304"/>
        <c:scaling>
          <c:orientation val="minMax"/>
        </c:scaling>
        <c:delete val="0"/>
        <c:axPos val="b"/>
        <c:numFmt formatCode="General" sourceLinked="1"/>
        <c:majorTickMark val="out"/>
        <c:minorTickMark val="none"/>
        <c:tickLblPos val="nextTo"/>
        <c:crossAx val="282526272"/>
        <c:crosses val="autoZero"/>
        <c:auto val="1"/>
        <c:lblAlgn val="ctr"/>
        <c:lblOffset val="100"/>
        <c:noMultiLvlLbl val="0"/>
      </c:catAx>
      <c:valAx>
        <c:axId val="282526272"/>
        <c:scaling>
          <c:orientation val="minMax"/>
        </c:scaling>
        <c:delete val="0"/>
        <c:axPos val="l"/>
        <c:majorGridlines/>
        <c:title>
          <c:tx>
            <c:rich>
              <a:bodyPr rot="-5400000" vert="horz"/>
              <a:lstStyle/>
              <a:p>
                <a:pPr>
                  <a:defRPr/>
                </a:pPr>
                <a:r>
                  <a:rPr lang="en-GB"/>
                  <a:t>Tonnes</a:t>
                </a:r>
              </a:p>
            </c:rich>
          </c:tx>
          <c:overlay val="0"/>
        </c:title>
        <c:numFmt formatCode="#,##0" sourceLinked="1"/>
        <c:majorTickMark val="out"/>
        <c:minorTickMark val="none"/>
        <c:tickLblPos val="nextTo"/>
        <c:crossAx val="275938304"/>
        <c:crosses val="autoZero"/>
        <c:crossBetween val="between"/>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stacked"/>
        <c:varyColors val="0"/>
        <c:ser>
          <c:idx val="0"/>
          <c:order val="0"/>
          <c:tx>
            <c:strRef>
              <c:f>Commodity!$G$9</c:f>
              <c:strCache>
                <c:ptCount val="1"/>
                <c:pt idx="0">
                  <c:v>Reference</c:v>
                </c:pt>
              </c:strCache>
            </c:strRef>
          </c:tx>
          <c:invertIfNegative val="0"/>
          <c:cat>
            <c:numRef>
              <c:f>Commodity!$H$1:$M$1</c:f>
              <c:numCache>
                <c:formatCode>General</c:formatCode>
                <c:ptCount val="6"/>
                <c:pt idx="0">
                  <c:v>2007</c:v>
                </c:pt>
                <c:pt idx="1">
                  <c:v>2008</c:v>
                </c:pt>
                <c:pt idx="2">
                  <c:v>2009</c:v>
                </c:pt>
                <c:pt idx="3">
                  <c:v>2010</c:v>
                </c:pt>
                <c:pt idx="4">
                  <c:v>2011</c:v>
                </c:pt>
                <c:pt idx="5">
                  <c:v>2020</c:v>
                </c:pt>
              </c:numCache>
            </c:numRef>
          </c:cat>
          <c:val>
            <c:numRef>
              <c:f>Commodity!$H$9:$M$9</c:f>
              <c:numCache>
                <c:formatCode>#,##0</c:formatCode>
                <c:ptCount val="6"/>
                <c:pt idx="0">
                  <c:v>10768787</c:v>
                </c:pt>
                <c:pt idx="1">
                  <c:v>11385192</c:v>
                </c:pt>
                <c:pt idx="2">
                  <c:v>7864229</c:v>
                </c:pt>
                <c:pt idx="3">
                  <c:v>10588282</c:v>
                </c:pt>
                <c:pt idx="4">
                  <c:v>8747432</c:v>
                </c:pt>
                <c:pt idx="5">
                  <c:v>12308789.15</c:v>
                </c:pt>
              </c:numCache>
            </c:numRef>
          </c:val>
        </c:ser>
        <c:ser>
          <c:idx val="1"/>
          <c:order val="1"/>
          <c:tx>
            <c:strRef>
              <c:f>Commodity!$G$10</c:f>
              <c:strCache>
                <c:ptCount val="1"/>
                <c:pt idx="0">
                  <c:v>Scheme</c:v>
                </c:pt>
              </c:strCache>
            </c:strRef>
          </c:tx>
          <c:spPr>
            <a:solidFill>
              <a:schemeClr val="tx1"/>
            </a:solidFill>
          </c:spPr>
          <c:invertIfNegative val="0"/>
          <c:cat>
            <c:numRef>
              <c:f>Commodity!$H$1:$M$1</c:f>
              <c:numCache>
                <c:formatCode>General</c:formatCode>
                <c:ptCount val="6"/>
                <c:pt idx="0">
                  <c:v>2007</c:v>
                </c:pt>
                <c:pt idx="1">
                  <c:v>2008</c:v>
                </c:pt>
                <c:pt idx="2">
                  <c:v>2009</c:v>
                </c:pt>
                <c:pt idx="3">
                  <c:v>2010</c:v>
                </c:pt>
                <c:pt idx="4">
                  <c:v>2011</c:v>
                </c:pt>
                <c:pt idx="5">
                  <c:v>2020</c:v>
                </c:pt>
              </c:numCache>
            </c:numRef>
          </c:cat>
          <c:val>
            <c:numRef>
              <c:f>Commodity!$H$10:$M$10</c:f>
              <c:numCache>
                <c:formatCode>General</c:formatCode>
                <c:ptCount val="6"/>
                <c:pt idx="5">
                  <c:v>599554.83999999939</c:v>
                </c:pt>
              </c:numCache>
            </c:numRef>
          </c:val>
        </c:ser>
        <c:dLbls>
          <c:showLegendKey val="0"/>
          <c:showVal val="0"/>
          <c:showCatName val="0"/>
          <c:showSerName val="0"/>
          <c:showPercent val="0"/>
          <c:showBubbleSize val="0"/>
        </c:dLbls>
        <c:gapWidth val="150"/>
        <c:overlap val="100"/>
        <c:axId val="280540672"/>
        <c:axId val="282528000"/>
      </c:barChart>
      <c:catAx>
        <c:axId val="280540672"/>
        <c:scaling>
          <c:orientation val="minMax"/>
        </c:scaling>
        <c:delete val="0"/>
        <c:axPos val="b"/>
        <c:numFmt formatCode="General" sourceLinked="1"/>
        <c:majorTickMark val="out"/>
        <c:minorTickMark val="none"/>
        <c:tickLblPos val="nextTo"/>
        <c:crossAx val="282528000"/>
        <c:crosses val="autoZero"/>
        <c:auto val="1"/>
        <c:lblAlgn val="ctr"/>
        <c:lblOffset val="100"/>
        <c:noMultiLvlLbl val="0"/>
      </c:catAx>
      <c:valAx>
        <c:axId val="282528000"/>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0540672"/>
        <c:crosses val="autoZero"/>
        <c:crossBetween val="between"/>
      </c:valAx>
    </c:plotArea>
    <c:legend>
      <c:legendPos val="r"/>
      <c:overlay val="0"/>
    </c:legend>
    <c:plotVisOnly val="1"/>
    <c:dispBlanksAs val="gap"/>
    <c:showDLblsOverMax val="0"/>
  </c:chart>
  <c:txPr>
    <a:bodyPr/>
    <a:lstStyle/>
    <a:p>
      <a:pPr>
        <a:defRPr u="sng"/>
      </a:pPr>
      <a:endParaRPr lang="ro-R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Sheet1!$E$7</c:f>
              <c:strCache>
                <c:ptCount val="1"/>
                <c:pt idx="0">
                  <c:v>Reference</c:v>
                </c:pt>
              </c:strCache>
            </c:strRef>
          </c:tx>
          <c:invertIfNegative val="0"/>
          <c:cat>
            <c:numRef>
              <c:f>Sheet1!$F$6:$H$6</c:f>
              <c:numCache>
                <c:formatCode>General</c:formatCode>
                <c:ptCount val="3"/>
                <c:pt idx="0">
                  <c:v>2008</c:v>
                </c:pt>
                <c:pt idx="1">
                  <c:v>2011</c:v>
                </c:pt>
                <c:pt idx="2">
                  <c:v>2020</c:v>
                </c:pt>
              </c:numCache>
            </c:numRef>
          </c:cat>
          <c:val>
            <c:numRef>
              <c:f>Sheet1!$F$7:$H$7</c:f>
              <c:numCache>
                <c:formatCode>0.000</c:formatCode>
                <c:ptCount val="3"/>
                <c:pt idx="0">
                  <c:v>224392.00000000003</c:v>
                </c:pt>
                <c:pt idx="1">
                  <c:v>1650320.0000000002</c:v>
                </c:pt>
                <c:pt idx="2" formatCode="General">
                  <c:v>1147442.7547000002</c:v>
                </c:pt>
              </c:numCache>
            </c:numRef>
          </c:val>
        </c:ser>
        <c:ser>
          <c:idx val="1"/>
          <c:order val="1"/>
          <c:tx>
            <c:strRef>
              <c:f>Sheet1!$E$8</c:f>
              <c:strCache>
                <c:ptCount val="1"/>
                <c:pt idx="0">
                  <c:v>Scheme</c:v>
                </c:pt>
              </c:strCache>
            </c:strRef>
          </c:tx>
          <c:spPr>
            <a:solidFill>
              <a:schemeClr val="tx1"/>
            </a:solidFill>
          </c:spPr>
          <c:invertIfNegative val="0"/>
          <c:cat>
            <c:numRef>
              <c:f>Sheet1!$F$6:$H$6</c:f>
              <c:numCache>
                <c:formatCode>General</c:formatCode>
                <c:ptCount val="3"/>
                <c:pt idx="0">
                  <c:v>2008</c:v>
                </c:pt>
                <c:pt idx="1">
                  <c:v>2011</c:v>
                </c:pt>
                <c:pt idx="2">
                  <c:v>2020</c:v>
                </c:pt>
              </c:numCache>
            </c:numRef>
          </c:cat>
          <c:val>
            <c:numRef>
              <c:f>Sheet1!$F$8:$H$8</c:f>
              <c:numCache>
                <c:formatCode>General</c:formatCode>
                <c:ptCount val="3"/>
                <c:pt idx="2">
                  <c:v>328527.17789999954</c:v>
                </c:pt>
              </c:numCache>
            </c:numRef>
          </c:val>
        </c:ser>
        <c:dLbls>
          <c:showLegendKey val="0"/>
          <c:showVal val="0"/>
          <c:showCatName val="0"/>
          <c:showSerName val="0"/>
          <c:showPercent val="0"/>
          <c:showBubbleSize val="0"/>
        </c:dLbls>
        <c:gapWidth val="150"/>
        <c:overlap val="100"/>
        <c:axId val="275938816"/>
        <c:axId val="282529728"/>
      </c:barChart>
      <c:catAx>
        <c:axId val="27593881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o-RO"/>
          </a:p>
        </c:txPr>
        <c:crossAx val="282529728"/>
        <c:crosses val="autoZero"/>
        <c:auto val="1"/>
        <c:lblAlgn val="ctr"/>
        <c:lblOffset val="100"/>
        <c:noMultiLvlLbl val="0"/>
      </c:catAx>
      <c:valAx>
        <c:axId val="282529728"/>
        <c:scaling>
          <c:orientation val="minMax"/>
        </c:scaling>
        <c:delete val="0"/>
        <c:axPos val="l"/>
        <c:majorGridlines/>
        <c:title>
          <c:tx>
            <c:rich>
              <a:bodyPr rot="-5400000" vert="horz"/>
              <a:lstStyle/>
              <a:p>
                <a:pPr>
                  <a:defRPr/>
                </a:pPr>
                <a:r>
                  <a:rPr lang="en-GB" b="1"/>
                  <a:t>Tonnes</a:t>
                </a:r>
              </a:p>
            </c:rich>
          </c:tx>
          <c:overlay val="0"/>
        </c:title>
        <c:numFmt formatCode="#,##0"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o-RO"/>
          </a:p>
        </c:txPr>
        <c:crossAx val="275938816"/>
        <c:crosses val="autoZero"/>
        <c:crossBetween val="between"/>
      </c:valAx>
    </c:plotArea>
    <c:legend>
      <c:legendPos val="r"/>
      <c:overlay val="0"/>
      <c:txPr>
        <a:bodyPr/>
        <a:lstStyle/>
        <a:p>
          <a:pPr>
            <a:defRPr sz="920" b="0" i="0" u="none" strike="noStrike" baseline="0">
              <a:solidFill>
                <a:srgbClr val="000000"/>
              </a:solidFill>
              <a:latin typeface="Calibri"/>
              <a:ea typeface="Calibri"/>
              <a:cs typeface="Calibri"/>
            </a:defRPr>
          </a:pPr>
          <a:endParaRPr lang="ro-RO"/>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o-R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Commodity!$H$8</c:f>
              <c:strCache>
                <c:ptCount val="1"/>
                <c:pt idx="0">
                  <c:v>Reference</c:v>
                </c:pt>
              </c:strCache>
            </c:strRef>
          </c:tx>
          <c:invertIfNegative val="0"/>
          <c:val>
            <c:numRef>
              <c:f>Commodity!$I$8:$N$8</c:f>
              <c:numCache>
                <c:formatCode>_-* #,##0_-;\-* #,##0_-;_-* "-"??_-;_-@_-</c:formatCode>
                <c:ptCount val="6"/>
                <c:pt idx="0">
                  <c:v>10058466</c:v>
                </c:pt>
                <c:pt idx="1">
                  <c:v>8871664</c:v>
                </c:pt>
                <c:pt idx="2">
                  <c:v>4765556</c:v>
                </c:pt>
                <c:pt idx="3">
                  <c:v>6351125</c:v>
                </c:pt>
                <c:pt idx="4">
                  <c:v>5099714</c:v>
                </c:pt>
                <c:pt idx="5">
                  <c:v>5823027.0985000003</c:v>
                </c:pt>
              </c:numCache>
            </c:numRef>
          </c:val>
        </c:ser>
        <c:ser>
          <c:idx val="6"/>
          <c:order val="1"/>
          <c:tx>
            <c:strRef>
              <c:f>Commodity!$H$9</c:f>
              <c:strCache>
                <c:ptCount val="1"/>
                <c:pt idx="0">
                  <c:v>Scheme</c:v>
                </c:pt>
              </c:strCache>
            </c:strRef>
          </c:tx>
          <c:spPr>
            <a:solidFill>
              <a:schemeClr val="tx1"/>
            </a:solidFill>
          </c:spPr>
          <c:invertIfNegative val="0"/>
          <c:cat>
            <c:numRef>
              <c:f>Commodity!$I$1:$N$1</c:f>
              <c:numCache>
                <c:formatCode>General</c:formatCode>
                <c:ptCount val="6"/>
                <c:pt idx="0">
                  <c:v>2007</c:v>
                </c:pt>
                <c:pt idx="1">
                  <c:v>2008</c:v>
                </c:pt>
                <c:pt idx="2">
                  <c:v>2009</c:v>
                </c:pt>
                <c:pt idx="3">
                  <c:v>2010</c:v>
                </c:pt>
                <c:pt idx="4">
                  <c:v>2011</c:v>
                </c:pt>
                <c:pt idx="5">
                  <c:v>2020</c:v>
                </c:pt>
              </c:numCache>
            </c:numRef>
          </c:cat>
          <c:val>
            <c:numRef>
              <c:f>Commodity!$I$9:$N$9</c:f>
              <c:numCache>
                <c:formatCode>General</c:formatCode>
                <c:ptCount val="6"/>
                <c:pt idx="5">
                  <c:v>618501.25999999896</c:v>
                </c:pt>
              </c:numCache>
            </c:numRef>
          </c:val>
        </c:ser>
        <c:dLbls>
          <c:showLegendKey val="0"/>
          <c:showVal val="0"/>
          <c:showCatName val="0"/>
          <c:showSerName val="0"/>
          <c:showPercent val="0"/>
          <c:showBubbleSize val="0"/>
        </c:dLbls>
        <c:gapWidth val="150"/>
        <c:overlap val="100"/>
        <c:axId val="282947584"/>
        <c:axId val="282531456"/>
      </c:barChart>
      <c:catAx>
        <c:axId val="282947584"/>
        <c:scaling>
          <c:orientation val="minMax"/>
        </c:scaling>
        <c:delete val="0"/>
        <c:axPos val="b"/>
        <c:numFmt formatCode="General" sourceLinked="1"/>
        <c:majorTickMark val="out"/>
        <c:minorTickMark val="none"/>
        <c:tickLblPos val="nextTo"/>
        <c:crossAx val="282531456"/>
        <c:crosses val="autoZero"/>
        <c:auto val="1"/>
        <c:lblAlgn val="ctr"/>
        <c:lblOffset val="100"/>
        <c:noMultiLvlLbl val="0"/>
      </c:catAx>
      <c:valAx>
        <c:axId val="282531456"/>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47584"/>
        <c:crosses val="autoZero"/>
        <c:crossBetween val="between"/>
      </c:valAx>
    </c:plotArea>
    <c:legend>
      <c:legendPos val="r"/>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Commodity!$K$19</c:f>
              <c:strCache>
                <c:ptCount val="1"/>
                <c:pt idx="0">
                  <c:v>Reference</c:v>
                </c:pt>
              </c:strCache>
            </c:strRef>
          </c:tx>
          <c:invertIfNegative val="0"/>
          <c:cat>
            <c:numRef>
              <c:f>Commodity!$L$18:$Q$18</c:f>
              <c:numCache>
                <c:formatCode>General</c:formatCode>
                <c:ptCount val="6"/>
                <c:pt idx="0">
                  <c:v>2007</c:v>
                </c:pt>
                <c:pt idx="1">
                  <c:v>2008</c:v>
                </c:pt>
                <c:pt idx="2">
                  <c:v>2009</c:v>
                </c:pt>
                <c:pt idx="3">
                  <c:v>2010</c:v>
                </c:pt>
                <c:pt idx="4">
                  <c:v>2011</c:v>
                </c:pt>
                <c:pt idx="5">
                  <c:v>2020</c:v>
                </c:pt>
              </c:numCache>
            </c:numRef>
          </c:cat>
          <c:val>
            <c:numRef>
              <c:f>Commodity!$L$19:$Q$19</c:f>
              <c:numCache>
                <c:formatCode>General</c:formatCode>
                <c:ptCount val="6"/>
                <c:pt idx="0">
                  <c:v>249426</c:v>
                </c:pt>
                <c:pt idx="1">
                  <c:v>0</c:v>
                </c:pt>
                <c:pt idx="2">
                  <c:v>0</c:v>
                </c:pt>
                <c:pt idx="3">
                  <c:v>75533</c:v>
                </c:pt>
                <c:pt idx="4">
                  <c:v>131833</c:v>
                </c:pt>
                <c:pt idx="5">
                  <c:v>249360.55399999995</c:v>
                </c:pt>
              </c:numCache>
            </c:numRef>
          </c:val>
        </c:ser>
        <c:ser>
          <c:idx val="1"/>
          <c:order val="1"/>
          <c:tx>
            <c:strRef>
              <c:f>Commodity!$K$20</c:f>
              <c:strCache>
                <c:ptCount val="1"/>
                <c:pt idx="0">
                  <c:v>Scheme</c:v>
                </c:pt>
              </c:strCache>
            </c:strRef>
          </c:tx>
          <c:spPr>
            <a:solidFill>
              <a:schemeClr val="tx1"/>
            </a:solidFill>
          </c:spPr>
          <c:invertIfNegative val="0"/>
          <c:cat>
            <c:numRef>
              <c:f>Commodity!$L$18:$Q$18</c:f>
              <c:numCache>
                <c:formatCode>General</c:formatCode>
                <c:ptCount val="6"/>
                <c:pt idx="0">
                  <c:v>2007</c:v>
                </c:pt>
                <c:pt idx="1">
                  <c:v>2008</c:v>
                </c:pt>
                <c:pt idx="2">
                  <c:v>2009</c:v>
                </c:pt>
                <c:pt idx="3">
                  <c:v>2010</c:v>
                </c:pt>
                <c:pt idx="4">
                  <c:v>2011</c:v>
                </c:pt>
                <c:pt idx="5">
                  <c:v>2020</c:v>
                </c:pt>
              </c:numCache>
            </c:numRef>
          </c:cat>
          <c:val>
            <c:numRef>
              <c:f>Commodity!$L$20:$Q$20</c:f>
              <c:numCache>
                <c:formatCode>General</c:formatCode>
                <c:ptCount val="6"/>
                <c:pt idx="5">
                  <c:v>365350.54599999986</c:v>
                </c:pt>
              </c:numCache>
            </c:numRef>
          </c:val>
        </c:ser>
        <c:dLbls>
          <c:showLegendKey val="0"/>
          <c:showVal val="0"/>
          <c:showCatName val="0"/>
          <c:showSerName val="0"/>
          <c:showPercent val="0"/>
          <c:showBubbleSize val="0"/>
        </c:dLbls>
        <c:gapWidth val="150"/>
        <c:overlap val="100"/>
        <c:axId val="282948096"/>
        <c:axId val="282533184"/>
      </c:barChart>
      <c:catAx>
        <c:axId val="282948096"/>
        <c:scaling>
          <c:orientation val="minMax"/>
        </c:scaling>
        <c:delete val="0"/>
        <c:axPos val="b"/>
        <c:numFmt formatCode="General" sourceLinked="1"/>
        <c:majorTickMark val="out"/>
        <c:minorTickMark val="none"/>
        <c:tickLblPos val="nextTo"/>
        <c:crossAx val="282533184"/>
        <c:crosses val="autoZero"/>
        <c:auto val="1"/>
        <c:lblAlgn val="ctr"/>
        <c:lblOffset val="100"/>
        <c:noMultiLvlLbl val="0"/>
      </c:catAx>
      <c:valAx>
        <c:axId val="282533184"/>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48096"/>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'2002-2012'!$S$8</c:f>
              <c:strCache>
                <c:ptCount val="1"/>
                <c:pt idx="0">
                  <c:v>Reference</c:v>
                </c:pt>
              </c:strCache>
            </c:strRef>
          </c:tx>
          <c:invertIfNegative val="0"/>
          <c:cat>
            <c:numRef>
              <c:f>'2002-2012'!$T$7:$Y$7</c:f>
              <c:numCache>
                <c:formatCode>General</c:formatCode>
                <c:ptCount val="6"/>
                <c:pt idx="0">
                  <c:v>2007</c:v>
                </c:pt>
                <c:pt idx="1">
                  <c:v>2008</c:v>
                </c:pt>
                <c:pt idx="2">
                  <c:v>2009</c:v>
                </c:pt>
                <c:pt idx="3">
                  <c:v>2010</c:v>
                </c:pt>
                <c:pt idx="4">
                  <c:v>2011</c:v>
                </c:pt>
                <c:pt idx="5">
                  <c:v>2020</c:v>
                </c:pt>
              </c:numCache>
            </c:numRef>
          </c:cat>
          <c:val>
            <c:numRef>
              <c:f>'2002-2012'!$T$8:$Y$8</c:f>
              <c:numCache>
                <c:formatCode>0</c:formatCode>
                <c:ptCount val="6"/>
                <c:pt idx="0">
                  <c:v>522000</c:v>
                </c:pt>
                <c:pt idx="1">
                  <c:v>461000</c:v>
                </c:pt>
                <c:pt idx="2">
                  <c:v>380000</c:v>
                </c:pt>
                <c:pt idx="3">
                  <c:v>494000</c:v>
                </c:pt>
                <c:pt idx="4">
                  <c:v>1719000</c:v>
                </c:pt>
                <c:pt idx="5">
                  <c:v>40397.360500000003</c:v>
                </c:pt>
              </c:numCache>
            </c:numRef>
          </c:val>
        </c:ser>
        <c:ser>
          <c:idx val="1"/>
          <c:order val="1"/>
          <c:tx>
            <c:strRef>
              <c:f>'2002-2012'!$S$9</c:f>
              <c:strCache>
                <c:ptCount val="1"/>
                <c:pt idx="0">
                  <c:v>Scheme</c:v>
                </c:pt>
              </c:strCache>
            </c:strRef>
          </c:tx>
          <c:spPr>
            <a:solidFill>
              <a:schemeClr val="tx1"/>
            </a:solidFill>
          </c:spPr>
          <c:invertIfNegative val="0"/>
          <c:cat>
            <c:numRef>
              <c:f>'2002-2012'!$T$7:$Y$7</c:f>
              <c:numCache>
                <c:formatCode>General</c:formatCode>
                <c:ptCount val="6"/>
                <c:pt idx="0">
                  <c:v>2007</c:v>
                </c:pt>
                <c:pt idx="1">
                  <c:v>2008</c:v>
                </c:pt>
                <c:pt idx="2">
                  <c:v>2009</c:v>
                </c:pt>
                <c:pt idx="3">
                  <c:v>2010</c:v>
                </c:pt>
                <c:pt idx="4">
                  <c:v>2011</c:v>
                </c:pt>
                <c:pt idx="5">
                  <c:v>2020</c:v>
                </c:pt>
              </c:numCache>
            </c:numRef>
          </c:cat>
          <c:val>
            <c:numRef>
              <c:f>'2002-2012'!$T$9:$Y$9</c:f>
              <c:numCache>
                <c:formatCode>General</c:formatCode>
                <c:ptCount val="6"/>
                <c:pt idx="5" formatCode="0">
                  <c:v>6558</c:v>
                </c:pt>
              </c:numCache>
            </c:numRef>
          </c:val>
        </c:ser>
        <c:dLbls>
          <c:showLegendKey val="0"/>
          <c:showVal val="0"/>
          <c:showCatName val="0"/>
          <c:showSerName val="0"/>
          <c:showPercent val="0"/>
          <c:showBubbleSize val="0"/>
        </c:dLbls>
        <c:gapWidth val="150"/>
        <c:overlap val="100"/>
        <c:axId val="282949120"/>
        <c:axId val="282576000"/>
      </c:barChart>
      <c:catAx>
        <c:axId val="282949120"/>
        <c:scaling>
          <c:orientation val="minMax"/>
        </c:scaling>
        <c:delete val="0"/>
        <c:axPos val="b"/>
        <c:numFmt formatCode="General" sourceLinked="1"/>
        <c:majorTickMark val="out"/>
        <c:minorTickMark val="none"/>
        <c:tickLblPos val="nextTo"/>
        <c:crossAx val="282576000"/>
        <c:crosses val="autoZero"/>
        <c:auto val="1"/>
        <c:lblAlgn val="ctr"/>
        <c:lblOffset val="100"/>
        <c:noMultiLvlLbl val="0"/>
      </c:catAx>
      <c:valAx>
        <c:axId val="282576000"/>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49120"/>
        <c:crosses val="autoZero"/>
        <c:crossBetween val="between"/>
      </c:valAx>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Commodity!$H$9</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Commodity!$I$9:$N$9</c:f>
              <c:numCache>
                <c:formatCode>General</c:formatCode>
                <c:ptCount val="6"/>
                <c:pt idx="0">
                  <c:v>748139</c:v>
                </c:pt>
                <c:pt idx="1">
                  <c:v>928395</c:v>
                </c:pt>
                <c:pt idx="2">
                  <c:v>562564</c:v>
                </c:pt>
                <c:pt idx="3">
                  <c:v>404900</c:v>
                </c:pt>
                <c:pt idx="4">
                  <c:v>508407</c:v>
                </c:pt>
                <c:pt idx="5">
                  <c:v>672085.92450000008</c:v>
                </c:pt>
              </c:numCache>
            </c:numRef>
          </c:val>
        </c:ser>
        <c:ser>
          <c:idx val="6"/>
          <c:order val="1"/>
          <c:tx>
            <c:strRef>
              <c:f>Commodity!$H$10</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Commodity!$I$10:$N$10</c:f>
              <c:numCache>
                <c:formatCode>General</c:formatCode>
                <c:ptCount val="6"/>
                <c:pt idx="5">
                  <c:v>35908.210900000005</c:v>
                </c:pt>
              </c:numCache>
            </c:numRef>
          </c:val>
        </c:ser>
        <c:dLbls>
          <c:showLegendKey val="0"/>
          <c:showVal val="0"/>
          <c:showCatName val="0"/>
          <c:showSerName val="0"/>
          <c:showPercent val="0"/>
          <c:showBubbleSize val="0"/>
        </c:dLbls>
        <c:gapWidth val="150"/>
        <c:overlap val="100"/>
        <c:axId val="282949632"/>
        <c:axId val="282577728"/>
      </c:barChart>
      <c:catAx>
        <c:axId val="282949632"/>
        <c:scaling>
          <c:orientation val="minMax"/>
        </c:scaling>
        <c:delete val="0"/>
        <c:axPos val="b"/>
        <c:numFmt formatCode="General" sourceLinked="1"/>
        <c:majorTickMark val="out"/>
        <c:minorTickMark val="none"/>
        <c:tickLblPos val="nextTo"/>
        <c:crossAx val="282577728"/>
        <c:crosses val="autoZero"/>
        <c:auto val="1"/>
        <c:lblAlgn val="ctr"/>
        <c:lblOffset val="100"/>
        <c:noMultiLvlLbl val="0"/>
      </c:catAx>
      <c:valAx>
        <c:axId val="282577728"/>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49632"/>
        <c:crosses val="autoZero"/>
        <c:crossBetween val="between"/>
      </c:valAx>
    </c:plotArea>
    <c:legend>
      <c:legendPos val="r"/>
      <c:overlay val="0"/>
      <c:txPr>
        <a:bodyPr/>
        <a:lstStyle/>
        <a:p>
          <a:pPr>
            <a:defRPr sz="800"/>
          </a:pPr>
          <a:endParaRPr lang="ro-RO"/>
        </a:p>
      </c:txPr>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Commodity!$H$10</c:f>
              <c:strCache>
                <c:ptCount val="1"/>
                <c:pt idx="0">
                  <c:v>Reference</c:v>
                </c:pt>
              </c:strCache>
            </c:strRef>
          </c:tx>
          <c:invertIfNegative val="0"/>
          <c:cat>
            <c:numRef>
              <c:f>Commodity!$B$28:$G$28</c:f>
              <c:numCache>
                <c:formatCode>General</c:formatCode>
                <c:ptCount val="6"/>
                <c:pt idx="0">
                  <c:v>2007</c:v>
                </c:pt>
                <c:pt idx="1">
                  <c:v>2008</c:v>
                </c:pt>
                <c:pt idx="2">
                  <c:v>2009</c:v>
                </c:pt>
                <c:pt idx="3">
                  <c:v>2010</c:v>
                </c:pt>
                <c:pt idx="4">
                  <c:v>2011</c:v>
                </c:pt>
                <c:pt idx="5">
                  <c:v>2020</c:v>
                </c:pt>
              </c:numCache>
            </c:numRef>
          </c:cat>
          <c:val>
            <c:numRef>
              <c:f>Commodity!$I$10:$N$10</c:f>
              <c:numCache>
                <c:formatCode>General</c:formatCode>
                <c:ptCount val="6"/>
                <c:pt idx="0">
                  <c:v>566358</c:v>
                </c:pt>
                <c:pt idx="1">
                  <c:v>539153</c:v>
                </c:pt>
                <c:pt idx="2">
                  <c:v>288839</c:v>
                </c:pt>
                <c:pt idx="3">
                  <c:v>376233</c:v>
                </c:pt>
                <c:pt idx="4">
                  <c:v>256288</c:v>
                </c:pt>
                <c:pt idx="5">
                  <c:v>459372.97650000022</c:v>
                </c:pt>
              </c:numCache>
            </c:numRef>
          </c:val>
        </c:ser>
        <c:ser>
          <c:idx val="9"/>
          <c:order val="1"/>
          <c:tx>
            <c:strRef>
              <c:f>Commodity!$H$11</c:f>
              <c:strCache>
                <c:ptCount val="1"/>
                <c:pt idx="0">
                  <c:v>Scheme</c:v>
                </c:pt>
              </c:strCache>
            </c:strRef>
          </c:tx>
          <c:spPr>
            <a:solidFill>
              <a:schemeClr val="tx1"/>
            </a:solidFill>
          </c:spPr>
          <c:invertIfNegative val="0"/>
          <c:cat>
            <c:numRef>
              <c:f>Commodity!$B$28:$G$28</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5">
                  <c:v>54372.188500000011</c:v>
                </c:pt>
              </c:numCache>
            </c:numRef>
          </c:val>
        </c:ser>
        <c:dLbls>
          <c:showLegendKey val="0"/>
          <c:showVal val="0"/>
          <c:showCatName val="0"/>
          <c:showSerName val="0"/>
          <c:showPercent val="0"/>
          <c:showBubbleSize val="0"/>
        </c:dLbls>
        <c:gapWidth val="150"/>
        <c:overlap val="100"/>
        <c:axId val="282950144"/>
        <c:axId val="282579456"/>
      </c:barChart>
      <c:catAx>
        <c:axId val="282950144"/>
        <c:scaling>
          <c:orientation val="minMax"/>
        </c:scaling>
        <c:delete val="0"/>
        <c:axPos val="b"/>
        <c:numFmt formatCode="General" sourceLinked="1"/>
        <c:majorTickMark val="out"/>
        <c:minorTickMark val="none"/>
        <c:tickLblPos val="nextTo"/>
        <c:crossAx val="282579456"/>
        <c:crosses val="autoZero"/>
        <c:auto val="1"/>
        <c:lblAlgn val="ctr"/>
        <c:lblOffset val="100"/>
        <c:noMultiLvlLbl val="0"/>
      </c:catAx>
      <c:valAx>
        <c:axId val="282579456"/>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501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 of National Network that is Motorway Standard</c:v>
          </c:tx>
          <c:invertIfNegative val="0"/>
          <c:cat>
            <c:strRef>
              <c:f>'length_road (3)'!$M$8:$M$18</c:f>
              <c:strCache>
                <c:ptCount val="11"/>
                <c:pt idx="0">
                  <c:v>Denmark</c:v>
                </c:pt>
                <c:pt idx="1">
                  <c:v>Estonia</c:v>
                </c:pt>
                <c:pt idx="2">
                  <c:v>Ireland</c:v>
                </c:pt>
                <c:pt idx="3">
                  <c:v>Greece</c:v>
                </c:pt>
                <c:pt idx="4">
                  <c:v>Latvia</c:v>
                </c:pt>
                <c:pt idx="5">
                  <c:v>Lithuania</c:v>
                </c:pt>
                <c:pt idx="6">
                  <c:v>Poland</c:v>
                </c:pt>
                <c:pt idx="7">
                  <c:v>Romania</c:v>
                </c:pt>
                <c:pt idx="8">
                  <c:v>Slovakia</c:v>
                </c:pt>
                <c:pt idx="9">
                  <c:v>Finland</c:v>
                </c:pt>
                <c:pt idx="10">
                  <c:v>Norway</c:v>
                </c:pt>
              </c:strCache>
            </c:strRef>
          </c:cat>
          <c:val>
            <c:numRef>
              <c:f>'length_road (3)'!$N$8:$N$18</c:f>
              <c:numCache>
                <c:formatCode>0.0%</c:formatCode>
                <c:ptCount val="11"/>
                <c:pt idx="0">
                  <c:v>0.29465449804432858</c:v>
                </c:pt>
                <c:pt idx="1">
                  <c:v>2.7926177756192352E-2</c:v>
                </c:pt>
                <c:pt idx="2">
                  <c:v>0.15845070422535221</c:v>
                </c:pt>
                <c:pt idx="3">
                  <c:v>0.11356849243987235</c:v>
                </c:pt>
                <c:pt idx="4">
                  <c:v>0</c:v>
                </c:pt>
                <c:pt idx="5">
                  <c:v>4.6292134831460933E-2</c:v>
                </c:pt>
                <c:pt idx="6">
                  <c:v>4.6055707522073955E-2</c:v>
                </c:pt>
                <c:pt idx="7">
                  <c:v>2.0057999033349445E-2</c:v>
                </c:pt>
                <c:pt idx="8">
                  <c:v>0.10597190023906768</c:v>
                </c:pt>
                <c:pt idx="9">
                  <c:v>5.8443994298147034E-2</c:v>
                </c:pt>
                <c:pt idx="10">
                  <c:v>3.5028040820079452E-2</c:v>
                </c:pt>
              </c:numCache>
            </c:numRef>
          </c:val>
        </c:ser>
        <c:ser>
          <c:idx val="1"/>
          <c:order val="1"/>
          <c:tx>
            <c:v>% of Total Network that is National</c:v>
          </c:tx>
          <c:invertIfNegative val="0"/>
          <c:cat>
            <c:strRef>
              <c:f>'length_road (3)'!$M$8:$M$18</c:f>
              <c:strCache>
                <c:ptCount val="11"/>
                <c:pt idx="0">
                  <c:v>Denmark</c:v>
                </c:pt>
                <c:pt idx="1">
                  <c:v>Estonia</c:v>
                </c:pt>
                <c:pt idx="2">
                  <c:v>Ireland</c:v>
                </c:pt>
                <c:pt idx="3">
                  <c:v>Greece</c:v>
                </c:pt>
                <c:pt idx="4">
                  <c:v>Latvia</c:v>
                </c:pt>
                <c:pt idx="5">
                  <c:v>Lithuania</c:v>
                </c:pt>
                <c:pt idx="6">
                  <c:v>Poland</c:v>
                </c:pt>
                <c:pt idx="7">
                  <c:v>Romania</c:v>
                </c:pt>
                <c:pt idx="8">
                  <c:v>Slovakia</c:v>
                </c:pt>
                <c:pt idx="9">
                  <c:v>Finland</c:v>
                </c:pt>
                <c:pt idx="10">
                  <c:v>Norway</c:v>
                </c:pt>
              </c:strCache>
            </c:strRef>
          </c:cat>
          <c:val>
            <c:numRef>
              <c:f>'length_road (3)'!$Q$8:$Q$18</c:f>
              <c:numCache>
                <c:formatCode>0.0%</c:formatCode>
                <c:ptCount val="11"/>
                <c:pt idx="0">
                  <c:v>5.1704844211349452E-2</c:v>
                </c:pt>
                <c:pt idx="1">
                  <c:v>7.0237079993177548E-2</c:v>
                </c:pt>
                <c:pt idx="2">
                  <c:v>5.9001339995222134E-2</c:v>
                </c:pt>
                <c:pt idx="3">
                  <c:v>8.9696311940441267E-2</c:v>
                </c:pt>
                <c:pt idx="4">
                  <c:v>2.5375333885972989E-2</c:v>
                </c:pt>
                <c:pt idx="5">
                  <c:v>9.264785487251373E-2</c:v>
                </c:pt>
                <c:pt idx="6">
                  <c:v>4.5818509171753612E-2</c:v>
                </c:pt>
                <c:pt idx="7">
                  <c:v>0.20090792124875587</c:v>
                </c:pt>
                <c:pt idx="8">
                  <c:v>9.0541752587634763E-2</c:v>
                </c:pt>
                <c:pt idx="9">
                  <c:v>0.17053261856936341</c:v>
                </c:pt>
                <c:pt idx="10">
                  <c:v>0.11584833315581998</c:v>
                </c:pt>
              </c:numCache>
            </c:numRef>
          </c:val>
        </c:ser>
        <c:dLbls>
          <c:showLegendKey val="0"/>
          <c:showVal val="0"/>
          <c:showCatName val="0"/>
          <c:showSerName val="0"/>
          <c:showPercent val="0"/>
          <c:showBubbleSize val="0"/>
        </c:dLbls>
        <c:gapWidth val="150"/>
        <c:axId val="277387264"/>
        <c:axId val="187691520"/>
      </c:barChart>
      <c:catAx>
        <c:axId val="277387264"/>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187691520"/>
        <c:crosses val="autoZero"/>
        <c:auto val="1"/>
        <c:lblAlgn val="ctr"/>
        <c:lblOffset val="100"/>
        <c:noMultiLvlLbl val="0"/>
      </c:catAx>
      <c:valAx>
        <c:axId val="187691520"/>
        <c:scaling>
          <c:orientation val="minMax"/>
        </c:scaling>
        <c:delete val="0"/>
        <c:axPos val="l"/>
        <c:majorGridlines/>
        <c:numFmt formatCode="0.0%" sourceLinked="1"/>
        <c:majorTickMark val="out"/>
        <c:minorTickMark val="none"/>
        <c:tickLblPos val="nextTo"/>
        <c:txPr>
          <a:bodyPr/>
          <a:lstStyle/>
          <a:p>
            <a:pPr>
              <a:defRPr sz="1100">
                <a:latin typeface="Arial" pitchFamily="34" charset="0"/>
                <a:cs typeface="Arial" pitchFamily="34" charset="0"/>
              </a:defRPr>
            </a:pPr>
            <a:endParaRPr lang="ro-RO"/>
          </a:p>
        </c:txPr>
        <c:crossAx val="277387264"/>
        <c:crosses val="autoZero"/>
        <c:crossBetween val="between"/>
      </c:valAx>
    </c:plotArea>
    <c:legend>
      <c:legendPos val="b"/>
      <c:overlay val="0"/>
      <c:txPr>
        <a:bodyPr/>
        <a:lstStyle/>
        <a:p>
          <a:pPr>
            <a:defRPr sz="1100">
              <a:latin typeface="Arial" pitchFamily="34" charset="0"/>
              <a:cs typeface="Arial" pitchFamily="34" charset="0"/>
            </a:defRPr>
          </a:pPr>
          <a:endParaRPr lang="ro-RO"/>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Sheet1!$C$6</c:f>
              <c:strCache>
                <c:ptCount val="1"/>
                <c:pt idx="0">
                  <c:v>Reference</c:v>
                </c:pt>
              </c:strCache>
            </c:strRef>
          </c:tx>
          <c:invertIfNegative val="0"/>
          <c:cat>
            <c:numRef>
              <c:f>Sheet1!$D$5:$I$5</c:f>
              <c:numCache>
                <c:formatCode>General</c:formatCode>
                <c:ptCount val="6"/>
                <c:pt idx="0">
                  <c:v>2007</c:v>
                </c:pt>
                <c:pt idx="1">
                  <c:v>2008</c:v>
                </c:pt>
                <c:pt idx="2">
                  <c:v>2009</c:v>
                </c:pt>
                <c:pt idx="3">
                  <c:v>2010</c:v>
                </c:pt>
                <c:pt idx="4">
                  <c:v>2011</c:v>
                </c:pt>
                <c:pt idx="5">
                  <c:v>2020</c:v>
                </c:pt>
              </c:numCache>
            </c:numRef>
          </c:cat>
          <c:val>
            <c:numRef>
              <c:f>Sheet1!$D$6:$I$6</c:f>
              <c:numCache>
                <c:formatCode>General</c:formatCode>
                <c:ptCount val="6"/>
                <c:pt idx="0">
                  <c:v>40657</c:v>
                </c:pt>
                <c:pt idx="1">
                  <c:v>5960</c:v>
                </c:pt>
                <c:pt idx="2">
                  <c:v>57488</c:v>
                </c:pt>
                <c:pt idx="3">
                  <c:v>93977</c:v>
                </c:pt>
                <c:pt idx="4">
                  <c:v>22613</c:v>
                </c:pt>
                <c:pt idx="5">
                  <c:v>70123.175850000087</c:v>
                </c:pt>
              </c:numCache>
            </c:numRef>
          </c:val>
        </c:ser>
        <c:ser>
          <c:idx val="1"/>
          <c:order val="1"/>
          <c:tx>
            <c:strRef>
              <c:f>Sheet1!$C$7</c:f>
              <c:strCache>
                <c:ptCount val="1"/>
                <c:pt idx="0">
                  <c:v>Scheme</c:v>
                </c:pt>
              </c:strCache>
            </c:strRef>
          </c:tx>
          <c:spPr>
            <a:solidFill>
              <a:schemeClr val="tx1"/>
            </a:solidFill>
          </c:spPr>
          <c:invertIfNegative val="0"/>
          <c:cat>
            <c:numRef>
              <c:f>Sheet1!$D$5:$I$5</c:f>
              <c:numCache>
                <c:formatCode>General</c:formatCode>
                <c:ptCount val="6"/>
                <c:pt idx="0">
                  <c:v>2007</c:v>
                </c:pt>
                <c:pt idx="1">
                  <c:v>2008</c:v>
                </c:pt>
                <c:pt idx="2">
                  <c:v>2009</c:v>
                </c:pt>
                <c:pt idx="3">
                  <c:v>2010</c:v>
                </c:pt>
                <c:pt idx="4">
                  <c:v>2011</c:v>
                </c:pt>
                <c:pt idx="5">
                  <c:v>2020</c:v>
                </c:pt>
              </c:numCache>
            </c:numRef>
          </c:cat>
          <c:val>
            <c:numRef>
              <c:f>Sheet1!$D$7:$I$7</c:f>
              <c:numCache>
                <c:formatCode>General</c:formatCode>
                <c:ptCount val="6"/>
                <c:pt idx="5">
                  <c:v>73848.373150000087</c:v>
                </c:pt>
              </c:numCache>
            </c:numRef>
          </c:val>
        </c:ser>
        <c:dLbls>
          <c:showLegendKey val="0"/>
          <c:showVal val="0"/>
          <c:showCatName val="0"/>
          <c:showSerName val="0"/>
          <c:showPercent val="0"/>
          <c:showBubbleSize val="0"/>
        </c:dLbls>
        <c:gapWidth val="150"/>
        <c:overlap val="100"/>
        <c:axId val="282950656"/>
        <c:axId val="282581184"/>
      </c:barChart>
      <c:catAx>
        <c:axId val="282950656"/>
        <c:scaling>
          <c:orientation val="minMax"/>
        </c:scaling>
        <c:delete val="0"/>
        <c:axPos val="b"/>
        <c:numFmt formatCode="General" sourceLinked="1"/>
        <c:majorTickMark val="out"/>
        <c:minorTickMark val="none"/>
        <c:tickLblPos val="nextTo"/>
        <c:crossAx val="282581184"/>
        <c:crosses val="autoZero"/>
        <c:auto val="1"/>
        <c:lblAlgn val="ctr"/>
        <c:lblOffset val="100"/>
        <c:noMultiLvlLbl val="0"/>
      </c:catAx>
      <c:valAx>
        <c:axId val="282581184"/>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50656"/>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Total!$A$30</c:f>
              <c:strCache>
                <c:ptCount val="1"/>
                <c:pt idx="0">
                  <c:v>Reference</c:v>
                </c:pt>
              </c:strCache>
            </c:strRef>
          </c:tx>
          <c:invertIfNegative val="0"/>
          <c:cat>
            <c:numRef>
              <c:f>Total!$B$28:$G$28</c:f>
              <c:numCache>
                <c:formatCode>General</c:formatCode>
                <c:ptCount val="6"/>
                <c:pt idx="0">
                  <c:v>2007</c:v>
                </c:pt>
                <c:pt idx="1">
                  <c:v>2008</c:v>
                </c:pt>
                <c:pt idx="2">
                  <c:v>2009</c:v>
                </c:pt>
                <c:pt idx="3">
                  <c:v>2010</c:v>
                </c:pt>
                <c:pt idx="4">
                  <c:v>2011</c:v>
                </c:pt>
                <c:pt idx="5">
                  <c:v>2020</c:v>
                </c:pt>
              </c:numCache>
            </c:numRef>
          </c:cat>
          <c:val>
            <c:numRef>
              <c:f>Total!$B$30:$G$30</c:f>
              <c:numCache>
                <c:formatCode>General</c:formatCode>
                <c:ptCount val="6"/>
                <c:pt idx="0">
                  <c:v>42730</c:v>
                </c:pt>
                <c:pt idx="1">
                  <c:v>31592</c:v>
                </c:pt>
                <c:pt idx="2">
                  <c:v>95675</c:v>
                </c:pt>
                <c:pt idx="3">
                  <c:v>106175</c:v>
                </c:pt>
                <c:pt idx="4">
                  <c:v>139105</c:v>
                </c:pt>
                <c:pt idx="5">
                  <c:v>156016.51615000004</c:v>
                </c:pt>
              </c:numCache>
            </c:numRef>
          </c:val>
        </c:ser>
        <c:ser>
          <c:idx val="6"/>
          <c:order val="1"/>
          <c:tx>
            <c:strRef>
              <c:f>Total!$A$31</c:f>
              <c:strCache>
                <c:ptCount val="1"/>
                <c:pt idx="0">
                  <c:v>Scheme</c:v>
                </c:pt>
              </c:strCache>
            </c:strRef>
          </c:tx>
          <c:spPr>
            <a:solidFill>
              <a:schemeClr val="tx1"/>
            </a:solidFill>
          </c:spPr>
          <c:invertIfNegative val="0"/>
          <c:cat>
            <c:numRef>
              <c:f>Total!$B$28:$G$28</c:f>
              <c:numCache>
                <c:formatCode>General</c:formatCode>
                <c:ptCount val="6"/>
                <c:pt idx="0">
                  <c:v>2007</c:v>
                </c:pt>
                <c:pt idx="1">
                  <c:v>2008</c:v>
                </c:pt>
                <c:pt idx="2">
                  <c:v>2009</c:v>
                </c:pt>
                <c:pt idx="3">
                  <c:v>2010</c:v>
                </c:pt>
                <c:pt idx="4">
                  <c:v>2011</c:v>
                </c:pt>
                <c:pt idx="5">
                  <c:v>2020</c:v>
                </c:pt>
              </c:numCache>
            </c:numRef>
          </c:cat>
          <c:val>
            <c:numRef>
              <c:f>Total!$B$31:$G$31</c:f>
              <c:numCache>
                <c:formatCode>General</c:formatCode>
                <c:ptCount val="6"/>
                <c:pt idx="5">
                  <c:v>11871.230799999932</c:v>
                </c:pt>
              </c:numCache>
            </c:numRef>
          </c:val>
        </c:ser>
        <c:dLbls>
          <c:showLegendKey val="0"/>
          <c:showVal val="0"/>
          <c:showCatName val="0"/>
          <c:showSerName val="0"/>
          <c:showPercent val="0"/>
          <c:showBubbleSize val="0"/>
        </c:dLbls>
        <c:gapWidth val="150"/>
        <c:overlap val="100"/>
        <c:axId val="282951168"/>
        <c:axId val="288538624"/>
      </c:barChart>
      <c:catAx>
        <c:axId val="282951168"/>
        <c:scaling>
          <c:orientation val="minMax"/>
        </c:scaling>
        <c:delete val="0"/>
        <c:axPos val="b"/>
        <c:numFmt formatCode="General" sourceLinked="1"/>
        <c:majorTickMark val="out"/>
        <c:minorTickMark val="none"/>
        <c:tickLblPos val="nextTo"/>
        <c:crossAx val="288538624"/>
        <c:crosses val="autoZero"/>
        <c:auto val="1"/>
        <c:lblAlgn val="ctr"/>
        <c:lblOffset val="100"/>
        <c:noMultiLvlLbl val="0"/>
      </c:catAx>
      <c:valAx>
        <c:axId val="288538624"/>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82951168"/>
        <c:crosses val="autoZero"/>
        <c:crossBetween val="between"/>
      </c:valAx>
    </c:plotArea>
    <c:legend>
      <c:legendPos val="r"/>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Commodity!$H$11</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0">
                  <c:v>442348</c:v>
                </c:pt>
                <c:pt idx="1">
                  <c:v>451176</c:v>
                </c:pt>
                <c:pt idx="2">
                  <c:v>357333</c:v>
                </c:pt>
                <c:pt idx="3">
                  <c:v>370657</c:v>
                </c:pt>
                <c:pt idx="4">
                  <c:v>490112</c:v>
                </c:pt>
                <c:pt idx="5">
                  <c:v>594367.24100000004</c:v>
                </c:pt>
              </c:numCache>
            </c:numRef>
          </c:val>
        </c:ser>
        <c:ser>
          <c:idx val="8"/>
          <c:order val="1"/>
          <c:tx>
            <c:strRef>
              <c:f>Commodity!$H$12</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Commodity!$I$12:$N$12</c:f>
              <c:numCache>
                <c:formatCode>General</c:formatCode>
                <c:ptCount val="6"/>
                <c:pt idx="5" formatCode="#,##0">
                  <c:v>108401</c:v>
                </c:pt>
              </c:numCache>
            </c:numRef>
          </c:val>
        </c:ser>
        <c:dLbls>
          <c:showLegendKey val="0"/>
          <c:showVal val="0"/>
          <c:showCatName val="0"/>
          <c:showSerName val="0"/>
          <c:showPercent val="0"/>
          <c:showBubbleSize val="0"/>
        </c:dLbls>
        <c:gapWidth val="150"/>
        <c:overlap val="100"/>
        <c:axId val="295440384"/>
        <c:axId val="288540352"/>
      </c:barChart>
      <c:catAx>
        <c:axId val="295440384"/>
        <c:scaling>
          <c:orientation val="minMax"/>
        </c:scaling>
        <c:delete val="0"/>
        <c:axPos val="b"/>
        <c:numFmt formatCode="General" sourceLinked="1"/>
        <c:majorTickMark val="out"/>
        <c:minorTickMark val="none"/>
        <c:tickLblPos val="nextTo"/>
        <c:crossAx val="288540352"/>
        <c:crosses val="autoZero"/>
        <c:auto val="1"/>
        <c:lblAlgn val="ctr"/>
        <c:lblOffset val="100"/>
        <c:noMultiLvlLbl val="0"/>
      </c:catAx>
      <c:valAx>
        <c:axId val="288540352"/>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95440384"/>
        <c:crosses val="autoZero"/>
        <c:crossBetween val="between"/>
      </c:valAx>
    </c:plotArea>
    <c:legend>
      <c:legendPos val="r"/>
      <c:layout>
        <c:manualLayout>
          <c:xMode val="edge"/>
          <c:yMode val="edge"/>
          <c:x val="0.84713307010829664"/>
          <c:y val="0.31052423236360616"/>
          <c:w val="0.14203883200836806"/>
          <c:h val="0.25178509280357203"/>
        </c:manualLayout>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Commodity!$H$11</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0">
                  <c:v>375518</c:v>
                </c:pt>
                <c:pt idx="1">
                  <c:v>435335</c:v>
                </c:pt>
                <c:pt idx="2">
                  <c:v>234403</c:v>
                </c:pt>
                <c:pt idx="3">
                  <c:v>404900</c:v>
                </c:pt>
                <c:pt idx="4">
                  <c:v>187752</c:v>
                </c:pt>
                <c:pt idx="5">
                  <c:v>291081.55779999989</c:v>
                </c:pt>
              </c:numCache>
            </c:numRef>
          </c:val>
        </c:ser>
        <c:ser>
          <c:idx val="9"/>
          <c:order val="1"/>
          <c:tx>
            <c:strRef>
              <c:f>Commodity!$H$12</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Commodity!$I$12:$N$12</c:f>
              <c:numCache>
                <c:formatCode>General</c:formatCode>
                <c:ptCount val="6"/>
                <c:pt idx="5">
                  <c:v>66045.647699999972</c:v>
                </c:pt>
              </c:numCache>
            </c:numRef>
          </c:val>
        </c:ser>
        <c:dLbls>
          <c:showLegendKey val="0"/>
          <c:showVal val="0"/>
          <c:showCatName val="0"/>
          <c:showSerName val="0"/>
          <c:showPercent val="0"/>
          <c:showBubbleSize val="0"/>
        </c:dLbls>
        <c:gapWidth val="150"/>
        <c:overlap val="100"/>
        <c:axId val="295440896"/>
        <c:axId val="288542080"/>
      </c:barChart>
      <c:catAx>
        <c:axId val="295440896"/>
        <c:scaling>
          <c:orientation val="minMax"/>
        </c:scaling>
        <c:delete val="0"/>
        <c:axPos val="b"/>
        <c:numFmt formatCode="General" sourceLinked="1"/>
        <c:majorTickMark val="out"/>
        <c:minorTickMark val="none"/>
        <c:tickLblPos val="nextTo"/>
        <c:crossAx val="288542080"/>
        <c:crosses val="autoZero"/>
        <c:auto val="1"/>
        <c:lblAlgn val="ctr"/>
        <c:lblOffset val="100"/>
        <c:noMultiLvlLbl val="0"/>
      </c:catAx>
      <c:valAx>
        <c:axId val="288542080"/>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95440896"/>
        <c:crosses val="autoZero"/>
        <c:crossBetween val="between"/>
      </c:valAx>
    </c:plotArea>
    <c:legend>
      <c:legendPos val="r"/>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Commodity!$H$7</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Commodity!$I$7:$N$7</c:f>
              <c:numCache>
                <c:formatCode>General</c:formatCode>
                <c:ptCount val="6"/>
                <c:pt idx="0">
                  <c:v>137</c:v>
                </c:pt>
                <c:pt idx="1">
                  <c:v>10429</c:v>
                </c:pt>
                <c:pt idx="2">
                  <c:v>6973</c:v>
                </c:pt>
                <c:pt idx="3">
                  <c:v>685</c:v>
                </c:pt>
                <c:pt idx="4">
                  <c:v>21505</c:v>
                </c:pt>
                <c:pt idx="5">
                  <c:v>25726.988500000021</c:v>
                </c:pt>
              </c:numCache>
            </c:numRef>
          </c:val>
        </c:ser>
        <c:ser>
          <c:idx val="6"/>
          <c:order val="1"/>
          <c:tx>
            <c:strRef>
              <c:f>Commodity!$H$8</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Commodity!$I$8:$N$8</c:f>
              <c:numCache>
                <c:formatCode>General</c:formatCode>
                <c:ptCount val="6"/>
                <c:pt idx="5">
                  <c:v>2961.7815500000042</c:v>
                </c:pt>
              </c:numCache>
            </c:numRef>
          </c:val>
        </c:ser>
        <c:dLbls>
          <c:showLegendKey val="0"/>
          <c:showVal val="0"/>
          <c:showCatName val="0"/>
          <c:showSerName val="0"/>
          <c:showPercent val="0"/>
          <c:showBubbleSize val="0"/>
        </c:dLbls>
        <c:gapWidth val="150"/>
        <c:overlap val="100"/>
        <c:axId val="295441408"/>
        <c:axId val="288543808"/>
      </c:barChart>
      <c:catAx>
        <c:axId val="295441408"/>
        <c:scaling>
          <c:orientation val="minMax"/>
        </c:scaling>
        <c:delete val="0"/>
        <c:axPos val="b"/>
        <c:numFmt formatCode="General" sourceLinked="1"/>
        <c:majorTickMark val="out"/>
        <c:minorTickMark val="none"/>
        <c:tickLblPos val="nextTo"/>
        <c:crossAx val="288543808"/>
        <c:crosses val="autoZero"/>
        <c:auto val="1"/>
        <c:lblAlgn val="ctr"/>
        <c:lblOffset val="100"/>
        <c:noMultiLvlLbl val="0"/>
      </c:catAx>
      <c:valAx>
        <c:axId val="288543808"/>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95441408"/>
        <c:crosses val="autoZero"/>
        <c:crossBetween val="between"/>
      </c:valAx>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Sheet1!$I$29</c:f>
              <c:strCache>
                <c:ptCount val="1"/>
                <c:pt idx="0">
                  <c:v>Building Minerals &amp; Material</c:v>
                </c:pt>
              </c:strCache>
            </c:strRef>
          </c:tx>
          <c:invertIfNegative val="0"/>
          <c:cat>
            <c:numRef>
              <c:f>Sheet1!$J$28:$K$28</c:f>
              <c:numCache>
                <c:formatCode>General</c:formatCode>
                <c:ptCount val="2"/>
                <c:pt idx="0">
                  <c:v>2020</c:v>
                </c:pt>
                <c:pt idx="1">
                  <c:v>2040</c:v>
                </c:pt>
              </c:numCache>
            </c:numRef>
          </c:cat>
          <c:val>
            <c:numRef>
              <c:f>Sheet1!$J$29:$K$29</c:f>
              <c:numCache>
                <c:formatCode>General</c:formatCode>
                <c:ptCount val="2"/>
                <c:pt idx="0">
                  <c:v>1477019.95</c:v>
                </c:pt>
                <c:pt idx="1">
                  <c:v>2498494.3499999987</c:v>
                </c:pt>
              </c:numCache>
            </c:numRef>
          </c:val>
        </c:ser>
        <c:ser>
          <c:idx val="1"/>
          <c:order val="1"/>
          <c:tx>
            <c:strRef>
              <c:f>Sheet1!$I$30</c:f>
              <c:strCache>
                <c:ptCount val="1"/>
                <c:pt idx="0">
                  <c:v>Solid Mineral Fuels</c:v>
                </c:pt>
              </c:strCache>
            </c:strRef>
          </c:tx>
          <c:invertIfNegative val="0"/>
          <c:cat>
            <c:numRef>
              <c:f>Sheet1!$J$28:$K$28</c:f>
              <c:numCache>
                <c:formatCode>General</c:formatCode>
                <c:ptCount val="2"/>
                <c:pt idx="0">
                  <c:v>2020</c:v>
                </c:pt>
                <c:pt idx="1">
                  <c:v>2040</c:v>
                </c:pt>
              </c:numCache>
            </c:numRef>
          </c:cat>
          <c:val>
            <c:numRef>
              <c:f>Sheet1!$J$30:$K$30</c:f>
              <c:numCache>
                <c:formatCode>General</c:formatCode>
                <c:ptCount val="2"/>
                <c:pt idx="0">
                  <c:v>225978.8</c:v>
                </c:pt>
                <c:pt idx="1">
                  <c:v>414891.85000000003</c:v>
                </c:pt>
              </c:numCache>
            </c:numRef>
          </c:val>
        </c:ser>
        <c:ser>
          <c:idx val="2"/>
          <c:order val="2"/>
          <c:tx>
            <c:strRef>
              <c:f>Sheet1!$I$31</c:f>
              <c:strCache>
                <c:ptCount val="1"/>
                <c:pt idx="0">
                  <c:v>Crude Oil</c:v>
                </c:pt>
              </c:strCache>
            </c:strRef>
          </c:tx>
          <c:invertIfNegative val="0"/>
          <c:cat>
            <c:numRef>
              <c:f>Sheet1!$J$28:$K$28</c:f>
              <c:numCache>
                <c:formatCode>General</c:formatCode>
                <c:ptCount val="2"/>
                <c:pt idx="0">
                  <c:v>2020</c:v>
                </c:pt>
                <c:pt idx="1">
                  <c:v>2040</c:v>
                </c:pt>
              </c:numCache>
            </c:numRef>
          </c:cat>
          <c:val>
            <c:numRef>
              <c:f>Sheet1!$J$31:$K$31</c:f>
              <c:numCache>
                <c:formatCode>General</c:formatCode>
                <c:ptCount val="2"/>
                <c:pt idx="0">
                  <c:v>212864.34999999998</c:v>
                </c:pt>
                <c:pt idx="1">
                  <c:v>55688.05</c:v>
                </c:pt>
              </c:numCache>
            </c:numRef>
          </c:val>
        </c:ser>
        <c:ser>
          <c:idx val="3"/>
          <c:order val="3"/>
          <c:tx>
            <c:strRef>
              <c:f>Sheet1!$I$32</c:f>
              <c:strCache>
                <c:ptCount val="1"/>
                <c:pt idx="0">
                  <c:v>Ores, Metal Waste</c:v>
                </c:pt>
              </c:strCache>
            </c:strRef>
          </c:tx>
          <c:invertIfNegative val="0"/>
          <c:cat>
            <c:numRef>
              <c:f>Sheet1!$J$28:$K$28</c:f>
              <c:numCache>
                <c:formatCode>General</c:formatCode>
                <c:ptCount val="2"/>
                <c:pt idx="0">
                  <c:v>2020</c:v>
                </c:pt>
                <c:pt idx="1">
                  <c:v>2040</c:v>
                </c:pt>
              </c:numCache>
            </c:numRef>
          </c:cat>
          <c:val>
            <c:numRef>
              <c:f>Sheet1!$J$32:$K$32</c:f>
              <c:numCache>
                <c:formatCode>General</c:formatCode>
                <c:ptCount val="2"/>
                <c:pt idx="0">
                  <c:v>510791.95</c:v>
                </c:pt>
                <c:pt idx="1">
                  <c:v>378008.60000000003</c:v>
                </c:pt>
              </c:numCache>
            </c:numRef>
          </c:val>
        </c:ser>
        <c:ser>
          <c:idx val="4"/>
          <c:order val="4"/>
          <c:tx>
            <c:strRef>
              <c:f>Sheet1!$I$33</c:f>
              <c:strCache>
                <c:ptCount val="1"/>
                <c:pt idx="0">
                  <c:v>Other Products</c:v>
                </c:pt>
              </c:strCache>
            </c:strRef>
          </c:tx>
          <c:invertIfNegative val="0"/>
          <c:cat>
            <c:numRef>
              <c:f>Sheet1!$J$28:$K$28</c:f>
              <c:numCache>
                <c:formatCode>General</c:formatCode>
                <c:ptCount val="2"/>
                <c:pt idx="0">
                  <c:v>2020</c:v>
                </c:pt>
                <c:pt idx="1">
                  <c:v>2040</c:v>
                </c:pt>
              </c:numCache>
            </c:numRef>
          </c:cat>
          <c:val>
            <c:numRef>
              <c:f>Sheet1!$J$33:$K$33</c:f>
              <c:numCache>
                <c:formatCode>General</c:formatCode>
                <c:ptCount val="2"/>
                <c:pt idx="0">
                  <c:v>334223.19999999972</c:v>
                </c:pt>
                <c:pt idx="1">
                  <c:v>560092.50000000047</c:v>
                </c:pt>
              </c:numCache>
            </c:numRef>
          </c:val>
        </c:ser>
        <c:dLbls>
          <c:showLegendKey val="0"/>
          <c:showVal val="0"/>
          <c:showCatName val="0"/>
          <c:showSerName val="0"/>
          <c:showPercent val="0"/>
          <c:showBubbleSize val="0"/>
        </c:dLbls>
        <c:gapWidth val="150"/>
        <c:overlap val="100"/>
        <c:axId val="295441920"/>
        <c:axId val="288545536"/>
      </c:barChart>
      <c:catAx>
        <c:axId val="295441920"/>
        <c:scaling>
          <c:orientation val="minMax"/>
        </c:scaling>
        <c:delete val="0"/>
        <c:axPos val="b"/>
        <c:numFmt formatCode="General" sourceLinked="1"/>
        <c:majorTickMark val="out"/>
        <c:minorTickMark val="none"/>
        <c:tickLblPos val="nextTo"/>
        <c:crossAx val="288545536"/>
        <c:crosses val="autoZero"/>
        <c:auto val="1"/>
        <c:lblAlgn val="ctr"/>
        <c:lblOffset val="100"/>
        <c:noMultiLvlLbl val="0"/>
      </c:catAx>
      <c:valAx>
        <c:axId val="288545536"/>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295441920"/>
        <c:crosses val="autoZero"/>
        <c:crossBetween val="between"/>
      </c:valAx>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Sheet2!$B$1</c:f>
              <c:strCache>
                <c:ptCount val="1"/>
                <c:pt idx="0">
                  <c:v>Passengers</c:v>
                </c:pt>
              </c:strCache>
            </c:strRef>
          </c:tx>
          <c:marker>
            <c:symbol val="none"/>
          </c:marker>
          <c:dLbls>
            <c:dLbl>
              <c:idx val="0"/>
              <c:layout>
                <c:manualLayout>
                  <c:x val="-6.666666666666668E-2"/>
                  <c:y val="6.481481481481579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6111111111110819E-2"/>
                  <c:y val="-3.240740740740782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23E-2"/>
                  <c:y val="4.16666666666666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2222222222222393"/>
                  <c:y val="-3.24074074074078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455E-2"/>
                  <c:y val="-3.703703703703705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Sheet2!$A$2:$A$6</c:f>
              <c:numCache>
                <c:formatCode>General</c:formatCode>
                <c:ptCount val="5"/>
                <c:pt idx="0">
                  <c:v>2007</c:v>
                </c:pt>
                <c:pt idx="1">
                  <c:v>2008</c:v>
                </c:pt>
                <c:pt idx="2">
                  <c:v>2009</c:v>
                </c:pt>
                <c:pt idx="3">
                  <c:v>2010</c:v>
                </c:pt>
                <c:pt idx="4">
                  <c:v>2011</c:v>
                </c:pt>
              </c:numCache>
            </c:numRef>
          </c:cat>
          <c:val>
            <c:numRef>
              <c:f>Sheet2!$B$2:$B$6</c:f>
              <c:numCache>
                <c:formatCode>#,##0</c:formatCode>
                <c:ptCount val="5"/>
                <c:pt idx="0">
                  <c:v>7831000</c:v>
                </c:pt>
                <c:pt idx="1">
                  <c:v>9077000</c:v>
                </c:pt>
                <c:pt idx="2">
                  <c:v>9093000</c:v>
                </c:pt>
                <c:pt idx="3">
                  <c:v>10128000</c:v>
                </c:pt>
                <c:pt idx="4">
                  <c:v>10783000</c:v>
                </c:pt>
              </c:numCache>
            </c:numRef>
          </c:val>
          <c:smooth val="0"/>
        </c:ser>
        <c:dLbls>
          <c:showLegendKey val="0"/>
          <c:showVal val="0"/>
          <c:showCatName val="0"/>
          <c:showSerName val="0"/>
          <c:showPercent val="0"/>
          <c:showBubbleSize val="0"/>
        </c:dLbls>
        <c:marker val="1"/>
        <c:smooth val="0"/>
        <c:axId val="295442432"/>
        <c:axId val="291817152"/>
      </c:lineChart>
      <c:catAx>
        <c:axId val="295442432"/>
        <c:scaling>
          <c:orientation val="minMax"/>
        </c:scaling>
        <c:delete val="0"/>
        <c:axPos val="b"/>
        <c:numFmt formatCode="General" sourceLinked="1"/>
        <c:majorTickMark val="out"/>
        <c:minorTickMark val="none"/>
        <c:tickLblPos val="nextTo"/>
        <c:crossAx val="291817152"/>
        <c:crosses val="autoZero"/>
        <c:auto val="1"/>
        <c:lblAlgn val="ctr"/>
        <c:lblOffset val="100"/>
        <c:noMultiLvlLbl val="0"/>
      </c:catAx>
      <c:valAx>
        <c:axId val="291817152"/>
        <c:scaling>
          <c:orientation val="minMax"/>
        </c:scaling>
        <c:delete val="0"/>
        <c:axPos val="l"/>
        <c:majorGridlines/>
        <c:numFmt formatCode="#,##0" sourceLinked="1"/>
        <c:majorTickMark val="out"/>
        <c:minorTickMark val="none"/>
        <c:tickLblPos val="nextTo"/>
        <c:crossAx val="295442432"/>
        <c:crosses val="autoZero"/>
        <c:crossBetween val="between"/>
      </c:valAx>
    </c:plotArea>
    <c:legend>
      <c:legendPos val="r"/>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Romania Air Passenger Trends and Projections 2007 to 2040</a:t>
            </a:r>
          </a:p>
        </c:rich>
      </c:tx>
      <c:overlay val="0"/>
    </c:title>
    <c:autoTitleDeleted val="0"/>
    <c:plotArea>
      <c:layout/>
      <c:scatterChart>
        <c:scatterStyle val="lineMarker"/>
        <c:varyColors val="0"/>
        <c:ser>
          <c:idx val="0"/>
          <c:order val="0"/>
          <c:tx>
            <c:strRef>
              <c:f>CBA_Input_Summary!$R$53</c:f>
              <c:strCache>
                <c:ptCount val="1"/>
                <c:pt idx="0">
                  <c:v>Full Growth</c:v>
                </c:pt>
              </c:strCache>
            </c:strRef>
          </c:tx>
          <c:spPr>
            <a:ln w="28575">
              <a:noFill/>
            </a:ln>
          </c:spPr>
          <c:xVal>
            <c:numRef>
              <c:f>CBA_Input_Summary!$Q$54:$Q$64</c:f>
              <c:numCache>
                <c:formatCode>General</c:formatCode>
                <c:ptCount val="11"/>
                <c:pt idx="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CBA_Input_Summary!$R$54:$R$64</c:f>
              <c:numCache>
                <c:formatCode>General</c:formatCode>
                <c:ptCount val="11"/>
                <c:pt idx="6" formatCode="#,##0">
                  <c:v>16294867.57333957</c:v>
                </c:pt>
                <c:pt idx="7" formatCode="#,##0">
                  <c:v>19972166.574530981</c:v>
                </c:pt>
                <c:pt idx="8" formatCode="#,##0">
                  <c:v>24844132.057735477</c:v>
                </c:pt>
                <c:pt idx="9" formatCode="#,##0">
                  <c:v>29716097.540939987</c:v>
                </c:pt>
                <c:pt idx="10" formatCode="#,##0">
                  <c:v>37269250.732886404</c:v>
                </c:pt>
              </c:numCache>
            </c:numRef>
          </c:yVal>
          <c:smooth val="0"/>
        </c:ser>
        <c:ser>
          <c:idx val="1"/>
          <c:order val="1"/>
          <c:tx>
            <c:strRef>
              <c:f>CBA_Input_Summary!$S$53</c:f>
              <c:strCache>
                <c:ptCount val="1"/>
                <c:pt idx="0">
                  <c:v>Factored Growth</c:v>
                </c:pt>
              </c:strCache>
            </c:strRef>
          </c:tx>
          <c:spPr>
            <a:ln w="28575">
              <a:noFill/>
            </a:ln>
          </c:spPr>
          <c:trendline>
            <c:trendlineType val="linear"/>
            <c:dispRSqr val="0"/>
            <c:dispEq val="0"/>
          </c:trendline>
          <c:xVal>
            <c:numRef>
              <c:f>CBA_Input_Summary!$Q$54:$Q$64</c:f>
              <c:numCache>
                <c:formatCode>General</c:formatCode>
                <c:ptCount val="11"/>
                <c:pt idx="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CBA_Input_Summary!$S$54:$S$64</c:f>
              <c:numCache>
                <c:formatCode>General</c:formatCode>
                <c:ptCount val="11"/>
                <c:pt idx="6" formatCode="#,##0">
                  <c:v>13472567.043594651</c:v>
                </c:pt>
                <c:pt idx="7" formatCode="#,##0">
                  <c:v>16443675.115719046</c:v>
                </c:pt>
                <c:pt idx="8" formatCode="#,##0">
                  <c:v>20399453.755690996</c:v>
                </c:pt>
                <c:pt idx="9" formatCode="#,##0">
                  <c:v>24377113.737553641</c:v>
                </c:pt>
                <c:pt idx="10" formatCode="#,##0">
                  <c:v>30580490.173725355</c:v>
                </c:pt>
              </c:numCache>
            </c:numRef>
          </c:yVal>
          <c:smooth val="0"/>
        </c:ser>
        <c:ser>
          <c:idx val="2"/>
          <c:order val="2"/>
          <c:tx>
            <c:strRef>
              <c:f>CBA_Input_Summary!$T$53</c:f>
              <c:strCache>
                <c:ptCount val="1"/>
                <c:pt idx="0">
                  <c:v>Observed</c:v>
                </c:pt>
              </c:strCache>
            </c:strRef>
          </c:tx>
          <c:spPr>
            <a:ln w="28575">
              <a:noFill/>
            </a:ln>
          </c:spPr>
          <c:xVal>
            <c:numRef>
              <c:f>CBA_Input_Summary!$Q$54:$Q$64</c:f>
              <c:numCache>
                <c:formatCode>General</c:formatCode>
                <c:ptCount val="11"/>
                <c:pt idx="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CBA_Input_Summary!$T$54:$T$64</c:f>
              <c:numCache>
                <c:formatCode>#,##0</c:formatCode>
                <c:ptCount val="11"/>
                <c:pt idx="0">
                  <c:v>7831000</c:v>
                </c:pt>
                <c:pt idx="1">
                  <c:v>9077000</c:v>
                </c:pt>
                <c:pt idx="2">
                  <c:v>9093000</c:v>
                </c:pt>
                <c:pt idx="3">
                  <c:v>10128000</c:v>
                </c:pt>
                <c:pt idx="4">
                  <c:v>10783000</c:v>
                </c:pt>
                <c:pt idx="5">
                  <c:v>10728000</c:v>
                </c:pt>
              </c:numCache>
            </c:numRef>
          </c:yVal>
          <c:smooth val="0"/>
        </c:ser>
        <c:dLbls>
          <c:showLegendKey val="0"/>
          <c:showVal val="0"/>
          <c:showCatName val="0"/>
          <c:showSerName val="0"/>
          <c:showPercent val="0"/>
          <c:showBubbleSize val="0"/>
        </c:dLbls>
        <c:axId val="291818880"/>
        <c:axId val="291819456"/>
      </c:scatterChart>
      <c:valAx>
        <c:axId val="291818880"/>
        <c:scaling>
          <c:orientation val="minMax"/>
        </c:scaling>
        <c:delete val="0"/>
        <c:axPos val="b"/>
        <c:numFmt formatCode="0" sourceLinked="0"/>
        <c:majorTickMark val="out"/>
        <c:minorTickMark val="none"/>
        <c:tickLblPos val="nextTo"/>
        <c:crossAx val="291819456"/>
        <c:crosses val="autoZero"/>
        <c:crossBetween val="midCat"/>
      </c:valAx>
      <c:valAx>
        <c:axId val="291819456"/>
        <c:scaling>
          <c:orientation val="minMax"/>
        </c:scaling>
        <c:delete val="0"/>
        <c:axPos val="l"/>
        <c:majorGridlines/>
        <c:numFmt formatCode="General" sourceLinked="1"/>
        <c:majorTickMark val="out"/>
        <c:minorTickMark val="none"/>
        <c:tickLblPos val="nextTo"/>
        <c:crossAx val="291818880"/>
        <c:crosses val="autoZero"/>
        <c:crossBetween val="midCat"/>
      </c:valAx>
    </c:plotArea>
    <c:legend>
      <c:legendPos val="b"/>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marker>
            <c:symbol val="none"/>
          </c:marker>
          <c:cat>
            <c:numRef>
              <c:f>'Sheet2 (2)'!$ED$4:$ED$8</c:f>
              <c:numCache>
                <c:formatCode>General</c:formatCode>
                <c:ptCount val="5"/>
                <c:pt idx="0">
                  <c:v>100</c:v>
                </c:pt>
                <c:pt idx="1">
                  <c:v>200</c:v>
                </c:pt>
                <c:pt idx="2">
                  <c:v>300</c:v>
                </c:pt>
                <c:pt idx="3">
                  <c:v>400</c:v>
                </c:pt>
                <c:pt idx="4">
                  <c:v>500</c:v>
                </c:pt>
              </c:numCache>
            </c:numRef>
          </c:cat>
          <c:val>
            <c:numRef>
              <c:f>'Sheet2 (2)'!$EE$4:$EE$8</c:f>
              <c:numCache>
                <c:formatCode>0.0%</c:formatCode>
                <c:ptCount val="5"/>
                <c:pt idx="0">
                  <c:v>0.17390292042181171</c:v>
                </c:pt>
                <c:pt idx="1">
                  <c:v>0.22166714216635244</c:v>
                </c:pt>
                <c:pt idx="2">
                  <c:v>0.56170501734289457</c:v>
                </c:pt>
                <c:pt idx="3">
                  <c:v>0.58342106067835953</c:v>
                </c:pt>
                <c:pt idx="4">
                  <c:v>0.77277310840089886</c:v>
                </c:pt>
              </c:numCache>
            </c:numRef>
          </c:val>
          <c:smooth val="0"/>
        </c:ser>
        <c:dLbls>
          <c:showLegendKey val="0"/>
          <c:showVal val="0"/>
          <c:showCatName val="0"/>
          <c:showSerName val="0"/>
          <c:showPercent val="0"/>
          <c:showBubbleSize val="0"/>
        </c:dLbls>
        <c:marker val="1"/>
        <c:smooth val="0"/>
        <c:axId val="290248704"/>
        <c:axId val="291821760"/>
      </c:lineChart>
      <c:catAx>
        <c:axId val="290248704"/>
        <c:scaling>
          <c:orientation val="minMax"/>
        </c:scaling>
        <c:delete val="0"/>
        <c:axPos val="b"/>
        <c:title>
          <c:tx>
            <c:rich>
              <a:bodyPr/>
              <a:lstStyle/>
              <a:p>
                <a:pPr>
                  <a:defRPr/>
                </a:pPr>
                <a:r>
                  <a:rPr lang="en-GB"/>
                  <a:t>Kilometres</a:t>
                </a:r>
              </a:p>
            </c:rich>
          </c:tx>
          <c:overlay val="0"/>
        </c:title>
        <c:numFmt formatCode="General" sourceLinked="1"/>
        <c:majorTickMark val="out"/>
        <c:minorTickMark val="none"/>
        <c:tickLblPos val="nextTo"/>
        <c:crossAx val="291821760"/>
        <c:crosses val="autoZero"/>
        <c:auto val="1"/>
        <c:lblAlgn val="ctr"/>
        <c:lblOffset val="100"/>
        <c:noMultiLvlLbl val="0"/>
      </c:catAx>
      <c:valAx>
        <c:axId val="291821760"/>
        <c:scaling>
          <c:orientation val="minMax"/>
        </c:scaling>
        <c:delete val="0"/>
        <c:axPos val="l"/>
        <c:majorGridlines/>
        <c:numFmt formatCode="0.0%" sourceLinked="1"/>
        <c:majorTickMark val="out"/>
        <c:minorTickMark val="none"/>
        <c:tickLblPos val="nextTo"/>
        <c:crossAx val="290248704"/>
        <c:crosses val="autoZero"/>
        <c:crossBetween val="between"/>
      </c:valAx>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marker>
            <c:symbol val="none"/>
          </c:marker>
          <c:cat>
            <c:numRef>
              <c:f>Sheet2!$ED$4:$ED$8</c:f>
              <c:numCache>
                <c:formatCode>General</c:formatCode>
                <c:ptCount val="5"/>
                <c:pt idx="0">
                  <c:v>100</c:v>
                </c:pt>
                <c:pt idx="1">
                  <c:v>200</c:v>
                </c:pt>
                <c:pt idx="2">
                  <c:v>300</c:v>
                </c:pt>
                <c:pt idx="3">
                  <c:v>400</c:v>
                </c:pt>
                <c:pt idx="4">
                  <c:v>500</c:v>
                </c:pt>
              </c:numCache>
            </c:numRef>
          </c:cat>
          <c:val>
            <c:numRef>
              <c:f>Sheet2!$EE$4:$EE$8</c:f>
              <c:numCache>
                <c:formatCode>0.0%</c:formatCode>
                <c:ptCount val="5"/>
                <c:pt idx="0">
                  <c:v>3.7422441325300176E-2</c:v>
                </c:pt>
                <c:pt idx="1">
                  <c:v>0.11919433329895329</c:v>
                </c:pt>
                <c:pt idx="2">
                  <c:v>0.18912888907197206</c:v>
                </c:pt>
                <c:pt idx="3">
                  <c:v>0.20990682426656071</c:v>
                </c:pt>
                <c:pt idx="4">
                  <c:v>0.21798449876670825</c:v>
                </c:pt>
              </c:numCache>
            </c:numRef>
          </c:val>
          <c:smooth val="0"/>
        </c:ser>
        <c:dLbls>
          <c:showLegendKey val="0"/>
          <c:showVal val="0"/>
          <c:showCatName val="0"/>
          <c:showSerName val="0"/>
          <c:showPercent val="0"/>
          <c:showBubbleSize val="0"/>
        </c:dLbls>
        <c:marker val="1"/>
        <c:smooth val="0"/>
        <c:axId val="290249216"/>
        <c:axId val="291822912"/>
      </c:lineChart>
      <c:catAx>
        <c:axId val="290249216"/>
        <c:scaling>
          <c:orientation val="minMax"/>
        </c:scaling>
        <c:delete val="0"/>
        <c:axPos val="b"/>
        <c:title>
          <c:tx>
            <c:rich>
              <a:bodyPr/>
              <a:lstStyle/>
              <a:p>
                <a:pPr>
                  <a:defRPr/>
                </a:pPr>
                <a:r>
                  <a:rPr lang="en-GB"/>
                  <a:t>Kilometres</a:t>
                </a:r>
              </a:p>
            </c:rich>
          </c:tx>
          <c:overlay val="0"/>
        </c:title>
        <c:numFmt formatCode="General" sourceLinked="1"/>
        <c:majorTickMark val="out"/>
        <c:minorTickMark val="none"/>
        <c:tickLblPos val="nextTo"/>
        <c:crossAx val="291822912"/>
        <c:crosses val="autoZero"/>
        <c:auto val="1"/>
        <c:lblAlgn val="ctr"/>
        <c:lblOffset val="100"/>
        <c:noMultiLvlLbl val="0"/>
      </c:catAx>
      <c:valAx>
        <c:axId val="291822912"/>
        <c:scaling>
          <c:orientation val="minMax"/>
        </c:scaling>
        <c:delete val="0"/>
        <c:axPos val="l"/>
        <c:majorGridlines/>
        <c:numFmt formatCode="0.0%" sourceLinked="1"/>
        <c:majorTickMark val="out"/>
        <c:minorTickMark val="none"/>
        <c:tickLblPos val="nextTo"/>
        <c:crossAx val="29024921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4"/>
            <c:invertIfNegative val="0"/>
            <c:bubble3D val="0"/>
            <c:spPr>
              <a:solidFill>
                <a:schemeClr val="accent2"/>
              </a:solidFill>
            </c:spPr>
          </c:dPt>
          <c:cat>
            <c:strRef>
              <c:f>'2010_extract_avail_data'!$C$4:$C$28</c:f>
              <c:strCache>
                <c:ptCount val="25"/>
                <c:pt idx="0">
                  <c:v>Belgium</c:v>
                </c:pt>
                <c:pt idx="1">
                  <c:v>Bulgaria</c:v>
                </c:pt>
                <c:pt idx="2">
                  <c:v>Czech Republic</c:v>
                </c:pt>
                <c:pt idx="3">
                  <c:v>Germany</c:v>
                </c:pt>
                <c:pt idx="4">
                  <c:v>Estonia</c:v>
                </c:pt>
                <c:pt idx="5">
                  <c:v>Spain</c:v>
                </c:pt>
                <c:pt idx="6">
                  <c:v>Croatia</c:v>
                </c:pt>
                <c:pt idx="7">
                  <c:v>Italy</c:v>
                </c:pt>
                <c:pt idx="8">
                  <c:v>Cyprus</c:v>
                </c:pt>
                <c:pt idx="9">
                  <c:v>Latvia</c:v>
                </c:pt>
                <c:pt idx="10">
                  <c:v>Lithuania</c:v>
                </c:pt>
                <c:pt idx="11">
                  <c:v>Netherlands</c:v>
                </c:pt>
                <c:pt idx="12">
                  <c:v>Austria</c:v>
                </c:pt>
                <c:pt idx="13">
                  <c:v>Poland</c:v>
                </c:pt>
                <c:pt idx="14">
                  <c:v>Romania</c:v>
                </c:pt>
                <c:pt idx="15">
                  <c:v>Slovenia</c:v>
                </c:pt>
                <c:pt idx="16">
                  <c:v>Slovakia</c:v>
                </c:pt>
                <c:pt idx="17">
                  <c:v>Finland</c:v>
                </c:pt>
                <c:pt idx="18">
                  <c:v>Sweden</c:v>
                </c:pt>
                <c:pt idx="19">
                  <c:v>United Kingdom</c:v>
                </c:pt>
                <c:pt idx="20">
                  <c:v>Norway</c:v>
                </c:pt>
                <c:pt idx="21">
                  <c:v>Switzerland</c:v>
                </c:pt>
                <c:pt idx="22">
                  <c:v>Macedonia</c:v>
                </c:pt>
                <c:pt idx="23">
                  <c:v>Serbia</c:v>
                </c:pt>
                <c:pt idx="24">
                  <c:v>Turkey</c:v>
                </c:pt>
              </c:strCache>
            </c:strRef>
          </c:cat>
          <c:val>
            <c:numRef>
              <c:f>'2010_extract_avail_data'!$D$4:$D$28</c:f>
              <c:numCache>
                <c:formatCode>#,##0</c:formatCode>
                <c:ptCount val="25"/>
                <c:pt idx="0">
                  <c:v>480</c:v>
                </c:pt>
                <c:pt idx="1">
                  <c:v>353</c:v>
                </c:pt>
                <c:pt idx="2">
                  <c:v>429</c:v>
                </c:pt>
                <c:pt idx="3">
                  <c:v>517</c:v>
                </c:pt>
                <c:pt idx="4">
                  <c:v>412</c:v>
                </c:pt>
                <c:pt idx="5">
                  <c:v>480</c:v>
                </c:pt>
                <c:pt idx="6">
                  <c:v>345</c:v>
                </c:pt>
                <c:pt idx="7">
                  <c:v>606</c:v>
                </c:pt>
                <c:pt idx="8">
                  <c:v>551</c:v>
                </c:pt>
                <c:pt idx="9">
                  <c:v>307</c:v>
                </c:pt>
                <c:pt idx="10">
                  <c:v>554</c:v>
                </c:pt>
                <c:pt idx="11">
                  <c:v>464</c:v>
                </c:pt>
                <c:pt idx="12">
                  <c:v>528</c:v>
                </c:pt>
                <c:pt idx="13">
                  <c:v>447</c:v>
                </c:pt>
                <c:pt idx="14">
                  <c:v>202</c:v>
                </c:pt>
                <c:pt idx="15">
                  <c:v>518</c:v>
                </c:pt>
                <c:pt idx="16">
                  <c:v>310</c:v>
                </c:pt>
                <c:pt idx="17">
                  <c:v>535</c:v>
                </c:pt>
                <c:pt idx="18">
                  <c:v>460</c:v>
                </c:pt>
                <c:pt idx="19">
                  <c:v>455</c:v>
                </c:pt>
                <c:pt idx="20">
                  <c:v>469</c:v>
                </c:pt>
                <c:pt idx="21">
                  <c:v>518</c:v>
                </c:pt>
                <c:pt idx="22">
                  <c:v>151</c:v>
                </c:pt>
                <c:pt idx="23">
                  <c:v>215</c:v>
                </c:pt>
                <c:pt idx="24">
                  <c:v>102</c:v>
                </c:pt>
              </c:numCache>
            </c:numRef>
          </c:val>
        </c:ser>
        <c:dLbls>
          <c:showLegendKey val="0"/>
          <c:showVal val="0"/>
          <c:showCatName val="0"/>
          <c:showSerName val="0"/>
          <c:showPercent val="0"/>
          <c:showBubbleSize val="0"/>
        </c:dLbls>
        <c:gapWidth val="150"/>
        <c:axId val="277386752"/>
        <c:axId val="278873792"/>
      </c:barChart>
      <c:catAx>
        <c:axId val="277386752"/>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ro-RO"/>
          </a:p>
        </c:txPr>
        <c:crossAx val="278873792"/>
        <c:crosses val="autoZero"/>
        <c:auto val="1"/>
        <c:lblAlgn val="ctr"/>
        <c:lblOffset val="100"/>
        <c:noMultiLvlLbl val="0"/>
      </c:catAx>
      <c:valAx>
        <c:axId val="278873792"/>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ro-RO"/>
          </a:p>
        </c:txPr>
        <c:crossAx val="277386752"/>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8.5360404329624093E-2"/>
          <c:y val="5.0696436917988703E-2"/>
          <c:w val="0.85185852801458228"/>
          <c:h val="0.72988961996189372"/>
        </c:manualLayout>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Sheet1!$N$4:$Q$4</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Sheet1!$H$4:$K$4</c:f>
              <c:numCache>
                <c:formatCode>General</c:formatCode>
                <c:ptCount val="4"/>
                <c:pt idx="0">
                  <c:v>35</c:v>
                </c:pt>
                <c:pt idx="1">
                  <c:v>179</c:v>
                </c:pt>
                <c:pt idx="2">
                  <c:v>270</c:v>
                </c:pt>
                <c:pt idx="3">
                  <c:v>380</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Sheet1!$B$4:$E$4</c:f>
              <c:numCache>
                <c:formatCode>General</c:formatCode>
                <c:ptCount val="4"/>
                <c:pt idx="0">
                  <c:v>35</c:v>
                </c:pt>
                <c:pt idx="1">
                  <c:v>82</c:v>
                </c:pt>
                <c:pt idx="2">
                  <c:v>131</c:v>
                </c:pt>
                <c:pt idx="3">
                  <c:v>196</c:v>
                </c:pt>
              </c:numCache>
            </c:numRef>
          </c:val>
        </c:ser>
        <c:dLbls>
          <c:showLegendKey val="0"/>
          <c:showVal val="0"/>
          <c:showCatName val="0"/>
          <c:showSerName val="0"/>
          <c:showPercent val="0"/>
          <c:showBubbleSize val="0"/>
        </c:dLbls>
        <c:axId val="290250240"/>
        <c:axId val="291579008"/>
      </c:areaChart>
      <c:catAx>
        <c:axId val="290250240"/>
        <c:scaling>
          <c:orientation val="minMax"/>
        </c:scaling>
        <c:delete val="0"/>
        <c:axPos val="b"/>
        <c:numFmt formatCode="General" sourceLinked="1"/>
        <c:majorTickMark val="none"/>
        <c:minorTickMark val="none"/>
        <c:tickLblPos val="nextTo"/>
        <c:crossAx val="291579008"/>
        <c:crosses val="autoZero"/>
        <c:auto val="1"/>
        <c:lblAlgn val="ctr"/>
        <c:lblOffset val="100"/>
        <c:noMultiLvlLbl val="0"/>
      </c:catAx>
      <c:valAx>
        <c:axId val="291579008"/>
        <c:scaling>
          <c:orientation val="minMax"/>
        </c:scaling>
        <c:delete val="0"/>
        <c:axPos val="l"/>
        <c:majorGridlines/>
        <c:numFmt formatCode="General" sourceLinked="1"/>
        <c:majorTickMark val="none"/>
        <c:minorTickMark val="none"/>
        <c:tickLblPos val="nextTo"/>
        <c:crossAx val="290250240"/>
        <c:crosses val="autoZero"/>
        <c:crossBetween val="midCat"/>
      </c:valAx>
    </c:plotArea>
    <c:legend>
      <c:legendPos val="r"/>
      <c:legendEntry>
        <c:idx val="0"/>
        <c:delete val="1"/>
      </c:legendEntry>
      <c:layout>
        <c:manualLayout>
          <c:xMode val="edge"/>
          <c:yMode val="edge"/>
          <c:x val="0.20127118644067796"/>
          <c:y val="0.88612099644128162"/>
          <c:w val="0.59110169491525044"/>
          <c:h val="8.5409252669039148E-2"/>
        </c:manualLayout>
      </c:layout>
      <c:overlay val="0"/>
    </c:legend>
    <c:plotVisOnly val="1"/>
    <c:dispBlanksAs val="zero"/>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Sheet1!$N$31:$Q$31</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Sheet1!$H$31:$K$31</c:f>
              <c:numCache>
                <c:formatCode>General</c:formatCode>
                <c:ptCount val="4"/>
                <c:pt idx="0">
                  <c:v>0</c:v>
                </c:pt>
                <c:pt idx="1">
                  <c:v>41</c:v>
                </c:pt>
                <c:pt idx="2">
                  <c:v>60</c:v>
                </c:pt>
                <c:pt idx="3">
                  <c:v>83</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Sheet1!$B$31:$E$31</c:f>
              <c:numCache>
                <c:formatCode>General</c:formatCode>
                <c:ptCount val="4"/>
                <c:pt idx="0">
                  <c:v>0</c:v>
                </c:pt>
                <c:pt idx="1">
                  <c:v>0</c:v>
                </c:pt>
                <c:pt idx="2">
                  <c:v>0</c:v>
                </c:pt>
                <c:pt idx="3">
                  <c:v>0</c:v>
                </c:pt>
              </c:numCache>
            </c:numRef>
          </c:val>
        </c:ser>
        <c:dLbls>
          <c:showLegendKey val="0"/>
          <c:showVal val="0"/>
          <c:showCatName val="0"/>
          <c:showSerName val="0"/>
          <c:showPercent val="0"/>
          <c:showBubbleSize val="0"/>
        </c:dLbls>
        <c:axId val="291738112"/>
        <c:axId val="291580736"/>
      </c:areaChart>
      <c:catAx>
        <c:axId val="291738112"/>
        <c:scaling>
          <c:orientation val="minMax"/>
        </c:scaling>
        <c:delete val="0"/>
        <c:axPos val="b"/>
        <c:numFmt formatCode="General" sourceLinked="1"/>
        <c:majorTickMark val="none"/>
        <c:minorTickMark val="none"/>
        <c:tickLblPos val="nextTo"/>
        <c:crossAx val="291580736"/>
        <c:crosses val="autoZero"/>
        <c:auto val="1"/>
        <c:lblAlgn val="ctr"/>
        <c:lblOffset val="100"/>
        <c:noMultiLvlLbl val="0"/>
      </c:catAx>
      <c:valAx>
        <c:axId val="291580736"/>
        <c:scaling>
          <c:orientation val="minMax"/>
        </c:scaling>
        <c:delete val="0"/>
        <c:axPos val="l"/>
        <c:majorGridlines/>
        <c:numFmt formatCode="General" sourceLinked="1"/>
        <c:majorTickMark val="none"/>
        <c:minorTickMark val="none"/>
        <c:tickLblPos val="nextTo"/>
        <c:crossAx val="291738112"/>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Sheet1!$N$15:$Q$15</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Sheet1!$H$15:$K$15</c:f>
              <c:numCache>
                <c:formatCode>General</c:formatCode>
                <c:ptCount val="4"/>
                <c:pt idx="0">
                  <c:v>1</c:v>
                </c:pt>
                <c:pt idx="1">
                  <c:v>27</c:v>
                </c:pt>
                <c:pt idx="2">
                  <c:v>41</c:v>
                </c:pt>
                <c:pt idx="3">
                  <c:v>59</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Sheet1!$B$15:$E$15</c:f>
              <c:numCache>
                <c:formatCode>General</c:formatCode>
                <c:ptCount val="4"/>
                <c:pt idx="0">
                  <c:v>1</c:v>
                </c:pt>
                <c:pt idx="1">
                  <c:v>4</c:v>
                </c:pt>
                <c:pt idx="2">
                  <c:v>9</c:v>
                </c:pt>
                <c:pt idx="3">
                  <c:v>15</c:v>
                </c:pt>
              </c:numCache>
            </c:numRef>
          </c:val>
        </c:ser>
        <c:dLbls>
          <c:showLegendKey val="0"/>
          <c:showVal val="0"/>
          <c:showCatName val="0"/>
          <c:showSerName val="0"/>
          <c:showPercent val="0"/>
          <c:showBubbleSize val="0"/>
        </c:dLbls>
        <c:axId val="290249728"/>
        <c:axId val="291582464"/>
      </c:areaChart>
      <c:catAx>
        <c:axId val="290249728"/>
        <c:scaling>
          <c:orientation val="minMax"/>
        </c:scaling>
        <c:delete val="0"/>
        <c:axPos val="b"/>
        <c:numFmt formatCode="General" sourceLinked="1"/>
        <c:majorTickMark val="none"/>
        <c:minorTickMark val="none"/>
        <c:tickLblPos val="nextTo"/>
        <c:crossAx val="291582464"/>
        <c:crosses val="autoZero"/>
        <c:auto val="1"/>
        <c:lblAlgn val="ctr"/>
        <c:lblOffset val="100"/>
        <c:noMultiLvlLbl val="0"/>
      </c:catAx>
      <c:valAx>
        <c:axId val="291582464"/>
        <c:scaling>
          <c:orientation val="minMax"/>
        </c:scaling>
        <c:delete val="0"/>
        <c:axPos val="l"/>
        <c:majorGridlines/>
        <c:numFmt formatCode="General" sourceLinked="1"/>
        <c:majorTickMark val="none"/>
        <c:minorTickMark val="none"/>
        <c:tickLblPos val="nextTo"/>
        <c:crossAx val="290249728"/>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Sheet1!$N$8:$Q$8</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Sheet1!$H$8:$K$8</c:f>
              <c:numCache>
                <c:formatCode>General</c:formatCode>
                <c:ptCount val="4"/>
                <c:pt idx="0">
                  <c:v>2</c:v>
                </c:pt>
                <c:pt idx="1">
                  <c:v>40</c:v>
                </c:pt>
                <c:pt idx="2">
                  <c:v>57</c:v>
                </c:pt>
                <c:pt idx="3">
                  <c:v>84</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Sheet1!$B$8:$E$8</c:f>
              <c:numCache>
                <c:formatCode>General</c:formatCode>
                <c:ptCount val="4"/>
                <c:pt idx="0">
                  <c:v>2</c:v>
                </c:pt>
                <c:pt idx="1">
                  <c:v>2</c:v>
                </c:pt>
                <c:pt idx="2">
                  <c:v>3</c:v>
                </c:pt>
                <c:pt idx="3">
                  <c:v>7</c:v>
                </c:pt>
              </c:numCache>
            </c:numRef>
          </c:val>
        </c:ser>
        <c:dLbls>
          <c:showLegendKey val="0"/>
          <c:showVal val="0"/>
          <c:showCatName val="0"/>
          <c:showSerName val="0"/>
          <c:showPercent val="0"/>
          <c:showBubbleSize val="0"/>
        </c:dLbls>
        <c:axId val="291740160"/>
        <c:axId val="291584192"/>
      </c:areaChart>
      <c:catAx>
        <c:axId val="291740160"/>
        <c:scaling>
          <c:orientation val="minMax"/>
        </c:scaling>
        <c:delete val="0"/>
        <c:axPos val="b"/>
        <c:numFmt formatCode="General" sourceLinked="1"/>
        <c:majorTickMark val="none"/>
        <c:minorTickMark val="none"/>
        <c:tickLblPos val="nextTo"/>
        <c:crossAx val="291584192"/>
        <c:crosses val="autoZero"/>
        <c:auto val="1"/>
        <c:lblAlgn val="ctr"/>
        <c:lblOffset val="100"/>
        <c:noMultiLvlLbl val="0"/>
      </c:catAx>
      <c:valAx>
        <c:axId val="291584192"/>
        <c:scaling>
          <c:orientation val="minMax"/>
        </c:scaling>
        <c:delete val="0"/>
        <c:axPos val="l"/>
        <c:majorGridlines/>
        <c:numFmt formatCode="General" sourceLinked="1"/>
        <c:majorTickMark val="none"/>
        <c:minorTickMark val="none"/>
        <c:tickLblPos val="nextTo"/>
        <c:crossAx val="291740160"/>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Sheet1!$N$9:$Q$9</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Sheet1!$H$9:$K$9</c:f>
              <c:numCache>
                <c:formatCode>General</c:formatCode>
                <c:ptCount val="4"/>
                <c:pt idx="0">
                  <c:v>9</c:v>
                </c:pt>
                <c:pt idx="1">
                  <c:v>55</c:v>
                </c:pt>
                <c:pt idx="2">
                  <c:v>77</c:v>
                </c:pt>
                <c:pt idx="3">
                  <c:v>103</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Sheet1!$B$9:$E$9</c:f>
              <c:numCache>
                <c:formatCode>General</c:formatCode>
                <c:ptCount val="4"/>
                <c:pt idx="0">
                  <c:v>9</c:v>
                </c:pt>
                <c:pt idx="1">
                  <c:v>23</c:v>
                </c:pt>
                <c:pt idx="2">
                  <c:v>39</c:v>
                </c:pt>
                <c:pt idx="3">
                  <c:v>62</c:v>
                </c:pt>
              </c:numCache>
            </c:numRef>
          </c:val>
        </c:ser>
        <c:dLbls>
          <c:showLegendKey val="0"/>
          <c:showVal val="0"/>
          <c:showCatName val="0"/>
          <c:showSerName val="0"/>
          <c:showPercent val="0"/>
          <c:showBubbleSize val="0"/>
        </c:dLbls>
        <c:axId val="291692544"/>
        <c:axId val="291618816"/>
      </c:areaChart>
      <c:catAx>
        <c:axId val="291692544"/>
        <c:scaling>
          <c:orientation val="minMax"/>
        </c:scaling>
        <c:delete val="0"/>
        <c:axPos val="b"/>
        <c:numFmt formatCode="General" sourceLinked="1"/>
        <c:majorTickMark val="none"/>
        <c:minorTickMark val="none"/>
        <c:tickLblPos val="nextTo"/>
        <c:crossAx val="291618816"/>
        <c:crosses val="autoZero"/>
        <c:auto val="1"/>
        <c:lblAlgn val="ctr"/>
        <c:lblOffset val="100"/>
        <c:noMultiLvlLbl val="0"/>
      </c:catAx>
      <c:valAx>
        <c:axId val="291618816"/>
        <c:scaling>
          <c:orientation val="minMax"/>
        </c:scaling>
        <c:delete val="0"/>
        <c:axPos val="l"/>
        <c:majorGridlines/>
        <c:numFmt formatCode="General" sourceLinked="1"/>
        <c:majorTickMark val="none"/>
        <c:minorTickMark val="none"/>
        <c:tickLblPos val="nextTo"/>
        <c:crossAx val="291692544"/>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spPr>
            <a:solidFill>
              <a:schemeClr val="tx2">
                <a:lumMod val="60000"/>
                <a:lumOff val="40000"/>
              </a:schemeClr>
            </a:solidFill>
          </c:spPr>
          <c:cat>
            <c:numRef>
              <c:f>'[Chart in Microsoft Office Word]Sheet1'!$N$3:$Q$3</c:f>
              <c:numCache>
                <c:formatCode>General</c:formatCode>
                <c:ptCount val="4"/>
                <c:pt idx="0">
                  <c:v>2011</c:v>
                </c:pt>
                <c:pt idx="1">
                  <c:v>2020</c:v>
                </c:pt>
                <c:pt idx="2">
                  <c:v>2030</c:v>
                </c:pt>
                <c:pt idx="3">
                  <c:v>2040</c:v>
                </c:pt>
              </c:numCache>
            </c:numRef>
          </c:cat>
          <c:val>
            <c:numRef>
              <c:f>'[Chart in Microsoft Office Word]Sheet1'!$H$10:$K$10</c:f>
              <c:numCache>
                <c:formatCode>General</c:formatCode>
                <c:ptCount val="4"/>
                <c:pt idx="0">
                  <c:v>1</c:v>
                </c:pt>
                <c:pt idx="1">
                  <c:v>25</c:v>
                </c:pt>
                <c:pt idx="2">
                  <c:v>34</c:v>
                </c:pt>
                <c:pt idx="3">
                  <c:v>47</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Word]Sheet1'!$B$10:$E$10</c:f>
              <c:numCache>
                <c:formatCode>General</c:formatCode>
                <c:ptCount val="4"/>
                <c:pt idx="0">
                  <c:v>1</c:v>
                </c:pt>
                <c:pt idx="1">
                  <c:v>2</c:v>
                </c:pt>
                <c:pt idx="2">
                  <c:v>3</c:v>
                </c:pt>
                <c:pt idx="3">
                  <c:v>5</c:v>
                </c:pt>
              </c:numCache>
            </c:numRef>
          </c:val>
        </c:ser>
        <c:dLbls>
          <c:showLegendKey val="0"/>
          <c:showVal val="0"/>
          <c:showCatName val="0"/>
          <c:showSerName val="0"/>
          <c:showPercent val="0"/>
          <c:showBubbleSize val="0"/>
        </c:dLbls>
        <c:axId val="300708352"/>
        <c:axId val="291620544"/>
      </c:areaChart>
      <c:catAx>
        <c:axId val="300708352"/>
        <c:scaling>
          <c:orientation val="minMax"/>
        </c:scaling>
        <c:delete val="0"/>
        <c:axPos val="b"/>
        <c:numFmt formatCode="General" sourceLinked="1"/>
        <c:majorTickMark val="none"/>
        <c:minorTickMark val="none"/>
        <c:tickLblPos val="nextTo"/>
        <c:crossAx val="291620544"/>
        <c:crosses val="autoZero"/>
        <c:auto val="1"/>
        <c:lblAlgn val="ctr"/>
        <c:lblOffset val="100"/>
        <c:noMultiLvlLbl val="0"/>
      </c:catAx>
      <c:valAx>
        <c:axId val="291620544"/>
        <c:scaling>
          <c:orientation val="minMax"/>
        </c:scaling>
        <c:delete val="0"/>
        <c:axPos val="l"/>
        <c:majorGridlines/>
        <c:numFmt formatCode="General" sourceLinked="1"/>
        <c:majorTickMark val="none"/>
        <c:minorTickMark val="none"/>
        <c:tickLblPos val="nextTo"/>
        <c:crossAx val="300708352"/>
        <c:crosses val="autoZero"/>
        <c:crossBetween val="midCat"/>
      </c:valAx>
    </c:plotArea>
    <c:legend>
      <c:legendPos val="b"/>
      <c:overlay val="0"/>
    </c:legend>
    <c:plotVisOnly val="1"/>
    <c:dispBlanksAs val="zero"/>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spPr>
            <a:solidFill>
              <a:schemeClr val="tx2">
                <a:lumMod val="60000"/>
                <a:lumOff val="40000"/>
              </a:schemeClr>
            </a:solidFill>
          </c:spPr>
          <c:cat>
            <c:numRef>
              <c:f>'[Chart in Microsoft Office Word]Sheet1'!$N$3:$Q$3</c:f>
              <c:numCache>
                <c:formatCode>General</c:formatCode>
                <c:ptCount val="4"/>
                <c:pt idx="0">
                  <c:v>2011</c:v>
                </c:pt>
                <c:pt idx="1">
                  <c:v>2020</c:v>
                </c:pt>
                <c:pt idx="2">
                  <c:v>2030</c:v>
                </c:pt>
                <c:pt idx="3">
                  <c:v>2040</c:v>
                </c:pt>
              </c:numCache>
            </c:numRef>
          </c:cat>
          <c:val>
            <c:numRef>
              <c:f>'[Chart in Microsoft Office Word]Sheet1'!$H$11:$K$11</c:f>
              <c:numCache>
                <c:formatCode>General</c:formatCode>
                <c:ptCount val="4"/>
                <c:pt idx="0">
                  <c:v>11</c:v>
                </c:pt>
                <c:pt idx="1">
                  <c:v>28</c:v>
                </c:pt>
                <c:pt idx="2">
                  <c:v>37</c:v>
                </c:pt>
                <c:pt idx="3">
                  <c:v>47</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Word]Sheet1'!$B$11:$E$11</c:f>
              <c:numCache>
                <c:formatCode>General</c:formatCode>
                <c:ptCount val="4"/>
                <c:pt idx="0">
                  <c:v>11</c:v>
                </c:pt>
                <c:pt idx="1">
                  <c:v>16</c:v>
                </c:pt>
                <c:pt idx="2">
                  <c:v>23</c:v>
                </c:pt>
                <c:pt idx="3">
                  <c:v>32</c:v>
                </c:pt>
              </c:numCache>
            </c:numRef>
          </c:val>
        </c:ser>
        <c:dLbls>
          <c:showLegendKey val="0"/>
          <c:showVal val="0"/>
          <c:showCatName val="0"/>
          <c:showSerName val="0"/>
          <c:showPercent val="0"/>
          <c:showBubbleSize val="0"/>
        </c:dLbls>
        <c:axId val="290439168"/>
        <c:axId val="291622272"/>
      </c:areaChart>
      <c:catAx>
        <c:axId val="290439168"/>
        <c:scaling>
          <c:orientation val="minMax"/>
        </c:scaling>
        <c:delete val="0"/>
        <c:axPos val="b"/>
        <c:numFmt formatCode="General" sourceLinked="1"/>
        <c:majorTickMark val="none"/>
        <c:minorTickMark val="none"/>
        <c:tickLblPos val="nextTo"/>
        <c:crossAx val="291622272"/>
        <c:crosses val="autoZero"/>
        <c:auto val="1"/>
        <c:lblAlgn val="ctr"/>
        <c:lblOffset val="100"/>
        <c:noMultiLvlLbl val="0"/>
      </c:catAx>
      <c:valAx>
        <c:axId val="291622272"/>
        <c:scaling>
          <c:orientation val="minMax"/>
        </c:scaling>
        <c:delete val="0"/>
        <c:axPos val="l"/>
        <c:majorGridlines/>
        <c:numFmt formatCode="General" sourceLinked="1"/>
        <c:majorTickMark val="none"/>
        <c:minorTickMark val="none"/>
        <c:tickLblPos val="nextTo"/>
        <c:crossAx val="290439168"/>
        <c:crosses val="autoZero"/>
        <c:crossBetween val="midCat"/>
      </c:valAx>
    </c:plotArea>
    <c:legend>
      <c:legendPos val="b"/>
      <c:overlay val="0"/>
    </c:legend>
    <c:plotVisOnly val="1"/>
    <c:dispBlanksAs val="zero"/>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Word]Sheet1'!$H$16:$K$16</c:f>
              <c:numCache>
                <c:formatCode>General</c:formatCode>
                <c:ptCount val="4"/>
                <c:pt idx="0">
                  <c:v>11</c:v>
                </c:pt>
                <c:pt idx="1">
                  <c:v>63</c:v>
                </c:pt>
                <c:pt idx="2">
                  <c:v>93</c:v>
                </c:pt>
                <c:pt idx="3">
                  <c:v>130</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Word]Sheet1'!$B$16:$E$16</c:f>
              <c:numCache>
                <c:formatCode>General</c:formatCode>
                <c:ptCount val="4"/>
                <c:pt idx="0">
                  <c:v>11</c:v>
                </c:pt>
                <c:pt idx="1">
                  <c:v>19</c:v>
                </c:pt>
                <c:pt idx="2">
                  <c:v>34</c:v>
                </c:pt>
                <c:pt idx="3">
                  <c:v>55</c:v>
                </c:pt>
              </c:numCache>
            </c:numRef>
          </c:val>
        </c:ser>
        <c:dLbls>
          <c:showLegendKey val="0"/>
          <c:showVal val="0"/>
          <c:showCatName val="0"/>
          <c:showSerName val="0"/>
          <c:showPercent val="0"/>
          <c:showBubbleSize val="0"/>
        </c:dLbls>
        <c:axId val="290439680"/>
        <c:axId val="291624000"/>
      </c:areaChart>
      <c:catAx>
        <c:axId val="290439680"/>
        <c:scaling>
          <c:orientation val="minMax"/>
        </c:scaling>
        <c:delete val="0"/>
        <c:axPos val="b"/>
        <c:numFmt formatCode="General" sourceLinked="1"/>
        <c:majorTickMark val="none"/>
        <c:minorTickMark val="none"/>
        <c:tickLblPos val="nextTo"/>
        <c:crossAx val="291624000"/>
        <c:crosses val="autoZero"/>
        <c:auto val="1"/>
        <c:lblAlgn val="ctr"/>
        <c:lblOffset val="100"/>
        <c:noMultiLvlLbl val="0"/>
      </c:catAx>
      <c:valAx>
        <c:axId val="291624000"/>
        <c:scaling>
          <c:orientation val="minMax"/>
        </c:scaling>
        <c:delete val="0"/>
        <c:axPos val="l"/>
        <c:majorGridlines/>
        <c:numFmt formatCode="General" sourceLinked="1"/>
        <c:majorTickMark val="none"/>
        <c:minorTickMark val="none"/>
        <c:tickLblPos val="nextTo"/>
        <c:crossAx val="290439680"/>
        <c:crosses val="autoZero"/>
        <c:crossBetween val="midCat"/>
      </c:valAx>
    </c:plotArea>
    <c:legend>
      <c:legendPos val="b"/>
      <c:overlay val="0"/>
    </c:legend>
    <c:plotVisOnly val="1"/>
    <c:dispBlanksAs val="zero"/>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Sheet1!$N$17:$Q$17</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Sheet1!$H$17:$K$17</c:f>
              <c:numCache>
                <c:formatCode>General</c:formatCode>
                <c:ptCount val="4"/>
                <c:pt idx="0">
                  <c:v>15</c:v>
                </c:pt>
                <c:pt idx="1">
                  <c:v>74</c:v>
                </c:pt>
                <c:pt idx="2">
                  <c:v>107</c:v>
                </c:pt>
                <c:pt idx="3">
                  <c:v>150</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Sheet1!$B$17:$E$17</c:f>
              <c:numCache>
                <c:formatCode>General</c:formatCode>
                <c:ptCount val="4"/>
                <c:pt idx="0">
                  <c:v>15</c:v>
                </c:pt>
                <c:pt idx="1">
                  <c:v>24</c:v>
                </c:pt>
                <c:pt idx="2">
                  <c:v>41</c:v>
                </c:pt>
                <c:pt idx="3">
                  <c:v>62</c:v>
                </c:pt>
              </c:numCache>
            </c:numRef>
          </c:val>
        </c:ser>
        <c:dLbls>
          <c:showLegendKey val="0"/>
          <c:showVal val="0"/>
          <c:showCatName val="0"/>
          <c:showSerName val="0"/>
          <c:showPercent val="0"/>
          <c:showBubbleSize val="0"/>
        </c:dLbls>
        <c:axId val="290440192"/>
        <c:axId val="291625728"/>
      </c:areaChart>
      <c:catAx>
        <c:axId val="290440192"/>
        <c:scaling>
          <c:orientation val="minMax"/>
        </c:scaling>
        <c:delete val="0"/>
        <c:axPos val="b"/>
        <c:numFmt formatCode="General" sourceLinked="1"/>
        <c:majorTickMark val="none"/>
        <c:minorTickMark val="none"/>
        <c:tickLblPos val="nextTo"/>
        <c:crossAx val="291625728"/>
        <c:crosses val="autoZero"/>
        <c:auto val="1"/>
        <c:lblAlgn val="ctr"/>
        <c:lblOffset val="100"/>
        <c:noMultiLvlLbl val="0"/>
      </c:catAx>
      <c:valAx>
        <c:axId val="291625728"/>
        <c:scaling>
          <c:orientation val="minMax"/>
        </c:scaling>
        <c:delete val="0"/>
        <c:axPos val="l"/>
        <c:majorGridlines/>
        <c:numFmt formatCode="General" sourceLinked="1"/>
        <c:majorTickMark val="none"/>
        <c:minorTickMark val="none"/>
        <c:tickLblPos val="nextTo"/>
        <c:crossAx val="290440192"/>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'2.Budget'!$Q$5</c:f>
              <c:strCache>
                <c:ptCount val="1"/>
                <c:pt idx="0">
                  <c:v>2014-2020</c:v>
                </c:pt>
              </c:strCache>
            </c:strRef>
          </c:tx>
          <c:invertIfNegative val="0"/>
          <c:cat>
            <c:strRef>
              <c:f>'2.Budget'!$P$6:$P$13</c:f>
              <c:strCache>
                <c:ptCount val="8"/>
                <c:pt idx="0">
                  <c:v>Maintenance</c:v>
                </c:pt>
                <c:pt idx="1">
                  <c:v>Road rehabilitation</c:v>
                </c:pt>
                <c:pt idx="2">
                  <c:v>Phased Projects and Metro</c:v>
                </c:pt>
                <c:pt idx="3">
                  <c:v>Roads Investments</c:v>
                </c:pt>
                <c:pt idx="4">
                  <c:v>Rail Investments</c:v>
                </c:pt>
                <c:pt idx="5">
                  <c:v>Ports and Waterways Investments</c:v>
                </c:pt>
                <c:pt idx="6">
                  <c:v>Aviation Investments</c:v>
                </c:pt>
                <c:pt idx="7">
                  <c:v>Intermodal Investments</c:v>
                </c:pt>
              </c:strCache>
            </c:strRef>
          </c:cat>
          <c:val>
            <c:numRef>
              <c:f>'2.Budget'!$Q$6:$Q$13</c:f>
              <c:numCache>
                <c:formatCode>#,##0</c:formatCode>
                <c:ptCount val="8"/>
                <c:pt idx="0">
                  <c:v>7260</c:v>
                </c:pt>
                <c:pt idx="1">
                  <c:v>4578</c:v>
                </c:pt>
                <c:pt idx="2">
                  <c:v>1911.48997194704</c:v>
                </c:pt>
                <c:pt idx="3">
                  <c:v>5867.3689801328292</c:v>
                </c:pt>
                <c:pt idx="4">
                  <c:v>5062.0438259969505</c:v>
                </c:pt>
                <c:pt idx="5">
                  <c:v>324</c:v>
                </c:pt>
                <c:pt idx="6">
                  <c:v>188.23225295419888</c:v>
                </c:pt>
                <c:pt idx="7">
                  <c:v>63</c:v>
                </c:pt>
              </c:numCache>
            </c:numRef>
          </c:val>
        </c:ser>
        <c:ser>
          <c:idx val="1"/>
          <c:order val="1"/>
          <c:tx>
            <c:strRef>
              <c:f>'2.Budget'!$R$5</c:f>
              <c:strCache>
                <c:ptCount val="1"/>
                <c:pt idx="0">
                  <c:v>2021-2030</c:v>
                </c:pt>
              </c:strCache>
            </c:strRef>
          </c:tx>
          <c:invertIfNegative val="0"/>
          <c:cat>
            <c:strRef>
              <c:f>'2.Budget'!$P$6:$P$13</c:f>
              <c:strCache>
                <c:ptCount val="8"/>
                <c:pt idx="0">
                  <c:v>Maintenance</c:v>
                </c:pt>
                <c:pt idx="1">
                  <c:v>Road rehabilitation</c:v>
                </c:pt>
                <c:pt idx="2">
                  <c:v>Phased Projects and Metro</c:v>
                </c:pt>
                <c:pt idx="3">
                  <c:v>Roads Investments</c:v>
                </c:pt>
                <c:pt idx="4">
                  <c:v>Rail Investments</c:v>
                </c:pt>
                <c:pt idx="5">
                  <c:v>Ports and Waterways Investments</c:v>
                </c:pt>
                <c:pt idx="6">
                  <c:v>Aviation Investments</c:v>
                </c:pt>
                <c:pt idx="7">
                  <c:v>Intermodal Investments</c:v>
                </c:pt>
              </c:strCache>
            </c:strRef>
          </c:cat>
          <c:val>
            <c:numRef>
              <c:f>'2.Budget'!$R$6:$R$13</c:f>
              <c:numCache>
                <c:formatCode>#,##0</c:formatCode>
                <c:ptCount val="8"/>
                <c:pt idx="0">
                  <c:v>20650</c:v>
                </c:pt>
                <c:pt idx="1">
                  <c:v>0</c:v>
                </c:pt>
                <c:pt idx="2">
                  <c:v>3200</c:v>
                </c:pt>
                <c:pt idx="3">
                  <c:v>12839.662661938342</c:v>
                </c:pt>
                <c:pt idx="4">
                  <c:v>11077.356022064452</c:v>
                </c:pt>
                <c:pt idx="5">
                  <c:v>731.59786229272027</c:v>
                </c:pt>
                <c:pt idx="6">
                  <c:v>357.19259476005845</c:v>
                </c:pt>
                <c:pt idx="7">
                  <c:v>170</c:v>
                </c:pt>
              </c:numCache>
            </c:numRef>
          </c:val>
        </c:ser>
        <c:dLbls>
          <c:showLegendKey val="0"/>
          <c:showVal val="0"/>
          <c:showCatName val="0"/>
          <c:showSerName val="0"/>
          <c:showPercent val="0"/>
          <c:showBubbleSize val="0"/>
        </c:dLbls>
        <c:gapWidth val="150"/>
        <c:overlap val="100"/>
        <c:axId val="290442240"/>
        <c:axId val="299557440"/>
      </c:barChart>
      <c:catAx>
        <c:axId val="290442240"/>
        <c:scaling>
          <c:orientation val="minMax"/>
        </c:scaling>
        <c:delete val="0"/>
        <c:axPos val="l"/>
        <c:numFmt formatCode="General" sourceLinked="0"/>
        <c:majorTickMark val="out"/>
        <c:minorTickMark val="none"/>
        <c:tickLblPos val="nextTo"/>
        <c:crossAx val="299557440"/>
        <c:crosses val="autoZero"/>
        <c:auto val="1"/>
        <c:lblAlgn val="ctr"/>
        <c:lblOffset val="100"/>
        <c:noMultiLvlLbl val="0"/>
      </c:catAx>
      <c:valAx>
        <c:axId val="299557440"/>
        <c:scaling>
          <c:orientation val="minMax"/>
        </c:scaling>
        <c:delete val="0"/>
        <c:axPos val="b"/>
        <c:majorGridlines/>
        <c:numFmt formatCode="#,##0" sourceLinked="1"/>
        <c:majorTickMark val="out"/>
        <c:minorTickMark val="none"/>
        <c:tickLblPos val="nextTo"/>
        <c:crossAx val="290442240"/>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ro-R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300908540280047E-2"/>
          <c:y val="6.5395095367847433E-2"/>
          <c:w val="0.84754516454673934"/>
          <c:h val="0.77308760110708263"/>
        </c:manualLayout>
      </c:layout>
      <c:lineChart>
        <c:grouping val="standard"/>
        <c:varyColors val="0"/>
        <c:ser>
          <c:idx val="4"/>
          <c:order val="0"/>
          <c:tx>
            <c:v>Forecast</c:v>
          </c:tx>
          <c:spPr>
            <a:ln w="22225"/>
          </c:spPr>
          <c:marker>
            <c:symbol val="none"/>
          </c:marker>
          <c:cat>
            <c:numRef>
              <c:f>'Sheet2 (2)'!$AS$6:$AS$37</c:f>
              <c:numCache>
                <c:formatCode>General</c:formatCode>
                <c:ptCount val="32"/>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pt idx="23">
                  <c:v>2022</c:v>
                </c:pt>
                <c:pt idx="24">
                  <c:v>2023</c:v>
                </c:pt>
                <c:pt idx="25">
                  <c:v>2024</c:v>
                </c:pt>
                <c:pt idx="26">
                  <c:v>2025</c:v>
                </c:pt>
                <c:pt idx="27">
                  <c:v>2026</c:v>
                </c:pt>
                <c:pt idx="28">
                  <c:v>2027</c:v>
                </c:pt>
                <c:pt idx="29">
                  <c:v>2028</c:v>
                </c:pt>
                <c:pt idx="30">
                  <c:v>2029</c:v>
                </c:pt>
                <c:pt idx="31">
                  <c:v>2030</c:v>
                </c:pt>
              </c:numCache>
            </c:numRef>
          </c:cat>
          <c:val>
            <c:numRef>
              <c:f>'Sheet2 (2)'!$AW$6:$AW$37</c:f>
              <c:numCache>
                <c:formatCode>General</c:formatCode>
                <c:ptCount val="32"/>
                <c:pt idx="0">
                  <c:v>124.98284551053735</c:v>
                </c:pt>
                <c:pt idx="1">
                  <c:v>122.87769655045715</c:v>
                </c:pt>
                <c:pt idx="2">
                  <c:v>122.57391961500792</c:v>
                </c:pt>
                <c:pt idx="3">
                  <c:v>128.06785618620773</c:v>
                </c:pt>
                <c:pt idx="4">
                  <c:v>134.84368840048921</c:v>
                </c:pt>
                <c:pt idx="5">
                  <c:v>141.41737040106619</c:v>
                </c:pt>
                <c:pt idx="6">
                  <c:v>148.52559326524729</c:v>
                </c:pt>
                <c:pt idx="7">
                  <c:v>160.75388002173995</c:v>
                </c:pt>
                <c:pt idx="8">
                  <c:v>167.57396217552972</c:v>
                </c:pt>
                <c:pt idx="9">
                  <c:v>180.76427259972422</c:v>
                </c:pt>
                <c:pt idx="10">
                  <c:v>192.27047698079627</c:v>
                </c:pt>
                <c:pt idx="11">
                  <c:v>206.59466924578172</c:v>
                </c:pt>
                <c:pt idx="12">
                  <c:v>193.40998880867627</c:v>
                </c:pt>
                <c:pt idx="13">
                  <c:v>197.76604443639658</c:v>
                </c:pt>
                <c:pt idx="14">
                  <c:v>200.09560087965858</c:v>
                </c:pt>
                <c:pt idx="15">
                  <c:v>207.99712783948863</c:v>
                </c:pt>
                <c:pt idx="16">
                  <c:v>217.25825904675602</c:v>
                </c:pt>
                <c:pt idx="17">
                  <c:v>226.71985716145929</c:v>
                </c:pt>
                <c:pt idx="18">
                  <c:v>237.02731706110276</c:v>
                </c:pt>
                <c:pt idx="19">
                  <c:v>243.79025049119952</c:v>
                </c:pt>
                <c:pt idx="20">
                  <c:v>250.72195218409792</c:v>
                </c:pt>
                <c:pt idx="21">
                  <c:v>257.81951803855026</c:v>
                </c:pt>
                <c:pt idx="22">
                  <c:v>267.56166845430158</c:v>
                </c:pt>
                <c:pt idx="23">
                  <c:v>277.57447590754356</c:v>
                </c:pt>
                <c:pt idx="24">
                  <c:v>287.84346973815036</c:v>
                </c:pt>
                <c:pt idx="25">
                  <c:v>298.35143550295385</c:v>
                </c:pt>
                <c:pt idx="26">
                  <c:v>309.07835754248174</c:v>
                </c:pt>
                <c:pt idx="27">
                  <c:v>320.00140194440149</c:v>
                </c:pt>
                <c:pt idx="28">
                  <c:v>331.09494527248694</c:v>
                </c:pt>
                <c:pt idx="29">
                  <c:v>342.33065380823899</c:v>
                </c:pt>
                <c:pt idx="30">
                  <c:v>353.67761715839225</c:v>
                </c:pt>
                <c:pt idx="31">
                  <c:v>365.10253891678559</c:v>
                </c:pt>
              </c:numCache>
            </c:numRef>
          </c:val>
          <c:smooth val="0"/>
        </c:ser>
        <c:ser>
          <c:idx val="0"/>
          <c:order val="1"/>
          <c:tx>
            <c:v>Observed</c:v>
          </c:tx>
          <c:spPr>
            <a:ln w="22225">
              <a:solidFill>
                <a:srgbClr val="FF0000"/>
              </a:solidFill>
            </a:ln>
          </c:spPr>
          <c:marker>
            <c:symbol val="none"/>
          </c:marker>
          <c:val>
            <c:numRef>
              <c:f>'Sheet2 (2)'!$AT$6:$AT$18</c:f>
              <c:numCache>
                <c:formatCode>General</c:formatCode>
                <c:ptCount val="13"/>
                <c:pt idx="0">
                  <c:v>120.15294863907575</c:v>
                </c:pt>
                <c:pt idx="1">
                  <c:v>123.69334262876085</c:v>
                </c:pt>
                <c:pt idx="2">
                  <c:v>128.44994642775222</c:v>
                </c:pt>
                <c:pt idx="3">
                  <c:v>136.18486798464542</c:v>
                </c:pt>
                <c:pt idx="4">
                  <c:v>141.81142007904003</c:v>
                </c:pt>
                <c:pt idx="5">
                  <c:v>148.55739318948667</c:v>
                </c:pt>
                <c:pt idx="6">
                  <c:v>155.30967755518748</c:v>
                </c:pt>
                <c:pt idx="7">
                  <c:v>149.03518072681143</c:v>
                </c:pt>
                <c:pt idx="8">
                  <c:v>164.82190522574905</c:v>
                </c:pt>
                <c:pt idx="9">
                  <c:v>187.07031340177892</c:v>
                </c:pt>
                <c:pt idx="10">
                  <c:v>197.45094288860963</c:v>
                </c:pt>
                <c:pt idx="11">
                  <c:v>201.27031794431377</c:v>
                </c:pt>
                <c:pt idx="12">
                  <c:v>202.40347332941408</c:v>
                </c:pt>
              </c:numCache>
            </c:numRef>
          </c:val>
          <c:smooth val="0"/>
        </c:ser>
        <c:dLbls>
          <c:showLegendKey val="0"/>
          <c:showVal val="0"/>
          <c:showCatName val="0"/>
          <c:showSerName val="0"/>
          <c:showPercent val="0"/>
          <c:showBubbleSize val="0"/>
        </c:dLbls>
        <c:marker val="1"/>
        <c:smooth val="0"/>
        <c:axId val="277387776"/>
        <c:axId val="278875520"/>
      </c:lineChart>
      <c:catAx>
        <c:axId val="277387776"/>
        <c:scaling>
          <c:orientation val="minMax"/>
        </c:scaling>
        <c:delete val="0"/>
        <c:axPos val="b"/>
        <c:numFmt formatCode="General" sourceLinked="1"/>
        <c:majorTickMark val="out"/>
        <c:minorTickMark val="none"/>
        <c:tickLblPos val="nextTo"/>
        <c:crossAx val="278875520"/>
        <c:crosses val="autoZero"/>
        <c:auto val="1"/>
        <c:lblAlgn val="ctr"/>
        <c:lblOffset val="100"/>
        <c:noMultiLvlLbl val="0"/>
      </c:catAx>
      <c:valAx>
        <c:axId val="278875520"/>
        <c:scaling>
          <c:orientation val="minMax"/>
        </c:scaling>
        <c:delete val="0"/>
        <c:axPos val="l"/>
        <c:majorGridlines>
          <c:spPr>
            <a:ln>
              <a:solidFill>
                <a:srgbClr val="FFFFFF">
                  <a:lumMod val="75000"/>
                </a:srgbClr>
              </a:solidFill>
            </a:ln>
          </c:spPr>
        </c:majorGridlines>
        <c:title>
          <c:tx>
            <c:rich>
              <a:bodyPr rot="-5400000" vert="horz"/>
              <a:lstStyle/>
              <a:p>
                <a:pPr>
                  <a:defRPr/>
                </a:pPr>
                <a:r>
                  <a:rPr lang="en-GB"/>
                  <a:t>Car Ownership (cars per 1000 population)</a:t>
                </a:r>
              </a:p>
            </c:rich>
          </c:tx>
          <c:layout>
            <c:manualLayout>
              <c:xMode val="edge"/>
              <c:yMode val="edge"/>
              <c:x val="1.0967413688673561E-2"/>
              <c:y val="5.8578386148597908E-2"/>
            </c:manualLayout>
          </c:layout>
          <c:overlay val="0"/>
        </c:title>
        <c:numFmt formatCode="General" sourceLinked="1"/>
        <c:majorTickMark val="out"/>
        <c:minorTickMark val="none"/>
        <c:tickLblPos val="nextTo"/>
        <c:crossAx val="277387776"/>
        <c:crosses val="autoZero"/>
        <c:crossBetween val="between"/>
      </c:valAx>
    </c:plotArea>
    <c:legend>
      <c:legendPos val="b"/>
      <c:layout>
        <c:manualLayout>
          <c:xMode val="edge"/>
          <c:yMode val="edge"/>
          <c:x val="0.12007171411265899"/>
          <c:y val="9.1918156007065849E-2"/>
          <c:w val="0.16293333333333829"/>
          <c:h val="0.14513906470138099"/>
        </c:manualLayout>
      </c:layout>
      <c:overlay val="0"/>
    </c:legend>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Arial" pitchFamily="34" charset="0"/>
                <a:cs typeface="Arial" pitchFamily="34" charset="0"/>
              </a:defRPr>
            </a:pPr>
            <a:r>
              <a:rPr lang="en-GB" sz="1100">
                <a:latin typeface="Arial" pitchFamily="34" charset="0"/>
                <a:cs typeface="Arial" pitchFamily="34" charset="0"/>
              </a:rPr>
              <a:t>Passengers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numFmt formatCode="0.00%" sourceLinked="0"/>
            <c:spPr>
              <a:noFill/>
              <a:ln>
                <a:noFill/>
              </a:ln>
              <a:effectLst/>
            </c:spPr>
            <c:txPr>
              <a:bodyPr/>
              <a:lstStyle/>
              <a:p>
                <a:pPr>
                  <a:defRPr sz="1100">
                    <a:latin typeface="Arial" pitchFamily="34" charset="0"/>
                    <a:cs typeface="Arial" pitchFamily="34" charset="0"/>
                  </a:defRPr>
                </a:pPr>
                <a:endParaRPr lang="ro-RO"/>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Chart!$D$9:$D$11</c:f>
              <c:strCache>
                <c:ptCount val="3"/>
                <c:pt idx="0">
                  <c:v>Road</c:v>
                </c:pt>
                <c:pt idx="1">
                  <c:v>Rail</c:v>
                </c:pt>
                <c:pt idx="2">
                  <c:v>Inland Waterway</c:v>
                </c:pt>
              </c:strCache>
            </c:strRef>
          </c:cat>
          <c:val>
            <c:numRef>
              <c:f>Chart!$E$9:$E$11</c:f>
              <c:numCache>
                <c:formatCode>General</c:formatCode>
                <c:ptCount val="3"/>
                <c:pt idx="0">
                  <c:v>15812</c:v>
                </c:pt>
                <c:pt idx="1">
                  <c:v>5438</c:v>
                </c:pt>
                <c:pt idx="2">
                  <c:v>15</c:v>
                </c:pt>
              </c:numCache>
            </c:numRef>
          </c:val>
        </c:ser>
        <c:dLbls>
          <c:showLegendKey val="0"/>
          <c:showVal val="1"/>
          <c:showCatName val="0"/>
          <c:showSerName val="0"/>
          <c:showPercent val="0"/>
          <c:showBubbleSize val="0"/>
          <c:showLeaderLines val="1"/>
        </c:dLbls>
      </c:pie3DChart>
    </c:plotArea>
    <c:legend>
      <c:legendPos val="b"/>
      <c:overlay val="0"/>
      <c:txPr>
        <a:bodyPr/>
        <a:lstStyle/>
        <a:p>
          <a:pPr>
            <a:defRPr sz="1100">
              <a:latin typeface="Arial" pitchFamily="34" charset="0"/>
              <a:cs typeface="Arial" pitchFamily="34" charset="0"/>
            </a:defRPr>
          </a:pPr>
          <a:endParaRPr lang="ro-RO"/>
        </a:p>
      </c:txPr>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Arial" pitchFamily="34" charset="0"/>
                <a:cs typeface="Arial" pitchFamily="34" charset="0"/>
              </a:defRPr>
            </a:pPr>
            <a:r>
              <a:rPr lang="en-GB" sz="1100">
                <a:latin typeface="Arial" pitchFamily="34" charset="0"/>
                <a:cs typeface="Arial" pitchFamily="34" charset="0"/>
              </a:rPr>
              <a:t>Goods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numFmt formatCode="0.00%" sourceLinked="0"/>
            <c:spPr>
              <a:noFill/>
              <a:ln>
                <a:noFill/>
              </a:ln>
              <a:effectLst/>
            </c:spPr>
            <c:txPr>
              <a:bodyPr/>
              <a:lstStyle/>
              <a:p>
                <a:pPr>
                  <a:defRPr sz="1100">
                    <a:latin typeface="Arial" pitchFamily="34" charset="0"/>
                    <a:cs typeface="Arial" pitchFamily="34" charset="0"/>
                  </a:defRPr>
                </a:pPr>
                <a:endParaRPr lang="ro-RO"/>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Chart!$D$14:$D$17</c:f>
              <c:strCache>
                <c:ptCount val="4"/>
                <c:pt idx="0">
                  <c:v>Road</c:v>
                </c:pt>
                <c:pt idx="1">
                  <c:v>Rail</c:v>
                </c:pt>
                <c:pt idx="2">
                  <c:v>Inland Waterway</c:v>
                </c:pt>
                <c:pt idx="3">
                  <c:v>Pipeline</c:v>
                </c:pt>
              </c:strCache>
            </c:strRef>
          </c:cat>
          <c:val>
            <c:numRef>
              <c:f>Chart!$E$14:$E$17</c:f>
              <c:numCache>
                <c:formatCode>General</c:formatCode>
                <c:ptCount val="4"/>
                <c:pt idx="0">
                  <c:v>25883</c:v>
                </c:pt>
                <c:pt idx="1">
                  <c:v>12375</c:v>
                </c:pt>
                <c:pt idx="2">
                  <c:v>14317</c:v>
                </c:pt>
                <c:pt idx="3">
                  <c:v>996</c:v>
                </c:pt>
              </c:numCache>
            </c:numRef>
          </c:val>
        </c:ser>
        <c:dLbls>
          <c:showLegendKey val="0"/>
          <c:showVal val="1"/>
          <c:showCatName val="0"/>
          <c:showSerName val="0"/>
          <c:showPercent val="0"/>
          <c:showBubbleSize val="0"/>
          <c:showLeaderLines val="1"/>
        </c:dLbls>
      </c:pie3DChart>
    </c:plotArea>
    <c:legend>
      <c:legendPos val="b"/>
      <c:overlay val="0"/>
      <c:txPr>
        <a:bodyPr/>
        <a:lstStyle/>
        <a:p>
          <a:pPr>
            <a:defRPr sz="1100">
              <a:latin typeface="Arial" pitchFamily="34" charset="0"/>
              <a:cs typeface="Arial" pitchFamily="34" charset="0"/>
            </a:defRPr>
          </a:pPr>
          <a:endParaRPr lang="ro-RO"/>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invertIfNegative val="0"/>
          <c:cat>
            <c:numRef>
              <c:f>Sheet2!$A$5:$A$15</c:f>
              <c:numCache>
                <c:formatCode>General</c:formatCode>
                <c:ptCount val="11"/>
                <c:pt idx="0">
                  <c:v>2002</c:v>
                </c:pt>
                <c:pt idx="1">
                  <c:v>2003</c:v>
                </c:pt>
                <c:pt idx="2">
                  <c:v>2004</c:v>
                </c:pt>
                <c:pt idx="3">
                  <c:v>2005</c:v>
                </c:pt>
                <c:pt idx="4">
                  <c:v>2006</c:v>
                </c:pt>
                <c:pt idx="5">
                  <c:v>2007</c:v>
                </c:pt>
                <c:pt idx="6">
                  <c:v>2008</c:v>
                </c:pt>
                <c:pt idx="7">
                  <c:v>2009</c:v>
                </c:pt>
                <c:pt idx="8">
                  <c:v>2010</c:v>
                </c:pt>
                <c:pt idx="9">
                  <c:v>2011</c:v>
                </c:pt>
                <c:pt idx="10">
                  <c:v>2012</c:v>
                </c:pt>
              </c:numCache>
            </c:numRef>
          </c:cat>
          <c:val>
            <c:numRef>
              <c:f>Sheet2!$P$5:$P$15</c:f>
              <c:numCache>
                <c:formatCode>0.00%</c:formatCode>
                <c:ptCount val="11"/>
                <c:pt idx="0">
                  <c:v>0.69039265956011464</c:v>
                </c:pt>
                <c:pt idx="1">
                  <c:v>0.58695939690517263</c:v>
                </c:pt>
                <c:pt idx="2">
                  <c:v>0.60686099796334014</c:v>
                </c:pt>
                <c:pt idx="3">
                  <c:v>0.59859420107945249</c:v>
                </c:pt>
                <c:pt idx="4">
                  <c:v>0.58767149032136867</c:v>
                </c:pt>
                <c:pt idx="5">
                  <c:v>0.58803386875856056</c:v>
                </c:pt>
                <c:pt idx="6">
                  <c:v>0.52984299590689721</c:v>
                </c:pt>
                <c:pt idx="7">
                  <c:v>0.60133333333333361</c:v>
                </c:pt>
                <c:pt idx="8">
                  <c:v>0.56826969550508255</c:v>
                </c:pt>
                <c:pt idx="9">
                  <c:v>0.64842812574993958</c:v>
                </c:pt>
                <c:pt idx="10">
                  <c:v>0.64286137265353782</c:v>
                </c:pt>
              </c:numCache>
            </c:numRef>
          </c:val>
        </c:ser>
        <c:dLbls>
          <c:showLegendKey val="0"/>
          <c:showVal val="0"/>
          <c:showCatName val="0"/>
          <c:showSerName val="0"/>
          <c:showPercent val="0"/>
          <c:showBubbleSize val="0"/>
        </c:dLbls>
        <c:gapWidth val="150"/>
        <c:axId val="243527680"/>
        <c:axId val="278880256"/>
      </c:barChart>
      <c:catAx>
        <c:axId val="243527680"/>
        <c:scaling>
          <c:orientation val="minMax"/>
        </c:scaling>
        <c:delete val="0"/>
        <c:axPos val="b"/>
        <c:numFmt formatCode="General" sourceLinked="1"/>
        <c:majorTickMark val="out"/>
        <c:minorTickMark val="none"/>
        <c:tickLblPos val="nextTo"/>
        <c:txPr>
          <a:bodyPr/>
          <a:lstStyle/>
          <a:p>
            <a:pPr>
              <a:defRPr sz="1100">
                <a:latin typeface="Arial" pitchFamily="34" charset="0"/>
                <a:cs typeface="Arial" pitchFamily="34" charset="0"/>
              </a:defRPr>
            </a:pPr>
            <a:endParaRPr lang="ro-RO"/>
          </a:p>
        </c:txPr>
        <c:crossAx val="278880256"/>
        <c:crosses val="autoZero"/>
        <c:auto val="1"/>
        <c:lblAlgn val="ctr"/>
        <c:lblOffset val="100"/>
        <c:noMultiLvlLbl val="0"/>
      </c:catAx>
      <c:valAx>
        <c:axId val="278880256"/>
        <c:scaling>
          <c:orientation val="minMax"/>
          <c:max val="1"/>
        </c:scaling>
        <c:delete val="0"/>
        <c:axPos val="l"/>
        <c:majorGridlines/>
        <c:numFmt formatCode="0%" sourceLinked="0"/>
        <c:majorTickMark val="out"/>
        <c:minorTickMark val="none"/>
        <c:tickLblPos val="nextTo"/>
        <c:txPr>
          <a:bodyPr/>
          <a:lstStyle/>
          <a:p>
            <a:pPr>
              <a:defRPr sz="1100">
                <a:latin typeface="Arial" pitchFamily="34" charset="0"/>
                <a:cs typeface="Arial" pitchFamily="34" charset="0"/>
              </a:defRPr>
            </a:pPr>
            <a:endParaRPr lang="ro-RO"/>
          </a:p>
        </c:txPr>
        <c:crossAx val="243527680"/>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Data!$F$8</c:f>
              <c:strCache>
                <c:ptCount val="1"/>
                <c:pt idx="0">
                  <c:v>km/100000 inhab</c:v>
                </c:pt>
              </c:strCache>
            </c:strRef>
          </c:tx>
          <c:invertIfNegative val="0"/>
          <c:dPt>
            <c:idx val="16"/>
            <c:invertIfNegative val="0"/>
            <c:bubble3D val="0"/>
            <c:spPr>
              <a:solidFill>
                <a:schemeClr val="accent2"/>
              </a:solidFill>
            </c:spPr>
          </c:dPt>
          <c:dPt>
            <c:idx val="17"/>
            <c:invertIfNegative val="0"/>
            <c:bubble3D val="0"/>
            <c:spPr>
              <a:solidFill>
                <a:schemeClr val="accent1"/>
              </a:solidFill>
            </c:spPr>
          </c:dPt>
          <c:cat>
            <c:strRef>
              <c:f>Data!$D$9:$D$30</c:f>
              <c:strCache>
                <c:ptCount val="22"/>
                <c:pt idx="0">
                  <c:v>Bulgaria</c:v>
                </c:pt>
                <c:pt idx="1">
                  <c:v>Czech Republic</c:v>
                </c:pt>
                <c:pt idx="2">
                  <c:v>Denmark</c:v>
                </c:pt>
                <c:pt idx="3">
                  <c:v>Germany</c:v>
                </c:pt>
                <c:pt idx="4">
                  <c:v>Estonia</c:v>
                </c:pt>
                <c:pt idx="5">
                  <c:v>Ireland</c:v>
                </c:pt>
                <c:pt idx="6">
                  <c:v>Spain</c:v>
                </c:pt>
                <c:pt idx="7">
                  <c:v>France</c:v>
                </c:pt>
                <c:pt idx="8">
                  <c:v>Italy</c:v>
                </c:pt>
                <c:pt idx="9">
                  <c:v>Cyprus</c:v>
                </c:pt>
                <c:pt idx="10">
                  <c:v>Lithuania</c:v>
                </c:pt>
                <c:pt idx="11">
                  <c:v>Luxembourg</c:v>
                </c:pt>
                <c:pt idx="12">
                  <c:v>Hungary</c:v>
                </c:pt>
                <c:pt idx="13">
                  <c:v>Netherlands</c:v>
                </c:pt>
                <c:pt idx="14">
                  <c:v>Austria</c:v>
                </c:pt>
                <c:pt idx="15">
                  <c:v>Poland</c:v>
                </c:pt>
                <c:pt idx="16">
                  <c:v>Romania</c:v>
                </c:pt>
                <c:pt idx="17">
                  <c:v>Slovenia</c:v>
                </c:pt>
                <c:pt idx="18">
                  <c:v>Slovakia</c:v>
                </c:pt>
                <c:pt idx="19">
                  <c:v>Finland</c:v>
                </c:pt>
                <c:pt idx="20">
                  <c:v>Sweden</c:v>
                </c:pt>
                <c:pt idx="21">
                  <c:v>United Kingdom</c:v>
                </c:pt>
              </c:strCache>
            </c:strRef>
          </c:cat>
          <c:val>
            <c:numRef>
              <c:f>Data!$F$9:$F$30</c:f>
              <c:numCache>
                <c:formatCode>#,##0</c:formatCode>
                <c:ptCount val="22"/>
                <c:pt idx="0">
                  <c:v>4</c:v>
                </c:pt>
                <c:pt idx="1">
                  <c:v>6</c:v>
                </c:pt>
                <c:pt idx="2">
                  <c:v>19</c:v>
                </c:pt>
                <c:pt idx="3">
                  <c:v>15</c:v>
                </c:pt>
                <c:pt idx="4">
                  <c:v>7</c:v>
                </c:pt>
                <c:pt idx="5">
                  <c:v>6</c:v>
                </c:pt>
                <c:pt idx="6">
                  <c:v>27</c:v>
                </c:pt>
                <c:pt idx="7">
                  <c:v>17</c:v>
                </c:pt>
                <c:pt idx="8">
                  <c:v>11</c:v>
                </c:pt>
                <c:pt idx="9">
                  <c:v>37</c:v>
                </c:pt>
                <c:pt idx="10">
                  <c:v>12</c:v>
                </c:pt>
                <c:pt idx="11">
                  <c:v>32</c:v>
                </c:pt>
                <c:pt idx="12">
                  <c:v>6</c:v>
                </c:pt>
                <c:pt idx="13">
                  <c:v>16</c:v>
                </c:pt>
                <c:pt idx="14">
                  <c:v>20</c:v>
                </c:pt>
                <c:pt idx="15">
                  <c:v>1</c:v>
                </c:pt>
                <c:pt idx="16">
                  <c:v>1</c:v>
                </c:pt>
                <c:pt idx="17">
                  <c:v>28</c:v>
                </c:pt>
                <c:pt idx="18">
                  <c:v>6</c:v>
                </c:pt>
                <c:pt idx="19">
                  <c:v>13</c:v>
                </c:pt>
                <c:pt idx="20">
                  <c:v>19</c:v>
                </c:pt>
                <c:pt idx="21">
                  <c:v>6</c:v>
                </c:pt>
              </c:numCache>
            </c:numRef>
          </c:val>
        </c:ser>
        <c:dLbls>
          <c:showLegendKey val="0"/>
          <c:showVal val="0"/>
          <c:showCatName val="0"/>
          <c:showSerName val="0"/>
          <c:showPercent val="0"/>
          <c:showBubbleSize val="0"/>
        </c:dLbls>
        <c:gapWidth val="150"/>
        <c:axId val="243528192"/>
        <c:axId val="278884864"/>
      </c:barChart>
      <c:catAx>
        <c:axId val="243528192"/>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278884864"/>
        <c:crosses val="autoZero"/>
        <c:auto val="1"/>
        <c:lblAlgn val="ctr"/>
        <c:lblOffset val="100"/>
        <c:noMultiLvlLbl val="0"/>
      </c:catAx>
      <c:valAx>
        <c:axId val="278884864"/>
        <c:scaling>
          <c:orientation val="minMax"/>
        </c:scaling>
        <c:delete val="0"/>
        <c:axPos val="l"/>
        <c:majorGridlines/>
        <c:numFmt formatCode="#,##0" sourceLinked="1"/>
        <c:majorTickMark val="out"/>
        <c:minorTickMark val="none"/>
        <c:tickLblPos val="nextTo"/>
        <c:txPr>
          <a:bodyPr/>
          <a:lstStyle/>
          <a:p>
            <a:pPr>
              <a:defRPr sz="1100">
                <a:latin typeface="Arial" pitchFamily="34" charset="0"/>
                <a:cs typeface="Arial" pitchFamily="34" charset="0"/>
              </a:defRPr>
            </a:pPr>
            <a:endParaRPr lang="ro-RO"/>
          </a:p>
        </c:txPr>
        <c:crossAx val="243528192"/>
        <c:crosses val="autoZero"/>
        <c:crossBetween val="between"/>
      </c:valAx>
      <c:spPr>
        <a:ln>
          <a:solidFill>
            <a:schemeClr val="accent1"/>
          </a:solidFill>
        </a:ln>
      </c:spPr>
    </c:plotArea>
    <c:plotVisOnly val="1"/>
    <c:dispBlanksAs val="gap"/>
    <c:showDLblsOverMax val="0"/>
  </c:chart>
  <c:spPr>
    <a:ln w="19050">
      <a:solidFill>
        <a:schemeClr val="accent1"/>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F3BB2C-2F7C-452C-92EF-8766DAF2D905}" type="doc">
      <dgm:prSet loTypeId="urn:microsoft.com/office/officeart/2005/8/layout/chevron2" loCatId="list" qsTypeId="urn:microsoft.com/office/officeart/2005/8/quickstyle/simple1" qsCatId="simple" csTypeId="urn:microsoft.com/office/officeart/2005/8/colors/colorful5" csCatId="colorful" phldr="1"/>
      <dgm:spPr/>
      <dgm:t>
        <a:bodyPr/>
        <a:lstStyle/>
        <a:p>
          <a:endParaRPr lang="en-US"/>
        </a:p>
      </dgm:t>
    </dgm:pt>
    <dgm:pt modelId="{46975044-64DE-4154-BAFE-4A18D37D9FE9}">
      <dgm:prSet phldrT="[Text]" custT="1"/>
      <dgm:spPr/>
      <dgm:t>
        <a:bodyPr/>
        <a:lstStyle/>
        <a:p>
          <a:r>
            <a:rPr lang="en-US" sz="1100" b="1" dirty="0" smtClean="0">
              <a:latin typeface="Arial" pitchFamily="34" charset="0"/>
              <a:cs typeface="Arial" pitchFamily="34" charset="0"/>
            </a:rPr>
            <a:t>1</a:t>
          </a:r>
          <a:endParaRPr lang="en-US" sz="1100" dirty="0">
            <a:latin typeface="Arial" pitchFamily="34" charset="0"/>
            <a:cs typeface="Arial" pitchFamily="34" charset="0"/>
          </a:endParaRPr>
        </a:p>
      </dgm:t>
    </dgm:pt>
    <dgm:pt modelId="{9AC689D3-12FA-45A3-A72B-E6BBE819B21E}" type="parTrans" cxnId="{B93BD54F-1B91-4E10-918F-C69A3C8655F3}">
      <dgm:prSet/>
      <dgm:spPr/>
      <dgm:t>
        <a:bodyPr/>
        <a:lstStyle/>
        <a:p>
          <a:endParaRPr lang="en-US" sz="1100">
            <a:latin typeface="Arial" pitchFamily="34" charset="0"/>
            <a:cs typeface="Arial" pitchFamily="34" charset="0"/>
          </a:endParaRPr>
        </a:p>
      </dgm:t>
    </dgm:pt>
    <dgm:pt modelId="{1D314387-EE5E-467F-8BA4-2227830E73A0}" type="sibTrans" cxnId="{B93BD54F-1B91-4E10-918F-C69A3C8655F3}">
      <dgm:prSet/>
      <dgm:spPr/>
      <dgm:t>
        <a:bodyPr/>
        <a:lstStyle/>
        <a:p>
          <a:endParaRPr lang="en-US" sz="1100">
            <a:latin typeface="Arial" pitchFamily="34" charset="0"/>
            <a:cs typeface="Arial" pitchFamily="34" charset="0"/>
          </a:endParaRPr>
        </a:p>
      </dgm:t>
    </dgm:pt>
    <dgm:pt modelId="{CD4399FB-71B6-45AD-8AAC-B36A81E0641E}">
      <dgm:prSet phldrT="[Text]" custT="1"/>
      <dgm:spPr/>
      <dgm:t>
        <a:bodyPr/>
        <a:lstStyle/>
        <a:p>
          <a:r>
            <a:rPr lang="en-US" sz="1100" b="1" dirty="0">
              <a:latin typeface="Arial" pitchFamily="34" charset="0"/>
              <a:cs typeface="Arial" pitchFamily="34" charset="0"/>
            </a:rPr>
            <a:t>Define Strategic Objectives </a:t>
          </a:r>
          <a:r>
            <a:rPr lang="en-US" sz="1100" b="0" dirty="0">
              <a:latin typeface="Arial" pitchFamily="34" charset="0"/>
              <a:cs typeface="Arial" pitchFamily="34" charset="0"/>
            </a:rPr>
            <a:t>- Terms of Reference, EU and National Policy   </a:t>
          </a:r>
        </a:p>
      </dgm:t>
    </dgm:pt>
    <dgm:pt modelId="{28807174-261B-4291-9E31-9A91DA909E9A}" type="parTrans" cxnId="{F1DCCECC-744F-4C14-B64F-F8FCE76B1E40}">
      <dgm:prSet/>
      <dgm:spPr/>
      <dgm:t>
        <a:bodyPr/>
        <a:lstStyle/>
        <a:p>
          <a:endParaRPr lang="en-US" sz="1100">
            <a:latin typeface="Arial" pitchFamily="34" charset="0"/>
            <a:cs typeface="Arial" pitchFamily="34" charset="0"/>
          </a:endParaRPr>
        </a:p>
      </dgm:t>
    </dgm:pt>
    <dgm:pt modelId="{E344E2A6-80BA-4847-B8D2-4EED5E5D6B90}" type="sibTrans" cxnId="{F1DCCECC-744F-4C14-B64F-F8FCE76B1E40}">
      <dgm:prSet/>
      <dgm:spPr/>
      <dgm:t>
        <a:bodyPr/>
        <a:lstStyle/>
        <a:p>
          <a:endParaRPr lang="en-US" sz="1100">
            <a:latin typeface="Arial" pitchFamily="34" charset="0"/>
            <a:cs typeface="Arial" pitchFamily="34" charset="0"/>
          </a:endParaRPr>
        </a:p>
      </dgm:t>
    </dgm:pt>
    <dgm:pt modelId="{B9795A5D-D27A-4A6E-8440-77B3034AAF8A}">
      <dgm:prSet phldrT="[Text]" custT="1"/>
      <dgm:spPr/>
      <dgm:t>
        <a:bodyPr/>
        <a:lstStyle/>
        <a:p>
          <a:r>
            <a:rPr lang="en-US" sz="1100" dirty="0" smtClean="0">
              <a:latin typeface="Arial" pitchFamily="34" charset="0"/>
              <a:cs typeface="Arial" pitchFamily="34" charset="0"/>
            </a:rPr>
            <a:t>2</a:t>
          </a:r>
          <a:endParaRPr lang="en-US" sz="1100" dirty="0">
            <a:latin typeface="Arial" pitchFamily="34" charset="0"/>
            <a:cs typeface="Arial" pitchFamily="34" charset="0"/>
          </a:endParaRPr>
        </a:p>
      </dgm:t>
    </dgm:pt>
    <dgm:pt modelId="{571C28AC-8F01-48AD-9EEC-1CAED3CDBE4E}" type="parTrans" cxnId="{9D5DD15F-9304-4FBB-B684-A90FF5AB2AB8}">
      <dgm:prSet/>
      <dgm:spPr/>
      <dgm:t>
        <a:bodyPr/>
        <a:lstStyle/>
        <a:p>
          <a:endParaRPr lang="en-US" sz="1100">
            <a:latin typeface="Arial" pitchFamily="34" charset="0"/>
            <a:cs typeface="Arial" pitchFamily="34" charset="0"/>
          </a:endParaRPr>
        </a:p>
      </dgm:t>
    </dgm:pt>
    <dgm:pt modelId="{DCE70608-3F55-445D-9B60-575F876143BB}" type="sibTrans" cxnId="{9D5DD15F-9304-4FBB-B684-A90FF5AB2AB8}">
      <dgm:prSet/>
      <dgm:spPr/>
      <dgm:t>
        <a:bodyPr/>
        <a:lstStyle/>
        <a:p>
          <a:endParaRPr lang="en-US" sz="1100">
            <a:latin typeface="Arial" pitchFamily="34" charset="0"/>
            <a:cs typeface="Arial" pitchFamily="34" charset="0"/>
          </a:endParaRPr>
        </a:p>
      </dgm:t>
    </dgm:pt>
    <dgm:pt modelId="{36ECC064-8B8E-44D2-AA9D-F69FEAD3521F}">
      <dgm:prSet phldrT="[Text]" custT="1"/>
      <dgm:spPr/>
      <dgm:t>
        <a:bodyPr/>
        <a:lstStyle/>
        <a:p>
          <a:r>
            <a:rPr lang="en-US" sz="1100" b="1" dirty="0">
              <a:latin typeface="Arial" pitchFamily="34" charset="0"/>
              <a:cs typeface="Arial" pitchFamily="34" charset="0"/>
            </a:rPr>
            <a:t>Problem Definition - </a:t>
          </a:r>
          <a:r>
            <a:rPr lang="en-US" sz="1100" b="0" dirty="0">
              <a:latin typeface="Arial" pitchFamily="34" charset="0"/>
              <a:cs typeface="Arial" pitchFamily="34" charset="0"/>
            </a:rPr>
            <a:t>Identification of </a:t>
          </a:r>
          <a:r>
            <a:rPr lang="en-GB" sz="1100" b="0" dirty="0" smtClean="0">
              <a:latin typeface="Arial" pitchFamily="34" charset="0"/>
              <a:cs typeface="Arial" pitchFamily="34" charset="0"/>
            </a:rPr>
            <a:t>Underlying Causes</a:t>
          </a:r>
          <a:endParaRPr lang="en-US" sz="1100" b="0" dirty="0">
            <a:latin typeface="Arial" pitchFamily="34" charset="0"/>
            <a:cs typeface="Arial" pitchFamily="34" charset="0"/>
          </a:endParaRPr>
        </a:p>
      </dgm:t>
    </dgm:pt>
    <dgm:pt modelId="{F9A3A4B6-99AD-4350-93D4-50BED61C65AF}" type="parTrans" cxnId="{1675776A-B528-40AC-BB6E-5F067158E7E0}">
      <dgm:prSet/>
      <dgm:spPr/>
      <dgm:t>
        <a:bodyPr/>
        <a:lstStyle/>
        <a:p>
          <a:endParaRPr lang="en-US" sz="1100">
            <a:latin typeface="Arial" pitchFamily="34" charset="0"/>
            <a:cs typeface="Arial" pitchFamily="34" charset="0"/>
          </a:endParaRPr>
        </a:p>
      </dgm:t>
    </dgm:pt>
    <dgm:pt modelId="{C3750EAF-25B5-4ADB-8561-8710D47F88D3}" type="sibTrans" cxnId="{1675776A-B528-40AC-BB6E-5F067158E7E0}">
      <dgm:prSet/>
      <dgm:spPr/>
      <dgm:t>
        <a:bodyPr/>
        <a:lstStyle/>
        <a:p>
          <a:endParaRPr lang="en-US" sz="1100">
            <a:latin typeface="Arial" pitchFamily="34" charset="0"/>
            <a:cs typeface="Arial" pitchFamily="34" charset="0"/>
          </a:endParaRPr>
        </a:p>
      </dgm:t>
    </dgm:pt>
    <dgm:pt modelId="{CEEF9866-34D1-4B3E-A4BA-5A02E1212D7A}">
      <dgm:prSet phldrT="[Text]" custT="1"/>
      <dgm:spPr/>
      <dgm:t>
        <a:bodyPr/>
        <a:lstStyle/>
        <a:p>
          <a:r>
            <a:rPr lang="en-US" sz="1100" dirty="0" smtClean="0">
              <a:latin typeface="Arial" pitchFamily="34" charset="0"/>
              <a:cs typeface="Arial" pitchFamily="34" charset="0"/>
            </a:rPr>
            <a:t>3</a:t>
          </a:r>
          <a:endParaRPr lang="en-US" sz="1100" dirty="0">
            <a:latin typeface="Arial" pitchFamily="34" charset="0"/>
            <a:cs typeface="Arial" pitchFamily="34" charset="0"/>
          </a:endParaRPr>
        </a:p>
      </dgm:t>
    </dgm:pt>
    <dgm:pt modelId="{E54A6837-0457-4A8E-8C2B-0424AE8AE249}" type="parTrans" cxnId="{114A3122-2911-4FC1-8CE5-C04908571704}">
      <dgm:prSet/>
      <dgm:spPr/>
      <dgm:t>
        <a:bodyPr/>
        <a:lstStyle/>
        <a:p>
          <a:endParaRPr lang="en-US" sz="1100">
            <a:latin typeface="Arial" pitchFamily="34" charset="0"/>
            <a:cs typeface="Arial" pitchFamily="34" charset="0"/>
          </a:endParaRPr>
        </a:p>
      </dgm:t>
    </dgm:pt>
    <dgm:pt modelId="{7E1AE285-E7E6-4B53-B856-CE09C980BA20}" type="sibTrans" cxnId="{114A3122-2911-4FC1-8CE5-C04908571704}">
      <dgm:prSet/>
      <dgm:spPr/>
      <dgm:t>
        <a:bodyPr/>
        <a:lstStyle/>
        <a:p>
          <a:endParaRPr lang="en-US" sz="1100">
            <a:latin typeface="Arial" pitchFamily="34" charset="0"/>
            <a:cs typeface="Arial" pitchFamily="34" charset="0"/>
          </a:endParaRPr>
        </a:p>
      </dgm:t>
    </dgm:pt>
    <dgm:pt modelId="{DB027418-2837-44E9-869D-A4B91BA9A1E3}">
      <dgm:prSet phldrT="[Text]" custT="1"/>
      <dgm:spPr/>
      <dgm:t>
        <a:bodyPr/>
        <a:lstStyle/>
        <a:p>
          <a:r>
            <a:rPr lang="en-US" sz="1100" b="1" dirty="0">
              <a:latin typeface="Arial" pitchFamily="34" charset="0"/>
              <a:cs typeface="Arial" pitchFamily="34" charset="0"/>
            </a:rPr>
            <a:t>Operational Objectives </a:t>
          </a:r>
          <a:r>
            <a:rPr lang="en-US" sz="1100" b="0" dirty="0">
              <a:latin typeface="Arial" pitchFamily="34" charset="0"/>
              <a:cs typeface="Arial" pitchFamily="34" charset="0"/>
            </a:rPr>
            <a:t>- Specific Objectives based on Problem Analysis</a:t>
          </a:r>
        </a:p>
      </dgm:t>
    </dgm:pt>
    <dgm:pt modelId="{9C067AB3-D388-4FD0-B78F-FB19F519DCEF}" type="parTrans" cxnId="{931382F4-B392-4433-ACA2-941C1425A624}">
      <dgm:prSet/>
      <dgm:spPr/>
      <dgm:t>
        <a:bodyPr/>
        <a:lstStyle/>
        <a:p>
          <a:endParaRPr lang="en-US" sz="1100">
            <a:latin typeface="Arial" pitchFamily="34" charset="0"/>
            <a:cs typeface="Arial" pitchFamily="34" charset="0"/>
          </a:endParaRPr>
        </a:p>
      </dgm:t>
    </dgm:pt>
    <dgm:pt modelId="{2DFB3B92-8392-46D0-AE9D-0E07B3D71376}" type="sibTrans" cxnId="{931382F4-B392-4433-ACA2-941C1425A624}">
      <dgm:prSet/>
      <dgm:spPr/>
      <dgm:t>
        <a:bodyPr/>
        <a:lstStyle/>
        <a:p>
          <a:endParaRPr lang="en-US" sz="1100">
            <a:latin typeface="Arial" pitchFamily="34" charset="0"/>
            <a:cs typeface="Arial" pitchFamily="34" charset="0"/>
          </a:endParaRPr>
        </a:p>
      </dgm:t>
    </dgm:pt>
    <dgm:pt modelId="{44BDC720-7310-4ECE-83CD-D40AC5CEB7AF}">
      <dgm:prSet phldrT="[Text]" custT="1"/>
      <dgm:spPr/>
      <dgm:t>
        <a:bodyPr/>
        <a:lstStyle/>
        <a:p>
          <a:r>
            <a:rPr lang="en-US" sz="1100" dirty="0" smtClean="0">
              <a:latin typeface="Arial" pitchFamily="34" charset="0"/>
              <a:cs typeface="Arial" pitchFamily="34" charset="0"/>
            </a:rPr>
            <a:t>4</a:t>
          </a:r>
          <a:endParaRPr lang="en-US" sz="1100" dirty="0">
            <a:latin typeface="Arial" pitchFamily="34" charset="0"/>
            <a:cs typeface="Arial" pitchFamily="34" charset="0"/>
          </a:endParaRPr>
        </a:p>
      </dgm:t>
    </dgm:pt>
    <dgm:pt modelId="{4B6CF8F0-8260-4B7D-9A95-07DD41DF18FD}" type="parTrans" cxnId="{1C1CCD9D-DD00-4433-81B2-3C177C681692}">
      <dgm:prSet/>
      <dgm:spPr/>
      <dgm:t>
        <a:bodyPr/>
        <a:lstStyle/>
        <a:p>
          <a:endParaRPr lang="en-US" sz="1100">
            <a:latin typeface="Arial" pitchFamily="34" charset="0"/>
            <a:cs typeface="Arial" pitchFamily="34" charset="0"/>
          </a:endParaRPr>
        </a:p>
      </dgm:t>
    </dgm:pt>
    <dgm:pt modelId="{FD27B449-A8E3-4F10-9F77-F5D6FEF37025}" type="sibTrans" cxnId="{1C1CCD9D-DD00-4433-81B2-3C177C681692}">
      <dgm:prSet/>
      <dgm:spPr/>
      <dgm:t>
        <a:bodyPr/>
        <a:lstStyle/>
        <a:p>
          <a:endParaRPr lang="en-US" sz="1100">
            <a:latin typeface="Arial" pitchFamily="34" charset="0"/>
            <a:cs typeface="Arial" pitchFamily="34" charset="0"/>
          </a:endParaRPr>
        </a:p>
      </dgm:t>
    </dgm:pt>
    <dgm:pt modelId="{ADB5F3F8-1206-4CAB-BFD3-654790CE4ECA}">
      <dgm:prSet phldrT="[Text]" custT="1"/>
      <dgm:spPr/>
      <dgm:t>
        <a:bodyPr/>
        <a:lstStyle/>
        <a:p>
          <a:r>
            <a:rPr lang="en-US" sz="1100" dirty="0" smtClean="0">
              <a:latin typeface="Arial" pitchFamily="34" charset="0"/>
              <a:cs typeface="Arial" pitchFamily="34" charset="0"/>
            </a:rPr>
            <a:t>5</a:t>
          </a:r>
          <a:endParaRPr lang="en-US" sz="1100" dirty="0">
            <a:latin typeface="Arial" pitchFamily="34" charset="0"/>
            <a:cs typeface="Arial" pitchFamily="34" charset="0"/>
          </a:endParaRPr>
        </a:p>
      </dgm:t>
    </dgm:pt>
    <dgm:pt modelId="{CE481956-50DC-470E-93FC-107468C95467}" type="parTrans" cxnId="{39FCBDD8-E014-4BF9-99E0-0B9A0FCBAE2F}">
      <dgm:prSet/>
      <dgm:spPr/>
      <dgm:t>
        <a:bodyPr/>
        <a:lstStyle/>
        <a:p>
          <a:endParaRPr lang="en-US" sz="1100">
            <a:latin typeface="Arial" pitchFamily="34" charset="0"/>
            <a:cs typeface="Arial" pitchFamily="34" charset="0"/>
          </a:endParaRPr>
        </a:p>
      </dgm:t>
    </dgm:pt>
    <dgm:pt modelId="{B5980585-DC10-4388-9F1A-6DA2319FF1C3}" type="sibTrans" cxnId="{39FCBDD8-E014-4BF9-99E0-0B9A0FCBAE2F}">
      <dgm:prSet/>
      <dgm:spPr/>
      <dgm:t>
        <a:bodyPr/>
        <a:lstStyle/>
        <a:p>
          <a:endParaRPr lang="en-US" sz="1100">
            <a:latin typeface="Arial" pitchFamily="34" charset="0"/>
            <a:cs typeface="Arial" pitchFamily="34" charset="0"/>
          </a:endParaRPr>
        </a:p>
      </dgm:t>
    </dgm:pt>
    <dgm:pt modelId="{DE42DEE4-DFCA-49F2-9CCC-BE94ED731426}">
      <dgm:prSet phldrT="[Text]" custT="1"/>
      <dgm:spPr/>
      <dgm:t>
        <a:bodyPr/>
        <a:lstStyle/>
        <a:p>
          <a:r>
            <a:rPr lang="en-US" sz="1100" dirty="0" smtClean="0">
              <a:latin typeface="Arial" pitchFamily="34" charset="0"/>
              <a:cs typeface="Arial" pitchFamily="34" charset="0"/>
            </a:rPr>
            <a:t>6</a:t>
          </a:r>
          <a:endParaRPr lang="en-US" sz="1100" dirty="0">
            <a:latin typeface="Arial" pitchFamily="34" charset="0"/>
            <a:cs typeface="Arial" pitchFamily="34" charset="0"/>
          </a:endParaRPr>
        </a:p>
      </dgm:t>
    </dgm:pt>
    <dgm:pt modelId="{9A5990B6-5A50-404F-B854-0569E2C8D3D2}" type="parTrans" cxnId="{E5C5E885-56BA-41D5-AB00-8C87A66B0989}">
      <dgm:prSet/>
      <dgm:spPr/>
      <dgm:t>
        <a:bodyPr/>
        <a:lstStyle/>
        <a:p>
          <a:endParaRPr lang="en-US" sz="1100">
            <a:latin typeface="Arial" pitchFamily="34" charset="0"/>
            <a:cs typeface="Arial" pitchFamily="34" charset="0"/>
          </a:endParaRPr>
        </a:p>
      </dgm:t>
    </dgm:pt>
    <dgm:pt modelId="{8500CE73-3468-4C3D-B519-1EA33BEF8420}" type="sibTrans" cxnId="{E5C5E885-56BA-41D5-AB00-8C87A66B0989}">
      <dgm:prSet/>
      <dgm:spPr/>
      <dgm:t>
        <a:bodyPr/>
        <a:lstStyle/>
        <a:p>
          <a:endParaRPr lang="en-US" sz="1100">
            <a:latin typeface="Arial" pitchFamily="34" charset="0"/>
            <a:cs typeface="Arial" pitchFamily="34" charset="0"/>
          </a:endParaRPr>
        </a:p>
      </dgm:t>
    </dgm:pt>
    <dgm:pt modelId="{7FCB2D27-5242-4C33-9F3D-4914B2D35F83}">
      <dgm:prSet custT="1"/>
      <dgm:spPr/>
      <dgm:t>
        <a:bodyPr/>
        <a:lstStyle/>
        <a:p>
          <a:r>
            <a:rPr lang="en-US" sz="1100" b="1" dirty="0">
              <a:latin typeface="Arial" pitchFamily="34" charset="0"/>
              <a:cs typeface="Arial" pitchFamily="34" charset="0"/>
            </a:rPr>
            <a:t>Project Generation </a:t>
          </a:r>
          <a:r>
            <a:rPr lang="en-US" sz="1100" b="0" dirty="0">
              <a:latin typeface="Arial" pitchFamily="34" charset="0"/>
              <a:cs typeface="Arial" pitchFamily="34" charset="0"/>
            </a:rPr>
            <a:t>- Interventions </a:t>
          </a:r>
          <a:r>
            <a:rPr lang="en-US" sz="1100" b="0" dirty="0" smtClean="0">
              <a:latin typeface="Arial" pitchFamily="34" charset="0"/>
              <a:cs typeface="Arial" pitchFamily="34" charset="0"/>
            </a:rPr>
            <a:t>Generated </a:t>
          </a:r>
          <a:r>
            <a:rPr lang="en-US" sz="1100" b="0" dirty="0">
              <a:latin typeface="Arial" pitchFamily="34" charset="0"/>
              <a:cs typeface="Arial" pitchFamily="34" charset="0"/>
            </a:rPr>
            <a:t>from Problems and Objectives</a:t>
          </a:r>
        </a:p>
      </dgm:t>
    </dgm:pt>
    <dgm:pt modelId="{E7CC27F2-40E0-49BA-8C2F-1B866E390B0B}" type="parTrans" cxnId="{5D2AFC65-9A75-46DA-B0D5-CCF2CD7B7B86}">
      <dgm:prSet/>
      <dgm:spPr/>
      <dgm:t>
        <a:bodyPr/>
        <a:lstStyle/>
        <a:p>
          <a:endParaRPr lang="en-US" sz="1100">
            <a:latin typeface="Arial" pitchFamily="34" charset="0"/>
            <a:cs typeface="Arial" pitchFamily="34" charset="0"/>
          </a:endParaRPr>
        </a:p>
      </dgm:t>
    </dgm:pt>
    <dgm:pt modelId="{8B1CD6A1-AB8A-40EF-83C3-3B95444F4E08}" type="sibTrans" cxnId="{5D2AFC65-9A75-46DA-B0D5-CCF2CD7B7B86}">
      <dgm:prSet/>
      <dgm:spPr/>
      <dgm:t>
        <a:bodyPr/>
        <a:lstStyle/>
        <a:p>
          <a:endParaRPr lang="en-US" sz="1100">
            <a:latin typeface="Arial" pitchFamily="34" charset="0"/>
            <a:cs typeface="Arial" pitchFamily="34" charset="0"/>
          </a:endParaRPr>
        </a:p>
      </dgm:t>
    </dgm:pt>
    <dgm:pt modelId="{CB6E7F37-34DB-4470-9897-92098AF4FD77}">
      <dgm:prSet custT="1"/>
      <dgm:spPr/>
      <dgm:t>
        <a:bodyPr/>
        <a:lstStyle/>
        <a:p>
          <a:r>
            <a:rPr lang="en-US" sz="1100" b="1" dirty="0">
              <a:latin typeface="Arial" pitchFamily="34" charset="0"/>
              <a:cs typeface="Arial" pitchFamily="34" charset="0"/>
            </a:rPr>
            <a:t>Appraisal </a:t>
          </a:r>
          <a:r>
            <a:rPr lang="en-US" sz="1100" b="0" dirty="0">
              <a:latin typeface="Arial" pitchFamily="34" charset="0"/>
              <a:cs typeface="Arial" pitchFamily="34" charset="0"/>
            </a:rPr>
            <a:t>-  Screening/</a:t>
          </a:r>
          <a:r>
            <a:rPr lang="en-US" sz="1100" b="0" dirty="0" err="1">
              <a:latin typeface="Arial" pitchFamily="34" charset="0"/>
              <a:cs typeface="Arial" pitchFamily="34" charset="0"/>
            </a:rPr>
            <a:t>Shortlisting</a:t>
          </a:r>
          <a:r>
            <a:rPr lang="en-US" sz="1100" b="0" dirty="0">
              <a:latin typeface="Arial" pitchFamily="34" charset="0"/>
              <a:cs typeface="Arial" pitchFamily="34" charset="0"/>
            </a:rPr>
            <a:t>/Preliminary </a:t>
          </a:r>
          <a:r>
            <a:rPr lang="en-US" sz="1100" b="0" dirty="0" smtClean="0">
              <a:latin typeface="Arial" pitchFamily="34" charset="0"/>
              <a:cs typeface="Arial" pitchFamily="34" charset="0"/>
            </a:rPr>
            <a:t>Appraisal (CBA &amp; MCA)</a:t>
          </a:r>
          <a:endParaRPr lang="en-US" sz="1100" b="0" dirty="0">
            <a:latin typeface="Arial" pitchFamily="34" charset="0"/>
            <a:cs typeface="Arial" pitchFamily="34" charset="0"/>
          </a:endParaRPr>
        </a:p>
      </dgm:t>
    </dgm:pt>
    <dgm:pt modelId="{E1717042-6473-4EEA-972F-7CFEF6625985}" type="parTrans" cxnId="{FC78B67F-B785-4D11-84B4-D6612464DF35}">
      <dgm:prSet/>
      <dgm:spPr/>
      <dgm:t>
        <a:bodyPr/>
        <a:lstStyle/>
        <a:p>
          <a:endParaRPr lang="en-US" sz="1100">
            <a:latin typeface="Arial" pitchFamily="34" charset="0"/>
            <a:cs typeface="Arial" pitchFamily="34" charset="0"/>
          </a:endParaRPr>
        </a:p>
      </dgm:t>
    </dgm:pt>
    <dgm:pt modelId="{3B20536B-E02D-461C-AB0C-779ECB66C36F}" type="sibTrans" cxnId="{FC78B67F-B785-4D11-84B4-D6612464DF35}">
      <dgm:prSet/>
      <dgm:spPr/>
      <dgm:t>
        <a:bodyPr/>
        <a:lstStyle/>
        <a:p>
          <a:endParaRPr lang="en-US" sz="1100">
            <a:latin typeface="Arial" pitchFamily="34" charset="0"/>
            <a:cs typeface="Arial" pitchFamily="34" charset="0"/>
          </a:endParaRPr>
        </a:p>
      </dgm:t>
    </dgm:pt>
    <dgm:pt modelId="{F2F38819-934D-45C8-85DB-0153ADFD9B48}">
      <dgm:prSet custT="1"/>
      <dgm:spPr/>
      <dgm:t>
        <a:bodyPr/>
        <a:lstStyle/>
        <a:p>
          <a:r>
            <a:rPr lang="en-US" sz="1100" b="1" dirty="0">
              <a:latin typeface="Arial" pitchFamily="34" charset="0"/>
              <a:cs typeface="Arial" pitchFamily="34" charset="0"/>
            </a:rPr>
            <a:t>Develop Master Plan Scenarios </a:t>
          </a:r>
          <a:r>
            <a:rPr lang="en-US" sz="1100" b="0" dirty="0" smtClean="0">
              <a:latin typeface="Arial" pitchFamily="34" charset="0"/>
              <a:cs typeface="Arial" pitchFamily="34" charset="0"/>
            </a:rPr>
            <a:t>– Economy &amp; Economy + Environment</a:t>
          </a:r>
          <a:endParaRPr lang="en-US" sz="1100" b="0" dirty="0">
            <a:latin typeface="Arial" pitchFamily="34" charset="0"/>
            <a:cs typeface="Arial" pitchFamily="34" charset="0"/>
          </a:endParaRPr>
        </a:p>
      </dgm:t>
    </dgm:pt>
    <dgm:pt modelId="{66C751C7-686D-4242-8832-E52B72659FD8}" type="parTrans" cxnId="{ABAAA20F-E011-4F95-8078-9CCE9DE2FAB8}">
      <dgm:prSet/>
      <dgm:spPr/>
      <dgm:t>
        <a:bodyPr/>
        <a:lstStyle/>
        <a:p>
          <a:endParaRPr lang="en-US" sz="1100">
            <a:latin typeface="Arial" pitchFamily="34" charset="0"/>
            <a:cs typeface="Arial" pitchFamily="34" charset="0"/>
          </a:endParaRPr>
        </a:p>
      </dgm:t>
    </dgm:pt>
    <dgm:pt modelId="{93ECCE61-77CA-4939-8DC1-6477BAC85D0F}" type="sibTrans" cxnId="{ABAAA20F-E011-4F95-8078-9CCE9DE2FAB8}">
      <dgm:prSet/>
      <dgm:spPr/>
      <dgm:t>
        <a:bodyPr/>
        <a:lstStyle/>
        <a:p>
          <a:endParaRPr lang="en-US" sz="1100">
            <a:latin typeface="Arial" pitchFamily="34" charset="0"/>
            <a:cs typeface="Arial" pitchFamily="34" charset="0"/>
          </a:endParaRPr>
        </a:p>
      </dgm:t>
    </dgm:pt>
    <dgm:pt modelId="{618A5400-9406-4FA0-819D-518BA5CB8673}" type="pres">
      <dgm:prSet presAssocID="{B6F3BB2C-2F7C-452C-92EF-8766DAF2D905}" presName="linearFlow" presStyleCnt="0">
        <dgm:presLayoutVars>
          <dgm:dir/>
          <dgm:animLvl val="lvl"/>
          <dgm:resizeHandles val="exact"/>
        </dgm:presLayoutVars>
      </dgm:prSet>
      <dgm:spPr/>
      <dgm:t>
        <a:bodyPr/>
        <a:lstStyle/>
        <a:p>
          <a:endParaRPr lang="en-US"/>
        </a:p>
      </dgm:t>
    </dgm:pt>
    <dgm:pt modelId="{FD15B204-15A2-4199-9637-FF0DC15890CE}" type="pres">
      <dgm:prSet presAssocID="{46975044-64DE-4154-BAFE-4A18D37D9FE9}" presName="composite" presStyleCnt="0"/>
      <dgm:spPr/>
      <dgm:t>
        <a:bodyPr/>
        <a:lstStyle/>
        <a:p>
          <a:endParaRPr lang="en-US"/>
        </a:p>
      </dgm:t>
    </dgm:pt>
    <dgm:pt modelId="{8CF83CE7-915C-472F-B554-0E370D049E2E}" type="pres">
      <dgm:prSet presAssocID="{46975044-64DE-4154-BAFE-4A18D37D9FE9}" presName="parentText" presStyleLbl="alignNode1" presStyleIdx="0" presStyleCnt="6">
        <dgm:presLayoutVars>
          <dgm:chMax val="1"/>
          <dgm:bulletEnabled val="1"/>
        </dgm:presLayoutVars>
      </dgm:prSet>
      <dgm:spPr/>
      <dgm:t>
        <a:bodyPr/>
        <a:lstStyle/>
        <a:p>
          <a:endParaRPr lang="en-US"/>
        </a:p>
      </dgm:t>
    </dgm:pt>
    <dgm:pt modelId="{62812799-AABD-4A21-93A4-AD555DB633E8}" type="pres">
      <dgm:prSet presAssocID="{46975044-64DE-4154-BAFE-4A18D37D9FE9}" presName="descendantText" presStyleLbl="alignAcc1" presStyleIdx="0" presStyleCnt="6">
        <dgm:presLayoutVars>
          <dgm:bulletEnabled val="1"/>
        </dgm:presLayoutVars>
      </dgm:prSet>
      <dgm:spPr/>
      <dgm:t>
        <a:bodyPr/>
        <a:lstStyle/>
        <a:p>
          <a:endParaRPr lang="en-US"/>
        </a:p>
      </dgm:t>
    </dgm:pt>
    <dgm:pt modelId="{756A5BF9-CA9D-40B3-AE76-887E4226900E}" type="pres">
      <dgm:prSet presAssocID="{1D314387-EE5E-467F-8BA4-2227830E73A0}" presName="sp" presStyleCnt="0"/>
      <dgm:spPr/>
      <dgm:t>
        <a:bodyPr/>
        <a:lstStyle/>
        <a:p>
          <a:endParaRPr lang="en-US"/>
        </a:p>
      </dgm:t>
    </dgm:pt>
    <dgm:pt modelId="{D180F2B5-BB5A-4756-81DD-793E726B5185}" type="pres">
      <dgm:prSet presAssocID="{B9795A5D-D27A-4A6E-8440-77B3034AAF8A}" presName="composite" presStyleCnt="0"/>
      <dgm:spPr/>
      <dgm:t>
        <a:bodyPr/>
        <a:lstStyle/>
        <a:p>
          <a:endParaRPr lang="en-US"/>
        </a:p>
      </dgm:t>
    </dgm:pt>
    <dgm:pt modelId="{93F1382B-0A60-4B1A-9F37-41ED8F2C8AFB}" type="pres">
      <dgm:prSet presAssocID="{B9795A5D-D27A-4A6E-8440-77B3034AAF8A}" presName="parentText" presStyleLbl="alignNode1" presStyleIdx="1" presStyleCnt="6">
        <dgm:presLayoutVars>
          <dgm:chMax val="1"/>
          <dgm:bulletEnabled val="1"/>
        </dgm:presLayoutVars>
      </dgm:prSet>
      <dgm:spPr/>
      <dgm:t>
        <a:bodyPr/>
        <a:lstStyle/>
        <a:p>
          <a:endParaRPr lang="en-US"/>
        </a:p>
      </dgm:t>
    </dgm:pt>
    <dgm:pt modelId="{2CD26095-C867-4A82-BE5C-196FA755AA8B}" type="pres">
      <dgm:prSet presAssocID="{B9795A5D-D27A-4A6E-8440-77B3034AAF8A}" presName="descendantText" presStyleLbl="alignAcc1" presStyleIdx="1" presStyleCnt="6" custLinFactNeighborX="39" custLinFactNeighborY="0">
        <dgm:presLayoutVars>
          <dgm:bulletEnabled val="1"/>
        </dgm:presLayoutVars>
      </dgm:prSet>
      <dgm:spPr/>
      <dgm:t>
        <a:bodyPr/>
        <a:lstStyle/>
        <a:p>
          <a:endParaRPr lang="en-US"/>
        </a:p>
      </dgm:t>
    </dgm:pt>
    <dgm:pt modelId="{AD043339-1233-4FFB-906A-01823F25C87C}" type="pres">
      <dgm:prSet presAssocID="{DCE70608-3F55-445D-9B60-575F876143BB}" presName="sp" presStyleCnt="0"/>
      <dgm:spPr/>
      <dgm:t>
        <a:bodyPr/>
        <a:lstStyle/>
        <a:p>
          <a:endParaRPr lang="en-US"/>
        </a:p>
      </dgm:t>
    </dgm:pt>
    <dgm:pt modelId="{39C153B4-722A-43E8-86EB-BAFB0C8F41F3}" type="pres">
      <dgm:prSet presAssocID="{CEEF9866-34D1-4B3E-A4BA-5A02E1212D7A}" presName="composite" presStyleCnt="0"/>
      <dgm:spPr/>
      <dgm:t>
        <a:bodyPr/>
        <a:lstStyle/>
        <a:p>
          <a:endParaRPr lang="en-US"/>
        </a:p>
      </dgm:t>
    </dgm:pt>
    <dgm:pt modelId="{355AFB59-7FEE-45C9-BD8E-543AA1B1DBA6}" type="pres">
      <dgm:prSet presAssocID="{CEEF9866-34D1-4B3E-A4BA-5A02E1212D7A}" presName="parentText" presStyleLbl="alignNode1" presStyleIdx="2" presStyleCnt="6">
        <dgm:presLayoutVars>
          <dgm:chMax val="1"/>
          <dgm:bulletEnabled val="1"/>
        </dgm:presLayoutVars>
      </dgm:prSet>
      <dgm:spPr/>
      <dgm:t>
        <a:bodyPr/>
        <a:lstStyle/>
        <a:p>
          <a:endParaRPr lang="en-US"/>
        </a:p>
      </dgm:t>
    </dgm:pt>
    <dgm:pt modelId="{4A11D631-08EA-46FB-B4E2-5804B253B6C1}" type="pres">
      <dgm:prSet presAssocID="{CEEF9866-34D1-4B3E-A4BA-5A02E1212D7A}" presName="descendantText" presStyleLbl="alignAcc1" presStyleIdx="2" presStyleCnt="6">
        <dgm:presLayoutVars>
          <dgm:bulletEnabled val="1"/>
        </dgm:presLayoutVars>
      </dgm:prSet>
      <dgm:spPr/>
      <dgm:t>
        <a:bodyPr/>
        <a:lstStyle/>
        <a:p>
          <a:endParaRPr lang="en-US"/>
        </a:p>
      </dgm:t>
    </dgm:pt>
    <dgm:pt modelId="{40145F47-483F-48EE-8574-8C120AFDCA52}" type="pres">
      <dgm:prSet presAssocID="{7E1AE285-E7E6-4B53-B856-CE09C980BA20}" presName="sp" presStyleCnt="0"/>
      <dgm:spPr/>
      <dgm:t>
        <a:bodyPr/>
        <a:lstStyle/>
        <a:p>
          <a:endParaRPr lang="en-US"/>
        </a:p>
      </dgm:t>
    </dgm:pt>
    <dgm:pt modelId="{358E8742-21BF-4927-BA23-06EDC2370414}" type="pres">
      <dgm:prSet presAssocID="{44BDC720-7310-4ECE-83CD-D40AC5CEB7AF}" presName="composite" presStyleCnt="0"/>
      <dgm:spPr/>
      <dgm:t>
        <a:bodyPr/>
        <a:lstStyle/>
        <a:p>
          <a:endParaRPr lang="en-US"/>
        </a:p>
      </dgm:t>
    </dgm:pt>
    <dgm:pt modelId="{55C14763-561B-417C-BAFC-392AB3A41B43}" type="pres">
      <dgm:prSet presAssocID="{44BDC720-7310-4ECE-83CD-D40AC5CEB7AF}" presName="parentText" presStyleLbl="alignNode1" presStyleIdx="3" presStyleCnt="6">
        <dgm:presLayoutVars>
          <dgm:chMax val="1"/>
          <dgm:bulletEnabled val="1"/>
        </dgm:presLayoutVars>
      </dgm:prSet>
      <dgm:spPr/>
      <dgm:t>
        <a:bodyPr/>
        <a:lstStyle/>
        <a:p>
          <a:endParaRPr lang="en-US"/>
        </a:p>
      </dgm:t>
    </dgm:pt>
    <dgm:pt modelId="{5AFEABA6-E003-4B2F-AB64-3524F98E34AF}" type="pres">
      <dgm:prSet presAssocID="{44BDC720-7310-4ECE-83CD-D40AC5CEB7AF}" presName="descendantText" presStyleLbl="alignAcc1" presStyleIdx="3" presStyleCnt="6">
        <dgm:presLayoutVars>
          <dgm:bulletEnabled val="1"/>
        </dgm:presLayoutVars>
      </dgm:prSet>
      <dgm:spPr/>
      <dgm:t>
        <a:bodyPr/>
        <a:lstStyle/>
        <a:p>
          <a:endParaRPr lang="en-US"/>
        </a:p>
      </dgm:t>
    </dgm:pt>
    <dgm:pt modelId="{7B8317EC-94AD-4CCB-BAF7-DCF1EA5663F9}" type="pres">
      <dgm:prSet presAssocID="{FD27B449-A8E3-4F10-9F77-F5D6FEF37025}" presName="sp" presStyleCnt="0"/>
      <dgm:spPr/>
      <dgm:t>
        <a:bodyPr/>
        <a:lstStyle/>
        <a:p>
          <a:endParaRPr lang="en-US"/>
        </a:p>
      </dgm:t>
    </dgm:pt>
    <dgm:pt modelId="{12516057-FEF9-43B2-B673-DB0848B01C8B}" type="pres">
      <dgm:prSet presAssocID="{ADB5F3F8-1206-4CAB-BFD3-654790CE4ECA}" presName="composite" presStyleCnt="0"/>
      <dgm:spPr/>
      <dgm:t>
        <a:bodyPr/>
        <a:lstStyle/>
        <a:p>
          <a:endParaRPr lang="en-US"/>
        </a:p>
      </dgm:t>
    </dgm:pt>
    <dgm:pt modelId="{9F061FFC-2C23-46FF-BACD-E0526EEDDD18}" type="pres">
      <dgm:prSet presAssocID="{ADB5F3F8-1206-4CAB-BFD3-654790CE4ECA}" presName="parentText" presStyleLbl="alignNode1" presStyleIdx="4" presStyleCnt="6">
        <dgm:presLayoutVars>
          <dgm:chMax val="1"/>
          <dgm:bulletEnabled val="1"/>
        </dgm:presLayoutVars>
      </dgm:prSet>
      <dgm:spPr/>
      <dgm:t>
        <a:bodyPr/>
        <a:lstStyle/>
        <a:p>
          <a:endParaRPr lang="en-US"/>
        </a:p>
      </dgm:t>
    </dgm:pt>
    <dgm:pt modelId="{C0077F2A-C885-4990-A41B-9F4741AB35FF}" type="pres">
      <dgm:prSet presAssocID="{ADB5F3F8-1206-4CAB-BFD3-654790CE4ECA}" presName="descendantText" presStyleLbl="alignAcc1" presStyleIdx="4" presStyleCnt="6">
        <dgm:presLayoutVars>
          <dgm:bulletEnabled val="1"/>
        </dgm:presLayoutVars>
      </dgm:prSet>
      <dgm:spPr/>
      <dgm:t>
        <a:bodyPr/>
        <a:lstStyle/>
        <a:p>
          <a:endParaRPr lang="en-US"/>
        </a:p>
      </dgm:t>
    </dgm:pt>
    <dgm:pt modelId="{3EE6DB01-C797-4043-85F6-55FD2C535775}" type="pres">
      <dgm:prSet presAssocID="{B5980585-DC10-4388-9F1A-6DA2319FF1C3}" presName="sp" presStyleCnt="0"/>
      <dgm:spPr/>
      <dgm:t>
        <a:bodyPr/>
        <a:lstStyle/>
        <a:p>
          <a:endParaRPr lang="en-US"/>
        </a:p>
      </dgm:t>
    </dgm:pt>
    <dgm:pt modelId="{9ABAD7F6-21DE-4172-9743-240960D3F797}" type="pres">
      <dgm:prSet presAssocID="{DE42DEE4-DFCA-49F2-9CCC-BE94ED731426}" presName="composite" presStyleCnt="0"/>
      <dgm:spPr/>
      <dgm:t>
        <a:bodyPr/>
        <a:lstStyle/>
        <a:p>
          <a:endParaRPr lang="en-US"/>
        </a:p>
      </dgm:t>
    </dgm:pt>
    <dgm:pt modelId="{2FE67F26-CC29-4E17-A677-50E239ACD0FE}" type="pres">
      <dgm:prSet presAssocID="{DE42DEE4-DFCA-49F2-9CCC-BE94ED731426}" presName="parentText" presStyleLbl="alignNode1" presStyleIdx="5" presStyleCnt="6">
        <dgm:presLayoutVars>
          <dgm:chMax val="1"/>
          <dgm:bulletEnabled val="1"/>
        </dgm:presLayoutVars>
      </dgm:prSet>
      <dgm:spPr/>
      <dgm:t>
        <a:bodyPr/>
        <a:lstStyle/>
        <a:p>
          <a:endParaRPr lang="en-US"/>
        </a:p>
      </dgm:t>
    </dgm:pt>
    <dgm:pt modelId="{1334332E-0DD4-4749-BA8F-912239E89539}" type="pres">
      <dgm:prSet presAssocID="{DE42DEE4-DFCA-49F2-9CCC-BE94ED731426}" presName="descendantText" presStyleLbl="alignAcc1" presStyleIdx="5" presStyleCnt="6">
        <dgm:presLayoutVars>
          <dgm:bulletEnabled val="1"/>
        </dgm:presLayoutVars>
      </dgm:prSet>
      <dgm:spPr/>
      <dgm:t>
        <a:bodyPr/>
        <a:lstStyle/>
        <a:p>
          <a:endParaRPr lang="en-US"/>
        </a:p>
      </dgm:t>
    </dgm:pt>
  </dgm:ptLst>
  <dgm:cxnLst>
    <dgm:cxn modelId="{D32EC563-253A-47BD-8AE5-89931994F76F}" type="presOf" srcId="{ADB5F3F8-1206-4CAB-BFD3-654790CE4ECA}" destId="{9F061FFC-2C23-46FF-BACD-E0526EEDDD18}" srcOrd="0" destOrd="0" presId="urn:microsoft.com/office/officeart/2005/8/layout/chevron2"/>
    <dgm:cxn modelId="{931382F4-B392-4433-ACA2-941C1425A624}" srcId="{CEEF9866-34D1-4B3E-A4BA-5A02E1212D7A}" destId="{DB027418-2837-44E9-869D-A4B91BA9A1E3}" srcOrd="0" destOrd="0" parTransId="{9C067AB3-D388-4FD0-B78F-FB19F519DCEF}" sibTransId="{2DFB3B92-8392-46D0-AE9D-0E07B3D71376}"/>
    <dgm:cxn modelId="{0CA2BB99-8A3C-4481-910A-3A201AD9BDB3}" type="presOf" srcId="{B6F3BB2C-2F7C-452C-92EF-8766DAF2D905}" destId="{618A5400-9406-4FA0-819D-518BA5CB8673}" srcOrd="0" destOrd="0" presId="urn:microsoft.com/office/officeart/2005/8/layout/chevron2"/>
    <dgm:cxn modelId="{01E00960-93F4-4E1B-BB69-CEBE343368E7}" type="presOf" srcId="{CEEF9866-34D1-4B3E-A4BA-5A02E1212D7A}" destId="{355AFB59-7FEE-45C9-BD8E-543AA1B1DBA6}" srcOrd="0" destOrd="0" presId="urn:microsoft.com/office/officeart/2005/8/layout/chevron2"/>
    <dgm:cxn modelId="{A65357E9-E212-47F2-814C-6253B90BB95C}" type="presOf" srcId="{CD4399FB-71B6-45AD-8AAC-B36A81E0641E}" destId="{62812799-AABD-4A21-93A4-AD555DB633E8}" srcOrd="0" destOrd="0" presId="urn:microsoft.com/office/officeart/2005/8/layout/chevron2"/>
    <dgm:cxn modelId="{9D5DD15F-9304-4FBB-B684-A90FF5AB2AB8}" srcId="{B6F3BB2C-2F7C-452C-92EF-8766DAF2D905}" destId="{B9795A5D-D27A-4A6E-8440-77B3034AAF8A}" srcOrd="1" destOrd="0" parTransId="{571C28AC-8F01-48AD-9EEC-1CAED3CDBE4E}" sibTransId="{DCE70608-3F55-445D-9B60-575F876143BB}"/>
    <dgm:cxn modelId="{114A3122-2911-4FC1-8CE5-C04908571704}" srcId="{B6F3BB2C-2F7C-452C-92EF-8766DAF2D905}" destId="{CEEF9866-34D1-4B3E-A4BA-5A02E1212D7A}" srcOrd="2" destOrd="0" parTransId="{E54A6837-0457-4A8E-8C2B-0424AE8AE249}" sibTransId="{7E1AE285-E7E6-4B53-B856-CE09C980BA20}"/>
    <dgm:cxn modelId="{9EDA89CF-CFB7-44CA-8BF6-5360AA051DFA}" type="presOf" srcId="{46975044-64DE-4154-BAFE-4A18D37D9FE9}" destId="{8CF83CE7-915C-472F-B554-0E370D049E2E}" srcOrd="0" destOrd="0" presId="urn:microsoft.com/office/officeart/2005/8/layout/chevron2"/>
    <dgm:cxn modelId="{ABAAA20F-E011-4F95-8078-9CCE9DE2FAB8}" srcId="{DE42DEE4-DFCA-49F2-9CCC-BE94ED731426}" destId="{F2F38819-934D-45C8-85DB-0153ADFD9B48}" srcOrd="0" destOrd="0" parTransId="{66C751C7-686D-4242-8832-E52B72659FD8}" sibTransId="{93ECCE61-77CA-4939-8DC1-6477BAC85D0F}"/>
    <dgm:cxn modelId="{AC6CF3D7-45E6-427A-910C-B5932278CA08}" type="presOf" srcId="{7FCB2D27-5242-4C33-9F3D-4914B2D35F83}" destId="{5AFEABA6-E003-4B2F-AB64-3524F98E34AF}" srcOrd="0" destOrd="0" presId="urn:microsoft.com/office/officeart/2005/8/layout/chevron2"/>
    <dgm:cxn modelId="{1C1CCD9D-DD00-4433-81B2-3C177C681692}" srcId="{B6F3BB2C-2F7C-452C-92EF-8766DAF2D905}" destId="{44BDC720-7310-4ECE-83CD-D40AC5CEB7AF}" srcOrd="3" destOrd="0" parTransId="{4B6CF8F0-8260-4B7D-9A95-07DD41DF18FD}" sibTransId="{FD27B449-A8E3-4F10-9F77-F5D6FEF37025}"/>
    <dgm:cxn modelId="{AAFF1314-473A-43DD-AD36-9D094A430639}" type="presOf" srcId="{CB6E7F37-34DB-4470-9897-92098AF4FD77}" destId="{C0077F2A-C885-4990-A41B-9F4741AB35FF}" srcOrd="0" destOrd="0" presId="urn:microsoft.com/office/officeart/2005/8/layout/chevron2"/>
    <dgm:cxn modelId="{4AB185D4-259C-471B-AE16-9AF0712A8571}" type="presOf" srcId="{B9795A5D-D27A-4A6E-8440-77B3034AAF8A}" destId="{93F1382B-0A60-4B1A-9F37-41ED8F2C8AFB}" srcOrd="0" destOrd="0" presId="urn:microsoft.com/office/officeart/2005/8/layout/chevron2"/>
    <dgm:cxn modelId="{1675776A-B528-40AC-BB6E-5F067158E7E0}" srcId="{B9795A5D-D27A-4A6E-8440-77B3034AAF8A}" destId="{36ECC064-8B8E-44D2-AA9D-F69FEAD3521F}" srcOrd="0" destOrd="0" parTransId="{F9A3A4B6-99AD-4350-93D4-50BED61C65AF}" sibTransId="{C3750EAF-25B5-4ADB-8561-8710D47F88D3}"/>
    <dgm:cxn modelId="{39FCBDD8-E014-4BF9-99E0-0B9A0FCBAE2F}" srcId="{B6F3BB2C-2F7C-452C-92EF-8766DAF2D905}" destId="{ADB5F3F8-1206-4CAB-BFD3-654790CE4ECA}" srcOrd="4" destOrd="0" parTransId="{CE481956-50DC-470E-93FC-107468C95467}" sibTransId="{B5980585-DC10-4388-9F1A-6DA2319FF1C3}"/>
    <dgm:cxn modelId="{B93BD54F-1B91-4E10-918F-C69A3C8655F3}" srcId="{B6F3BB2C-2F7C-452C-92EF-8766DAF2D905}" destId="{46975044-64DE-4154-BAFE-4A18D37D9FE9}" srcOrd="0" destOrd="0" parTransId="{9AC689D3-12FA-45A3-A72B-E6BBE819B21E}" sibTransId="{1D314387-EE5E-467F-8BA4-2227830E73A0}"/>
    <dgm:cxn modelId="{E5C5E885-56BA-41D5-AB00-8C87A66B0989}" srcId="{B6F3BB2C-2F7C-452C-92EF-8766DAF2D905}" destId="{DE42DEE4-DFCA-49F2-9CCC-BE94ED731426}" srcOrd="5" destOrd="0" parTransId="{9A5990B6-5A50-404F-B854-0569E2C8D3D2}" sibTransId="{8500CE73-3468-4C3D-B519-1EA33BEF8420}"/>
    <dgm:cxn modelId="{F988C9CD-FC4D-4DD8-8811-8BCA08ACCE25}" type="presOf" srcId="{DB027418-2837-44E9-869D-A4B91BA9A1E3}" destId="{4A11D631-08EA-46FB-B4E2-5804B253B6C1}" srcOrd="0" destOrd="0" presId="urn:microsoft.com/office/officeart/2005/8/layout/chevron2"/>
    <dgm:cxn modelId="{5D2AFC65-9A75-46DA-B0D5-CCF2CD7B7B86}" srcId="{44BDC720-7310-4ECE-83CD-D40AC5CEB7AF}" destId="{7FCB2D27-5242-4C33-9F3D-4914B2D35F83}" srcOrd="0" destOrd="0" parTransId="{E7CC27F2-40E0-49BA-8C2F-1B866E390B0B}" sibTransId="{8B1CD6A1-AB8A-40EF-83C3-3B95444F4E08}"/>
    <dgm:cxn modelId="{D7125923-E65B-4FEB-83A2-254A0D654504}" type="presOf" srcId="{F2F38819-934D-45C8-85DB-0153ADFD9B48}" destId="{1334332E-0DD4-4749-BA8F-912239E89539}" srcOrd="0" destOrd="0" presId="urn:microsoft.com/office/officeart/2005/8/layout/chevron2"/>
    <dgm:cxn modelId="{F1DCCECC-744F-4C14-B64F-F8FCE76B1E40}" srcId="{46975044-64DE-4154-BAFE-4A18D37D9FE9}" destId="{CD4399FB-71B6-45AD-8AAC-B36A81E0641E}" srcOrd="0" destOrd="0" parTransId="{28807174-261B-4291-9E31-9A91DA909E9A}" sibTransId="{E344E2A6-80BA-4847-B8D2-4EED5E5D6B90}"/>
    <dgm:cxn modelId="{37022757-AD1A-4614-A976-FC2C5FF59F62}" type="presOf" srcId="{44BDC720-7310-4ECE-83CD-D40AC5CEB7AF}" destId="{55C14763-561B-417C-BAFC-392AB3A41B43}" srcOrd="0" destOrd="0" presId="urn:microsoft.com/office/officeart/2005/8/layout/chevron2"/>
    <dgm:cxn modelId="{1DC1CB52-089E-4898-B94B-8DBD892ED6E9}" type="presOf" srcId="{DE42DEE4-DFCA-49F2-9CCC-BE94ED731426}" destId="{2FE67F26-CC29-4E17-A677-50E239ACD0FE}" srcOrd="0" destOrd="0" presId="urn:microsoft.com/office/officeart/2005/8/layout/chevron2"/>
    <dgm:cxn modelId="{FC78B67F-B785-4D11-84B4-D6612464DF35}" srcId="{ADB5F3F8-1206-4CAB-BFD3-654790CE4ECA}" destId="{CB6E7F37-34DB-4470-9897-92098AF4FD77}" srcOrd="0" destOrd="0" parTransId="{E1717042-6473-4EEA-972F-7CFEF6625985}" sibTransId="{3B20536B-E02D-461C-AB0C-779ECB66C36F}"/>
    <dgm:cxn modelId="{48E8DE3F-DC9B-4ACD-8143-C3BBFC85E931}" type="presOf" srcId="{36ECC064-8B8E-44D2-AA9D-F69FEAD3521F}" destId="{2CD26095-C867-4A82-BE5C-196FA755AA8B}" srcOrd="0" destOrd="0" presId="urn:microsoft.com/office/officeart/2005/8/layout/chevron2"/>
    <dgm:cxn modelId="{21C4660A-21D2-4F1F-8ACC-25A6EDC7335D}" type="presParOf" srcId="{618A5400-9406-4FA0-819D-518BA5CB8673}" destId="{FD15B204-15A2-4199-9637-FF0DC15890CE}" srcOrd="0" destOrd="0" presId="urn:microsoft.com/office/officeart/2005/8/layout/chevron2"/>
    <dgm:cxn modelId="{1F231968-43F3-4B27-9C39-75820C19223F}" type="presParOf" srcId="{FD15B204-15A2-4199-9637-FF0DC15890CE}" destId="{8CF83CE7-915C-472F-B554-0E370D049E2E}" srcOrd="0" destOrd="0" presId="urn:microsoft.com/office/officeart/2005/8/layout/chevron2"/>
    <dgm:cxn modelId="{C08F4261-9987-44F1-B805-5091D853A626}" type="presParOf" srcId="{FD15B204-15A2-4199-9637-FF0DC15890CE}" destId="{62812799-AABD-4A21-93A4-AD555DB633E8}" srcOrd="1" destOrd="0" presId="urn:microsoft.com/office/officeart/2005/8/layout/chevron2"/>
    <dgm:cxn modelId="{99C2E1B3-620B-4871-84B6-E8CA61B4A1AE}" type="presParOf" srcId="{618A5400-9406-4FA0-819D-518BA5CB8673}" destId="{756A5BF9-CA9D-40B3-AE76-887E4226900E}" srcOrd="1" destOrd="0" presId="urn:microsoft.com/office/officeart/2005/8/layout/chevron2"/>
    <dgm:cxn modelId="{7EFC6BC6-196D-4D6D-9AD4-F9D94D336D66}" type="presParOf" srcId="{618A5400-9406-4FA0-819D-518BA5CB8673}" destId="{D180F2B5-BB5A-4756-81DD-793E726B5185}" srcOrd="2" destOrd="0" presId="urn:microsoft.com/office/officeart/2005/8/layout/chevron2"/>
    <dgm:cxn modelId="{F61B8493-0A57-4BAA-AF93-3E2ED1B40232}" type="presParOf" srcId="{D180F2B5-BB5A-4756-81DD-793E726B5185}" destId="{93F1382B-0A60-4B1A-9F37-41ED8F2C8AFB}" srcOrd="0" destOrd="0" presId="urn:microsoft.com/office/officeart/2005/8/layout/chevron2"/>
    <dgm:cxn modelId="{57BC030E-C50B-4982-8E98-333892C03A84}" type="presParOf" srcId="{D180F2B5-BB5A-4756-81DD-793E726B5185}" destId="{2CD26095-C867-4A82-BE5C-196FA755AA8B}" srcOrd="1" destOrd="0" presId="urn:microsoft.com/office/officeart/2005/8/layout/chevron2"/>
    <dgm:cxn modelId="{2DD21D1C-A8A8-409B-BED6-279BFA3AC3CD}" type="presParOf" srcId="{618A5400-9406-4FA0-819D-518BA5CB8673}" destId="{AD043339-1233-4FFB-906A-01823F25C87C}" srcOrd="3" destOrd="0" presId="urn:microsoft.com/office/officeart/2005/8/layout/chevron2"/>
    <dgm:cxn modelId="{1A373723-B8A6-46C7-A831-7EE9A1FCEEE0}" type="presParOf" srcId="{618A5400-9406-4FA0-819D-518BA5CB8673}" destId="{39C153B4-722A-43E8-86EB-BAFB0C8F41F3}" srcOrd="4" destOrd="0" presId="urn:microsoft.com/office/officeart/2005/8/layout/chevron2"/>
    <dgm:cxn modelId="{10C8387E-4C72-4C16-A931-7F672093EB00}" type="presParOf" srcId="{39C153B4-722A-43E8-86EB-BAFB0C8F41F3}" destId="{355AFB59-7FEE-45C9-BD8E-543AA1B1DBA6}" srcOrd="0" destOrd="0" presId="urn:microsoft.com/office/officeart/2005/8/layout/chevron2"/>
    <dgm:cxn modelId="{73E316D5-BA56-4ED1-8EDD-AD44B7A81E5A}" type="presParOf" srcId="{39C153B4-722A-43E8-86EB-BAFB0C8F41F3}" destId="{4A11D631-08EA-46FB-B4E2-5804B253B6C1}" srcOrd="1" destOrd="0" presId="urn:microsoft.com/office/officeart/2005/8/layout/chevron2"/>
    <dgm:cxn modelId="{98623DB5-729A-406F-B9DE-4ADA884BB221}" type="presParOf" srcId="{618A5400-9406-4FA0-819D-518BA5CB8673}" destId="{40145F47-483F-48EE-8574-8C120AFDCA52}" srcOrd="5" destOrd="0" presId="urn:microsoft.com/office/officeart/2005/8/layout/chevron2"/>
    <dgm:cxn modelId="{2BCEB83A-4CF3-45DD-9C90-260062D9C9A4}" type="presParOf" srcId="{618A5400-9406-4FA0-819D-518BA5CB8673}" destId="{358E8742-21BF-4927-BA23-06EDC2370414}" srcOrd="6" destOrd="0" presId="urn:microsoft.com/office/officeart/2005/8/layout/chevron2"/>
    <dgm:cxn modelId="{261D7183-C138-42D1-9136-3ED2783AC6DD}" type="presParOf" srcId="{358E8742-21BF-4927-BA23-06EDC2370414}" destId="{55C14763-561B-417C-BAFC-392AB3A41B43}" srcOrd="0" destOrd="0" presId="urn:microsoft.com/office/officeart/2005/8/layout/chevron2"/>
    <dgm:cxn modelId="{C2AF27A1-F0A2-4343-91E3-EC92895892A9}" type="presParOf" srcId="{358E8742-21BF-4927-BA23-06EDC2370414}" destId="{5AFEABA6-E003-4B2F-AB64-3524F98E34AF}" srcOrd="1" destOrd="0" presId="urn:microsoft.com/office/officeart/2005/8/layout/chevron2"/>
    <dgm:cxn modelId="{0CECEC7A-0457-43E2-98B5-FE9BC16C7E83}" type="presParOf" srcId="{618A5400-9406-4FA0-819D-518BA5CB8673}" destId="{7B8317EC-94AD-4CCB-BAF7-DCF1EA5663F9}" srcOrd="7" destOrd="0" presId="urn:microsoft.com/office/officeart/2005/8/layout/chevron2"/>
    <dgm:cxn modelId="{A84DFEF7-B59F-4085-8AE0-265D4141B6B0}" type="presParOf" srcId="{618A5400-9406-4FA0-819D-518BA5CB8673}" destId="{12516057-FEF9-43B2-B673-DB0848B01C8B}" srcOrd="8" destOrd="0" presId="urn:microsoft.com/office/officeart/2005/8/layout/chevron2"/>
    <dgm:cxn modelId="{D90D8479-5E83-456B-B57A-2284F03A520E}" type="presParOf" srcId="{12516057-FEF9-43B2-B673-DB0848B01C8B}" destId="{9F061FFC-2C23-46FF-BACD-E0526EEDDD18}" srcOrd="0" destOrd="0" presId="urn:microsoft.com/office/officeart/2005/8/layout/chevron2"/>
    <dgm:cxn modelId="{791510C1-8F3D-409E-B236-829DB6500F73}" type="presParOf" srcId="{12516057-FEF9-43B2-B673-DB0848B01C8B}" destId="{C0077F2A-C885-4990-A41B-9F4741AB35FF}" srcOrd="1" destOrd="0" presId="urn:microsoft.com/office/officeart/2005/8/layout/chevron2"/>
    <dgm:cxn modelId="{ED0BEC97-7FF4-4EE1-8BF0-97CBB0B68334}" type="presParOf" srcId="{618A5400-9406-4FA0-819D-518BA5CB8673}" destId="{3EE6DB01-C797-4043-85F6-55FD2C535775}" srcOrd="9" destOrd="0" presId="urn:microsoft.com/office/officeart/2005/8/layout/chevron2"/>
    <dgm:cxn modelId="{0667EB6B-4A94-430C-8F36-54267E4FCAEB}" type="presParOf" srcId="{618A5400-9406-4FA0-819D-518BA5CB8673}" destId="{9ABAD7F6-21DE-4172-9743-240960D3F797}" srcOrd="10" destOrd="0" presId="urn:microsoft.com/office/officeart/2005/8/layout/chevron2"/>
    <dgm:cxn modelId="{7F553E4F-E217-423A-AA4B-920ECB7F92BC}" type="presParOf" srcId="{9ABAD7F6-21DE-4172-9743-240960D3F797}" destId="{2FE67F26-CC29-4E17-A677-50E239ACD0FE}" srcOrd="0" destOrd="0" presId="urn:microsoft.com/office/officeart/2005/8/layout/chevron2"/>
    <dgm:cxn modelId="{562541C3-59FE-4F74-99B8-4C17A05E15AB}" type="presParOf" srcId="{9ABAD7F6-21DE-4172-9743-240960D3F797}" destId="{1334332E-0DD4-4749-BA8F-912239E89539}"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E8BBF5-2224-4A5A-B602-34C2CDFE09B8}" type="doc">
      <dgm:prSet loTypeId="urn:microsoft.com/office/officeart/2005/8/layout/hierarchy1" loCatId="hierarchy" qsTypeId="urn:microsoft.com/office/officeart/2005/8/quickstyle/3d4" qsCatId="3D" csTypeId="urn:microsoft.com/office/officeart/2005/8/colors/accent1_2" csCatId="accent1" phldr="1"/>
      <dgm:spPr/>
      <dgm:t>
        <a:bodyPr/>
        <a:lstStyle/>
        <a:p>
          <a:endParaRPr lang="en-US"/>
        </a:p>
      </dgm:t>
    </dgm:pt>
    <dgm:pt modelId="{BFF828A6-FF3B-4983-9AA6-44D9C05E5211}">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1. Context analysis &amp; Project objectives</a:t>
          </a:r>
        </a:p>
      </dgm:t>
    </dgm:pt>
    <dgm:pt modelId="{2CA9F8D4-9D22-41BF-B63B-A70D6D6DA05D}" type="parTrans" cxnId="{4536AA1A-60A1-4980-B28C-B0918A0BD6F3}">
      <dgm:prSet/>
      <dgm:spPr/>
      <dgm:t>
        <a:bodyPr/>
        <a:lstStyle/>
        <a:p>
          <a:endParaRPr lang="en-US" sz="900">
            <a:latin typeface="Arial" pitchFamily="34" charset="0"/>
            <a:cs typeface="Arial" pitchFamily="34" charset="0"/>
          </a:endParaRPr>
        </a:p>
      </dgm:t>
    </dgm:pt>
    <dgm:pt modelId="{5E948ABC-20A3-453C-80CF-981EDA9EF37D}" type="sibTrans" cxnId="{4536AA1A-60A1-4980-B28C-B0918A0BD6F3}">
      <dgm:prSet/>
      <dgm:spPr/>
      <dgm:t>
        <a:bodyPr/>
        <a:lstStyle/>
        <a:p>
          <a:endParaRPr lang="en-US" sz="900">
            <a:latin typeface="Arial" pitchFamily="34" charset="0"/>
            <a:cs typeface="Arial" pitchFamily="34" charset="0"/>
          </a:endParaRPr>
        </a:p>
      </dgm:t>
    </dgm:pt>
    <dgm:pt modelId="{92FFEB76-1DA9-4890-88A8-13F3604E35D7}">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2. Project identification</a:t>
          </a:r>
        </a:p>
      </dgm:t>
    </dgm:pt>
    <dgm:pt modelId="{B3BF1FD6-B4A3-4F87-BED8-2A4BEA572E0F}" type="parTrans" cxnId="{F5CBF4B4-A319-4B08-B75F-BDC0CC6A311E}">
      <dgm:prSet/>
      <dgm:spPr>
        <a:ln>
          <a:solidFill>
            <a:srgbClr val="988F86"/>
          </a:solidFill>
        </a:ln>
      </dgm:spPr>
      <dgm:t>
        <a:bodyPr/>
        <a:lstStyle/>
        <a:p>
          <a:endParaRPr lang="en-US" sz="900">
            <a:latin typeface="Arial" pitchFamily="34" charset="0"/>
            <a:cs typeface="Arial" pitchFamily="34" charset="0"/>
          </a:endParaRPr>
        </a:p>
      </dgm:t>
    </dgm:pt>
    <dgm:pt modelId="{FC91EDF3-F8CF-401F-A42C-6D8B3489EE43}" type="sibTrans" cxnId="{F5CBF4B4-A319-4B08-B75F-BDC0CC6A311E}">
      <dgm:prSet/>
      <dgm:spPr/>
      <dgm:t>
        <a:bodyPr/>
        <a:lstStyle/>
        <a:p>
          <a:endParaRPr lang="en-US" sz="900">
            <a:latin typeface="Arial" pitchFamily="34" charset="0"/>
            <a:cs typeface="Arial" pitchFamily="34" charset="0"/>
          </a:endParaRPr>
        </a:p>
      </dgm:t>
    </dgm:pt>
    <dgm:pt modelId="{692613B9-E0B8-4A5A-9631-274BE4039D9B}">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3. Feasibility &amp; Option analysis</a:t>
          </a:r>
        </a:p>
      </dgm:t>
    </dgm:pt>
    <dgm:pt modelId="{46BABC93-190B-4189-B255-4CCA0E31A516}" type="parTrans" cxnId="{35FF0123-ED51-4FD2-BE34-B5057338222D}">
      <dgm:prSet/>
      <dgm:spPr>
        <a:ln>
          <a:solidFill>
            <a:srgbClr val="988F86"/>
          </a:solidFill>
        </a:ln>
      </dgm:spPr>
      <dgm:t>
        <a:bodyPr/>
        <a:lstStyle/>
        <a:p>
          <a:endParaRPr lang="en-US" sz="900">
            <a:latin typeface="Arial" pitchFamily="34" charset="0"/>
            <a:cs typeface="Arial" pitchFamily="34" charset="0"/>
          </a:endParaRPr>
        </a:p>
      </dgm:t>
    </dgm:pt>
    <dgm:pt modelId="{C923B97A-0B96-46E4-ACD6-C8156E7E9A73}" type="sibTrans" cxnId="{35FF0123-ED51-4FD2-BE34-B5057338222D}">
      <dgm:prSet/>
      <dgm:spPr/>
      <dgm:t>
        <a:bodyPr/>
        <a:lstStyle/>
        <a:p>
          <a:endParaRPr lang="en-US" sz="900">
            <a:latin typeface="Arial" pitchFamily="34" charset="0"/>
            <a:cs typeface="Arial" pitchFamily="34" charset="0"/>
          </a:endParaRPr>
        </a:p>
      </dgm:t>
    </dgm:pt>
    <dgm:pt modelId="{981C9CFA-2F6F-4C60-91E7-0A417436119C}">
      <dgm:prSet phldrT="[Text]" custT="1"/>
      <dgm:spPr>
        <a:solidFill>
          <a:srgbClr val="BDE5F1">
            <a:alpha val="90000"/>
          </a:srgbClr>
        </a:solidFill>
        <a:ln>
          <a:solidFill>
            <a:srgbClr val="63C1DF"/>
          </a:solidFill>
        </a:ln>
      </dgm:spPr>
      <dgm:t>
        <a:bodyPr/>
        <a:lstStyle/>
        <a:p>
          <a:pPr>
            <a:spcAft>
              <a:spcPts val="0"/>
            </a:spcAft>
          </a:pPr>
          <a:r>
            <a:rPr lang="en-US" sz="900" b="1">
              <a:latin typeface="Arial" pitchFamily="34" charset="0"/>
              <a:cs typeface="Arial" pitchFamily="34" charset="0"/>
            </a:rPr>
            <a:t>4. Financial analysis</a:t>
          </a:r>
        </a:p>
        <a:p>
          <a:pPr>
            <a:spcAft>
              <a:spcPts val="0"/>
            </a:spcAft>
          </a:pPr>
          <a:r>
            <a:rPr lang="en-US" sz="900">
              <a:latin typeface="Arial" pitchFamily="34" charset="0"/>
              <a:cs typeface="Arial" pitchFamily="34" charset="0"/>
            </a:rPr>
            <a:t>- Investment cost;</a:t>
          </a:r>
        </a:p>
        <a:p>
          <a:pPr>
            <a:spcAft>
              <a:spcPts val="0"/>
            </a:spcAft>
          </a:pPr>
          <a:r>
            <a:rPr lang="en-US" sz="900">
              <a:latin typeface="Arial" pitchFamily="34" charset="0"/>
              <a:cs typeface="Arial" pitchFamily="34" charset="0"/>
            </a:rPr>
            <a:t>-Operating costs and revenues;</a:t>
          </a:r>
        </a:p>
        <a:p>
          <a:pPr>
            <a:spcAft>
              <a:spcPts val="0"/>
            </a:spcAft>
          </a:pPr>
          <a:r>
            <a:rPr lang="en-US" sz="900">
              <a:latin typeface="Arial" pitchFamily="34" charset="0"/>
              <a:cs typeface="Arial" pitchFamily="34" charset="0"/>
            </a:rPr>
            <a:t>- Financial return to investment;</a:t>
          </a:r>
        </a:p>
        <a:p>
          <a:pPr>
            <a:spcAft>
              <a:spcPts val="0"/>
            </a:spcAft>
          </a:pPr>
          <a:r>
            <a:rPr lang="en-US" sz="900">
              <a:latin typeface="Arial" pitchFamily="34" charset="0"/>
              <a:cs typeface="Arial" pitchFamily="34" charset="0"/>
            </a:rPr>
            <a:t>- Sources of financing;</a:t>
          </a:r>
        </a:p>
        <a:p>
          <a:pPr>
            <a:spcAft>
              <a:spcPts val="0"/>
            </a:spcAft>
          </a:pPr>
          <a:r>
            <a:rPr lang="en-US" sz="900">
              <a:latin typeface="Arial" pitchFamily="34" charset="0"/>
              <a:cs typeface="Arial" pitchFamily="34" charset="0"/>
            </a:rPr>
            <a:t>-Financial sustainability;</a:t>
          </a:r>
        </a:p>
        <a:p>
          <a:pPr>
            <a:spcAft>
              <a:spcPts val="0"/>
            </a:spcAft>
          </a:pPr>
          <a:r>
            <a:rPr lang="en-US" sz="900">
              <a:latin typeface="Arial" pitchFamily="34" charset="0"/>
              <a:cs typeface="Arial" pitchFamily="34" charset="0"/>
            </a:rPr>
            <a:t>-Financial return to capital.</a:t>
          </a:r>
        </a:p>
      </dgm:t>
    </dgm:pt>
    <dgm:pt modelId="{087376D6-6CA2-42A2-8C55-A18A03D1B0B5}" type="parTrans" cxnId="{16B7750E-295A-4E5F-83C9-AFA7AFE7E5EC}">
      <dgm:prSet/>
      <dgm:spPr>
        <a:ln>
          <a:solidFill>
            <a:srgbClr val="988F86"/>
          </a:solidFill>
        </a:ln>
      </dgm:spPr>
      <dgm:t>
        <a:bodyPr/>
        <a:lstStyle/>
        <a:p>
          <a:endParaRPr lang="en-US" sz="900">
            <a:latin typeface="Arial" pitchFamily="34" charset="0"/>
            <a:cs typeface="Arial" pitchFamily="34" charset="0"/>
          </a:endParaRPr>
        </a:p>
      </dgm:t>
    </dgm:pt>
    <dgm:pt modelId="{D50FC00B-1FAC-4E81-B0DE-71800B8971CF}" type="sibTrans" cxnId="{16B7750E-295A-4E5F-83C9-AFA7AFE7E5EC}">
      <dgm:prSet/>
      <dgm:spPr/>
      <dgm:t>
        <a:bodyPr/>
        <a:lstStyle/>
        <a:p>
          <a:endParaRPr lang="en-US" sz="900">
            <a:latin typeface="Arial" pitchFamily="34" charset="0"/>
            <a:cs typeface="Arial" pitchFamily="34" charset="0"/>
          </a:endParaRPr>
        </a:p>
      </dgm:t>
    </dgm:pt>
    <dgm:pt modelId="{0E1EF817-9922-4F68-8296-988142906A78}">
      <dgm:prSet phldrT="[Text]" custT="1"/>
      <dgm:spPr>
        <a:solidFill>
          <a:srgbClr val="BDE5F1">
            <a:alpha val="89804"/>
          </a:srgbClr>
        </a:solidFill>
        <a:ln>
          <a:solidFill>
            <a:srgbClr val="63C1DF"/>
          </a:solidFill>
        </a:ln>
      </dgm:spPr>
      <dgm:t>
        <a:bodyPr/>
        <a:lstStyle/>
        <a:p>
          <a:r>
            <a:rPr lang="en-US" sz="900">
              <a:latin typeface="Arial" pitchFamily="34" charset="0"/>
              <a:cs typeface="Arial" pitchFamily="34" charset="0"/>
            </a:rPr>
            <a:t>If FNPV &gt; 0</a:t>
          </a:r>
        </a:p>
      </dgm:t>
    </dgm:pt>
    <dgm:pt modelId="{07535519-73EF-4E92-B558-85FB5E17B0A4}" type="parTrans" cxnId="{AE902434-1BB8-47CB-885F-95804E9B227A}">
      <dgm:prSet/>
      <dgm:spPr>
        <a:ln>
          <a:solidFill>
            <a:srgbClr val="988F86"/>
          </a:solidFill>
        </a:ln>
      </dgm:spPr>
      <dgm:t>
        <a:bodyPr/>
        <a:lstStyle/>
        <a:p>
          <a:endParaRPr lang="en-US" sz="900">
            <a:latin typeface="Arial" pitchFamily="34" charset="0"/>
            <a:cs typeface="Arial" pitchFamily="34" charset="0"/>
          </a:endParaRPr>
        </a:p>
      </dgm:t>
    </dgm:pt>
    <dgm:pt modelId="{4D4BD713-D397-424C-AB2B-C3D4C0330241}" type="sibTrans" cxnId="{AE902434-1BB8-47CB-885F-95804E9B227A}">
      <dgm:prSet/>
      <dgm:spPr/>
      <dgm:t>
        <a:bodyPr/>
        <a:lstStyle/>
        <a:p>
          <a:endParaRPr lang="en-US" sz="900">
            <a:latin typeface="Arial" pitchFamily="34" charset="0"/>
            <a:cs typeface="Arial" pitchFamily="34" charset="0"/>
          </a:endParaRPr>
        </a:p>
      </dgm:t>
    </dgm:pt>
    <dgm:pt modelId="{CCB23740-6CA8-44D5-A54D-0787E9996D48}">
      <dgm:prSet phldrT="[Text]" custT="1"/>
      <dgm:spPr>
        <a:solidFill>
          <a:srgbClr val="BDE5F1">
            <a:alpha val="89804"/>
          </a:srgbClr>
        </a:solidFill>
        <a:ln>
          <a:solidFill>
            <a:srgbClr val="63C1DF"/>
          </a:solidFill>
        </a:ln>
      </dgm:spPr>
      <dgm:t>
        <a:bodyPr/>
        <a:lstStyle/>
        <a:p>
          <a:r>
            <a:rPr lang="en-US" sz="900">
              <a:latin typeface="Arial" pitchFamily="34" charset="0"/>
              <a:cs typeface="Arial" pitchFamily="34" charset="0"/>
            </a:rPr>
            <a:t>If FNPV &lt;0</a:t>
          </a:r>
        </a:p>
      </dgm:t>
    </dgm:pt>
    <dgm:pt modelId="{133484D4-9348-4125-B090-94E26D51DFF9}" type="parTrans" cxnId="{B7044A9C-61F7-4869-82D4-7DDA3A287BED}">
      <dgm:prSet/>
      <dgm:spPr>
        <a:ln>
          <a:solidFill>
            <a:srgbClr val="988F86"/>
          </a:solidFill>
        </a:ln>
      </dgm:spPr>
      <dgm:t>
        <a:bodyPr/>
        <a:lstStyle/>
        <a:p>
          <a:endParaRPr lang="en-US" sz="900">
            <a:latin typeface="Arial" pitchFamily="34" charset="0"/>
            <a:cs typeface="Arial" pitchFamily="34" charset="0"/>
          </a:endParaRPr>
        </a:p>
      </dgm:t>
    </dgm:pt>
    <dgm:pt modelId="{8A1A82B9-F689-455C-8322-B7EB7D275B81}" type="sibTrans" cxnId="{B7044A9C-61F7-4869-82D4-7DDA3A287BED}">
      <dgm:prSet/>
      <dgm:spPr/>
      <dgm:t>
        <a:bodyPr/>
        <a:lstStyle/>
        <a:p>
          <a:endParaRPr lang="en-US" sz="900">
            <a:latin typeface="Arial" pitchFamily="34" charset="0"/>
            <a:cs typeface="Arial" pitchFamily="34" charset="0"/>
          </a:endParaRPr>
        </a:p>
      </dgm:t>
    </dgm:pt>
    <dgm:pt modelId="{51D2E35A-6A69-47C7-8FAD-F208C367618B}">
      <dgm:prSet phldrT="[Text]" custT="1"/>
      <dgm:spPr>
        <a:solidFill>
          <a:srgbClr val="BDE5F1">
            <a:alpha val="89804"/>
          </a:srgbClr>
        </a:solidFill>
        <a:ln>
          <a:solidFill>
            <a:srgbClr val="63C1DF"/>
          </a:solidFill>
        </a:ln>
      </dgm:spPr>
      <dgm:t>
        <a:bodyPr/>
        <a:lstStyle/>
        <a:p>
          <a:r>
            <a:rPr lang="en-US" sz="900" i="1">
              <a:latin typeface="Arial" pitchFamily="34" charset="0"/>
              <a:cs typeface="Arial" pitchFamily="34" charset="0"/>
            </a:rPr>
            <a:t>The project does not require EU financial support</a:t>
          </a:r>
        </a:p>
      </dgm:t>
    </dgm:pt>
    <dgm:pt modelId="{8B61CB54-2D16-4FAC-9340-B74ABB0F561C}" type="parTrans" cxnId="{CCEC279C-178E-4C2E-929B-B1C44785721B}">
      <dgm:prSet/>
      <dgm:spPr>
        <a:ln>
          <a:solidFill>
            <a:srgbClr val="988F86"/>
          </a:solidFill>
        </a:ln>
      </dgm:spPr>
      <dgm:t>
        <a:bodyPr/>
        <a:lstStyle/>
        <a:p>
          <a:endParaRPr lang="en-US" sz="900">
            <a:latin typeface="Arial" pitchFamily="34" charset="0"/>
            <a:cs typeface="Arial" pitchFamily="34" charset="0"/>
          </a:endParaRPr>
        </a:p>
      </dgm:t>
    </dgm:pt>
    <dgm:pt modelId="{1E0496EA-8A65-4330-B8EB-B52D5670B3C3}" type="sibTrans" cxnId="{CCEC279C-178E-4C2E-929B-B1C44785721B}">
      <dgm:prSet/>
      <dgm:spPr/>
      <dgm:t>
        <a:bodyPr/>
        <a:lstStyle/>
        <a:p>
          <a:endParaRPr lang="en-US" sz="900">
            <a:latin typeface="Arial" pitchFamily="34" charset="0"/>
            <a:cs typeface="Arial" pitchFamily="34" charset="0"/>
          </a:endParaRPr>
        </a:p>
      </dgm:t>
    </dgm:pt>
    <dgm:pt modelId="{B7DC88D7-4710-481D-9801-416ABECAE69D}">
      <dgm:prSet phldrT="[Text]" custT="1"/>
      <dgm:spPr>
        <a:solidFill>
          <a:srgbClr val="BDE5F1">
            <a:alpha val="89804"/>
          </a:srgbClr>
        </a:solidFill>
        <a:ln>
          <a:solidFill>
            <a:srgbClr val="63C1DF"/>
          </a:solidFill>
        </a:ln>
      </dgm:spPr>
      <dgm:t>
        <a:bodyPr/>
        <a:lstStyle/>
        <a:p>
          <a:pPr>
            <a:spcAft>
              <a:spcPts val="0"/>
            </a:spcAft>
          </a:pPr>
          <a:r>
            <a:rPr lang="en-US" sz="900" i="1">
              <a:latin typeface="Arial" pitchFamily="34" charset="0"/>
              <a:cs typeface="Arial" pitchFamily="34" charset="0"/>
            </a:rPr>
            <a:t>The project does</a:t>
          </a:r>
        </a:p>
        <a:p>
          <a:pPr>
            <a:spcAft>
              <a:spcPts val="0"/>
            </a:spcAft>
          </a:pPr>
          <a:r>
            <a:rPr lang="en-US" sz="900" i="1">
              <a:latin typeface="Arial" pitchFamily="34" charset="0"/>
              <a:cs typeface="Arial" pitchFamily="34" charset="0"/>
            </a:rPr>
            <a:t> require EU financial support</a:t>
          </a:r>
        </a:p>
      </dgm:t>
    </dgm:pt>
    <dgm:pt modelId="{733022D7-2D18-440B-81D5-0CFCCEDD9338}" type="parTrans" cxnId="{11DECCBC-7D76-445A-A5C5-3B6B0BE4191C}">
      <dgm:prSet/>
      <dgm:spPr>
        <a:ln>
          <a:solidFill>
            <a:srgbClr val="988F86"/>
          </a:solidFill>
        </a:ln>
      </dgm:spPr>
      <dgm:t>
        <a:bodyPr/>
        <a:lstStyle/>
        <a:p>
          <a:endParaRPr lang="en-US" sz="900">
            <a:latin typeface="Arial" pitchFamily="34" charset="0"/>
            <a:cs typeface="Arial" pitchFamily="34" charset="0"/>
          </a:endParaRPr>
        </a:p>
      </dgm:t>
    </dgm:pt>
    <dgm:pt modelId="{1F561624-22E5-473B-A072-4EC8E7B73BE2}" type="sibTrans" cxnId="{11DECCBC-7D76-445A-A5C5-3B6B0BE4191C}">
      <dgm:prSet/>
      <dgm:spPr/>
      <dgm:t>
        <a:bodyPr/>
        <a:lstStyle/>
        <a:p>
          <a:endParaRPr lang="en-US" sz="900">
            <a:latin typeface="Arial" pitchFamily="34" charset="0"/>
            <a:cs typeface="Arial" pitchFamily="34" charset="0"/>
          </a:endParaRPr>
        </a:p>
      </dgm:t>
    </dgm:pt>
    <dgm:pt modelId="{7E1D7E6C-2C86-4558-8C56-C998BF55F98B}">
      <dgm:prSet phldrT="[Text]" custT="1"/>
      <dgm:spPr>
        <a:solidFill>
          <a:srgbClr val="D4F4B6">
            <a:alpha val="89804"/>
          </a:srgbClr>
        </a:solidFill>
        <a:ln>
          <a:solidFill>
            <a:srgbClr val="7DDC1E"/>
          </a:solidFill>
        </a:ln>
      </dgm:spPr>
      <dgm:t>
        <a:bodyPr/>
        <a:lstStyle/>
        <a:p>
          <a:pPr algn="ctr">
            <a:spcAft>
              <a:spcPts val="0"/>
            </a:spcAft>
          </a:pPr>
          <a:r>
            <a:rPr lang="en-US" sz="900" b="1">
              <a:latin typeface="Arial" pitchFamily="34" charset="0"/>
              <a:cs typeface="Arial" pitchFamily="34" charset="0"/>
            </a:rPr>
            <a:t>5. Economic analysis</a:t>
          </a:r>
        </a:p>
        <a:p>
          <a:pPr algn="l">
            <a:spcAft>
              <a:spcPts val="0"/>
            </a:spcAft>
          </a:pPr>
          <a:r>
            <a:rPr lang="en-US" sz="900">
              <a:latin typeface="Arial" pitchFamily="34" charset="0"/>
              <a:cs typeface="Arial" pitchFamily="34" charset="0"/>
            </a:rPr>
            <a:t>    -From market to accounting prices;</a:t>
          </a:r>
        </a:p>
        <a:p>
          <a:pPr algn="l">
            <a:spcAft>
              <a:spcPts val="0"/>
            </a:spcAft>
          </a:pPr>
          <a:r>
            <a:rPr lang="en-US" sz="900">
              <a:latin typeface="Arial" pitchFamily="34" charset="0"/>
              <a:cs typeface="Arial" pitchFamily="34" charset="0"/>
            </a:rPr>
            <a:t>    -Monetisation of non-market impacts;</a:t>
          </a:r>
        </a:p>
        <a:p>
          <a:pPr algn="l">
            <a:spcAft>
              <a:spcPts val="0"/>
            </a:spcAft>
          </a:pPr>
          <a:r>
            <a:rPr lang="en-US" sz="900">
              <a:latin typeface="Arial" pitchFamily="34" charset="0"/>
              <a:cs typeface="Arial" pitchFamily="34" charset="0"/>
            </a:rPr>
            <a:t>    -Inclusion of additional indirect effects;</a:t>
          </a:r>
        </a:p>
        <a:p>
          <a:pPr algn="l">
            <a:spcAft>
              <a:spcPts val="0"/>
            </a:spcAft>
          </a:pPr>
          <a:r>
            <a:rPr lang="en-US" sz="900">
              <a:latin typeface="Arial" pitchFamily="34" charset="0"/>
              <a:cs typeface="Arial" pitchFamily="34" charset="0"/>
            </a:rPr>
            <a:t>    -Social discounting;</a:t>
          </a:r>
        </a:p>
        <a:p>
          <a:pPr algn="l">
            <a:spcAft>
              <a:spcPts val="0"/>
            </a:spcAft>
          </a:pPr>
          <a:r>
            <a:rPr lang="en-US" sz="900">
              <a:latin typeface="Arial" pitchFamily="34" charset="0"/>
              <a:cs typeface="Arial" pitchFamily="34" charset="0"/>
            </a:rPr>
            <a:t>    -Calculation of economic performance indicators.</a:t>
          </a:r>
        </a:p>
      </dgm:t>
    </dgm:pt>
    <dgm:pt modelId="{0F6833F7-DC81-45C4-905B-502EBBFA371C}" type="parTrans" cxnId="{A30D255B-5244-4C34-B33C-5BB3B2F565CE}">
      <dgm:prSet/>
      <dgm:spPr>
        <a:ln>
          <a:solidFill>
            <a:srgbClr val="988F86"/>
          </a:solidFill>
        </a:ln>
      </dgm:spPr>
      <dgm:t>
        <a:bodyPr/>
        <a:lstStyle/>
        <a:p>
          <a:endParaRPr lang="en-US" sz="900">
            <a:latin typeface="Arial" pitchFamily="34" charset="0"/>
            <a:cs typeface="Arial" pitchFamily="34" charset="0"/>
          </a:endParaRPr>
        </a:p>
      </dgm:t>
    </dgm:pt>
    <dgm:pt modelId="{30357C97-0CF2-44AE-80A3-AE18F43C7819}" type="sibTrans" cxnId="{A30D255B-5244-4C34-B33C-5BB3B2F565CE}">
      <dgm:prSet/>
      <dgm:spPr/>
      <dgm:t>
        <a:bodyPr/>
        <a:lstStyle/>
        <a:p>
          <a:endParaRPr lang="en-US" sz="900">
            <a:latin typeface="Arial" pitchFamily="34" charset="0"/>
            <a:cs typeface="Arial" pitchFamily="34" charset="0"/>
          </a:endParaRPr>
        </a:p>
      </dgm:t>
    </dgm:pt>
    <dgm:pt modelId="{E88EF19C-1320-47E4-A7C1-066695C69789}">
      <dgm:prSet phldrT="[Text]" custT="1"/>
      <dgm:spPr>
        <a:solidFill>
          <a:srgbClr val="D4F4B6">
            <a:alpha val="89804"/>
          </a:srgbClr>
        </a:solidFill>
        <a:ln>
          <a:solidFill>
            <a:srgbClr val="7DDC1E"/>
          </a:solidFill>
        </a:ln>
      </dgm:spPr>
      <dgm:t>
        <a:bodyPr/>
        <a:lstStyle/>
        <a:p>
          <a:r>
            <a:rPr lang="en-US" sz="900">
              <a:latin typeface="Arial" pitchFamily="34" charset="0"/>
              <a:cs typeface="Arial" pitchFamily="34" charset="0"/>
            </a:rPr>
            <a:t>If ENPV &lt; 0</a:t>
          </a:r>
        </a:p>
      </dgm:t>
    </dgm:pt>
    <dgm:pt modelId="{E46B1DA1-70E9-4A45-B442-D8B7E75B806A}" type="parTrans" cxnId="{D5C98A31-0010-4A2F-B8D4-BE2C65DE91F3}">
      <dgm:prSet/>
      <dgm:spPr>
        <a:ln>
          <a:solidFill>
            <a:srgbClr val="988F86"/>
          </a:solidFill>
        </a:ln>
      </dgm:spPr>
      <dgm:t>
        <a:bodyPr/>
        <a:lstStyle/>
        <a:p>
          <a:endParaRPr lang="en-US" sz="900">
            <a:latin typeface="Arial" pitchFamily="34" charset="0"/>
            <a:cs typeface="Arial" pitchFamily="34" charset="0"/>
          </a:endParaRPr>
        </a:p>
      </dgm:t>
    </dgm:pt>
    <dgm:pt modelId="{018EB715-B414-4DFF-826B-C880D60780DD}" type="sibTrans" cxnId="{D5C98A31-0010-4A2F-B8D4-BE2C65DE91F3}">
      <dgm:prSet/>
      <dgm:spPr/>
      <dgm:t>
        <a:bodyPr/>
        <a:lstStyle/>
        <a:p>
          <a:endParaRPr lang="en-US" sz="900">
            <a:latin typeface="Arial" pitchFamily="34" charset="0"/>
            <a:cs typeface="Arial" pitchFamily="34" charset="0"/>
          </a:endParaRPr>
        </a:p>
      </dgm:t>
    </dgm:pt>
    <dgm:pt modelId="{21567C9A-DA76-4078-8579-13E858F56881}">
      <dgm:prSet phldrT="[Text]" custT="1"/>
      <dgm:spPr>
        <a:solidFill>
          <a:srgbClr val="D4F4B6">
            <a:alpha val="89804"/>
          </a:srgbClr>
        </a:solidFill>
        <a:ln>
          <a:solidFill>
            <a:srgbClr val="7DDC1E"/>
          </a:solidFill>
        </a:ln>
      </dgm:spPr>
      <dgm:t>
        <a:bodyPr/>
        <a:lstStyle/>
        <a:p>
          <a:r>
            <a:rPr lang="en-US" sz="900">
              <a:latin typeface="Arial" pitchFamily="34" charset="0"/>
              <a:cs typeface="Arial" pitchFamily="34" charset="0"/>
            </a:rPr>
            <a:t>If ENPV &gt; 0</a:t>
          </a:r>
        </a:p>
      </dgm:t>
    </dgm:pt>
    <dgm:pt modelId="{6FC4B0C2-DDED-4DE4-86E7-BC5A08A95CCE}" type="parTrans" cxnId="{57476610-B483-47CC-8C6F-AFCECBB618C9}">
      <dgm:prSet/>
      <dgm:spPr>
        <a:ln>
          <a:solidFill>
            <a:srgbClr val="988F86"/>
          </a:solidFill>
        </a:ln>
      </dgm:spPr>
      <dgm:t>
        <a:bodyPr/>
        <a:lstStyle/>
        <a:p>
          <a:endParaRPr lang="en-US" sz="900">
            <a:latin typeface="Arial" pitchFamily="34" charset="0"/>
            <a:cs typeface="Arial" pitchFamily="34" charset="0"/>
          </a:endParaRPr>
        </a:p>
      </dgm:t>
    </dgm:pt>
    <dgm:pt modelId="{779DE0C3-6C8D-4365-83DF-F6ED2A2F1692}" type="sibTrans" cxnId="{57476610-B483-47CC-8C6F-AFCECBB618C9}">
      <dgm:prSet/>
      <dgm:spPr/>
      <dgm:t>
        <a:bodyPr/>
        <a:lstStyle/>
        <a:p>
          <a:endParaRPr lang="en-US" sz="900">
            <a:latin typeface="Arial" pitchFamily="34" charset="0"/>
            <a:cs typeface="Arial" pitchFamily="34" charset="0"/>
          </a:endParaRPr>
        </a:p>
      </dgm:t>
    </dgm:pt>
    <dgm:pt modelId="{96EB5C33-56AA-4047-9527-86C78A3D938B}">
      <dgm:prSet phldrT="[Text]" custT="1"/>
      <dgm:spPr>
        <a:solidFill>
          <a:srgbClr val="D4F4B6">
            <a:alpha val="89804"/>
          </a:srgbClr>
        </a:solidFill>
        <a:ln>
          <a:solidFill>
            <a:srgbClr val="7DDC1E"/>
          </a:solidFill>
        </a:ln>
      </dgm:spPr>
      <dgm:t>
        <a:bodyPr/>
        <a:lstStyle/>
        <a:p>
          <a:r>
            <a:rPr lang="en-US" sz="900" i="1">
              <a:latin typeface="Arial" pitchFamily="34" charset="0"/>
              <a:cs typeface="Arial" pitchFamily="34" charset="0"/>
            </a:rPr>
            <a:t>Society is better off without the project</a:t>
          </a:r>
        </a:p>
      </dgm:t>
    </dgm:pt>
    <dgm:pt modelId="{018E5C13-43DD-4714-B98B-FA100ED3227B}" type="parTrans" cxnId="{CF6C01D0-F2DE-4AD7-B83A-A3C01DAB5B1A}">
      <dgm:prSet/>
      <dgm:spPr>
        <a:ln>
          <a:solidFill>
            <a:srgbClr val="988F86"/>
          </a:solidFill>
        </a:ln>
      </dgm:spPr>
      <dgm:t>
        <a:bodyPr/>
        <a:lstStyle/>
        <a:p>
          <a:endParaRPr lang="en-US" sz="900">
            <a:latin typeface="Arial" pitchFamily="34" charset="0"/>
            <a:cs typeface="Arial" pitchFamily="34" charset="0"/>
          </a:endParaRPr>
        </a:p>
      </dgm:t>
    </dgm:pt>
    <dgm:pt modelId="{3F32371D-BF71-4302-98C8-D5F47A3BF382}" type="sibTrans" cxnId="{CF6C01D0-F2DE-4AD7-B83A-A3C01DAB5B1A}">
      <dgm:prSet/>
      <dgm:spPr/>
      <dgm:t>
        <a:bodyPr/>
        <a:lstStyle/>
        <a:p>
          <a:endParaRPr lang="en-US" sz="900">
            <a:latin typeface="Arial" pitchFamily="34" charset="0"/>
            <a:cs typeface="Arial" pitchFamily="34" charset="0"/>
          </a:endParaRPr>
        </a:p>
      </dgm:t>
    </dgm:pt>
    <dgm:pt modelId="{8F0AC9E6-340A-4582-AA72-4D0DC47E346F}">
      <dgm:prSet phldrT="[Text]" custT="1"/>
      <dgm:spPr>
        <a:solidFill>
          <a:srgbClr val="D4F4B6">
            <a:alpha val="89804"/>
          </a:srgbClr>
        </a:solidFill>
        <a:ln>
          <a:solidFill>
            <a:srgbClr val="7DDC1E"/>
          </a:solidFill>
        </a:ln>
      </dgm:spPr>
      <dgm:t>
        <a:bodyPr/>
        <a:lstStyle/>
        <a:p>
          <a:r>
            <a:rPr lang="en-US" sz="900" i="1">
              <a:latin typeface="Arial" pitchFamily="34" charset="0"/>
              <a:cs typeface="Arial" pitchFamily="34" charset="0"/>
            </a:rPr>
            <a:t>Society is better off with the project</a:t>
          </a:r>
        </a:p>
      </dgm:t>
    </dgm:pt>
    <dgm:pt modelId="{A63A20FF-3236-4732-BC2E-E8618CFD43D7}" type="parTrans" cxnId="{80B0B543-FE51-4740-90AB-A9A6F2756BEB}">
      <dgm:prSet/>
      <dgm:spPr>
        <a:ln>
          <a:solidFill>
            <a:srgbClr val="988F86"/>
          </a:solidFill>
        </a:ln>
      </dgm:spPr>
      <dgm:t>
        <a:bodyPr/>
        <a:lstStyle/>
        <a:p>
          <a:endParaRPr lang="en-US" sz="900">
            <a:latin typeface="Arial" pitchFamily="34" charset="0"/>
            <a:cs typeface="Arial" pitchFamily="34" charset="0"/>
          </a:endParaRPr>
        </a:p>
      </dgm:t>
    </dgm:pt>
    <dgm:pt modelId="{3FCBB029-67AB-4AB1-B65E-8A311B575D96}" type="sibTrans" cxnId="{80B0B543-FE51-4740-90AB-A9A6F2756BEB}">
      <dgm:prSet/>
      <dgm:spPr/>
      <dgm:t>
        <a:bodyPr/>
        <a:lstStyle/>
        <a:p>
          <a:endParaRPr lang="en-US" sz="900">
            <a:latin typeface="Arial" pitchFamily="34" charset="0"/>
            <a:cs typeface="Arial" pitchFamily="34" charset="0"/>
          </a:endParaRPr>
        </a:p>
      </dgm:t>
    </dgm:pt>
    <dgm:pt modelId="{79A0E8C2-4EAA-476A-AB33-39088A6A2A87}">
      <dgm:prSet phldrT="[Text]" custT="1"/>
      <dgm:spPr>
        <a:solidFill>
          <a:srgbClr val="FDE3F8">
            <a:alpha val="89804"/>
          </a:srgbClr>
        </a:solidFill>
        <a:ln>
          <a:solidFill>
            <a:srgbClr val="9E0880"/>
          </a:solidFill>
        </a:ln>
      </dgm:spPr>
      <dgm:t>
        <a:bodyPr/>
        <a:lstStyle/>
        <a:p>
          <a:pPr algn="ctr">
            <a:spcAft>
              <a:spcPts val="0"/>
            </a:spcAft>
          </a:pPr>
          <a:r>
            <a:rPr lang="en-US" sz="900" b="1">
              <a:solidFill>
                <a:sysClr val="windowText" lastClr="000000"/>
              </a:solidFill>
              <a:latin typeface="Arial" pitchFamily="34" charset="0"/>
              <a:cs typeface="Arial" pitchFamily="34" charset="0"/>
            </a:rPr>
            <a:t>6. Risk assessment</a:t>
          </a:r>
        </a:p>
        <a:p>
          <a:pPr algn="l">
            <a:spcAft>
              <a:spcPts val="0"/>
            </a:spcAft>
          </a:pPr>
          <a:r>
            <a:rPr lang="en-US" sz="900">
              <a:solidFill>
                <a:sysClr val="windowText" lastClr="000000"/>
              </a:solidFill>
              <a:latin typeface="Arial" pitchFamily="34" charset="0"/>
              <a:cs typeface="Arial" pitchFamily="34" charset="0"/>
            </a:rPr>
            <a:t>    -Sensitivity analysis;</a:t>
          </a:r>
        </a:p>
        <a:p>
          <a:pPr algn="l">
            <a:spcAft>
              <a:spcPts val="0"/>
            </a:spcAft>
          </a:pPr>
          <a:r>
            <a:rPr lang="en-US" sz="900">
              <a:solidFill>
                <a:sysClr val="windowText" lastClr="000000"/>
              </a:solidFill>
              <a:latin typeface="Arial" pitchFamily="34" charset="0"/>
              <a:cs typeface="Arial" pitchFamily="34" charset="0"/>
            </a:rPr>
            <a:t>    -Probability distribution of critical variables;</a:t>
          </a:r>
        </a:p>
        <a:p>
          <a:pPr algn="l">
            <a:spcAft>
              <a:spcPts val="0"/>
            </a:spcAft>
          </a:pPr>
          <a:r>
            <a:rPr lang="en-US" sz="900">
              <a:solidFill>
                <a:sysClr val="windowText" lastClr="000000"/>
              </a:solidFill>
              <a:latin typeface="Arial" pitchFamily="34" charset="0"/>
              <a:cs typeface="Arial" pitchFamily="34" charset="0"/>
            </a:rPr>
            <a:t>    -Risk analysis;</a:t>
          </a:r>
        </a:p>
        <a:p>
          <a:pPr algn="l">
            <a:spcAft>
              <a:spcPts val="0"/>
            </a:spcAft>
          </a:pPr>
          <a:r>
            <a:rPr lang="en-US" sz="900">
              <a:solidFill>
                <a:sysClr val="windowText" lastClr="000000"/>
              </a:solidFill>
              <a:latin typeface="Arial" pitchFamily="34" charset="0"/>
              <a:cs typeface="Arial" pitchFamily="34" charset="0"/>
            </a:rPr>
            <a:t>    -Assessment of acceptable levels of risk;</a:t>
          </a:r>
        </a:p>
        <a:p>
          <a:pPr algn="l">
            <a:spcAft>
              <a:spcPts val="0"/>
            </a:spcAft>
          </a:pPr>
          <a:r>
            <a:rPr lang="en-US" sz="900">
              <a:solidFill>
                <a:sysClr val="windowText" lastClr="000000"/>
              </a:solidFill>
              <a:latin typeface="Arial" pitchFamily="34" charset="0"/>
              <a:cs typeface="Arial" pitchFamily="34" charset="0"/>
            </a:rPr>
            <a:t>    -Risk prevention.</a:t>
          </a:r>
        </a:p>
      </dgm:t>
    </dgm:pt>
    <dgm:pt modelId="{DE92D38B-6E31-4973-9CC2-4E7924598AFC}" type="parTrans" cxnId="{053CEC27-D965-437C-9B72-AD2D748AF3D8}">
      <dgm:prSet/>
      <dgm:spPr>
        <a:ln>
          <a:solidFill>
            <a:srgbClr val="988F86"/>
          </a:solidFill>
        </a:ln>
      </dgm:spPr>
      <dgm:t>
        <a:bodyPr/>
        <a:lstStyle/>
        <a:p>
          <a:endParaRPr lang="en-US" sz="900">
            <a:latin typeface="Arial" pitchFamily="34" charset="0"/>
            <a:cs typeface="Arial" pitchFamily="34" charset="0"/>
          </a:endParaRPr>
        </a:p>
      </dgm:t>
    </dgm:pt>
    <dgm:pt modelId="{063D0502-D4D4-4E8E-A292-2DB962AA38F6}" type="sibTrans" cxnId="{053CEC27-D965-437C-9B72-AD2D748AF3D8}">
      <dgm:prSet/>
      <dgm:spPr/>
      <dgm:t>
        <a:bodyPr/>
        <a:lstStyle/>
        <a:p>
          <a:endParaRPr lang="en-US" sz="900">
            <a:latin typeface="Arial" pitchFamily="34" charset="0"/>
            <a:cs typeface="Arial" pitchFamily="34" charset="0"/>
          </a:endParaRPr>
        </a:p>
      </dgm:t>
    </dgm:pt>
    <dgm:pt modelId="{1C8F6518-4531-4FB6-923E-393E71A02771}" type="pres">
      <dgm:prSet presAssocID="{51E8BBF5-2224-4A5A-B602-34C2CDFE09B8}" presName="hierChild1" presStyleCnt="0">
        <dgm:presLayoutVars>
          <dgm:chPref val="1"/>
          <dgm:dir/>
          <dgm:animOne val="branch"/>
          <dgm:animLvl val="lvl"/>
          <dgm:resizeHandles/>
        </dgm:presLayoutVars>
      </dgm:prSet>
      <dgm:spPr/>
      <dgm:t>
        <a:bodyPr/>
        <a:lstStyle/>
        <a:p>
          <a:endParaRPr lang="en-US"/>
        </a:p>
      </dgm:t>
    </dgm:pt>
    <dgm:pt modelId="{29BA3590-4AE6-4884-8CF4-F830933700F9}" type="pres">
      <dgm:prSet presAssocID="{BFF828A6-FF3B-4983-9AA6-44D9C05E5211}" presName="hierRoot1" presStyleCnt="0"/>
      <dgm:spPr/>
    </dgm:pt>
    <dgm:pt modelId="{3E16AA15-80F4-44DA-89AB-B43DB9BB30E6}" type="pres">
      <dgm:prSet presAssocID="{BFF828A6-FF3B-4983-9AA6-44D9C05E5211}" presName="composite" presStyleCnt="0"/>
      <dgm:spPr/>
    </dgm:pt>
    <dgm:pt modelId="{E35CA196-18DD-4D91-85EF-411FFAC47438}" type="pres">
      <dgm:prSet presAssocID="{BFF828A6-FF3B-4983-9AA6-44D9C05E5211}" presName="background" presStyleLbl="node0" presStyleIdx="0" presStyleCnt="1"/>
      <dgm:spPr>
        <a:solidFill>
          <a:srgbClr val="988F86"/>
        </a:solidFill>
      </dgm:spPr>
      <dgm:t>
        <a:bodyPr/>
        <a:lstStyle/>
        <a:p>
          <a:endParaRPr lang="en-GB"/>
        </a:p>
      </dgm:t>
    </dgm:pt>
    <dgm:pt modelId="{56F9E952-EAAF-45A1-9E44-92C0F6C04663}" type="pres">
      <dgm:prSet presAssocID="{BFF828A6-FF3B-4983-9AA6-44D9C05E5211}" presName="text" presStyleLbl="fgAcc0" presStyleIdx="0" presStyleCnt="1" custScaleX="418020" custScaleY="48317">
        <dgm:presLayoutVars>
          <dgm:chPref val="3"/>
        </dgm:presLayoutVars>
      </dgm:prSet>
      <dgm:spPr/>
      <dgm:t>
        <a:bodyPr/>
        <a:lstStyle/>
        <a:p>
          <a:endParaRPr lang="en-US"/>
        </a:p>
      </dgm:t>
    </dgm:pt>
    <dgm:pt modelId="{FBBC8974-1333-41CA-B75E-955FB60A812D}" type="pres">
      <dgm:prSet presAssocID="{BFF828A6-FF3B-4983-9AA6-44D9C05E5211}" presName="hierChild2" presStyleCnt="0"/>
      <dgm:spPr/>
    </dgm:pt>
    <dgm:pt modelId="{7EC82301-A429-49BE-A4CA-9152DF69FC69}" type="pres">
      <dgm:prSet presAssocID="{B3BF1FD6-B4A3-4F87-BED8-2A4BEA572E0F}" presName="Name10" presStyleLbl="parChTrans1D2" presStyleIdx="0" presStyleCnt="1"/>
      <dgm:spPr/>
      <dgm:t>
        <a:bodyPr/>
        <a:lstStyle/>
        <a:p>
          <a:endParaRPr lang="en-US"/>
        </a:p>
      </dgm:t>
    </dgm:pt>
    <dgm:pt modelId="{AD4FDBC0-5832-4EF2-9D60-A7B561D5A6BA}" type="pres">
      <dgm:prSet presAssocID="{92FFEB76-1DA9-4890-88A8-13F3604E35D7}" presName="hierRoot2" presStyleCnt="0"/>
      <dgm:spPr/>
    </dgm:pt>
    <dgm:pt modelId="{5E88396D-26B8-45D2-B243-709EC5009C85}" type="pres">
      <dgm:prSet presAssocID="{92FFEB76-1DA9-4890-88A8-13F3604E35D7}" presName="composite2" presStyleCnt="0"/>
      <dgm:spPr/>
    </dgm:pt>
    <dgm:pt modelId="{5BD50AFA-67B0-4641-9335-35C64CA1AA05}" type="pres">
      <dgm:prSet presAssocID="{92FFEB76-1DA9-4890-88A8-13F3604E35D7}" presName="background2" presStyleLbl="node2" presStyleIdx="0" presStyleCnt="1"/>
      <dgm:spPr>
        <a:solidFill>
          <a:srgbClr val="988F86"/>
        </a:solidFill>
      </dgm:spPr>
      <dgm:t>
        <a:bodyPr/>
        <a:lstStyle/>
        <a:p>
          <a:endParaRPr lang="en-GB"/>
        </a:p>
      </dgm:t>
    </dgm:pt>
    <dgm:pt modelId="{A760F31F-7774-468E-AB94-816C5E14B916}" type="pres">
      <dgm:prSet presAssocID="{92FFEB76-1DA9-4890-88A8-13F3604E35D7}" presName="text2" presStyleLbl="fgAcc2" presStyleIdx="0" presStyleCnt="1" custScaleX="416165" custScaleY="47546">
        <dgm:presLayoutVars>
          <dgm:chPref val="3"/>
        </dgm:presLayoutVars>
      </dgm:prSet>
      <dgm:spPr/>
      <dgm:t>
        <a:bodyPr/>
        <a:lstStyle/>
        <a:p>
          <a:endParaRPr lang="en-US"/>
        </a:p>
      </dgm:t>
    </dgm:pt>
    <dgm:pt modelId="{BD89E10F-FE42-45AB-A077-B37321011427}" type="pres">
      <dgm:prSet presAssocID="{92FFEB76-1DA9-4890-88A8-13F3604E35D7}" presName="hierChild3" presStyleCnt="0"/>
      <dgm:spPr/>
    </dgm:pt>
    <dgm:pt modelId="{F4D40AC4-022A-4D58-90B0-F68BB2D86AA6}" type="pres">
      <dgm:prSet presAssocID="{46BABC93-190B-4189-B255-4CCA0E31A516}" presName="Name17" presStyleLbl="parChTrans1D3" presStyleIdx="0" presStyleCnt="1"/>
      <dgm:spPr/>
      <dgm:t>
        <a:bodyPr/>
        <a:lstStyle/>
        <a:p>
          <a:endParaRPr lang="en-US"/>
        </a:p>
      </dgm:t>
    </dgm:pt>
    <dgm:pt modelId="{A607C1C0-782E-4D19-B78C-69756035F829}" type="pres">
      <dgm:prSet presAssocID="{692613B9-E0B8-4A5A-9631-274BE4039D9B}" presName="hierRoot3" presStyleCnt="0"/>
      <dgm:spPr/>
    </dgm:pt>
    <dgm:pt modelId="{ECF34FB3-3184-4222-890C-596840BCC9A5}" type="pres">
      <dgm:prSet presAssocID="{692613B9-E0B8-4A5A-9631-274BE4039D9B}" presName="composite3" presStyleCnt="0"/>
      <dgm:spPr/>
    </dgm:pt>
    <dgm:pt modelId="{86FBFEDE-BC4F-4B3A-8E07-8458093392CA}" type="pres">
      <dgm:prSet presAssocID="{692613B9-E0B8-4A5A-9631-274BE4039D9B}" presName="background3" presStyleLbl="node3" presStyleIdx="0" presStyleCnt="1"/>
      <dgm:spPr>
        <a:solidFill>
          <a:srgbClr val="988F86"/>
        </a:solidFill>
      </dgm:spPr>
      <dgm:t>
        <a:bodyPr/>
        <a:lstStyle/>
        <a:p>
          <a:endParaRPr lang="en-GB"/>
        </a:p>
      </dgm:t>
    </dgm:pt>
    <dgm:pt modelId="{186D19DC-3316-4A13-9286-79FEA0621543}" type="pres">
      <dgm:prSet presAssocID="{692613B9-E0B8-4A5A-9631-274BE4039D9B}" presName="text3" presStyleLbl="fgAcc3" presStyleIdx="0" presStyleCnt="1" custScaleX="419746" custScaleY="51209">
        <dgm:presLayoutVars>
          <dgm:chPref val="3"/>
        </dgm:presLayoutVars>
      </dgm:prSet>
      <dgm:spPr/>
      <dgm:t>
        <a:bodyPr/>
        <a:lstStyle/>
        <a:p>
          <a:endParaRPr lang="en-US"/>
        </a:p>
      </dgm:t>
    </dgm:pt>
    <dgm:pt modelId="{76D8FC54-9333-4F97-A866-3CB8D5645835}" type="pres">
      <dgm:prSet presAssocID="{692613B9-E0B8-4A5A-9631-274BE4039D9B}" presName="hierChild4" presStyleCnt="0"/>
      <dgm:spPr/>
    </dgm:pt>
    <dgm:pt modelId="{AD366AF8-F9FA-41C9-A43B-BF3265A435B6}" type="pres">
      <dgm:prSet presAssocID="{087376D6-6CA2-42A2-8C55-A18A03D1B0B5}" presName="Name23" presStyleLbl="parChTrans1D4" presStyleIdx="0" presStyleCnt="11"/>
      <dgm:spPr/>
      <dgm:t>
        <a:bodyPr/>
        <a:lstStyle/>
        <a:p>
          <a:endParaRPr lang="en-US"/>
        </a:p>
      </dgm:t>
    </dgm:pt>
    <dgm:pt modelId="{913B7FB8-FB7C-4C7C-B0CC-4E55984B5387}" type="pres">
      <dgm:prSet presAssocID="{981C9CFA-2F6F-4C60-91E7-0A417436119C}" presName="hierRoot4" presStyleCnt="0"/>
      <dgm:spPr/>
    </dgm:pt>
    <dgm:pt modelId="{43B20717-6941-4201-B3D9-5EDB8B4C4BA5}" type="pres">
      <dgm:prSet presAssocID="{981C9CFA-2F6F-4C60-91E7-0A417436119C}" presName="composite4" presStyleCnt="0"/>
      <dgm:spPr/>
    </dgm:pt>
    <dgm:pt modelId="{BF28BADB-0665-4AE1-A06F-9EFB38406D50}" type="pres">
      <dgm:prSet presAssocID="{981C9CFA-2F6F-4C60-91E7-0A417436119C}" presName="background4" presStyleLbl="node4" presStyleIdx="0" presStyleCnt="11"/>
      <dgm:spPr>
        <a:solidFill>
          <a:srgbClr val="63C1DF"/>
        </a:solidFill>
      </dgm:spPr>
      <dgm:t>
        <a:bodyPr/>
        <a:lstStyle/>
        <a:p>
          <a:endParaRPr lang="en-GB"/>
        </a:p>
      </dgm:t>
    </dgm:pt>
    <dgm:pt modelId="{31B01F7C-9551-494D-B346-2CC34DA26F38}" type="pres">
      <dgm:prSet presAssocID="{981C9CFA-2F6F-4C60-91E7-0A417436119C}" presName="text4" presStyleLbl="fgAcc4" presStyleIdx="0" presStyleCnt="11" custScaleX="418883" custScaleY="202720">
        <dgm:presLayoutVars>
          <dgm:chPref val="3"/>
        </dgm:presLayoutVars>
      </dgm:prSet>
      <dgm:spPr/>
      <dgm:t>
        <a:bodyPr/>
        <a:lstStyle/>
        <a:p>
          <a:endParaRPr lang="en-US"/>
        </a:p>
      </dgm:t>
    </dgm:pt>
    <dgm:pt modelId="{4EC9F2F4-5569-4D4B-A957-8AFA4D36D4CE}" type="pres">
      <dgm:prSet presAssocID="{981C9CFA-2F6F-4C60-91E7-0A417436119C}" presName="hierChild5" presStyleCnt="0"/>
      <dgm:spPr/>
    </dgm:pt>
    <dgm:pt modelId="{068E995D-CD4F-430E-B694-60F864789F69}" type="pres">
      <dgm:prSet presAssocID="{07535519-73EF-4E92-B558-85FB5E17B0A4}" presName="Name23" presStyleLbl="parChTrans1D4" presStyleIdx="1" presStyleCnt="11"/>
      <dgm:spPr/>
      <dgm:t>
        <a:bodyPr/>
        <a:lstStyle/>
        <a:p>
          <a:endParaRPr lang="en-US"/>
        </a:p>
      </dgm:t>
    </dgm:pt>
    <dgm:pt modelId="{57BAF42D-DE9E-4F60-855B-3FD4397E88DC}" type="pres">
      <dgm:prSet presAssocID="{0E1EF817-9922-4F68-8296-988142906A78}" presName="hierRoot4" presStyleCnt="0"/>
      <dgm:spPr/>
    </dgm:pt>
    <dgm:pt modelId="{6AF44863-4079-480A-A688-603062AD6A19}" type="pres">
      <dgm:prSet presAssocID="{0E1EF817-9922-4F68-8296-988142906A78}" presName="composite4" presStyleCnt="0"/>
      <dgm:spPr/>
    </dgm:pt>
    <dgm:pt modelId="{508ACCC6-F5BA-4518-8873-090C6C652670}" type="pres">
      <dgm:prSet presAssocID="{0E1EF817-9922-4F68-8296-988142906A78}" presName="background4" presStyleLbl="node4" presStyleIdx="1" presStyleCnt="11"/>
      <dgm:spPr>
        <a:solidFill>
          <a:srgbClr val="63C1DF"/>
        </a:solidFill>
      </dgm:spPr>
      <dgm:t>
        <a:bodyPr/>
        <a:lstStyle/>
        <a:p>
          <a:endParaRPr lang="en-GB"/>
        </a:p>
      </dgm:t>
    </dgm:pt>
    <dgm:pt modelId="{D79EC751-DAD9-4812-9888-9ACA98EDF2E0}" type="pres">
      <dgm:prSet presAssocID="{0E1EF817-9922-4F68-8296-988142906A78}" presName="text4" presStyleLbl="fgAcc4" presStyleIdx="1" presStyleCnt="11" custScaleX="192269" custScaleY="49317">
        <dgm:presLayoutVars>
          <dgm:chPref val="3"/>
        </dgm:presLayoutVars>
      </dgm:prSet>
      <dgm:spPr/>
      <dgm:t>
        <a:bodyPr/>
        <a:lstStyle/>
        <a:p>
          <a:endParaRPr lang="en-US"/>
        </a:p>
      </dgm:t>
    </dgm:pt>
    <dgm:pt modelId="{A330D073-97AA-42CE-91C6-9578F353B115}" type="pres">
      <dgm:prSet presAssocID="{0E1EF817-9922-4F68-8296-988142906A78}" presName="hierChild5" presStyleCnt="0"/>
      <dgm:spPr/>
    </dgm:pt>
    <dgm:pt modelId="{E2AF8BCE-BABF-4FDA-ADD6-9772BE13A31E}" type="pres">
      <dgm:prSet presAssocID="{8B61CB54-2D16-4FAC-9340-B74ABB0F561C}" presName="Name23" presStyleLbl="parChTrans1D4" presStyleIdx="2" presStyleCnt="11"/>
      <dgm:spPr/>
      <dgm:t>
        <a:bodyPr/>
        <a:lstStyle/>
        <a:p>
          <a:endParaRPr lang="en-US"/>
        </a:p>
      </dgm:t>
    </dgm:pt>
    <dgm:pt modelId="{3C67E2D4-B1AF-45C5-B1C7-1D8811F88A29}" type="pres">
      <dgm:prSet presAssocID="{51D2E35A-6A69-47C7-8FAD-F208C367618B}" presName="hierRoot4" presStyleCnt="0"/>
      <dgm:spPr/>
    </dgm:pt>
    <dgm:pt modelId="{AB902809-3380-4976-BDF5-793204EF5C15}" type="pres">
      <dgm:prSet presAssocID="{51D2E35A-6A69-47C7-8FAD-F208C367618B}" presName="composite4" presStyleCnt="0"/>
      <dgm:spPr/>
    </dgm:pt>
    <dgm:pt modelId="{A90A0D1D-69C3-48B3-9000-7612B41A6140}" type="pres">
      <dgm:prSet presAssocID="{51D2E35A-6A69-47C7-8FAD-F208C367618B}" presName="background4" presStyleLbl="node4" presStyleIdx="2" presStyleCnt="11"/>
      <dgm:spPr>
        <a:solidFill>
          <a:srgbClr val="63C1DF"/>
        </a:solidFill>
      </dgm:spPr>
      <dgm:t>
        <a:bodyPr/>
        <a:lstStyle/>
        <a:p>
          <a:endParaRPr lang="en-GB"/>
        </a:p>
      </dgm:t>
    </dgm:pt>
    <dgm:pt modelId="{2097C97C-C141-42FF-8A21-6F9462CD4896}" type="pres">
      <dgm:prSet presAssocID="{51D2E35A-6A69-47C7-8FAD-F208C367618B}" presName="text4" presStyleLbl="fgAcc4" presStyleIdx="2" presStyleCnt="11" custScaleX="203859" custScaleY="82659">
        <dgm:presLayoutVars>
          <dgm:chPref val="3"/>
        </dgm:presLayoutVars>
      </dgm:prSet>
      <dgm:spPr/>
      <dgm:t>
        <a:bodyPr/>
        <a:lstStyle/>
        <a:p>
          <a:endParaRPr lang="en-US"/>
        </a:p>
      </dgm:t>
    </dgm:pt>
    <dgm:pt modelId="{0B4B5DC5-BBD5-48A1-A9DD-D05E59B78C72}" type="pres">
      <dgm:prSet presAssocID="{51D2E35A-6A69-47C7-8FAD-F208C367618B}" presName="hierChild5" presStyleCnt="0"/>
      <dgm:spPr/>
    </dgm:pt>
    <dgm:pt modelId="{2C9DDC87-9A0A-4128-BEF4-BA278FA9F451}" type="pres">
      <dgm:prSet presAssocID="{133484D4-9348-4125-B090-94E26D51DFF9}" presName="Name23" presStyleLbl="parChTrans1D4" presStyleIdx="3" presStyleCnt="11"/>
      <dgm:spPr/>
      <dgm:t>
        <a:bodyPr/>
        <a:lstStyle/>
        <a:p>
          <a:endParaRPr lang="en-US"/>
        </a:p>
      </dgm:t>
    </dgm:pt>
    <dgm:pt modelId="{0C9ADA57-4998-4E81-A34B-D10B87B31F33}" type="pres">
      <dgm:prSet presAssocID="{CCB23740-6CA8-44D5-A54D-0787E9996D48}" presName="hierRoot4" presStyleCnt="0"/>
      <dgm:spPr/>
    </dgm:pt>
    <dgm:pt modelId="{46D72AD3-1019-46BA-A47B-4BBDE48FECEA}" type="pres">
      <dgm:prSet presAssocID="{CCB23740-6CA8-44D5-A54D-0787E9996D48}" presName="composite4" presStyleCnt="0"/>
      <dgm:spPr/>
    </dgm:pt>
    <dgm:pt modelId="{7CF523D5-CE15-4F72-B75C-B53DB8F13F0A}" type="pres">
      <dgm:prSet presAssocID="{CCB23740-6CA8-44D5-A54D-0787E9996D48}" presName="background4" presStyleLbl="node4" presStyleIdx="3" presStyleCnt="11"/>
      <dgm:spPr>
        <a:solidFill>
          <a:srgbClr val="63C1DF"/>
        </a:solidFill>
      </dgm:spPr>
      <dgm:t>
        <a:bodyPr/>
        <a:lstStyle/>
        <a:p>
          <a:endParaRPr lang="en-GB"/>
        </a:p>
      </dgm:t>
    </dgm:pt>
    <dgm:pt modelId="{286B4F7E-8D44-4EF4-931D-C46B213D57C6}" type="pres">
      <dgm:prSet presAssocID="{CCB23740-6CA8-44D5-A54D-0787E9996D48}" presName="text4" presStyleLbl="fgAcc4" presStyleIdx="3" presStyleCnt="11" custScaleX="200819" custScaleY="48855">
        <dgm:presLayoutVars>
          <dgm:chPref val="3"/>
        </dgm:presLayoutVars>
      </dgm:prSet>
      <dgm:spPr/>
      <dgm:t>
        <a:bodyPr/>
        <a:lstStyle/>
        <a:p>
          <a:endParaRPr lang="en-US"/>
        </a:p>
      </dgm:t>
    </dgm:pt>
    <dgm:pt modelId="{78346FD2-5076-420A-BDE0-7BA95CC49B14}" type="pres">
      <dgm:prSet presAssocID="{CCB23740-6CA8-44D5-A54D-0787E9996D48}" presName="hierChild5" presStyleCnt="0"/>
      <dgm:spPr/>
    </dgm:pt>
    <dgm:pt modelId="{E2A0630E-4A05-444A-AFD2-C9B0AF667B0B}" type="pres">
      <dgm:prSet presAssocID="{733022D7-2D18-440B-81D5-0CFCCEDD9338}" presName="Name23" presStyleLbl="parChTrans1D4" presStyleIdx="4" presStyleCnt="11"/>
      <dgm:spPr/>
      <dgm:t>
        <a:bodyPr/>
        <a:lstStyle/>
        <a:p>
          <a:endParaRPr lang="en-US"/>
        </a:p>
      </dgm:t>
    </dgm:pt>
    <dgm:pt modelId="{238AE169-B2BD-470D-A231-93535E3B64C1}" type="pres">
      <dgm:prSet presAssocID="{B7DC88D7-4710-481D-9801-416ABECAE69D}" presName="hierRoot4" presStyleCnt="0"/>
      <dgm:spPr/>
    </dgm:pt>
    <dgm:pt modelId="{5E5F8265-9F6C-4A6E-8D8B-A1057C0605D6}" type="pres">
      <dgm:prSet presAssocID="{B7DC88D7-4710-481D-9801-416ABECAE69D}" presName="composite4" presStyleCnt="0"/>
      <dgm:spPr/>
    </dgm:pt>
    <dgm:pt modelId="{112CBC4A-9AA1-48CD-B2F2-FF20F0A5CB38}" type="pres">
      <dgm:prSet presAssocID="{B7DC88D7-4710-481D-9801-416ABECAE69D}" presName="background4" presStyleLbl="node4" presStyleIdx="4" presStyleCnt="11"/>
      <dgm:spPr>
        <a:solidFill>
          <a:srgbClr val="63C1DF"/>
        </a:solidFill>
      </dgm:spPr>
      <dgm:t>
        <a:bodyPr/>
        <a:lstStyle/>
        <a:p>
          <a:endParaRPr lang="en-GB"/>
        </a:p>
      </dgm:t>
    </dgm:pt>
    <dgm:pt modelId="{7F5FA490-35EF-4788-BC86-78443252AB70}" type="pres">
      <dgm:prSet presAssocID="{B7DC88D7-4710-481D-9801-416ABECAE69D}" presName="text4" presStyleLbl="fgAcc4" presStyleIdx="4" presStyleCnt="11" custScaleX="186094" custScaleY="83546">
        <dgm:presLayoutVars>
          <dgm:chPref val="3"/>
        </dgm:presLayoutVars>
      </dgm:prSet>
      <dgm:spPr/>
      <dgm:t>
        <a:bodyPr/>
        <a:lstStyle/>
        <a:p>
          <a:endParaRPr lang="en-US"/>
        </a:p>
      </dgm:t>
    </dgm:pt>
    <dgm:pt modelId="{9D483797-A359-4327-9362-4F8CC18D979D}" type="pres">
      <dgm:prSet presAssocID="{B7DC88D7-4710-481D-9801-416ABECAE69D}" presName="hierChild5" presStyleCnt="0"/>
      <dgm:spPr/>
    </dgm:pt>
    <dgm:pt modelId="{4DEC9BE2-C60F-4893-A5E1-C3E8EF8AA37C}" type="pres">
      <dgm:prSet presAssocID="{0F6833F7-DC81-45C4-905B-502EBBFA371C}" presName="Name23" presStyleLbl="parChTrans1D4" presStyleIdx="5" presStyleCnt="11"/>
      <dgm:spPr/>
      <dgm:t>
        <a:bodyPr/>
        <a:lstStyle/>
        <a:p>
          <a:endParaRPr lang="en-US"/>
        </a:p>
      </dgm:t>
    </dgm:pt>
    <dgm:pt modelId="{2C2A72DF-72D5-40E7-8746-91F5E81FA900}" type="pres">
      <dgm:prSet presAssocID="{7E1D7E6C-2C86-4558-8C56-C998BF55F98B}" presName="hierRoot4" presStyleCnt="0"/>
      <dgm:spPr/>
    </dgm:pt>
    <dgm:pt modelId="{FD3EBB52-521B-4169-A645-71CB52F25776}" type="pres">
      <dgm:prSet presAssocID="{7E1D7E6C-2C86-4558-8C56-C998BF55F98B}" presName="composite4" presStyleCnt="0"/>
      <dgm:spPr/>
    </dgm:pt>
    <dgm:pt modelId="{C3680FB5-2AB3-4D5A-99DE-6B7D362F72EF}" type="pres">
      <dgm:prSet presAssocID="{7E1D7E6C-2C86-4558-8C56-C998BF55F98B}" presName="background4" presStyleLbl="node4" presStyleIdx="5" presStyleCnt="11"/>
      <dgm:spPr>
        <a:solidFill>
          <a:srgbClr val="7DDC1E"/>
        </a:solidFill>
        <a:ln>
          <a:solidFill>
            <a:srgbClr val="7DDC1E"/>
          </a:solidFill>
        </a:ln>
      </dgm:spPr>
      <dgm:t>
        <a:bodyPr/>
        <a:lstStyle/>
        <a:p>
          <a:endParaRPr lang="en-GB"/>
        </a:p>
      </dgm:t>
    </dgm:pt>
    <dgm:pt modelId="{65B9CA51-84ED-4799-9D9D-7E9F32C63911}" type="pres">
      <dgm:prSet presAssocID="{7E1D7E6C-2C86-4558-8C56-C998BF55F98B}" presName="text4" presStyleLbl="fgAcc4" presStyleIdx="5" presStyleCnt="11" custScaleX="386620" custScaleY="175646">
        <dgm:presLayoutVars>
          <dgm:chPref val="3"/>
        </dgm:presLayoutVars>
      </dgm:prSet>
      <dgm:spPr/>
      <dgm:t>
        <a:bodyPr/>
        <a:lstStyle/>
        <a:p>
          <a:endParaRPr lang="en-US"/>
        </a:p>
      </dgm:t>
    </dgm:pt>
    <dgm:pt modelId="{80D77E7E-A58E-4CF8-8575-FC684565E115}" type="pres">
      <dgm:prSet presAssocID="{7E1D7E6C-2C86-4558-8C56-C998BF55F98B}" presName="hierChild5" presStyleCnt="0"/>
      <dgm:spPr/>
    </dgm:pt>
    <dgm:pt modelId="{A1B0DA20-A8AA-4951-B75E-C698A3AF4642}" type="pres">
      <dgm:prSet presAssocID="{E46B1DA1-70E9-4A45-B442-D8B7E75B806A}" presName="Name23" presStyleLbl="parChTrans1D4" presStyleIdx="6" presStyleCnt="11"/>
      <dgm:spPr/>
      <dgm:t>
        <a:bodyPr/>
        <a:lstStyle/>
        <a:p>
          <a:endParaRPr lang="en-US"/>
        </a:p>
      </dgm:t>
    </dgm:pt>
    <dgm:pt modelId="{7B22115C-B848-41E9-B85D-156639E9AF9C}" type="pres">
      <dgm:prSet presAssocID="{E88EF19C-1320-47E4-A7C1-066695C69789}" presName="hierRoot4" presStyleCnt="0"/>
      <dgm:spPr/>
    </dgm:pt>
    <dgm:pt modelId="{302D29DB-D2AE-4A85-A0B5-9036B6B22517}" type="pres">
      <dgm:prSet presAssocID="{E88EF19C-1320-47E4-A7C1-066695C69789}" presName="composite4" presStyleCnt="0"/>
      <dgm:spPr/>
    </dgm:pt>
    <dgm:pt modelId="{B1081B2D-905F-4A46-B5CB-3BE31620AE0D}" type="pres">
      <dgm:prSet presAssocID="{E88EF19C-1320-47E4-A7C1-066695C69789}" presName="background4" presStyleLbl="node4" presStyleIdx="6" presStyleCnt="11"/>
      <dgm:spPr>
        <a:solidFill>
          <a:srgbClr val="7DDC1E"/>
        </a:solidFill>
        <a:ln>
          <a:solidFill>
            <a:srgbClr val="7DDC1E"/>
          </a:solidFill>
        </a:ln>
      </dgm:spPr>
      <dgm:t>
        <a:bodyPr/>
        <a:lstStyle/>
        <a:p>
          <a:endParaRPr lang="en-GB"/>
        </a:p>
      </dgm:t>
    </dgm:pt>
    <dgm:pt modelId="{C056F3F0-7262-444C-ABA8-4DD3F546BE2B}" type="pres">
      <dgm:prSet presAssocID="{E88EF19C-1320-47E4-A7C1-066695C69789}" presName="text4" presStyleLbl="fgAcc4" presStyleIdx="6" presStyleCnt="11" custScaleX="182110" custScaleY="75132">
        <dgm:presLayoutVars>
          <dgm:chPref val="3"/>
        </dgm:presLayoutVars>
      </dgm:prSet>
      <dgm:spPr/>
      <dgm:t>
        <a:bodyPr/>
        <a:lstStyle/>
        <a:p>
          <a:endParaRPr lang="en-US"/>
        </a:p>
      </dgm:t>
    </dgm:pt>
    <dgm:pt modelId="{CACE612B-99C4-4A2F-92BB-905E89BEB7AB}" type="pres">
      <dgm:prSet presAssocID="{E88EF19C-1320-47E4-A7C1-066695C69789}" presName="hierChild5" presStyleCnt="0"/>
      <dgm:spPr/>
    </dgm:pt>
    <dgm:pt modelId="{BEEE3088-488D-41C4-A436-3B39588435A3}" type="pres">
      <dgm:prSet presAssocID="{018E5C13-43DD-4714-B98B-FA100ED3227B}" presName="Name23" presStyleLbl="parChTrans1D4" presStyleIdx="7" presStyleCnt="11"/>
      <dgm:spPr/>
      <dgm:t>
        <a:bodyPr/>
        <a:lstStyle/>
        <a:p>
          <a:endParaRPr lang="en-US"/>
        </a:p>
      </dgm:t>
    </dgm:pt>
    <dgm:pt modelId="{5A9532EE-69FD-4734-BBD1-3CE6ED91EDD3}" type="pres">
      <dgm:prSet presAssocID="{96EB5C33-56AA-4047-9527-86C78A3D938B}" presName="hierRoot4" presStyleCnt="0"/>
      <dgm:spPr/>
    </dgm:pt>
    <dgm:pt modelId="{47FAA27E-AAFF-4250-B8B2-43910D3246CE}" type="pres">
      <dgm:prSet presAssocID="{96EB5C33-56AA-4047-9527-86C78A3D938B}" presName="composite4" presStyleCnt="0"/>
      <dgm:spPr/>
    </dgm:pt>
    <dgm:pt modelId="{B59065B0-7F58-4043-82D8-3568B129D0A8}" type="pres">
      <dgm:prSet presAssocID="{96EB5C33-56AA-4047-9527-86C78A3D938B}" presName="background4" presStyleLbl="node4" presStyleIdx="7" presStyleCnt="11"/>
      <dgm:spPr>
        <a:solidFill>
          <a:srgbClr val="7DDC1E"/>
        </a:solidFill>
        <a:ln>
          <a:solidFill>
            <a:srgbClr val="7DDC1E"/>
          </a:solidFill>
        </a:ln>
      </dgm:spPr>
      <dgm:t>
        <a:bodyPr/>
        <a:lstStyle/>
        <a:p>
          <a:endParaRPr lang="en-GB"/>
        </a:p>
      </dgm:t>
    </dgm:pt>
    <dgm:pt modelId="{1919BD5D-B387-4446-AD0C-932EA92DF99E}" type="pres">
      <dgm:prSet presAssocID="{96EB5C33-56AA-4047-9527-86C78A3D938B}" presName="text4" presStyleLbl="fgAcc4" presStyleIdx="7" presStyleCnt="11" custScaleX="177586" custScaleY="75132">
        <dgm:presLayoutVars>
          <dgm:chPref val="3"/>
        </dgm:presLayoutVars>
      </dgm:prSet>
      <dgm:spPr/>
      <dgm:t>
        <a:bodyPr/>
        <a:lstStyle/>
        <a:p>
          <a:endParaRPr lang="en-US"/>
        </a:p>
      </dgm:t>
    </dgm:pt>
    <dgm:pt modelId="{418D440C-504E-44E1-B595-F2A58F4AA9AB}" type="pres">
      <dgm:prSet presAssocID="{96EB5C33-56AA-4047-9527-86C78A3D938B}" presName="hierChild5" presStyleCnt="0"/>
      <dgm:spPr/>
    </dgm:pt>
    <dgm:pt modelId="{92BA890B-9536-4299-96C9-B269755FC175}" type="pres">
      <dgm:prSet presAssocID="{6FC4B0C2-DDED-4DE4-86E7-BC5A08A95CCE}" presName="Name23" presStyleLbl="parChTrans1D4" presStyleIdx="8" presStyleCnt="11"/>
      <dgm:spPr/>
      <dgm:t>
        <a:bodyPr/>
        <a:lstStyle/>
        <a:p>
          <a:endParaRPr lang="en-US"/>
        </a:p>
      </dgm:t>
    </dgm:pt>
    <dgm:pt modelId="{4491BF32-69D1-4E4F-92F8-323AD80E9896}" type="pres">
      <dgm:prSet presAssocID="{21567C9A-DA76-4078-8579-13E858F56881}" presName="hierRoot4" presStyleCnt="0"/>
      <dgm:spPr/>
    </dgm:pt>
    <dgm:pt modelId="{A2A36E2C-E4C6-4518-8FC2-216C81B64303}" type="pres">
      <dgm:prSet presAssocID="{21567C9A-DA76-4078-8579-13E858F56881}" presName="composite4" presStyleCnt="0"/>
      <dgm:spPr/>
    </dgm:pt>
    <dgm:pt modelId="{06A99070-ACBA-4501-B979-7B2E3445977C}" type="pres">
      <dgm:prSet presAssocID="{21567C9A-DA76-4078-8579-13E858F56881}" presName="background4" presStyleLbl="node4" presStyleIdx="8" presStyleCnt="11"/>
      <dgm:spPr>
        <a:solidFill>
          <a:srgbClr val="7DDC1E"/>
        </a:solidFill>
        <a:ln>
          <a:solidFill>
            <a:srgbClr val="7DDC1E"/>
          </a:solidFill>
        </a:ln>
      </dgm:spPr>
      <dgm:t>
        <a:bodyPr/>
        <a:lstStyle/>
        <a:p>
          <a:endParaRPr lang="en-GB"/>
        </a:p>
      </dgm:t>
    </dgm:pt>
    <dgm:pt modelId="{F5DFA7EE-8758-4220-AEF2-819A399EFF15}" type="pres">
      <dgm:prSet presAssocID="{21567C9A-DA76-4078-8579-13E858F56881}" presName="text4" presStyleLbl="fgAcc4" presStyleIdx="8" presStyleCnt="11" custScaleX="180355" custScaleY="75132">
        <dgm:presLayoutVars>
          <dgm:chPref val="3"/>
        </dgm:presLayoutVars>
      </dgm:prSet>
      <dgm:spPr/>
      <dgm:t>
        <a:bodyPr/>
        <a:lstStyle/>
        <a:p>
          <a:endParaRPr lang="en-US"/>
        </a:p>
      </dgm:t>
    </dgm:pt>
    <dgm:pt modelId="{10A6B766-062A-486E-81EC-ED0F61EAAAFB}" type="pres">
      <dgm:prSet presAssocID="{21567C9A-DA76-4078-8579-13E858F56881}" presName="hierChild5" presStyleCnt="0"/>
      <dgm:spPr/>
    </dgm:pt>
    <dgm:pt modelId="{C85C196C-B444-4A1D-A284-E63A5DEEA70B}" type="pres">
      <dgm:prSet presAssocID="{A63A20FF-3236-4732-BC2E-E8618CFD43D7}" presName="Name23" presStyleLbl="parChTrans1D4" presStyleIdx="9" presStyleCnt="11"/>
      <dgm:spPr/>
      <dgm:t>
        <a:bodyPr/>
        <a:lstStyle/>
        <a:p>
          <a:endParaRPr lang="en-US"/>
        </a:p>
      </dgm:t>
    </dgm:pt>
    <dgm:pt modelId="{6E4B91FF-4026-40C1-8293-1ABCA1F3CF78}" type="pres">
      <dgm:prSet presAssocID="{8F0AC9E6-340A-4582-AA72-4D0DC47E346F}" presName="hierRoot4" presStyleCnt="0"/>
      <dgm:spPr/>
    </dgm:pt>
    <dgm:pt modelId="{37009F30-5490-47C8-8D5E-33F90CB9FB0A}" type="pres">
      <dgm:prSet presAssocID="{8F0AC9E6-340A-4582-AA72-4D0DC47E346F}" presName="composite4" presStyleCnt="0"/>
      <dgm:spPr/>
    </dgm:pt>
    <dgm:pt modelId="{4413ACEB-9430-4591-9C1B-413CE27CDBB5}" type="pres">
      <dgm:prSet presAssocID="{8F0AC9E6-340A-4582-AA72-4D0DC47E346F}" presName="background4" presStyleLbl="node4" presStyleIdx="9" presStyleCnt="11"/>
      <dgm:spPr>
        <a:solidFill>
          <a:srgbClr val="7DDC1E"/>
        </a:solidFill>
      </dgm:spPr>
      <dgm:t>
        <a:bodyPr/>
        <a:lstStyle/>
        <a:p>
          <a:endParaRPr lang="en-GB"/>
        </a:p>
      </dgm:t>
    </dgm:pt>
    <dgm:pt modelId="{5A2023FD-6580-426B-91AB-2F1CD747678F}" type="pres">
      <dgm:prSet presAssocID="{8F0AC9E6-340A-4582-AA72-4D0DC47E346F}" presName="text4" presStyleLbl="fgAcc4" presStyleIdx="9" presStyleCnt="11" custScaleX="176327" custScaleY="75132">
        <dgm:presLayoutVars>
          <dgm:chPref val="3"/>
        </dgm:presLayoutVars>
      </dgm:prSet>
      <dgm:spPr/>
      <dgm:t>
        <a:bodyPr/>
        <a:lstStyle/>
        <a:p>
          <a:endParaRPr lang="en-US"/>
        </a:p>
      </dgm:t>
    </dgm:pt>
    <dgm:pt modelId="{DBA2F9DF-41C7-43EB-8559-2674753147F0}" type="pres">
      <dgm:prSet presAssocID="{8F0AC9E6-340A-4582-AA72-4D0DC47E346F}" presName="hierChild5" presStyleCnt="0"/>
      <dgm:spPr/>
    </dgm:pt>
    <dgm:pt modelId="{61A2B8AB-B01A-474B-9FC7-B7E70FDD65E7}" type="pres">
      <dgm:prSet presAssocID="{DE92D38B-6E31-4973-9CC2-4E7924598AFC}" presName="Name23" presStyleLbl="parChTrans1D4" presStyleIdx="10" presStyleCnt="11"/>
      <dgm:spPr/>
      <dgm:t>
        <a:bodyPr/>
        <a:lstStyle/>
        <a:p>
          <a:endParaRPr lang="en-US"/>
        </a:p>
      </dgm:t>
    </dgm:pt>
    <dgm:pt modelId="{1127B477-59DC-4705-AECA-B872DAF5226D}" type="pres">
      <dgm:prSet presAssocID="{79A0E8C2-4EAA-476A-AB33-39088A6A2A87}" presName="hierRoot4" presStyleCnt="0"/>
      <dgm:spPr/>
    </dgm:pt>
    <dgm:pt modelId="{B2E1FAFD-5107-46F0-8FAA-B70D11AD0D70}" type="pres">
      <dgm:prSet presAssocID="{79A0E8C2-4EAA-476A-AB33-39088A6A2A87}" presName="composite4" presStyleCnt="0"/>
      <dgm:spPr/>
    </dgm:pt>
    <dgm:pt modelId="{7FAB7254-BEEC-458E-9759-7A13EA33695E}" type="pres">
      <dgm:prSet presAssocID="{79A0E8C2-4EAA-476A-AB33-39088A6A2A87}" presName="background4" presStyleLbl="node4" presStyleIdx="10" presStyleCnt="11"/>
      <dgm:spPr>
        <a:solidFill>
          <a:srgbClr val="9E0880"/>
        </a:solidFill>
        <a:ln>
          <a:solidFill>
            <a:srgbClr val="9E0880"/>
          </a:solidFill>
        </a:ln>
      </dgm:spPr>
      <dgm:t>
        <a:bodyPr/>
        <a:lstStyle/>
        <a:p>
          <a:endParaRPr lang="en-GB"/>
        </a:p>
      </dgm:t>
    </dgm:pt>
    <dgm:pt modelId="{695F7FD3-3230-496F-AE1D-FBD28A0DE1AA}" type="pres">
      <dgm:prSet presAssocID="{79A0E8C2-4EAA-476A-AB33-39088A6A2A87}" presName="text4" presStyleLbl="fgAcc4" presStyleIdx="10" presStyleCnt="11" custScaleX="373698" custScaleY="163237">
        <dgm:presLayoutVars>
          <dgm:chPref val="3"/>
        </dgm:presLayoutVars>
      </dgm:prSet>
      <dgm:spPr/>
      <dgm:t>
        <a:bodyPr/>
        <a:lstStyle/>
        <a:p>
          <a:endParaRPr lang="en-US"/>
        </a:p>
      </dgm:t>
    </dgm:pt>
    <dgm:pt modelId="{42F55EC6-CE15-4D3C-9E8C-B83F1CFE17BB}" type="pres">
      <dgm:prSet presAssocID="{79A0E8C2-4EAA-476A-AB33-39088A6A2A87}" presName="hierChild5" presStyleCnt="0"/>
      <dgm:spPr/>
    </dgm:pt>
  </dgm:ptLst>
  <dgm:cxnLst>
    <dgm:cxn modelId="{35FF0123-ED51-4FD2-BE34-B5057338222D}" srcId="{92FFEB76-1DA9-4890-88A8-13F3604E35D7}" destId="{692613B9-E0B8-4A5A-9631-274BE4039D9B}" srcOrd="0" destOrd="0" parTransId="{46BABC93-190B-4189-B255-4CCA0E31A516}" sibTransId="{C923B97A-0B96-46E4-ACD6-C8156E7E9A73}"/>
    <dgm:cxn modelId="{0E161013-C3C1-4DAB-B132-19E86551A81B}" type="presOf" srcId="{A63A20FF-3236-4732-BC2E-E8618CFD43D7}" destId="{C85C196C-B444-4A1D-A284-E63A5DEEA70B}" srcOrd="0" destOrd="0" presId="urn:microsoft.com/office/officeart/2005/8/layout/hierarchy1"/>
    <dgm:cxn modelId="{CBE782BC-74C4-481C-91EC-B34E3CB0BDF5}" type="presOf" srcId="{BFF828A6-FF3B-4983-9AA6-44D9C05E5211}" destId="{56F9E952-EAAF-45A1-9E44-92C0F6C04663}" srcOrd="0" destOrd="0" presId="urn:microsoft.com/office/officeart/2005/8/layout/hierarchy1"/>
    <dgm:cxn modelId="{B7044A9C-61F7-4869-82D4-7DDA3A287BED}" srcId="{981C9CFA-2F6F-4C60-91E7-0A417436119C}" destId="{CCB23740-6CA8-44D5-A54D-0787E9996D48}" srcOrd="1" destOrd="0" parTransId="{133484D4-9348-4125-B090-94E26D51DFF9}" sibTransId="{8A1A82B9-F689-455C-8322-B7EB7D275B81}"/>
    <dgm:cxn modelId="{4536AA1A-60A1-4980-B28C-B0918A0BD6F3}" srcId="{51E8BBF5-2224-4A5A-B602-34C2CDFE09B8}" destId="{BFF828A6-FF3B-4983-9AA6-44D9C05E5211}" srcOrd="0" destOrd="0" parTransId="{2CA9F8D4-9D22-41BF-B63B-A70D6D6DA05D}" sibTransId="{5E948ABC-20A3-453C-80CF-981EDA9EF37D}"/>
    <dgm:cxn modelId="{19EBEF9A-78A6-445C-AD7B-04090957C138}" type="presOf" srcId="{51E8BBF5-2224-4A5A-B602-34C2CDFE09B8}" destId="{1C8F6518-4531-4FB6-923E-393E71A02771}" srcOrd="0" destOrd="0" presId="urn:microsoft.com/office/officeart/2005/8/layout/hierarchy1"/>
    <dgm:cxn modelId="{053CEC27-D965-437C-9B72-AD2D748AF3D8}" srcId="{8F0AC9E6-340A-4582-AA72-4D0DC47E346F}" destId="{79A0E8C2-4EAA-476A-AB33-39088A6A2A87}" srcOrd="0" destOrd="0" parTransId="{DE92D38B-6E31-4973-9CC2-4E7924598AFC}" sibTransId="{063D0502-D4D4-4E8E-A292-2DB962AA38F6}"/>
    <dgm:cxn modelId="{51AB728E-D666-4AD3-B8ED-EE2063CB84B1}" type="presOf" srcId="{46BABC93-190B-4189-B255-4CCA0E31A516}" destId="{F4D40AC4-022A-4D58-90B0-F68BB2D86AA6}" srcOrd="0" destOrd="0" presId="urn:microsoft.com/office/officeart/2005/8/layout/hierarchy1"/>
    <dgm:cxn modelId="{EA938CD7-3154-4912-B429-308FDACB1264}" type="presOf" srcId="{981C9CFA-2F6F-4C60-91E7-0A417436119C}" destId="{31B01F7C-9551-494D-B346-2CC34DA26F38}" srcOrd="0" destOrd="0" presId="urn:microsoft.com/office/officeart/2005/8/layout/hierarchy1"/>
    <dgm:cxn modelId="{D5C98A31-0010-4A2F-B8D4-BE2C65DE91F3}" srcId="{7E1D7E6C-2C86-4558-8C56-C998BF55F98B}" destId="{E88EF19C-1320-47E4-A7C1-066695C69789}" srcOrd="0" destOrd="0" parTransId="{E46B1DA1-70E9-4A45-B442-D8B7E75B806A}" sibTransId="{018EB715-B414-4DFF-826B-C880D60780DD}"/>
    <dgm:cxn modelId="{53D86856-B0F4-4C53-9FD8-5AFF313C2B40}" type="presOf" srcId="{E46B1DA1-70E9-4A45-B442-D8B7E75B806A}" destId="{A1B0DA20-A8AA-4951-B75E-C698A3AF4642}" srcOrd="0" destOrd="0" presId="urn:microsoft.com/office/officeart/2005/8/layout/hierarchy1"/>
    <dgm:cxn modelId="{F63DD516-1C68-49A0-97E0-19567AD2AA60}" type="presOf" srcId="{07535519-73EF-4E92-B558-85FB5E17B0A4}" destId="{068E995D-CD4F-430E-B694-60F864789F69}" srcOrd="0" destOrd="0" presId="urn:microsoft.com/office/officeart/2005/8/layout/hierarchy1"/>
    <dgm:cxn modelId="{A30D255B-5244-4C34-B33C-5BB3B2F565CE}" srcId="{B7DC88D7-4710-481D-9801-416ABECAE69D}" destId="{7E1D7E6C-2C86-4558-8C56-C998BF55F98B}" srcOrd="0" destOrd="0" parTransId="{0F6833F7-DC81-45C4-905B-502EBBFA371C}" sibTransId="{30357C97-0CF2-44AE-80A3-AE18F43C7819}"/>
    <dgm:cxn modelId="{6C95459D-3610-4719-9ED5-DAD3F4846353}" type="presOf" srcId="{0F6833F7-DC81-45C4-905B-502EBBFA371C}" destId="{4DEC9BE2-C60F-4893-A5E1-C3E8EF8AA37C}" srcOrd="0" destOrd="0" presId="urn:microsoft.com/office/officeart/2005/8/layout/hierarchy1"/>
    <dgm:cxn modelId="{FDCA006D-1AFF-45B6-9372-DC6935C148C9}" type="presOf" srcId="{B7DC88D7-4710-481D-9801-416ABECAE69D}" destId="{7F5FA490-35EF-4788-BC86-78443252AB70}" srcOrd="0" destOrd="0" presId="urn:microsoft.com/office/officeart/2005/8/layout/hierarchy1"/>
    <dgm:cxn modelId="{90983AFA-2967-4410-B733-6CB1705F06EF}" type="presOf" srcId="{133484D4-9348-4125-B090-94E26D51DFF9}" destId="{2C9DDC87-9A0A-4128-BEF4-BA278FA9F451}" srcOrd="0" destOrd="0" presId="urn:microsoft.com/office/officeart/2005/8/layout/hierarchy1"/>
    <dgm:cxn modelId="{AE902434-1BB8-47CB-885F-95804E9B227A}" srcId="{981C9CFA-2F6F-4C60-91E7-0A417436119C}" destId="{0E1EF817-9922-4F68-8296-988142906A78}" srcOrd="0" destOrd="0" parTransId="{07535519-73EF-4E92-B558-85FB5E17B0A4}" sibTransId="{4D4BD713-D397-424C-AB2B-C3D4C0330241}"/>
    <dgm:cxn modelId="{D01E09CB-51CC-400F-A6CC-46712099D027}" type="presOf" srcId="{692613B9-E0B8-4A5A-9631-274BE4039D9B}" destId="{186D19DC-3316-4A13-9286-79FEA0621543}" srcOrd="0" destOrd="0" presId="urn:microsoft.com/office/officeart/2005/8/layout/hierarchy1"/>
    <dgm:cxn modelId="{F5CBF4B4-A319-4B08-B75F-BDC0CC6A311E}" srcId="{BFF828A6-FF3B-4983-9AA6-44D9C05E5211}" destId="{92FFEB76-1DA9-4890-88A8-13F3604E35D7}" srcOrd="0" destOrd="0" parTransId="{B3BF1FD6-B4A3-4F87-BED8-2A4BEA572E0F}" sibTransId="{FC91EDF3-F8CF-401F-A42C-6D8B3489EE43}"/>
    <dgm:cxn modelId="{D7D8FAF6-1BD4-4D52-A29D-199115208550}" type="presOf" srcId="{7E1D7E6C-2C86-4558-8C56-C998BF55F98B}" destId="{65B9CA51-84ED-4799-9D9D-7E9F32C63911}" srcOrd="0" destOrd="0" presId="urn:microsoft.com/office/officeart/2005/8/layout/hierarchy1"/>
    <dgm:cxn modelId="{F5F8548D-F0C6-4AF3-86C1-B0418947CECD}" type="presOf" srcId="{DE92D38B-6E31-4973-9CC2-4E7924598AFC}" destId="{61A2B8AB-B01A-474B-9FC7-B7E70FDD65E7}" srcOrd="0" destOrd="0" presId="urn:microsoft.com/office/officeart/2005/8/layout/hierarchy1"/>
    <dgm:cxn modelId="{2A1945F9-F206-4E94-B34E-A83C33E44D46}" type="presOf" srcId="{21567C9A-DA76-4078-8579-13E858F56881}" destId="{F5DFA7EE-8758-4220-AEF2-819A399EFF15}" srcOrd="0" destOrd="0" presId="urn:microsoft.com/office/officeart/2005/8/layout/hierarchy1"/>
    <dgm:cxn modelId="{CF6C01D0-F2DE-4AD7-B83A-A3C01DAB5B1A}" srcId="{E88EF19C-1320-47E4-A7C1-066695C69789}" destId="{96EB5C33-56AA-4047-9527-86C78A3D938B}" srcOrd="0" destOrd="0" parTransId="{018E5C13-43DD-4714-B98B-FA100ED3227B}" sibTransId="{3F32371D-BF71-4302-98C8-D5F47A3BF382}"/>
    <dgm:cxn modelId="{164961D8-7AAA-464F-B11D-D8459FE1ACD3}" type="presOf" srcId="{6FC4B0C2-DDED-4DE4-86E7-BC5A08A95CCE}" destId="{92BA890B-9536-4299-96C9-B269755FC175}" srcOrd="0" destOrd="0" presId="urn:microsoft.com/office/officeart/2005/8/layout/hierarchy1"/>
    <dgm:cxn modelId="{2B48D2FE-AC15-4061-95E3-5A534114E2E7}" type="presOf" srcId="{733022D7-2D18-440B-81D5-0CFCCEDD9338}" destId="{E2A0630E-4A05-444A-AFD2-C9B0AF667B0B}" srcOrd="0" destOrd="0" presId="urn:microsoft.com/office/officeart/2005/8/layout/hierarchy1"/>
    <dgm:cxn modelId="{16B7750E-295A-4E5F-83C9-AFA7AFE7E5EC}" srcId="{692613B9-E0B8-4A5A-9631-274BE4039D9B}" destId="{981C9CFA-2F6F-4C60-91E7-0A417436119C}" srcOrd="0" destOrd="0" parTransId="{087376D6-6CA2-42A2-8C55-A18A03D1B0B5}" sibTransId="{D50FC00B-1FAC-4E81-B0DE-71800B8971CF}"/>
    <dgm:cxn modelId="{90DDC831-E4D9-4B98-8931-DE069221B311}" type="presOf" srcId="{B3BF1FD6-B4A3-4F87-BED8-2A4BEA572E0F}" destId="{7EC82301-A429-49BE-A4CA-9152DF69FC69}" srcOrd="0" destOrd="0" presId="urn:microsoft.com/office/officeart/2005/8/layout/hierarchy1"/>
    <dgm:cxn modelId="{57FBA974-D44C-4FC1-B778-38068447A1BD}" type="presOf" srcId="{E88EF19C-1320-47E4-A7C1-066695C69789}" destId="{C056F3F0-7262-444C-ABA8-4DD3F546BE2B}" srcOrd="0" destOrd="0" presId="urn:microsoft.com/office/officeart/2005/8/layout/hierarchy1"/>
    <dgm:cxn modelId="{0D266E52-1260-4FBF-B4EA-47D0A5078EF9}" type="presOf" srcId="{92FFEB76-1DA9-4890-88A8-13F3604E35D7}" destId="{A760F31F-7774-468E-AB94-816C5E14B916}" srcOrd="0" destOrd="0" presId="urn:microsoft.com/office/officeart/2005/8/layout/hierarchy1"/>
    <dgm:cxn modelId="{939215F8-87E9-49E6-B141-A186EA29B0E2}" type="presOf" srcId="{CCB23740-6CA8-44D5-A54D-0787E9996D48}" destId="{286B4F7E-8D44-4EF4-931D-C46B213D57C6}" srcOrd="0" destOrd="0" presId="urn:microsoft.com/office/officeart/2005/8/layout/hierarchy1"/>
    <dgm:cxn modelId="{80B0B543-FE51-4740-90AB-A9A6F2756BEB}" srcId="{21567C9A-DA76-4078-8579-13E858F56881}" destId="{8F0AC9E6-340A-4582-AA72-4D0DC47E346F}" srcOrd="0" destOrd="0" parTransId="{A63A20FF-3236-4732-BC2E-E8618CFD43D7}" sibTransId="{3FCBB029-67AB-4AB1-B65E-8A311B575D96}"/>
    <dgm:cxn modelId="{11DECCBC-7D76-445A-A5C5-3B6B0BE4191C}" srcId="{CCB23740-6CA8-44D5-A54D-0787E9996D48}" destId="{B7DC88D7-4710-481D-9801-416ABECAE69D}" srcOrd="0" destOrd="0" parTransId="{733022D7-2D18-440B-81D5-0CFCCEDD9338}" sibTransId="{1F561624-22E5-473B-A072-4EC8E7B73BE2}"/>
    <dgm:cxn modelId="{467EFF3A-86EE-4E46-B7BE-E74A97C8EBDF}" type="presOf" srcId="{51D2E35A-6A69-47C7-8FAD-F208C367618B}" destId="{2097C97C-C141-42FF-8A21-6F9462CD4896}" srcOrd="0" destOrd="0" presId="urn:microsoft.com/office/officeart/2005/8/layout/hierarchy1"/>
    <dgm:cxn modelId="{6F64E3B4-8397-4D23-B01D-CAA3A554BD57}" type="presOf" srcId="{087376D6-6CA2-42A2-8C55-A18A03D1B0B5}" destId="{AD366AF8-F9FA-41C9-A43B-BF3265A435B6}" srcOrd="0" destOrd="0" presId="urn:microsoft.com/office/officeart/2005/8/layout/hierarchy1"/>
    <dgm:cxn modelId="{ADE229F7-593E-41C1-8327-AF53FA401A6F}" type="presOf" srcId="{79A0E8C2-4EAA-476A-AB33-39088A6A2A87}" destId="{695F7FD3-3230-496F-AE1D-FBD28A0DE1AA}" srcOrd="0" destOrd="0" presId="urn:microsoft.com/office/officeart/2005/8/layout/hierarchy1"/>
    <dgm:cxn modelId="{B76F8825-C621-41A5-99EC-D109FB2E3D4B}" type="presOf" srcId="{96EB5C33-56AA-4047-9527-86C78A3D938B}" destId="{1919BD5D-B387-4446-AD0C-932EA92DF99E}" srcOrd="0" destOrd="0" presId="urn:microsoft.com/office/officeart/2005/8/layout/hierarchy1"/>
    <dgm:cxn modelId="{EFD34C7B-C017-4A03-B388-F3FF1DD2B825}" type="presOf" srcId="{0E1EF817-9922-4F68-8296-988142906A78}" destId="{D79EC751-DAD9-4812-9888-9ACA98EDF2E0}" srcOrd="0" destOrd="0" presId="urn:microsoft.com/office/officeart/2005/8/layout/hierarchy1"/>
    <dgm:cxn modelId="{8C6F8068-9AD0-4557-81A3-EE2CD7EE7E32}" type="presOf" srcId="{8F0AC9E6-340A-4582-AA72-4D0DC47E346F}" destId="{5A2023FD-6580-426B-91AB-2F1CD747678F}" srcOrd="0" destOrd="0" presId="urn:microsoft.com/office/officeart/2005/8/layout/hierarchy1"/>
    <dgm:cxn modelId="{29F7BBF3-6AB1-4636-9691-5FC61F8D49A1}" type="presOf" srcId="{8B61CB54-2D16-4FAC-9340-B74ABB0F561C}" destId="{E2AF8BCE-BABF-4FDA-ADD6-9772BE13A31E}" srcOrd="0" destOrd="0" presId="urn:microsoft.com/office/officeart/2005/8/layout/hierarchy1"/>
    <dgm:cxn modelId="{57476610-B483-47CC-8C6F-AFCECBB618C9}" srcId="{7E1D7E6C-2C86-4558-8C56-C998BF55F98B}" destId="{21567C9A-DA76-4078-8579-13E858F56881}" srcOrd="1" destOrd="0" parTransId="{6FC4B0C2-DDED-4DE4-86E7-BC5A08A95CCE}" sibTransId="{779DE0C3-6C8D-4365-83DF-F6ED2A2F1692}"/>
    <dgm:cxn modelId="{CCEC279C-178E-4C2E-929B-B1C44785721B}" srcId="{0E1EF817-9922-4F68-8296-988142906A78}" destId="{51D2E35A-6A69-47C7-8FAD-F208C367618B}" srcOrd="0" destOrd="0" parTransId="{8B61CB54-2D16-4FAC-9340-B74ABB0F561C}" sibTransId="{1E0496EA-8A65-4330-B8EB-B52D5670B3C3}"/>
    <dgm:cxn modelId="{50DCC99F-5EA0-4D04-847B-D1482FC3C5F8}" type="presOf" srcId="{018E5C13-43DD-4714-B98B-FA100ED3227B}" destId="{BEEE3088-488D-41C4-A436-3B39588435A3}" srcOrd="0" destOrd="0" presId="urn:microsoft.com/office/officeart/2005/8/layout/hierarchy1"/>
    <dgm:cxn modelId="{55A1D7FF-6312-4226-890B-A113DC100821}" type="presParOf" srcId="{1C8F6518-4531-4FB6-923E-393E71A02771}" destId="{29BA3590-4AE6-4884-8CF4-F830933700F9}" srcOrd="0" destOrd="0" presId="urn:microsoft.com/office/officeart/2005/8/layout/hierarchy1"/>
    <dgm:cxn modelId="{ACFEE715-CF82-48B8-A876-0C7C30D67B43}" type="presParOf" srcId="{29BA3590-4AE6-4884-8CF4-F830933700F9}" destId="{3E16AA15-80F4-44DA-89AB-B43DB9BB30E6}" srcOrd="0" destOrd="0" presId="urn:microsoft.com/office/officeart/2005/8/layout/hierarchy1"/>
    <dgm:cxn modelId="{3D973995-F6CB-42DC-B0B1-D524D4E50340}" type="presParOf" srcId="{3E16AA15-80F4-44DA-89AB-B43DB9BB30E6}" destId="{E35CA196-18DD-4D91-85EF-411FFAC47438}" srcOrd="0" destOrd="0" presId="urn:microsoft.com/office/officeart/2005/8/layout/hierarchy1"/>
    <dgm:cxn modelId="{821E214A-CD3C-4E6A-86A7-727334BBE243}" type="presParOf" srcId="{3E16AA15-80F4-44DA-89AB-B43DB9BB30E6}" destId="{56F9E952-EAAF-45A1-9E44-92C0F6C04663}" srcOrd="1" destOrd="0" presId="urn:microsoft.com/office/officeart/2005/8/layout/hierarchy1"/>
    <dgm:cxn modelId="{501CCED6-41A8-44F1-B621-271F523ACA34}" type="presParOf" srcId="{29BA3590-4AE6-4884-8CF4-F830933700F9}" destId="{FBBC8974-1333-41CA-B75E-955FB60A812D}" srcOrd="1" destOrd="0" presId="urn:microsoft.com/office/officeart/2005/8/layout/hierarchy1"/>
    <dgm:cxn modelId="{E4161549-CE2C-41CC-97E9-A271F7F7C974}" type="presParOf" srcId="{FBBC8974-1333-41CA-B75E-955FB60A812D}" destId="{7EC82301-A429-49BE-A4CA-9152DF69FC69}" srcOrd="0" destOrd="0" presId="urn:microsoft.com/office/officeart/2005/8/layout/hierarchy1"/>
    <dgm:cxn modelId="{43EC46A6-410B-40F7-97A1-84B6AEA96847}" type="presParOf" srcId="{FBBC8974-1333-41CA-B75E-955FB60A812D}" destId="{AD4FDBC0-5832-4EF2-9D60-A7B561D5A6BA}" srcOrd="1" destOrd="0" presId="urn:microsoft.com/office/officeart/2005/8/layout/hierarchy1"/>
    <dgm:cxn modelId="{9EAD5EE0-C8A2-4086-BF4A-18065C42F9B2}" type="presParOf" srcId="{AD4FDBC0-5832-4EF2-9D60-A7B561D5A6BA}" destId="{5E88396D-26B8-45D2-B243-709EC5009C85}" srcOrd="0" destOrd="0" presId="urn:microsoft.com/office/officeart/2005/8/layout/hierarchy1"/>
    <dgm:cxn modelId="{C9A3BD0B-0947-4D22-82AD-9C919E027620}" type="presParOf" srcId="{5E88396D-26B8-45D2-B243-709EC5009C85}" destId="{5BD50AFA-67B0-4641-9335-35C64CA1AA05}" srcOrd="0" destOrd="0" presId="urn:microsoft.com/office/officeart/2005/8/layout/hierarchy1"/>
    <dgm:cxn modelId="{81AD7418-6D2D-4DFE-9F24-5B6EC5819D4A}" type="presParOf" srcId="{5E88396D-26B8-45D2-B243-709EC5009C85}" destId="{A760F31F-7774-468E-AB94-816C5E14B916}" srcOrd="1" destOrd="0" presId="urn:microsoft.com/office/officeart/2005/8/layout/hierarchy1"/>
    <dgm:cxn modelId="{774938CA-9324-4431-980B-C4A3C148D105}" type="presParOf" srcId="{AD4FDBC0-5832-4EF2-9D60-A7B561D5A6BA}" destId="{BD89E10F-FE42-45AB-A077-B37321011427}" srcOrd="1" destOrd="0" presId="urn:microsoft.com/office/officeart/2005/8/layout/hierarchy1"/>
    <dgm:cxn modelId="{0EA02CAE-0C5A-4FB5-BD74-681D58B7C5B3}" type="presParOf" srcId="{BD89E10F-FE42-45AB-A077-B37321011427}" destId="{F4D40AC4-022A-4D58-90B0-F68BB2D86AA6}" srcOrd="0" destOrd="0" presId="urn:microsoft.com/office/officeart/2005/8/layout/hierarchy1"/>
    <dgm:cxn modelId="{80D34C5A-CEED-46E1-B6EB-839BF7023D8B}" type="presParOf" srcId="{BD89E10F-FE42-45AB-A077-B37321011427}" destId="{A607C1C0-782E-4D19-B78C-69756035F829}" srcOrd="1" destOrd="0" presId="urn:microsoft.com/office/officeart/2005/8/layout/hierarchy1"/>
    <dgm:cxn modelId="{675B450D-C1B4-41F0-A0B6-B81E2101ECB1}" type="presParOf" srcId="{A607C1C0-782E-4D19-B78C-69756035F829}" destId="{ECF34FB3-3184-4222-890C-596840BCC9A5}" srcOrd="0" destOrd="0" presId="urn:microsoft.com/office/officeart/2005/8/layout/hierarchy1"/>
    <dgm:cxn modelId="{E9BEBFAC-C82E-4885-B99C-74AF15328F53}" type="presParOf" srcId="{ECF34FB3-3184-4222-890C-596840BCC9A5}" destId="{86FBFEDE-BC4F-4B3A-8E07-8458093392CA}" srcOrd="0" destOrd="0" presId="urn:microsoft.com/office/officeart/2005/8/layout/hierarchy1"/>
    <dgm:cxn modelId="{FF714E9A-61AE-40A7-9A34-E5415AFC2CA3}" type="presParOf" srcId="{ECF34FB3-3184-4222-890C-596840BCC9A5}" destId="{186D19DC-3316-4A13-9286-79FEA0621543}" srcOrd="1" destOrd="0" presId="urn:microsoft.com/office/officeart/2005/8/layout/hierarchy1"/>
    <dgm:cxn modelId="{585A7F36-F87E-4BBC-9CE2-FDF50DB65332}" type="presParOf" srcId="{A607C1C0-782E-4D19-B78C-69756035F829}" destId="{76D8FC54-9333-4F97-A866-3CB8D5645835}" srcOrd="1" destOrd="0" presId="urn:microsoft.com/office/officeart/2005/8/layout/hierarchy1"/>
    <dgm:cxn modelId="{3DEFE1BB-B46F-4788-B990-A7DE65F605B8}" type="presParOf" srcId="{76D8FC54-9333-4F97-A866-3CB8D5645835}" destId="{AD366AF8-F9FA-41C9-A43B-BF3265A435B6}" srcOrd="0" destOrd="0" presId="urn:microsoft.com/office/officeart/2005/8/layout/hierarchy1"/>
    <dgm:cxn modelId="{B9B3E2FB-8D45-42A4-9BE5-294E4B8AA9C8}" type="presParOf" srcId="{76D8FC54-9333-4F97-A866-3CB8D5645835}" destId="{913B7FB8-FB7C-4C7C-B0CC-4E55984B5387}" srcOrd="1" destOrd="0" presId="urn:microsoft.com/office/officeart/2005/8/layout/hierarchy1"/>
    <dgm:cxn modelId="{98C31032-B4D0-4087-9199-E5AA3BE00179}" type="presParOf" srcId="{913B7FB8-FB7C-4C7C-B0CC-4E55984B5387}" destId="{43B20717-6941-4201-B3D9-5EDB8B4C4BA5}" srcOrd="0" destOrd="0" presId="urn:microsoft.com/office/officeart/2005/8/layout/hierarchy1"/>
    <dgm:cxn modelId="{648F0C40-581E-4BBA-95F4-D867BE7A9AB8}" type="presParOf" srcId="{43B20717-6941-4201-B3D9-5EDB8B4C4BA5}" destId="{BF28BADB-0665-4AE1-A06F-9EFB38406D50}" srcOrd="0" destOrd="0" presId="urn:microsoft.com/office/officeart/2005/8/layout/hierarchy1"/>
    <dgm:cxn modelId="{F1E5D263-6958-41F7-BFA9-86B6ED18D73F}" type="presParOf" srcId="{43B20717-6941-4201-B3D9-5EDB8B4C4BA5}" destId="{31B01F7C-9551-494D-B346-2CC34DA26F38}" srcOrd="1" destOrd="0" presId="urn:microsoft.com/office/officeart/2005/8/layout/hierarchy1"/>
    <dgm:cxn modelId="{AC7F45A0-8CE6-4865-BD80-579A867B3FA7}" type="presParOf" srcId="{913B7FB8-FB7C-4C7C-B0CC-4E55984B5387}" destId="{4EC9F2F4-5569-4D4B-A957-8AFA4D36D4CE}" srcOrd="1" destOrd="0" presId="urn:microsoft.com/office/officeart/2005/8/layout/hierarchy1"/>
    <dgm:cxn modelId="{B01690ED-6F1B-49A5-8CA1-22B4BD1FC891}" type="presParOf" srcId="{4EC9F2F4-5569-4D4B-A957-8AFA4D36D4CE}" destId="{068E995D-CD4F-430E-B694-60F864789F69}" srcOrd="0" destOrd="0" presId="urn:microsoft.com/office/officeart/2005/8/layout/hierarchy1"/>
    <dgm:cxn modelId="{B0BB44CE-A075-44FA-9B13-4B5D89D37617}" type="presParOf" srcId="{4EC9F2F4-5569-4D4B-A957-8AFA4D36D4CE}" destId="{57BAF42D-DE9E-4F60-855B-3FD4397E88DC}" srcOrd="1" destOrd="0" presId="urn:microsoft.com/office/officeart/2005/8/layout/hierarchy1"/>
    <dgm:cxn modelId="{F31E170E-A15F-4C4A-BB67-9E8C6FF734C8}" type="presParOf" srcId="{57BAF42D-DE9E-4F60-855B-3FD4397E88DC}" destId="{6AF44863-4079-480A-A688-603062AD6A19}" srcOrd="0" destOrd="0" presId="urn:microsoft.com/office/officeart/2005/8/layout/hierarchy1"/>
    <dgm:cxn modelId="{280DC8D7-A350-467D-A5A0-0071E0237586}" type="presParOf" srcId="{6AF44863-4079-480A-A688-603062AD6A19}" destId="{508ACCC6-F5BA-4518-8873-090C6C652670}" srcOrd="0" destOrd="0" presId="urn:microsoft.com/office/officeart/2005/8/layout/hierarchy1"/>
    <dgm:cxn modelId="{120BAA3F-4751-499B-94FD-0EBD7AFA7F45}" type="presParOf" srcId="{6AF44863-4079-480A-A688-603062AD6A19}" destId="{D79EC751-DAD9-4812-9888-9ACA98EDF2E0}" srcOrd="1" destOrd="0" presId="urn:microsoft.com/office/officeart/2005/8/layout/hierarchy1"/>
    <dgm:cxn modelId="{DF99567E-EF23-4926-BB9D-A40C755554C9}" type="presParOf" srcId="{57BAF42D-DE9E-4F60-855B-3FD4397E88DC}" destId="{A330D073-97AA-42CE-91C6-9578F353B115}" srcOrd="1" destOrd="0" presId="urn:microsoft.com/office/officeart/2005/8/layout/hierarchy1"/>
    <dgm:cxn modelId="{6BF254B1-8D92-47BE-A301-EB56999D117F}" type="presParOf" srcId="{A330D073-97AA-42CE-91C6-9578F353B115}" destId="{E2AF8BCE-BABF-4FDA-ADD6-9772BE13A31E}" srcOrd="0" destOrd="0" presId="urn:microsoft.com/office/officeart/2005/8/layout/hierarchy1"/>
    <dgm:cxn modelId="{C758622E-F017-49FE-9B24-10A178FD93A1}" type="presParOf" srcId="{A330D073-97AA-42CE-91C6-9578F353B115}" destId="{3C67E2D4-B1AF-45C5-B1C7-1D8811F88A29}" srcOrd="1" destOrd="0" presId="urn:microsoft.com/office/officeart/2005/8/layout/hierarchy1"/>
    <dgm:cxn modelId="{8F3CB42A-2073-4EB0-86F1-E217CC066267}" type="presParOf" srcId="{3C67E2D4-B1AF-45C5-B1C7-1D8811F88A29}" destId="{AB902809-3380-4976-BDF5-793204EF5C15}" srcOrd="0" destOrd="0" presId="urn:microsoft.com/office/officeart/2005/8/layout/hierarchy1"/>
    <dgm:cxn modelId="{F095C942-1943-410F-8C50-E62E58707472}" type="presParOf" srcId="{AB902809-3380-4976-BDF5-793204EF5C15}" destId="{A90A0D1D-69C3-48B3-9000-7612B41A6140}" srcOrd="0" destOrd="0" presId="urn:microsoft.com/office/officeart/2005/8/layout/hierarchy1"/>
    <dgm:cxn modelId="{D8C6EEA8-0DE7-42FC-8424-4286EC0B8AC5}" type="presParOf" srcId="{AB902809-3380-4976-BDF5-793204EF5C15}" destId="{2097C97C-C141-42FF-8A21-6F9462CD4896}" srcOrd="1" destOrd="0" presId="urn:microsoft.com/office/officeart/2005/8/layout/hierarchy1"/>
    <dgm:cxn modelId="{883D11F3-0E37-4A08-A02E-4E68688654D3}" type="presParOf" srcId="{3C67E2D4-B1AF-45C5-B1C7-1D8811F88A29}" destId="{0B4B5DC5-BBD5-48A1-A9DD-D05E59B78C72}" srcOrd="1" destOrd="0" presId="urn:microsoft.com/office/officeart/2005/8/layout/hierarchy1"/>
    <dgm:cxn modelId="{AAB56B49-E2F3-4031-8D24-E49B7E002D42}" type="presParOf" srcId="{4EC9F2F4-5569-4D4B-A957-8AFA4D36D4CE}" destId="{2C9DDC87-9A0A-4128-BEF4-BA278FA9F451}" srcOrd="2" destOrd="0" presId="urn:microsoft.com/office/officeart/2005/8/layout/hierarchy1"/>
    <dgm:cxn modelId="{83C363C2-55F1-405A-8758-DB6603DF27B4}" type="presParOf" srcId="{4EC9F2F4-5569-4D4B-A957-8AFA4D36D4CE}" destId="{0C9ADA57-4998-4E81-A34B-D10B87B31F33}" srcOrd="3" destOrd="0" presId="urn:microsoft.com/office/officeart/2005/8/layout/hierarchy1"/>
    <dgm:cxn modelId="{8154315B-859E-44D2-8CE6-1F0379F574CB}" type="presParOf" srcId="{0C9ADA57-4998-4E81-A34B-D10B87B31F33}" destId="{46D72AD3-1019-46BA-A47B-4BBDE48FECEA}" srcOrd="0" destOrd="0" presId="urn:microsoft.com/office/officeart/2005/8/layout/hierarchy1"/>
    <dgm:cxn modelId="{A1D85C17-8798-4B2D-B634-09A02547F278}" type="presParOf" srcId="{46D72AD3-1019-46BA-A47B-4BBDE48FECEA}" destId="{7CF523D5-CE15-4F72-B75C-B53DB8F13F0A}" srcOrd="0" destOrd="0" presId="urn:microsoft.com/office/officeart/2005/8/layout/hierarchy1"/>
    <dgm:cxn modelId="{36642777-E29A-4D4C-A3A4-CD345C98A116}" type="presParOf" srcId="{46D72AD3-1019-46BA-A47B-4BBDE48FECEA}" destId="{286B4F7E-8D44-4EF4-931D-C46B213D57C6}" srcOrd="1" destOrd="0" presId="urn:microsoft.com/office/officeart/2005/8/layout/hierarchy1"/>
    <dgm:cxn modelId="{1BEFE19B-AA24-4AE9-9348-20E1CAD6FC12}" type="presParOf" srcId="{0C9ADA57-4998-4E81-A34B-D10B87B31F33}" destId="{78346FD2-5076-420A-BDE0-7BA95CC49B14}" srcOrd="1" destOrd="0" presId="urn:microsoft.com/office/officeart/2005/8/layout/hierarchy1"/>
    <dgm:cxn modelId="{DA6FE58C-6183-413F-8698-FC3698A997C5}" type="presParOf" srcId="{78346FD2-5076-420A-BDE0-7BA95CC49B14}" destId="{E2A0630E-4A05-444A-AFD2-C9B0AF667B0B}" srcOrd="0" destOrd="0" presId="urn:microsoft.com/office/officeart/2005/8/layout/hierarchy1"/>
    <dgm:cxn modelId="{D0E02D9C-78AA-46B0-BFFE-3E22C522D563}" type="presParOf" srcId="{78346FD2-5076-420A-BDE0-7BA95CC49B14}" destId="{238AE169-B2BD-470D-A231-93535E3B64C1}" srcOrd="1" destOrd="0" presId="urn:microsoft.com/office/officeart/2005/8/layout/hierarchy1"/>
    <dgm:cxn modelId="{CE9F9FDF-1756-4AF3-ACBF-3C02C137CF60}" type="presParOf" srcId="{238AE169-B2BD-470D-A231-93535E3B64C1}" destId="{5E5F8265-9F6C-4A6E-8D8B-A1057C0605D6}" srcOrd="0" destOrd="0" presId="urn:microsoft.com/office/officeart/2005/8/layout/hierarchy1"/>
    <dgm:cxn modelId="{8BA9A1D6-479D-411A-B17E-5B5BC89E7A54}" type="presParOf" srcId="{5E5F8265-9F6C-4A6E-8D8B-A1057C0605D6}" destId="{112CBC4A-9AA1-48CD-B2F2-FF20F0A5CB38}" srcOrd="0" destOrd="0" presId="urn:microsoft.com/office/officeart/2005/8/layout/hierarchy1"/>
    <dgm:cxn modelId="{26AEC7D6-61AB-470C-BDDC-419634EBA0F4}" type="presParOf" srcId="{5E5F8265-9F6C-4A6E-8D8B-A1057C0605D6}" destId="{7F5FA490-35EF-4788-BC86-78443252AB70}" srcOrd="1" destOrd="0" presId="urn:microsoft.com/office/officeart/2005/8/layout/hierarchy1"/>
    <dgm:cxn modelId="{084AFD97-DB6A-494E-93DC-07EEC53CFB4B}" type="presParOf" srcId="{238AE169-B2BD-470D-A231-93535E3B64C1}" destId="{9D483797-A359-4327-9362-4F8CC18D979D}" srcOrd="1" destOrd="0" presId="urn:microsoft.com/office/officeart/2005/8/layout/hierarchy1"/>
    <dgm:cxn modelId="{9D5CADD6-7B03-472E-B7AA-D325418532BE}" type="presParOf" srcId="{9D483797-A359-4327-9362-4F8CC18D979D}" destId="{4DEC9BE2-C60F-4893-A5E1-C3E8EF8AA37C}" srcOrd="0" destOrd="0" presId="urn:microsoft.com/office/officeart/2005/8/layout/hierarchy1"/>
    <dgm:cxn modelId="{A863C8E6-250A-4972-BE1F-ED5F40EFFF6C}" type="presParOf" srcId="{9D483797-A359-4327-9362-4F8CC18D979D}" destId="{2C2A72DF-72D5-40E7-8746-91F5E81FA900}" srcOrd="1" destOrd="0" presId="urn:microsoft.com/office/officeart/2005/8/layout/hierarchy1"/>
    <dgm:cxn modelId="{A6C19E4F-0421-4DAC-8121-61EDD613C11A}" type="presParOf" srcId="{2C2A72DF-72D5-40E7-8746-91F5E81FA900}" destId="{FD3EBB52-521B-4169-A645-71CB52F25776}" srcOrd="0" destOrd="0" presId="urn:microsoft.com/office/officeart/2005/8/layout/hierarchy1"/>
    <dgm:cxn modelId="{5E6BB41C-8597-45A3-8351-6BBCD06822DF}" type="presParOf" srcId="{FD3EBB52-521B-4169-A645-71CB52F25776}" destId="{C3680FB5-2AB3-4D5A-99DE-6B7D362F72EF}" srcOrd="0" destOrd="0" presId="urn:microsoft.com/office/officeart/2005/8/layout/hierarchy1"/>
    <dgm:cxn modelId="{11F99A82-B1E2-4127-AE1C-A9F8451063DA}" type="presParOf" srcId="{FD3EBB52-521B-4169-A645-71CB52F25776}" destId="{65B9CA51-84ED-4799-9D9D-7E9F32C63911}" srcOrd="1" destOrd="0" presId="urn:microsoft.com/office/officeart/2005/8/layout/hierarchy1"/>
    <dgm:cxn modelId="{2A93EC8E-CB7D-41FD-9F63-BCD634A0EC67}" type="presParOf" srcId="{2C2A72DF-72D5-40E7-8746-91F5E81FA900}" destId="{80D77E7E-A58E-4CF8-8575-FC684565E115}" srcOrd="1" destOrd="0" presId="urn:microsoft.com/office/officeart/2005/8/layout/hierarchy1"/>
    <dgm:cxn modelId="{265DB0C7-C410-46E7-B3C8-E7FB8EF87684}" type="presParOf" srcId="{80D77E7E-A58E-4CF8-8575-FC684565E115}" destId="{A1B0DA20-A8AA-4951-B75E-C698A3AF4642}" srcOrd="0" destOrd="0" presId="urn:microsoft.com/office/officeart/2005/8/layout/hierarchy1"/>
    <dgm:cxn modelId="{1000BDE0-47E2-49D2-9066-84165809A37D}" type="presParOf" srcId="{80D77E7E-A58E-4CF8-8575-FC684565E115}" destId="{7B22115C-B848-41E9-B85D-156639E9AF9C}" srcOrd="1" destOrd="0" presId="urn:microsoft.com/office/officeart/2005/8/layout/hierarchy1"/>
    <dgm:cxn modelId="{F77DB105-4AC7-4750-91EE-36EC3F7125A0}" type="presParOf" srcId="{7B22115C-B848-41E9-B85D-156639E9AF9C}" destId="{302D29DB-D2AE-4A85-A0B5-9036B6B22517}" srcOrd="0" destOrd="0" presId="urn:microsoft.com/office/officeart/2005/8/layout/hierarchy1"/>
    <dgm:cxn modelId="{2EB10079-AFF1-4A46-B9E4-38CDC94DBC9B}" type="presParOf" srcId="{302D29DB-D2AE-4A85-A0B5-9036B6B22517}" destId="{B1081B2D-905F-4A46-B5CB-3BE31620AE0D}" srcOrd="0" destOrd="0" presId="urn:microsoft.com/office/officeart/2005/8/layout/hierarchy1"/>
    <dgm:cxn modelId="{E15E103B-02DD-453A-BCBC-3752141891BD}" type="presParOf" srcId="{302D29DB-D2AE-4A85-A0B5-9036B6B22517}" destId="{C056F3F0-7262-444C-ABA8-4DD3F546BE2B}" srcOrd="1" destOrd="0" presId="urn:microsoft.com/office/officeart/2005/8/layout/hierarchy1"/>
    <dgm:cxn modelId="{F18C9A98-A53F-4BC1-9A99-51B58105F275}" type="presParOf" srcId="{7B22115C-B848-41E9-B85D-156639E9AF9C}" destId="{CACE612B-99C4-4A2F-92BB-905E89BEB7AB}" srcOrd="1" destOrd="0" presId="urn:microsoft.com/office/officeart/2005/8/layout/hierarchy1"/>
    <dgm:cxn modelId="{CF150BA4-49B1-43BB-AB53-DEE690CD927A}" type="presParOf" srcId="{CACE612B-99C4-4A2F-92BB-905E89BEB7AB}" destId="{BEEE3088-488D-41C4-A436-3B39588435A3}" srcOrd="0" destOrd="0" presId="urn:microsoft.com/office/officeart/2005/8/layout/hierarchy1"/>
    <dgm:cxn modelId="{9F976D2D-8BF1-4E5F-9900-F2767C95C479}" type="presParOf" srcId="{CACE612B-99C4-4A2F-92BB-905E89BEB7AB}" destId="{5A9532EE-69FD-4734-BBD1-3CE6ED91EDD3}" srcOrd="1" destOrd="0" presId="urn:microsoft.com/office/officeart/2005/8/layout/hierarchy1"/>
    <dgm:cxn modelId="{86EC7ED0-6C9E-4A2F-9446-9FA51CCBBBC5}" type="presParOf" srcId="{5A9532EE-69FD-4734-BBD1-3CE6ED91EDD3}" destId="{47FAA27E-AAFF-4250-B8B2-43910D3246CE}" srcOrd="0" destOrd="0" presId="urn:microsoft.com/office/officeart/2005/8/layout/hierarchy1"/>
    <dgm:cxn modelId="{9F1A8864-721D-46CF-AF8F-7EA8C82059D1}" type="presParOf" srcId="{47FAA27E-AAFF-4250-B8B2-43910D3246CE}" destId="{B59065B0-7F58-4043-82D8-3568B129D0A8}" srcOrd="0" destOrd="0" presId="urn:microsoft.com/office/officeart/2005/8/layout/hierarchy1"/>
    <dgm:cxn modelId="{51241194-A0CD-44AF-8AE2-8C29EC9A1094}" type="presParOf" srcId="{47FAA27E-AAFF-4250-B8B2-43910D3246CE}" destId="{1919BD5D-B387-4446-AD0C-932EA92DF99E}" srcOrd="1" destOrd="0" presId="urn:microsoft.com/office/officeart/2005/8/layout/hierarchy1"/>
    <dgm:cxn modelId="{40305D33-885A-415A-899D-ED98D89A04E2}" type="presParOf" srcId="{5A9532EE-69FD-4734-BBD1-3CE6ED91EDD3}" destId="{418D440C-504E-44E1-B595-F2A58F4AA9AB}" srcOrd="1" destOrd="0" presId="urn:microsoft.com/office/officeart/2005/8/layout/hierarchy1"/>
    <dgm:cxn modelId="{87C2C65E-C235-4AA2-A1C8-7BF1DDC569DC}" type="presParOf" srcId="{80D77E7E-A58E-4CF8-8575-FC684565E115}" destId="{92BA890B-9536-4299-96C9-B269755FC175}" srcOrd="2" destOrd="0" presId="urn:microsoft.com/office/officeart/2005/8/layout/hierarchy1"/>
    <dgm:cxn modelId="{8FA7C59E-D1C9-4244-BAC3-6B11A9FE5E60}" type="presParOf" srcId="{80D77E7E-A58E-4CF8-8575-FC684565E115}" destId="{4491BF32-69D1-4E4F-92F8-323AD80E9896}" srcOrd="3" destOrd="0" presId="urn:microsoft.com/office/officeart/2005/8/layout/hierarchy1"/>
    <dgm:cxn modelId="{A8968634-E6F6-4973-AB71-EB329DB2FC33}" type="presParOf" srcId="{4491BF32-69D1-4E4F-92F8-323AD80E9896}" destId="{A2A36E2C-E4C6-4518-8FC2-216C81B64303}" srcOrd="0" destOrd="0" presId="urn:microsoft.com/office/officeart/2005/8/layout/hierarchy1"/>
    <dgm:cxn modelId="{9EE8F596-B1A7-4109-AB67-13B9A1C5D166}" type="presParOf" srcId="{A2A36E2C-E4C6-4518-8FC2-216C81B64303}" destId="{06A99070-ACBA-4501-B979-7B2E3445977C}" srcOrd="0" destOrd="0" presId="urn:microsoft.com/office/officeart/2005/8/layout/hierarchy1"/>
    <dgm:cxn modelId="{BF6DB044-71E2-41B2-A0B3-D17312EED8B5}" type="presParOf" srcId="{A2A36E2C-E4C6-4518-8FC2-216C81B64303}" destId="{F5DFA7EE-8758-4220-AEF2-819A399EFF15}" srcOrd="1" destOrd="0" presId="urn:microsoft.com/office/officeart/2005/8/layout/hierarchy1"/>
    <dgm:cxn modelId="{FB628D74-34C1-407A-B4FB-E0CC6325CD53}" type="presParOf" srcId="{4491BF32-69D1-4E4F-92F8-323AD80E9896}" destId="{10A6B766-062A-486E-81EC-ED0F61EAAAFB}" srcOrd="1" destOrd="0" presId="urn:microsoft.com/office/officeart/2005/8/layout/hierarchy1"/>
    <dgm:cxn modelId="{7C08C9ED-5560-496C-8AA8-8C957546A831}" type="presParOf" srcId="{10A6B766-062A-486E-81EC-ED0F61EAAAFB}" destId="{C85C196C-B444-4A1D-A284-E63A5DEEA70B}" srcOrd="0" destOrd="0" presId="urn:microsoft.com/office/officeart/2005/8/layout/hierarchy1"/>
    <dgm:cxn modelId="{FA4999E3-2C49-4DCE-AEFA-2A2295FD32A5}" type="presParOf" srcId="{10A6B766-062A-486E-81EC-ED0F61EAAAFB}" destId="{6E4B91FF-4026-40C1-8293-1ABCA1F3CF78}" srcOrd="1" destOrd="0" presId="urn:microsoft.com/office/officeart/2005/8/layout/hierarchy1"/>
    <dgm:cxn modelId="{88BBFBA4-5366-47F2-B272-92532EF745D4}" type="presParOf" srcId="{6E4B91FF-4026-40C1-8293-1ABCA1F3CF78}" destId="{37009F30-5490-47C8-8D5E-33F90CB9FB0A}" srcOrd="0" destOrd="0" presId="urn:microsoft.com/office/officeart/2005/8/layout/hierarchy1"/>
    <dgm:cxn modelId="{D71273F2-6F5B-4477-88F7-FAD8D9F602F7}" type="presParOf" srcId="{37009F30-5490-47C8-8D5E-33F90CB9FB0A}" destId="{4413ACEB-9430-4591-9C1B-413CE27CDBB5}" srcOrd="0" destOrd="0" presId="urn:microsoft.com/office/officeart/2005/8/layout/hierarchy1"/>
    <dgm:cxn modelId="{90E4DE93-5B48-474B-944F-D2601F04B507}" type="presParOf" srcId="{37009F30-5490-47C8-8D5E-33F90CB9FB0A}" destId="{5A2023FD-6580-426B-91AB-2F1CD747678F}" srcOrd="1" destOrd="0" presId="urn:microsoft.com/office/officeart/2005/8/layout/hierarchy1"/>
    <dgm:cxn modelId="{137275CA-0A58-4F5A-92D1-28E7ADB9D894}" type="presParOf" srcId="{6E4B91FF-4026-40C1-8293-1ABCA1F3CF78}" destId="{DBA2F9DF-41C7-43EB-8559-2674753147F0}" srcOrd="1" destOrd="0" presId="urn:microsoft.com/office/officeart/2005/8/layout/hierarchy1"/>
    <dgm:cxn modelId="{C18A7673-2222-4825-A53E-A7B7CA0FF8D8}" type="presParOf" srcId="{DBA2F9DF-41C7-43EB-8559-2674753147F0}" destId="{61A2B8AB-B01A-474B-9FC7-B7E70FDD65E7}" srcOrd="0" destOrd="0" presId="urn:microsoft.com/office/officeart/2005/8/layout/hierarchy1"/>
    <dgm:cxn modelId="{14170633-35B7-40EF-882D-67509657DFC7}" type="presParOf" srcId="{DBA2F9DF-41C7-43EB-8559-2674753147F0}" destId="{1127B477-59DC-4705-AECA-B872DAF5226D}" srcOrd="1" destOrd="0" presId="urn:microsoft.com/office/officeart/2005/8/layout/hierarchy1"/>
    <dgm:cxn modelId="{AFC051C3-87D4-47BA-8A16-154382B7F454}" type="presParOf" srcId="{1127B477-59DC-4705-AECA-B872DAF5226D}" destId="{B2E1FAFD-5107-46F0-8FAA-B70D11AD0D70}" srcOrd="0" destOrd="0" presId="urn:microsoft.com/office/officeart/2005/8/layout/hierarchy1"/>
    <dgm:cxn modelId="{C6679C71-CA80-4D92-8133-E305330D185B}" type="presParOf" srcId="{B2E1FAFD-5107-46F0-8FAA-B70D11AD0D70}" destId="{7FAB7254-BEEC-458E-9759-7A13EA33695E}" srcOrd="0" destOrd="0" presId="urn:microsoft.com/office/officeart/2005/8/layout/hierarchy1"/>
    <dgm:cxn modelId="{9C896DD4-9A24-42DD-90B0-2C91F90DC2F3}" type="presParOf" srcId="{B2E1FAFD-5107-46F0-8FAA-B70D11AD0D70}" destId="{695F7FD3-3230-496F-AE1D-FBD28A0DE1AA}" srcOrd="1" destOrd="0" presId="urn:microsoft.com/office/officeart/2005/8/layout/hierarchy1"/>
    <dgm:cxn modelId="{EF05F40E-CA2D-45D2-AF10-99CA02C46CF7}" type="presParOf" srcId="{1127B477-59DC-4705-AECA-B872DAF5226D}" destId="{42F55EC6-CE15-4D3C-9E8C-B83F1CFE17BB}" srcOrd="1" destOrd="0" presId="urn:microsoft.com/office/officeart/2005/8/layout/hierarchy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F83CE7-915C-472F-B554-0E370D049E2E}">
      <dsp:nvSpPr>
        <dsp:cNvPr id="0" name=""/>
        <dsp:cNvSpPr/>
      </dsp:nvSpPr>
      <dsp:spPr>
        <a:xfrm rot="5400000">
          <a:off x="-61756" y="63444"/>
          <a:ext cx="411712" cy="288198"/>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latin typeface="Arial" pitchFamily="34" charset="0"/>
              <a:cs typeface="Arial" pitchFamily="34" charset="0"/>
            </a:rPr>
            <a:t>1</a:t>
          </a:r>
          <a:endParaRPr lang="en-US" sz="1100" kern="1200" dirty="0">
            <a:latin typeface="Arial" pitchFamily="34" charset="0"/>
            <a:cs typeface="Arial" pitchFamily="34" charset="0"/>
          </a:endParaRPr>
        </a:p>
      </dsp:txBody>
      <dsp:txXfrm rot="-5400000">
        <a:off x="1" y="145786"/>
        <a:ext cx="288198" cy="123514"/>
      </dsp:txXfrm>
    </dsp:sp>
    <dsp:sp modelId="{62812799-AABD-4A21-93A4-AD555DB633E8}">
      <dsp:nvSpPr>
        <dsp:cNvPr id="0" name=""/>
        <dsp:cNvSpPr/>
      </dsp:nvSpPr>
      <dsp:spPr>
        <a:xfrm rot="5400000">
          <a:off x="2648914" y="-2359028"/>
          <a:ext cx="267753" cy="4989186"/>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Define Strategic Objectives </a:t>
          </a:r>
          <a:r>
            <a:rPr lang="en-US" sz="1100" b="0" kern="1200" dirty="0">
              <a:latin typeface="Arial" pitchFamily="34" charset="0"/>
              <a:cs typeface="Arial" pitchFamily="34" charset="0"/>
            </a:rPr>
            <a:t>- Terms of Reference, EU and National Policy   </a:t>
          </a:r>
        </a:p>
      </dsp:txBody>
      <dsp:txXfrm rot="-5400000">
        <a:off x="288198" y="14759"/>
        <a:ext cx="4976115" cy="241611"/>
      </dsp:txXfrm>
    </dsp:sp>
    <dsp:sp modelId="{93F1382B-0A60-4B1A-9F37-41ED8F2C8AFB}">
      <dsp:nvSpPr>
        <dsp:cNvPr id="0" name=""/>
        <dsp:cNvSpPr/>
      </dsp:nvSpPr>
      <dsp:spPr>
        <a:xfrm rot="5400000">
          <a:off x="-61756" y="358483"/>
          <a:ext cx="411712" cy="288198"/>
        </a:xfrm>
        <a:prstGeom prst="chevron">
          <a:avLst/>
        </a:prstGeom>
        <a:solidFill>
          <a:schemeClr val="accent5">
            <a:hueOff val="-1986775"/>
            <a:satOff val="7962"/>
            <a:lumOff val="1726"/>
            <a:alphaOff val="0"/>
          </a:schemeClr>
        </a:solidFill>
        <a:ln w="25400" cap="flat" cmpd="sng" algn="ctr">
          <a:solidFill>
            <a:schemeClr val="accent5">
              <a:hueOff val="-1986775"/>
              <a:satOff val="7962"/>
              <a:lumOff val="172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2</a:t>
          </a:r>
          <a:endParaRPr lang="en-US" sz="1100" kern="1200" dirty="0">
            <a:latin typeface="Arial" pitchFamily="34" charset="0"/>
            <a:cs typeface="Arial" pitchFamily="34" charset="0"/>
          </a:endParaRPr>
        </a:p>
      </dsp:txBody>
      <dsp:txXfrm rot="-5400000">
        <a:off x="1" y="440825"/>
        <a:ext cx="288198" cy="123514"/>
      </dsp:txXfrm>
    </dsp:sp>
    <dsp:sp modelId="{2CD26095-C867-4A82-BE5C-196FA755AA8B}">
      <dsp:nvSpPr>
        <dsp:cNvPr id="0" name=""/>
        <dsp:cNvSpPr/>
      </dsp:nvSpPr>
      <dsp:spPr>
        <a:xfrm rot="5400000">
          <a:off x="2648985" y="-2064059"/>
          <a:ext cx="267613" cy="4989186"/>
        </a:xfrm>
        <a:prstGeom prst="round2SameRect">
          <a:avLst/>
        </a:prstGeom>
        <a:solidFill>
          <a:schemeClr val="lt1">
            <a:alpha val="90000"/>
            <a:hueOff val="0"/>
            <a:satOff val="0"/>
            <a:lumOff val="0"/>
            <a:alphaOff val="0"/>
          </a:schemeClr>
        </a:solidFill>
        <a:ln w="25400" cap="flat" cmpd="sng" algn="ctr">
          <a:solidFill>
            <a:schemeClr val="accent5">
              <a:hueOff val="-1986775"/>
              <a:satOff val="7962"/>
              <a:lumOff val="172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Problem Definition - </a:t>
          </a:r>
          <a:r>
            <a:rPr lang="en-US" sz="1100" b="0" kern="1200" dirty="0">
              <a:latin typeface="Arial" pitchFamily="34" charset="0"/>
              <a:cs typeface="Arial" pitchFamily="34" charset="0"/>
            </a:rPr>
            <a:t>Identification of </a:t>
          </a:r>
          <a:r>
            <a:rPr lang="en-GB" sz="1100" b="0" kern="1200" dirty="0" smtClean="0">
              <a:latin typeface="Arial" pitchFamily="34" charset="0"/>
              <a:cs typeface="Arial" pitchFamily="34" charset="0"/>
            </a:rPr>
            <a:t>Underlying Causes</a:t>
          </a:r>
          <a:endParaRPr lang="en-US" sz="1100" b="0" kern="1200" dirty="0">
            <a:latin typeface="Arial" pitchFamily="34" charset="0"/>
            <a:cs typeface="Arial" pitchFamily="34" charset="0"/>
          </a:endParaRPr>
        </a:p>
      </dsp:txBody>
      <dsp:txXfrm rot="-5400000">
        <a:off x="288199" y="309791"/>
        <a:ext cx="4976122" cy="241485"/>
      </dsp:txXfrm>
    </dsp:sp>
    <dsp:sp modelId="{355AFB59-7FEE-45C9-BD8E-543AA1B1DBA6}">
      <dsp:nvSpPr>
        <dsp:cNvPr id="0" name=""/>
        <dsp:cNvSpPr/>
      </dsp:nvSpPr>
      <dsp:spPr>
        <a:xfrm rot="5400000">
          <a:off x="-61756" y="653523"/>
          <a:ext cx="411712" cy="288198"/>
        </a:xfrm>
        <a:prstGeom prst="chevron">
          <a:avLst/>
        </a:prstGeom>
        <a:solidFill>
          <a:schemeClr val="accent5">
            <a:hueOff val="-3973551"/>
            <a:satOff val="15924"/>
            <a:lumOff val="3451"/>
            <a:alphaOff val="0"/>
          </a:schemeClr>
        </a:solidFill>
        <a:ln w="25400" cap="flat" cmpd="sng" algn="ctr">
          <a:solidFill>
            <a:schemeClr val="accent5">
              <a:hueOff val="-3973551"/>
              <a:satOff val="15924"/>
              <a:lumOff val="3451"/>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3</a:t>
          </a:r>
          <a:endParaRPr lang="en-US" sz="1100" kern="1200" dirty="0">
            <a:latin typeface="Arial" pitchFamily="34" charset="0"/>
            <a:cs typeface="Arial" pitchFamily="34" charset="0"/>
          </a:endParaRPr>
        </a:p>
      </dsp:txBody>
      <dsp:txXfrm rot="-5400000">
        <a:off x="1" y="735865"/>
        <a:ext cx="288198" cy="123514"/>
      </dsp:txXfrm>
    </dsp:sp>
    <dsp:sp modelId="{4A11D631-08EA-46FB-B4E2-5804B253B6C1}">
      <dsp:nvSpPr>
        <dsp:cNvPr id="0" name=""/>
        <dsp:cNvSpPr/>
      </dsp:nvSpPr>
      <dsp:spPr>
        <a:xfrm rot="5400000">
          <a:off x="2648985" y="-1769020"/>
          <a:ext cx="267613" cy="4989186"/>
        </a:xfrm>
        <a:prstGeom prst="round2SameRect">
          <a:avLst/>
        </a:prstGeom>
        <a:solidFill>
          <a:schemeClr val="lt1">
            <a:alpha val="90000"/>
            <a:hueOff val="0"/>
            <a:satOff val="0"/>
            <a:lumOff val="0"/>
            <a:alphaOff val="0"/>
          </a:schemeClr>
        </a:solidFill>
        <a:ln w="25400" cap="flat" cmpd="sng" algn="ctr">
          <a:solidFill>
            <a:schemeClr val="accent5">
              <a:hueOff val="-3973551"/>
              <a:satOff val="15924"/>
              <a:lumOff val="345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Operational Objectives </a:t>
          </a:r>
          <a:r>
            <a:rPr lang="en-US" sz="1100" b="0" kern="1200" dirty="0">
              <a:latin typeface="Arial" pitchFamily="34" charset="0"/>
              <a:cs typeface="Arial" pitchFamily="34" charset="0"/>
            </a:rPr>
            <a:t>- Specific Objectives based on Problem Analysis</a:t>
          </a:r>
        </a:p>
      </dsp:txBody>
      <dsp:txXfrm rot="-5400000">
        <a:off x="288199" y="604830"/>
        <a:ext cx="4976122" cy="241485"/>
      </dsp:txXfrm>
    </dsp:sp>
    <dsp:sp modelId="{55C14763-561B-417C-BAFC-392AB3A41B43}">
      <dsp:nvSpPr>
        <dsp:cNvPr id="0" name=""/>
        <dsp:cNvSpPr/>
      </dsp:nvSpPr>
      <dsp:spPr>
        <a:xfrm rot="5400000">
          <a:off x="-61756" y="948562"/>
          <a:ext cx="411712" cy="288198"/>
        </a:xfrm>
        <a:prstGeom prst="chevron">
          <a:avLst/>
        </a:prstGeom>
        <a:solidFill>
          <a:schemeClr val="accent5">
            <a:hueOff val="-5960326"/>
            <a:satOff val="23887"/>
            <a:lumOff val="5177"/>
            <a:alphaOff val="0"/>
          </a:schemeClr>
        </a:solidFill>
        <a:ln w="25400" cap="flat" cmpd="sng" algn="ctr">
          <a:solidFill>
            <a:schemeClr val="accent5">
              <a:hueOff val="-5960326"/>
              <a:satOff val="23887"/>
              <a:lumOff val="5177"/>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4</a:t>
          </a:r>
          <a:endParaRPr lang="en-US" sz="1100" kern="1200" dirty="0">
            <a:latin typeface="Arial" pitchFamily="34" charset="0"/>
            <a:cs typeface="Arial" pitchFamily="34" charset="0"/>
          </a:endParaRPr>
        </a:p>
      </dsp:txBody>
      <dsp:txXfrm rot="-5400000">
        <a:off x="1" y="1030904"/>
        <a:ext cx="288198" cy="123514"/>
      </dsp:txXfrm>
    </dsp:sp>
    <dsp:sp modelId="{5AFEABA6-E003-4B2F-AB64-3524F98E34AF}">
      <dsp:nvSpPr>
        <dsp:cNvPr id="0" name=""/>
        <dsp:cNvSpPr/>
      </dsp:nvSpPr>
      <dsp:spPr>
        <a:xfrm rot="5400000">
          <a:off x="2648985" y="-1473981"/>
          <a:ext cx="267613" cy="4989186"/>
        </a:xfrm>
        <a:prstGeom prst="round2SameRect">
          <a:avLst/>
        </a:prstGeom>
        <a:solidFill>
          <a:schemeClr val="lt1">
            <a:alpha val="90000"/>
            <a:hueOff val="0"/>
            <a:satOff val="0"/>
            <a:lumOff val="0"/>
            <a:alphaOff val="0"/>
          </a:schemeClr>
        </a:solidFill>
        <a:ln w="25400" cap="flat" cmpd="sng" algn="ctr">
          <a:solidFill>
            <a:schemeClr val="accent5">
              <a:hueOff val="-5960326"/>
              <a:satOff val="23887"/>
              <a:lumOff val="517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Project Generation </a:t>
          </a:r>
          <a:r>
            <a:rPr lang="en-US" sz="1100" b="0" kern="1200" dirty="0">
              <a:latin typeface="Arial" pitchFamily="34" charset="0"/>
              <a:cs typeface="Arial" pitchFamily="34" charset="0"/>
            </a:rPr>
            <a:t>- Interventions </a:t>
          </a:r>
          <a:r>
            <a:rPr lang="en-US" sz="1100" b="0" kern="1200" dirty="0" smtClean="0">
              <a:latin typeface="Arial" pitchFamily="34" charset="0"/>
              <a:cs typeface="Arial" pitchFamily="34" charset="0"/>
            </a:rPr>
            <a:t>Generated </a:t>
          </a:r>
          <a:r>
            <a:rPr lang="en-US" sz="1100" b="0" kern="1200" dirty="0">
              <a:latin typeface="Arial" pitchFamily="34" charset="0"/>
              <a:cs typeface="Arial" pitchFamily="34" charset="0"/>
            </a:rPr>
            <a:t>from Problems and Objectives</a:t>
          </a:r>
        </a:p>
      </dsp:txBody>
      <dsp:txXfrm rot="-5400000">
        <a:off x="288199" y="899869"/>
        <a:ext cx="4976122" cy="241485"/>
      </dsp:txXfrm>
    </dsp:sp>
    <dsp:sp modelId="{9F061FFC-2C23-46FF-BACD-E0526EEDDD18}">
      <dsp:nvSpPr>
        <dsp:cNvPr id="0" name=""/>
        <dsp:cNvSpPr/>
      </dsp:nvSpPr>
      <dsp:spPr>
        <a:xfrm rot="5400000">
          <a:off x="-61756" y="1243601"/>
          <a:ext cx="411712" cy="288198"/>
        </a:xfrm>
        <a:prstGeom prst="chevron">
          <a:avLst/>
        </a:prstGeom>
        <a:solidFill>
          <a:schemeClr val="accent5">
            <a:hueOff val="-7947101"/>
            <a:satOff val="31849"/>
            <a:lumOff val="6902"/>
            <a:alphaOff val="0"/>
          </a:schemeClr>
        </a:solidFill>
        <a:ln w="25400" cap="flat" cmpd="sng" algn="ctr">
          <a:solidFill>
            <a:schemeClr val="accent5">
              <a:hueOff val="-7947101"/>
              <a:satOff val="31849"/>
              <a:lumOff val="6902"/>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5</a:t>
          </a:r>
          <a:endParaRPr lang="en-US" sz="1100" kern="1200" dirty="0">
            <a:latin typeface="Arial" pitchFamily="34" charset="0"/>
            <a:cs typeface="Arial" pitchFamily="34" charset="0"/>
          </a:endParaRPr>
        </a:p>
      </dsp:txBody>
      <dsp:txXfrm rot="-5400000">
        <a:off x="1" y="1325943"/>
        <a:ext cx="288198" cy="123514"/>
      </dsp:txXfrm>
    </dsp:sp>
    <dsp:sp modelId="{C0077F2A-C885-4990-A41B-9F4741AB35FF}">
      <dsp:nvSpPr>
        <dsp:cNvPr id="0" name=""/>
        <dsp:cNvSpPr/>
      </dsp:nvSpPr>
      <dsp:spPr>
        <a:xfrm rot="5400000">
          <a:off x="2648985" y="-1178942"/>
          <a:ext cx="267613" cy="4989186"/>
        </a:xfrm>
        <a:prstGeom prst="round2SameRect">
          <a:avLst/>
        </a:prstGeom>
        <a:solidFill>
          <a:schemeClr val="lt1">
            <a:alpha val="90000"/>
            <a:hueOff val="0"/>
            <a:satOff val="0"/>
            <a:lumOff val="0"/>
            <a:alphaOff val="0"/>
          </a:schemeClr>
        </a:solidFill>
        <a:ln w="25400" cap="flat" cmpd="sng" algn="ctr">
          <a:solidFill>
            <a:schemeClr val="accent5">
              <a:hueOff val="-7947101"/>
              <a:satOff val="31849"/>
              <a:lumOff val="690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Appraisal </a:t>
          </a:r>
          <a:r>
            <a:rPr lang="en-US" sz="1100" b="0" kern="1200" dirty="0">
              <a:latin typeface="Arial" pitchFamily="34" charset="0"/>
              <a:cs typeface="Arial" pitchFamily="34" charset="0"/>
            </a:rPr>
            <a:t>-  Screening/</a:t>
          </a:r>
          <a:r>
            <a:rPr lang="en-US" sz="1100" b="0" kern="1200" dirty="0" err="1">
              <a:latin typeface="Arial" pitchFamily="34" charset="0"/>
              <a:cs typeface="Arial" pitchFamily="34" charset="0"/>
            </a:rPr>
            <a:t>Shortlisting</a:t>
          </a:r>
          <a:r>
            <a:rPr lang="en-US" sz="1100" b="0" kern="1200" dirty="0">
              <a:latin typeface="Arial" pitchFamily="34" charset="0"/>
              <a:cs typeface="Arial" pitchFamily="34" charset="0"/>
            </a:rPr>
            <a:t>/Preliminary </a:t>
          </a:r>
          <a:r>
            <a:rPr lang="en-US" sz="1100" b="0" kern="1200" dirty="0" smtClean="0">
              <a:latin typeface="Arial" pitchFamily="34" charset="0"/>
              <a:cs typeface="Arial" pitchFamily="34" charset="0"/>
            </a:rPr>
            <a:t>Appraisal (CBA &amp; MCA)</a:t>
          </a:r>
          <a:endParaRPr lang="en-US" sz="1100" b="0" kern="1200" dirty="0">
            <a:latin typeface="Arial" pitchFamily="34" charset="0"/>
            <a:cs typeface="Arial" pitchFamily="34" charset="0"/>
          </a:endParaRPr>
        </a:p>
      </dsp:txBody>
      <dsp:txXfrm rot="-5400000">
        <a:off x="288199" y="1194908"/>
        <a:ext cx="4976122" cy="241485"/>
      </dsp:txXfrm>
    </dsp:sp>
    <dsp:sp modelId="{2FE67F26-CC29-4E17-A677-50E239ACD0FE}">
      <dsp:nvSpPr>
        <dsp:cNvPr id="0" name=""/>
        <dsp:cNvSpPr/>
      </dsp:nvSpPr>
      <dsp:spPr>
        <a:xfrm rot="5400000">
          <a:off x="-61756" y="1538640"/>
          <a:ext cx="411712" cy="288198"/>
        </a:xfrm>
        <a:prstGeom prst="chevron">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6</a:t>
          </a:r>
          <a:endParaRPr lang="en-US" sz="1100" kern="1200" dirty="0">
            <a:latin typeface="Arial" pitchFamily="34" charset="0"/>
            <a:cs typeface="Arial" pitchFamily="34" charset="0"/>
          </a:endParaRPr>
        </a:p>
      </dsp:txBody>
      <dsp:txXfrm rot="-5400000">
        <a:off x="1" y="1620982"/>
        <a:ext cx="288198" cy="123514"/>
      </dsp:txXfrm>
    </dsp:sp>
    <dsp:sp modelId="{1334332E-0DD4-4749-BA8F-912239E89539}">
      <dsp:nvSpPr>
        <dsp:cNvPr id="0" name=""/>
        <dsp:cNvSpPr/>
      </dsp:nvSpPr>
      <dsp:spPr>
        <a:xfrm rot="5400000">
          <a:off x="2648985" y="-883903"/>
          <a:ext cx="267613" cy="4989186"/>
        </a:xfrm>
        <a:prstGeom prst="round2Same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1" kern="1200" dirty="0">
              <a:latin typeface="Arial" pitchFamily="34" charset="0"/>
              <a:cs typeface="Arial" pitchFamily="34" charset="0"/>
            </a:rPr>
            <a:t>Develop Master Plan Scenarios </a:t>
          </a:r>
          <a:r>
            <a:rPr lang="en-US" sz="1100" b="0" kern="1200" dirty="0" smtClean="0">
              <a:latin typeface="Arial" pitchFamily="34" charset="0"/>
              <a:cs typeface="Arial" pitchFamily="34" charset="0"/>
            </a:rPr>
            <a:t>– Economy &amp; Economy + Environment</a:t>
          </a:r>
          <a:endParaRPr lang="en-US" sz="1100" b="0" kern="1200" dirty="0">
            <a:latin typeface="Arial" pitchFamily="34" charset="0"/>
            <a:cs typeface="Arial" pitchFamily="34" charset="0"/>
          </a:endParaRPr>
        </a:p>
      </dsp:txBody>
      <dsp:txXfrm rot="-5400000">
        <a:off x="288199" y="1489947"/>
        <a:ext cx="4976122" cy="2414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A2B8AB-B01A-474B-9FC7-B7E70FDD65E7}">
      <dsp:nvSpPr>
        <dsp:cNvPr id="0" name=""/>
        <dsp:cNvSpPr/>
      </dsp:nvSpPr>
      <dsp:spPr>
        <a:xfrm>
          <a:off x="3782799" y="5474164"/>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85C196C-B444-4A1D-A284-E63A5DEEA70B}">
      <dsp:nvSpPr>
        <dsp:cNvPr id="0" name=""/>
        <dsp:cNvSpPr/>
      </dsp:nvSpPr>
      <dsp:spPr>
        <a:xfrm>
          <a:off x="3782799" y="4910647"/>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2BA890B-9536-4299-96C9-B269755FC175}">
      <dsp:nvSpPr>
        <dsp:cNvPr id="0" name=""/>
        <dsp:cNvSpPr/>
      </dsp:nvSpPr>
      <dsp:spPr>
        <a:xfrm>
          <a:off x="3078802" y="4347129"/>
          <a:ext cx="749717" cy="213419"/>
        </a:xfrm>
        <a:custGeom>
          <a:avLst/>
          <a:gdLst/>
          <a:ahLst/>
          <a:cxnLst/>
          <a:rect l="0" t="0" r="0" b="0"/>
          <a:pathLst>
            <a:path>
              <a:moveTo>
                <a:pt x="0" y="0"/>
              </a:moveTo>
              <a:lnTo>
                <a:pt x="0" y="145439"/>
              </a:lnTo>
              <a:lnTo>
                <a:pt x="749717" y="145439"/>
              </a:lnTo>
              <a:lnTo>
                <a:pt x="749717"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EEE3088-488D-41C4-A436-3B39588435A3}">
      <dsp:nvSpPr>
        <dsp:cNvPr id="0" name=""/>
        <dsp:cNvSpPr/>
      </dsp:nvSpPr>
      <dsp:spPr>
        <a:xfrm>
          <a:off x="2289804" y="4910647"/>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1B0DA20-A8AA-4951-B75E-C698A3AF4642}">
      <dsp:nvSpPr>
        <dsp:cNvPr id="0" name=""/>
        <dsp:cNvSpPr/>
      </dsp:nvSpPr>
      <dsp:spPr>
        <a:xfrm>
          <a:off x="2335524" y="4347129"/>
          <a:ext cx="743277" cy="213419"/>
        </a:xfrm>
        <a:custGeom>
          <a:avLst/>
          <a:gdLst/>
          <a:ahLst/>
          <a:cxnLst/>
          <a:rect l="0" t="0" r="0" b="0"/>
          <a:pathLst>
            <a:path>
              <a:moveTo>
                <a:pt x="743277" y="0"/>
              </a:moveTo>
              <a:lnTo>
                <a:pt x="743277" y="145439"/>
              </a:lnTo>
              <a:lnTo>
                <a:pt x="0" y="145439"/>
              </a:lnTo>
              <a:lnTo>
                <a:pt x="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DEC9BE2-C60F-4893-A5E1-C3E8EF8AA37C}">
      <dsp:nvSpPr>
        <dsp:cNvPr id="0" name=""/>
        <dsp:cNvSpPr/>
      </dsp:nvSpPr>
      <dsp:spPr>
        <a:xfrm>
          <a:off x="3033082" y="3315240"/>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2A0630E-4A05-444A-AFD2-C9B0AF667B0B}">
      <dsp:nvSpPr>
        <dsp:cNvPr id="0" name=""/>
        <dsp:cNvSpPr/>
      </dsp:nvSpPr>
      <dsp:spPr>
        <a:xfrm>
          <a:off x="3033082" y="2712515"/>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2C9DDC87-9A0A-4128-BEF4-BA278FA9F451}">
      <dsp:nvSpPr>
        <dsp:cNvPr id="0" name=""/>
        <dsp:cNvSpPr/>
      </dsp:nvSpPr>
      <dsp:spPr>
        <a:xfrm>
          <a:off x="2291811" y="2271442"/>
          <a:ext cx="786991" cy="213419"/>
        </a:xfrm>
        <a:custGeom>
          <a:avLst/>
          <a:gdLst/>
          <a:ahLst/>
          <a:cxnLst/>
          <a:rect l="0" t="0" r="0" b="0"/>
          <a:pathLst>
            <a:path>
              <a:moveTo>
                <a:pt x="0" y="0"/>
              </a:moveTo>
              <a:lnTo>
                <a:pt x="0" y="145439"/>
              </a:lnTo>
              <a:lnTo>
                <a:pt x="786991" y="145439"/>
              </a:lnTo>
              <a:lnTo>
                <a:pt x="786991"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2AF8BCE-BABF-4FDA-ADD6-9772BE13A31E}">
      <dsp:nvSpPr>
        <dsp:cNvPr id="0" name=""/>
        <dsp:cNvSpPr/>
      </dsp:nvSpPr>
      <dsp:spPr>
        <a:xfrm>
          <a:off x="1427728" y="2714668"/>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068E995D-CD4F-430E-B694-60F864789F69}">
      <dsp:nvSpPr>
        <dsp:cNvPr id="0" name=""/>
        <dsp:cNvSpPr/>
      </dsp:nvSpPr>
      <dsp:spPr>
        <a:xfrm>
          <a:off x="1473448" y="2271442"/>
          <a:ext cx="818362" cy="213419"/>
        </a:xfrm>
        <a:custGeom>
          <a:avLst/>
          <a:gdLst/>
          <a:ahLst/>
          <a:cxnLst/>
          <a:rect l="0" t="0" r="0" b="0"/>
          <a:pathLst>
            <a:path>
              <a:moveTo>
                <a:pt x="818362" y="0"/>
              </a:moveTo>
              <a:lnTo>
                <a:pt x="818362" y="145439"/>
              </a:lnTo>
              <a:lnTo>
                <a:pt x="0" y="145439"/>
              </a:lnTo>
              <a:lnTo>
                <a:pt x="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D366AF8-F9FA-41C9-A43B-BF3265A435B6}">
      <dsp:nvSpPr>
        <dsp:cNvPr id="0" name=""/>
        <dsp:cNvSpPr/>
      </dsp:nvSpPr>
      <dsp:spPr>
        <a:xfrm>
          <a:off x="2246091" y="1113394"/>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4D40AC4-022A-4D58-90B0-F68BB2D86AA6}">
      <dsp:nvSpPr>
        <dsp:cNvPr id="0" name=""/>
        <dsp:cNvSpPr/>
      </dsp:nvSpPr>
      <dsp:spPr>
        <a:xfrm>
          <a:off x="2246091" y="661353"/>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EC82301-A429-49BE-A4CA-9152DF69FC69}">
      <dsp:nvSpPr>
        <dsp:cNvPr id="0" name=""/>
        <dsp:cNvSpPr/>
      </dsp:nvSpPr>
      <dsp:spPr>
        <a:xfrm>
          <a:off x="2246091" y="226379"/>
          <a:ext cx="91440" cy="213419"/>
        </a:xfrm>
        <a:custGeom>
          <a:avLst/>
          <a:gdLst/>
          <a:ahLst/>
          <a:cxnLst/>
          <a:rect l="0" t="0" r="0" b="0"/>
          <a:pathLst>
            <a:path>
              <a:moveTo>
                <a:pt x="45720" y="0"/>
              </a:moveTo>
              <a:lnTo>
                <a:pt x="45720" y="213419"/>
              </a:lnTo>
            </a:path>
          </a:pathLst>
        </a:custGeom>
        <a:noFill/>
        <a:ln w="25400" cap="flat" cmpd="sng" algn="ctr">
          <a:solidFill>
            <a:srgbClr val="988F86"/>
          </a:solidFill>
          <a:prstDash val="solid"/>
        </a:ln>
        <a:effectLst/>
        <a:sp3d z="-40000" prstMaterial="matte"/>
      </dsp:spPr>
      <dsp:style>
        <a:lnRef idx="2">
          <a:scrgbClr r="0" g="0" b="0"/>
        </a:lnRef>
        <a:fillRef idx="0">
          <a:scrgbClr r="0" g="0" b="0"/>
        </a:fillRef>
        <a:effectRef idx="0">
          <a:scrgbClr r="0" g="0" b="0"/>
        </a:effectRef>
        <a:fontRef idx="minor"/>
      </dsp:style>
    </dsp:sp>
    <dsp:sp modelId="{E35CA196-18DD-4D91-85EF-411FFAC47438}">
      <dsp:nvSpPr>
        <dsp:cNvPr id="0" name=""/>
        <dsp:cNvSpPr/>
      </dsp:nvSpPr>
      <dsp:spPr>
        <a:xfrm>
          <a:off x="758050" y="1233"/>
          <a:ext cx="3067521" cy="225145"/>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6F9E952-EAAF-45A1-9E44-92C0F6C04663}">
      <dsp:nvSpPr>
        <dsp:cNvPr id="0" name=""/>
        <dsp:cNvSpPr/>
      </dsp:nvSpPr>
      <dsp:spPr>
        <a:xfrm>
          <a:off x="839586" y="78692"/>
          <a:ext cx="3067521" cy="225145"/>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1. Context analysis &amp; Project objectives</a:t>
          </a:r>
        </a:p>
      </dsp:txBody>
      <dsp:txXfrm>
        <a:off x="846180" y="85286"/>
        <a:ext cx="3054333" cy="211957"/>
      </dsp:txXfrm>
    </dsp:sp>
    <dsp:sp modelId="{5BD50AFA-67B0-4641-9335-35C64CA1AA05}">
      <dsp:nvSpPr>
        <dsp:cNvPr id="0" name=""/>
        <dsp:cNvSpPr/>
      </dsp:nvSpPr>
      <dsp:spPr>
        <a:xfrm>
          <a:off x="764856" y="439799"/>
          <a:ext cx="3053909" cy="221553"/>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760F31F-7774-468E-AB94-816C5E14B916}">
      <dsp:nvSpPr>
        <dsp:cNvPr id="0" name=""/>
        <dsp:cNvSpPr/>
      </dsp:nvSpPr>
      <dsp:spPr>
        <a:xfrm>
          <a:off x="846392" y="517258"/>
          <a:ext cx="3053909" cy="221553"/>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2. Project identification</a:t>
          </a:r>
        </a:p>
      </dsp:txBody>
      <dsp:txXfrm>
        <a:off x="852881" y="523747"/>
        <a:ext cx="3040931" cy="208575"/>
      </dsp:txXfrm>
    </dsp:sp>
    <dsp:sp modelId="{86FBFEDE-BC4F-4B3A-8E07-8458093392CA}">
      <dsp:nvSpPr>
        <dsp:cNvPr id="0" name=""/>
        <dsp:cNvSpPr/>
      </dsp:nvSpPr>
      <dsp:spPr>
        <a:xfrm>
          <a:off x="751717" y="874772"/>
          <a:ext cx="3080187" cy="238622"/>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186D19DC-3316-4A13-9286-79FEA0621543}">
      <dsp:nvSpPr>
        <dsp:cNvPr id="0" name=""/>
        <dsp:cNvSpPr/>
      </dsp:nvSpPr>
      <dsp:spPr>
        <a:xfrm>
          <a:off x="833253" y="952231"/>
          <a:ext cx="3080187" cy="238622"/>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3. Feasibility &amp; Option analysis</a:t>
          </a:r>
        </a:p>
      </dsp:txBody>
      <dsp:txXfrm>
        <a:off x="840242" y="959220"/>
        <a:ext cx="3066209" cy="224644"/>
      </dsp:txXfrm>
    </dsp:sp>
    <dsp:sp modelId="{BF28BADB-0665-4AE1-A06F-9EFB38406D50}">
      <dsp:nvSpPr>
        <dsp:cNvPr id="0" name=""/>
        <dsp:cNvSpPr/>
      </dsp:nvSpPr>
      <dsp:spPr>
        <a:xfrm>
          <a:off x="754883" y="1326814"/>
          <a:ext cx="3073854" cy="944628"/>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1B01F7C-9551-494D-B346-2CC34DA26F38}">
      <dsp:nvSpPr>
        <dsp:cNvPr id="0" name=""/>
        <dsp:cNvSpPr/>
      </dsp:nvSpPr>
      <dsp:spPr>
        <a:xfrm>
          <a:off x="836419" y="1404273"/>
          <a:ext cx="3073854" cy="944628"/>
        </a:xfrm>
        <a:prstGeom prst="roundRect">
          <a:avLst>
            <a:gd name="adj" fmla="val 10000"/>
          </a:avLst>
        </a:prstGeom>
        <a:solidFill>
          <a:srgbClr val="BDE5F1">
            <a:alpha val="90000"/>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b="1" kern="1200">
              <a:latin typeface="Arial" pitchFamily="34" charset="0"/>
              <a:cs typeface="Arial" pitchFamily="34" charset="0"/>
            </a:rPr>
            <a:t>4. Financial analysis</a:t>
          </a:r>
        </a:p>
        <a:p>
          <a:pPr lvl="0" algn="ctr" defTabSz="400050">
            <a:lnSpc>
              <a:spcPct val="90000"/>
            </a:lnSpc>
            <a:spcBef>
              <a:spcPct val="0"/>
            </a:spcBef>
            <a:spcAft>
              <a:spcPts val="0"/>
            </a:spcAft>
          </a:pPr>
          <a:r>
            <a:rPr lang="en-US" sz="900" kern="1200">
              <a:latin typeface="Arial" pitchFamily="34" charset="0"/>
              <a:cs typeface="Arial" pitchFamily="34" charset="0"/>
            </a:rPr>
            <a:t>- Investment cost;</a:t>
          </a:r>
        </a:p>
        <a:p>
          <a:pPr lvl="0" algn="ctr" defTabSz="400050">
            <a:lnSpc>
              <a:spcPct val="90000"/>
            </a:lnSpc>
            <a:spcBef>
              <a:spcPct val="0"/>
            </a:spcBef>
            <a:spcAft>
              <a:spcPts val="0"/>
            </a:spcAft>
          </a:pPr>
          <a:r>
            <a:rPr lang="en-US" sz="900" kern="1200">
              <a:latin typeface="Arial" pitchFamily="34" charset="0"/>
              <a:cs typeface="Arial" pitchFamily="34" charset="0"/>
            </a:rPr>
            <a:t>-Operating costs and revenues;</a:t>
          </a:r>
        </a:p>
        <a:p>
          <a:pPr lvl="0" algn="ctr" defTabSz="400050">
            <a:lnSpc>
              <a:spcPct val="90000"/>
            </a:lnSpc>
            <a:spcBef>
              <a:spcPct val="0"/>
            </a:spcBef>
            <a:spcAft>
              <a:spcPts val="0"/>
            </a:spcAft>
          </a:pPr>
          <a:r>
            <a:rPr lang="en-US" sz="900" kern="1200">
              <a:latin typeface="Arial" pitchFamily="34" charset="0"/>
              <a:cs typeface="Arial" pitchFamily="34" charset="0"/>
            </a:rPr>
            <a:t>- Financial return to investment;</a:t>
          </a:r>
        </a:p>
        <a:p>
          <a:pPr lvl="0" algn="ctr" defTabSz="400050">
            <a:lnSpc>
              <a:spcPct val="90000"/>
            </a:lnSpc>
            <a:spcBef>
              <a:spcPct val="0"/>
            </a:spcBef>
            <a:spcAft>
              <a:spcPts val="0"/>
            </a:spcAft>
          </a:pPr>
          <a:r>
            <a:rPr lang="en-US" sz="900" kern="1200">
              <a:latin typeface="Arial" pitchFamily="34" charset="0"/>
              <a:cs typeface="Arial" pitchFamily="34" charset="0"/>
            </a:rPr>
            <a:t>- Sources of financing;</a:t>
          </a:r>
        </a:p>
        <a:p>
          <a:pPr lvl="0" algn="ctr" defTabSz="400050">
            <a:lnSpc>
              <a:spcPct val="90000"/>
            </a:lnSpc>
            <a:spcBef>
              <a:spcPct val="0"/>
            </a:spcBef>
            <a:spcAft>
              <a:spcPts val="0"/>
            </a:spcAft>
          </a:pPr>
          <a:r>
            <a:rPr lang="en-US" sz="900" kern="1200">
              <a:latin typeface="Arial" pitchFamily="34" charset="0"/>
              <a:cs typeface="Arial" pitchFamily="34" charset="0"/>
            </a:rPr>
            <a:t>-Financial sustainability;</a:t>
          </a:r>
        </a:p>
        <a:p>
          <a:pPr lvl="0" algn="ctr" defTabSz="400050">
            <a:lnSpc>
              <a:spcPct val="90000"/>
            </a:lnSpc>
            <a:spcBef>
              <a:spcPct val="0"/>
            </a:spcBef>
            <a:spcAft>
              <a:spcPts val="0"/>
            </a:spcAft>
          </a:pPr>
          <a:r>
            <a:rPr lang="en-US" sz="900" kern="1200">
              <a:latin typeface="Arial" pitchFamily="34" charset="0"/>
              <a:cs typeface="Arial" pitchFamily="34" charset="0"/>
            </a:rPr>
            <a:t>-Financial return to capital.</a:t>
          </a:r>
        </a:p>
      </dsp:txBody>
      <dsp:txXfrm>
        <a:off x="864086" y="1431940"/>
        <a:ext cx="3018520" cy="889294"/>
      </dsp:txXfrm>
    </dsp:sp>
    <dsp:sp modelId="{508ACCC6-F5BA-4518-8873-090C6C652670}">
      <dsp:nvSpPr>
        <dsp:cNvPr id="0" name=""/>
        <dsp:cNvSpPr/>
      </dsp:nvSpPr>
      <dsp:spPr>
        <a:xfrm>
          <a:off x="767992" y="2484862"/>
          <a:ext cx="1410911" cy="229805"/>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D79EC751-DAD9-4812-9888-9ACA98EDF2E0}">
      <dsp:nvSpPr>
        <dsp:cNvPr id="0" name=""/>
        <dsp:cNvSpPr/>
      </dsp:nvSpPr>
      <dsp:spPr>
        <a:xfrm>
          <a:off x="849528" y="2562321"/>
          <a:ext cx="1410911" cy="229805"/>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If FNPV &gt; 0</a:t>
          </a:r>
        </a:p>
      </dsp:txBody>
      <dsp:txXfrm>
        <a:off x="856259" y="2569052"/>
        <a:ext cx="1397449" cy="216343"/>
      </dsp:txXfrm>
    </dsp:sp>
    <dsp:sp modelId="{A90A0D1D-69C3-48B3-9000-7612B41A6140}">
      <dsp:nvSpPr>
        <dsp:cNvPr id="0" name=""/>
        <dsp:cNvSpPr/>
      </dsp:nvSpPr>
      <dsp:spPr>
        <a:xfrm>
          <a:off x="725467" y="2928088"/>
          <a:ext cx="1495961" cy="385171"/>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097C97C-C141-42FF-8A21-6F9462CD4896}">
      <dsp:nvSpPr>
        <dsp:cNvPr id="0" name=""/>
        <dsp:cNvSpPr/>
      </dsp:nvSpPr>
      <dsp:spPr>
        <a:xfrm>
          <a:off x="807003" y="3005547"/>
          <a:ext cx="1495961" cy="385171"/>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i="1" kern="1200">
              <a:latin typeface="Arial" pitchFamily="34" charset="0"/>
              <a:cs typeface="Arial" pitchFamily="34" charset="0"/>
            </a:rPr>
            <a:t>The project does not require EU financial support</a:t>
          </a:r>
        </a:p>
      </dsp:txBody>
      <dsp:txXfrm>
        <a:off x="818284" y="3016828"/>
        <a:ext cx="1473399" cy="362609"/>
      </dsp:txXfrm>
    </dsp:sp>
    <dsp:sp modelId="{7CF523D5-CE15-4F72-B75C-B53DB8F13F0A}">
      <dsp:nvSpPr>
        <dsp:cNvPr id="0" name=""/>
        <dsp:cNvSpPr/>
      </dsp:nvSpPr>
      <dsp:spPr>
        <a:xfrm>
          <a:off x="2341976" y="2484862"/>
          <a:ext cx="1473653" cy="227652"/>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86B4F7E-8D44-4EF4-931D-C46B213D57C6}">
      <dsp:nvSpPr>
        <dsp:cNvPr id="0" name=""/>
        <dsp:cNvSpPr/>
      </dsp:nvSpPr>
      <dsp:spPr>
        <a:xfrm>
          <a:off x="2423511" y="2562321"/>
          <a:ext cx="1473653" cy="227652"/>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If FNPV &lt;0</a:t>
          </a:r>
        </a:p>
      </dsp:txBody>
      <dsp:txXfrm>
        <a:off x="2430179" y="2568989"/>
        <a:ext cx="1460317" cy="214316"/>
      </dsp:txXfrm>
    </dsp:sp>
    <dsp:sp modelId="{112CBC4A-9AA1-48CD-B2F2-FF20F0A5CB38}">
      <dsp:nvSpPr>
        <dsp:cNvPr id="0" name=""/>
        <dsp:cNvSpPr/>
      </dsp:nvSpPr>
      <dsp:spPr>
        <a:xfrm>
          <a:off x="2396003" y="2925935"/>
          <a:ext cx="1365598" cy="389304"/>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F5FA490-35EF-4788-BC86-78443252AB70}">
      <dsp:nvSpPr>
        <dsp:cNvPr id="0" name=""/>
        <dsp:cNvSpPr/>
      </dsp:nvSpPr>
      <dsp:spPr>
        <a:xfrm>
          <a:off x="2477539" y="3003394"/>
          <a:ext cx="1365598" cy="389304"/>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i="1" kern="1200">
              <a:latin typeface="Arial" pitchFamily="34" charset="0"/>
              <a:cs typeface="Arial" pitchFamily="34" charset="0"/>
            </a:rPr>
            <a:t>The project does</a:t>
          </a:r>
        </a:p>
        <a:p>
          <a:pPr lvl="0" algn="ctr" defTabSz="400050">
            <a:lnSpc>
              <a:spcPct val="90000"/>
            </a:lnSpc>
            <a:spcBef>
              <a:spcPct val="0"/>
            </a:spcBef>
            <a:spcAft>
              <a:spcPts val="0"/>
            </a:spcAft>
          </a:pPr>
          <a:r>
            <a:rPr lang="en-US" sz="900" i="1" kern="1200">
              <a:latin typeface="Arial" pitchFamily="34" charset="0"/>
              <a:cs typeface="Arial" pitchFamily="34" charset="0"/>
            </a:rPr>
            <a:t> require EU financial support</a:t>
          </a:r>
        </a:p>
      </dsp:txBody>
      <dsp:txXfrm>
        <a:off x="2488941" y="3014796"/>
        <a:ext cx="1342794" cy="366500"/>
      </dsp:txXfrm>
    </dsp:sp>
    <dsp:sp modelId="{C3680FB5-2AB3-4D5A-99DE-6B7D362F72EF}">
      <dsp:nvSpPr>
        <dsp:cNvPr id="0" name=""/>
        <dsp:cNvSpPr/>
      </dsp:nvSpPr>
      <dsp:spPr>
        <a:xfrm>
          <a:off x="1660252" y="3528660"/>
          <a:ext cx="2837101" cy="818469"/>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65B9CA51-84ED-4799-9D9D-7E9F32C63911}">
      <dsp:nvSpPr>
        <dsp:cNvPr id="0" name=""/>
        <dsp:cNvSpPr/>
      </dsp:nvSpPr>
      <dsp:spPr>
        <a:xfrm>
          <a:off x="1741787" y="3606119"/>
          <a:ext cx="2837101" cy="818469"/>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b="1" kern="1200">
              <a:latin typeface="Arial" pitchFamily="34" charset="0"/>
              <a:cs typeface="Arial" pitchFamily="34" charset="0"/>
            </a:rPr>
            <a:t>5. Economic analysis</a:t>
          </a:r>
        </a:p>
        <a:p>
          <a:pPr lvl="0" algn="l" defTabSz="400050">
            <a:lnSpc>
              <a:spcPct val="90000"/>
            </a:lnSpc>
            <a:spcBef>
              <a:spcPct val="0"/>
            </a:spcBef>
            <a:spcAft>
              <a:spcPts val="0"/>
            </a:spcAft>
          </a:pPr>
          <a:r>
            <a:rPr lang="en-US" sz="900" kern="1200">
              <a:latin typeface="Arial" pitchFamily="34" charset="0"/>
              <a:cs typeface="Arial" pitchFamily="34" charset="0"/>
            </a:rPr>
            <a:t>    -From market to accounting prices;</a:t>
          </a:r>
        </a:p>
        <a:p>
          <a:pPr lvl="0" algn="l" defTabSz="400050">
            <a:lnSpc>
              <a:spcPct val="90000"/>
            </a:lnSpc>
            <a:spcBef>
              <a:spcPct val="0"/>
            </a:spcBef>
            <a:spcAft>
              <a:spcPts val="0"/>
            </a:spcAft>
          </a:pPr>
          <a:r>
            <a:rPr lang="en-US" sz="900" kern="1200">
              <a:latin typeface="Arial" pitchFamily="34" charset="0"/>
              <a:cs typeface="Arial" pitchFamily="34" charset="0"/>
            </a:rPr>
            <a:t>    -Monetisation of non-market impacts;</a:t>
          </a:r>
        </a:p>
        <a:p>
          <a:pPr lvl="0" algn="l" defTabSz="400050">
            <a:lnSpc>
              <a:spcPct val="90000"/>
            </a:lnSpc>
            <a:spcBef>
              <a:spcPct val="0"/>
            </a:spcBef>
            <a:spcAft>
              <a:spcPts val="0"/>
            </a:spcAft>
          </a:pPr>
          <a:r>
            <a:rPr lang="en-US" sz="900" kern="1200">
              <a:latin typeface="Arial" pitchFamily="34" charset="0"/>
              <a:cs typeface="Arial" pitchFamily="34" charset="0"/>
            </a:rPr>
            <a:t>    -Inclusion of additional indirect effects;</a:t>
          </a:r>
        </a:p>
        <a:p>
          <a:pPr lvl="0" algn="l" defTabSz="400050">
            <a:lnSpc>
              <a:spcPct val="90000"/>
            </a:lnSpc>
            <a:spcBef>
              <a:spcPct val="0"/>
            </a:spcBef>
            <a:spcAft>
              <a:spcPts val="0"/>
            </a:spcAft>
          </a:pPr>
          <a:r>
            <a:rPr lang="en-US" sz="900" kern="1200">
              <a:latin typeface="Arial" pitchFamily="34" charset="0"/>
              <a:cs typeface="Arial" pitchFamily="34" charset="0"/>
            </a:rPr>
            <a:t>    -Social discounting;</a:t>
          </a:r>
        </a:p>
        <a:p>
          <a:pPr lvl="0" algn="l" defTabSz="400050">
            <a:lnSpc>
              <a:spcPct val="90000"/>
            </a:lnSpc>
            <a:spcBef>
              <a:spcPct val="0"/>
            </a:spcBef>
            <a:spcAft>
              <a:spcPts val="0"/>
            </a:spcAft>
          </a:pPr>
          <a:r>
            <a:rPr lang="en-US" sz="900" kern="1200">
              <a:latin typeface="Arial" pitchFamily="34" charset="0"/>
              <a:cs typeface="Arial" pitchFamily="34" charset="0"/>
            </a:rPr>
            <a:t>    -Calculation of economic performance indicators.</a:t>
          </a:r>
        </a:p>
      </dsp:txBody>
      <dsp:txXfrm>
        <a:off x="1765759" y="3630091"/>
        <a:ext cx="2789157" cy="770525"/>
      </dsp:txXfrm>
    </dsp:sp>
    <dsp:sp modelId="{B1081B2D-905F-4A46-B5CB-3BE31620AE0D}">
      <dsp:nvSpPr>
        <dsp:cNvPr id="0" name=""/>
        <dsp:cNvSpPr/>
      </dsp:nvSpPr>
      <dsp:spPr>
        <a:xfrm>
          <a:off x="1667343" y="4560549"/>
          <a:ext cx="1336362" cy="350097"/>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056F3F0-7262-444C-ABA8-4DD3F546BE2B}">
      <dsp:nvSpPr>
        <dsp:cNvPr id="0" name=""/>
        <dsp:cNvSpPr/>
      </dsp:nvSpPr>
      <dsp:spPr>
        <a:xfrm>
          <a:off x="1748879" y="4638008"/>
          <a:ext cx="1336362" cy="350097"/>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If ENPV &lt; 0</a:t>
          </a:r>
        </a:p>
      </dsp:txBody>
      <dsp:txXfrm>
        <a:off x="1759133" y="4648262"/>
        <a:ext cx="1315854" cy="329589"/>
      </dsp:txXfrm>
    </dsp:sp>
    <dsp:sp modelId="{B59065B0-7F58-4043-82D8-3568B129D0A8}">
      <dsp:nvSpPr>
        <dsp:cNvPr id="0" name=""/>
        <dsp:cNvSpPr/>
      </dsp:nvSpPr>
      <dsp:spPr>
        <a:xfrm>
          <a:off x="1683942" y="5124067"/>
          <a:ext cx="1303164" cy="350097"/>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1919BD5D-B387-4446-AD0C-932EA92DF99E}">
      <dsp:nvSpPr>
        <dsp:cNvPr id="0" name=""/>
        <dsp:cNvSpPr/>
      </dsp:nvSpPr>
      <dsp:spPr>
        <a:xfrm>
          <a:off x="1765478" y="5201526"/>
          <a:ext cx="1303164" cy="350097"/>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i="1" kern="1200">
              <a:latin typeface="Arial" pitchFamily="34" charset="0"/>
              <a:cs typeface="Arial" pitchFamily="34" charset="0"/>
            </a:rPr>
            <a:t>Society is better off without the project</a:t>
          </a:r>
        </a:p>
      </dsp:txBody>
      <dsp:txXfrm>
        <a:off x="1775732" y="5211780"/>
        <a:ext cx="1282656" cy="329589"/>
      </dsp:txXfrm>
    </dsp:sp>
    <dsp:sp modelId="{06A99070-ACBA-4501-B979-7B2E3445977C}">
      <dsp:nvSpPr>
        <dsp:cNvPr id="0" name=""/>
        <dsp:cNvSpPr/>
      </dsp:nvSpPr>
      <dsp:spPr>
        <a:xfrm>
          <a:off x="3166777" y="4560549"/>
          <a:ext cx="1323484" cy="350097"/>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F5DFA7EE-8758-4220-AEF2-819A399EFF15}">
      <dsp:nvSpPr>
        <dsp:cNvPr id="0" name=""/>
        <dsp:cNvSpPr/>
      </dsp:nvSpPr>
      <dsp:spPr>
        <a:xfrm>
          <a:off x="3248313" y="4638008"/>
          <a:ext cx="1323484" cy="350097"/>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If ENPV &gt; 0</a:t>
          </a:r>
        </a:p>
      </dsp:txBody>
      <dsp:txXfrm>
        <a:off x="3258567" y="4648262"/>
        <a:ext cx="1302976" cy="329589"/>
      </dsp:txXfrm>
    </dsp:sp>
    <dsp:sp modelId="{4413ACEB-9430-4591-9C1B-413CE27CDBB5}">
      <dsp:nvSpPr>
        <dsp:cNvPr id="0" name=""/>
        <dsp:cNvSpPr/>
      </dsp:nvSpPr>
      <dsp:spPr>
        <a:xfrm>
          <a:off x="3181556" y="5124067"/>
          <a:ext cx="1293925" cy="350097"/>
        </a:xfrm>
        <a:prstGeom prst="roundRect">
          <a:avLst>
            <a:gd name="adj" fmla="val 10000"/>
          </a:avLst>
        </a:prstGeom>
        <a:solidFill>
          <a:srgbClr val="7DDC1E"/>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A2023FD-6580-426B-91AB-2F1CD747678F}">
      <dsp:nvSpPr>
        <dsp:cNvPr id="0" name=""/>
        <dsp:cNvSpPr/>
      </dsp:nvSpPr>
      <dsp:spPr>
        <a:xfrm>
          <a:off x="3263092" y="5201526"/>
          <a:ext cx="1293925" cy="350097"/>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i="1" kern="1200">
              <a:latin typeface="Arial" pitchFamily="34" charset="0"/>
              <a:cs typeface="Arial" pitchFamily="34" charset="0"/>
            </a:rPr>
            <a:t>Society is better off with the project</a:t>
          </a:r>
        </a:p>
      </dsp:txBody>
      <dsp:txXfrm>
        <a:off x="3273346" y="5211780"/>
        <a:ext cx="1273417" cy="329589"/>
      </dsp:txXfrm>
    </dsp:sp>
    <dsp:sp modelId="{7FAB7254-BEEC-458E-9759-7A13EA33695E}">
      <dsp:nvSpPr>
        <dsp:cNvPr id="0" name=""/>
        <dsp:cNvSpPr/>
      </dsp:nvSpPr>
      <dsp:spPr>
        <a:xfrm>
          <a:off x="2457381" y="5687584"/>
          <a:ext cx="2742276" cy="760646"/>
        </a:xfrm>
        <a:prstGeom prst="roundRect">
          <a:avLst>
            <a:gd name="adj" fmla="val 10000"/>
          </a:avLst>
        </a:prstGeom>
        <a:solidFill>
          <a:srgbClr val="9E0880"/>
        </a:solidFill>
        <a:ln>
          <a:solidFill>
            <a:srgbClr val="9E0880"/>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695F7FD3-3230-496F-AE1D-FBD28A0DE1AA}">
      <dsp:nvSpPr>
        <dsp:cNvPr id="0" name=""/>
        <dsp:cNvSpPr/>
      </dsp:nvSpPr>
      <dsp:spPr>
        <a:xfrm>
          <a:off x="2538917" y="5765043"/>
          <a:ext cx="2742276" cy="760646"/>
        </a:xfrm>
        <a:prstGeom prst="roundRect">
          <a:avLst>
            <a:gd name="adj" fmla="val 10000"/>
          </a:avLst>
        </a:prstGeom>
        <a:solidFill>
          <a:srgbClr val="FDE3F8">
            <a:alpha val="89804"/>
          </a:srgbClr>
        </a:solidFill>
        <a:ln w="9525" cap="flat" cmpd="sng" algn="ctr">
          <a:solidFill>
            <a:srgbClr val="9E0880"/>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b="1" kern="1200">
              <a:solidFill>
                <a:sysClr val="windowText" lastClr="000000"/>
              </a:solidFill>
              <a:latin typeface="Arial" pitchFamily="34" charset="0"/>
              <a:cs typeface="Arial" pitchFamily="34" charset="0"/>
            </a:rPr>
            <a:t>6. Risk assessment</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-Sensitivity analysis;</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-Probability distribution of critical variables;</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-Risk analysis;</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-Assessment of acceptable levels of risk;</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-Risk prevention.</a:t>
          </a:r>
        </a:p>
      </dsp:txBody>
      <dsp:txXfrm>
        <a:off x="2561196" y="5787322"/>
        <a:ext cx="2697718" cy="71608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BC70A-39A5-4CB7-A70A-6AF2E7A5E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Portrait Report</Template>
  <TotalTime>933</TotalTime>
  <Pages>5</Pages>
  <Words>139419</Words>
  <Characters>808636</Characters>
  <Application>Microsoft Office Word</Application>
  <DocSecurity>0</DocSecurity>
  <Lines>6738</Lines>
  <Paragraphs>1892</Paragraphs>
  <ScaleCrop>false</ScaleCrop>
  <HeadingPairs>
    <vt:vector size="2" baseType="variant">
      <vt:variant>
        <vt:lpstr>Title</vt:lpstr>
      </vt:variant>
      <vt:variant>
        <vt:i4>1</vt:i4>
      </vt:variant>
    </vt:vector>
  </HeadingPairs>
  <TitlesOfParts>
    <vt:vector size="1" baseType="lpstr">
      <vt:lpstr>National Guide for Tansport Project Evaluation</vt:lpstr>
    </vt:vector>
  </TitlesOfParts>
  <Company>AECOM</Company>
  <LinksUpToDate>false</LinksUpToDate>
  <CharactersWithSpaces>946163</CharactersWithSpaces>
  <SharedDoc>false</SharedDoc>
  <HLinks>
    <vt:vector size="150" baseType="variant">
      <vt:variant>
        <vt:i4>1179709</vt:i4>
      </vt:variant>
      <vt:variant>
        <vt:i4>155</vt:i4>
      </vt:variant>
      <vt:variant>
        <vt:i4>0</vt:i4>
      </vt:variant>
      <vt:variant>
        <vt:i4>5</vt:i4>
      </vt:variant>
      <vt:variant>
        <vt:lpwstr/>
      </vt:variant>
      <vt:variant>
        <vt:lpwstr>_Toc333583507</vt:lpwstr>
      </vt:variant>
      <vt:variant>
        <vt:i4>1179709</vt:i4>
      </vt:variant>
      <vt:variant>
        <vt:i4>149</vt:i4>
      </vt:variant>
      <vt:variant>
        <vt:i4>0</vt:i4>
      </vt:variant>
      <vt:variant>
        <vt:i4>5</vt:i4>
      </vt:variant>
      <vt:variant>
        <vt:lpwstr/>
      </vt:variant>
      <vt:variant>
        <vt:lpwstr>_Toc333583506</vt:lpwstr>
      </vt:variant>
      <vt:variant>
        <vt:i4>1179709</vt:i4>
      </vt:variant>
      <vt:variant>
        <vt:i4>143</vt:i4>
      </vt:variant>
      <vt:variant>
        <vt:i4>0</vt:i4>
      </vt:variant>
      <vt:variant>
        <vt:i4>5</vt:i4>
      </vt:variant>
      <vt:variant>
        <vt:lpwstr/>
      </vt:variant>
      <vt:variant>
        <vt:lpwstr>_Toc333583505</vt:lpwstr>
      </vt:variant>
      <vt:variant>
        <vt:i4>1179709</vt:i4>
      </vt:variant>
      <vt:variant>
        <vt:i4>137</vt:i4>
      </vt:variant>
      <vt:variant>
        <vt:i4>0</vt:i4>
      </vt:variant>
      <vt:variant>
        <vt:i4>5</vt:i4>
      </vt:variant>
      <vt:variant>
        <vt:lpwstr/>
      </vt:variant>
      <vt:variant>
        <vt:lpwstr>_Toc333583504</vt:lpwstr>
      </vt:variant>
      <vt:variant>
        <vt:i4>1179709</vt:i4>
      </vt:variant>
      <vt:variant>
        <vt:i4>131</vt:i4>
      </vt:variant>
      <vt:variant>
        <vt:i4>0</vt:i4>
      </vt:variant>
      <vt:variant>
        <vt:i4>5</vt:i4>
      </vt:variant>
      <vt:variant>
        <vt:lpwstr/>
      </vt:variant>
      <vt:variant>
        <vt:lpwstr>_Toc333583503</vt:lpwstr>
      </vt:variant>
      <vt:variant>
        <vt:i4>1179709</vt:i4>
      </vt:variant>
      <vt:variant>
        <vt:i4>125</vt:i4>
      </vt:variant>
      <vt:variant>
        <vt:i4>0</vt:i4>
      </vt:variant>
      <vt:variant>
        <vt:i4>5</vt:i4>
      </vt:variant>
      <vt:variant>
        <vt:lpwstr/>
      </vt:variant>
      <vt:variant>
        <vt:lpwstr>_Toc333583502</vt:lpwstr>
      </vt:variant>
      <vt:variant>
        <vt:i4>1179709</vt:i4>
      </vt:variant>
      <vt:variant>
        <vt:i4>119</vt:i4>
      </vt:variant>
      <vt:variant>
        <vt:i4>0</vt:i4>
      </vt:variant>
      <vt:variant>
        <vt:i4>5</vt:i4>
      </vt:variant>
      <vt:variant>
        <vt:lpwstr/>
      </vt:variant>
      <vt:variant>
        <vt:lpwstr>_Toc333583501</vt:lpwstr>
      </vt:variant>
      <vt:variant>
        <vt:i4>1179709</vt:i4>
      </vt:variant>
      <vt:variant>
        <vt:i4>113</vt:i4>
      </vt:variant>
      <vt:variant>
        <vt:i4>0</vt:i4>
      </vt:variant>
      <vt:variant>
        <vt:i4>5</vt:i4>
      </vt:variant>
      <vt:variant>
        <vt:lpwstr/>
      </vt:variant>
      <vt:variant>
        <vt:lpwstr>_Toc333583500</vt:lpwstr>
      </vt:variant>
      <vt:variant>
        <vt:i4>1769532</vt:i4>
      </vt:variant>
      <vt:variant>
        <vt:i4>107</vt:i4>
      </vt:variant>
      <vt:variant>
        <vt:i4>0</vt:i4>
      </vt:variant>
      <vt:variant>
        <vt:i4>5</vt:i4>
      </vt:variant>
      <vt:variant>
        <vt:lpwstr/>
      </vt:variant>
      <vt:variant>
        <vt:lpwstr>_Toc333583498</vt:lpwstr>
      </vt:variant>
      <vt:variant>
        <vt:i4>1769532</vt:i4>
      </vt:variant>
      <vt:variant>
        <vt:i4>101</vt:i4>
      </vt:variant>
      <vt:variant>
        <vt:i4>0</vt:i4>
      </vt:variant>
      <vt:variant>
        <vt:i4>5</vt:i4>
      </vt:variant>
      <vt:variant>
        <vt:lpwstr/>
      </vt:variant>
      <vt:variant>
        <vt:lpwstr>_Toc333583497</vt:lpwstr>
      </vt:variant>
      <vt:variant>
        <vt:i4>1769532</vt:i4>
      </vt:variant>
      <vt:variant>
        <vt:i4>95</vt:i4>
      </vt:variant>
      <vt:variant>
        <vt:i4>0</vt:i4>
      </vt:variant>
      <vt:variant>
        <vt:i4>5</vt:i4>
      </vt:variant>
      <vt:variant>
        <vt:lpwstr/>
      </vt:variant>
      <vt:variant>
        <vt:lpwstr>_Toc333583496</vt:lpwstr>
      </vt:variant>
      <vt:variant>
        <vt:i4>1769532</vt:i4>
      </vt:variant>
      <vt:variant>
        <vt:i4>89</vt:i4>
      </vt:variant>
      <vt:variant>
        <vt:i4>0</vt:i4>
      </vt:variant>
      <vt:variant>
        <vt:i4>5</vt:i4>
      </vt:variant>
      <vt:variant>
        <vt:lpwstr/>
      </vt:variant>
      <vt:variant>
        <vt:lpwstr>_Toc333583494</vt:lpwstr>
      </vt:variant>
      <vt:variant>
        <vt:i4>1769532</vt:i4>
      </vt:variant>
      <vt:variant>
        <vt:i4>83</vt:i4>
      </vt:variant>
      <vt:variant>
        <vt:i4>0</vt:i4>
      </vt:variant>
      <vt:variant>
        <vt:i4>5</vt:i4>
      </vt:variant>
      <vt:variant>
        <vt:lpwstr/>
      </vt:variant>
      <vt:variant>
        <vt:lpwstr>_Toc333583493</vt:lpwstr>
      </vt:variant>
      <vt:variant>
        <vt:i4>1769532</vt:i4>
      </vt:variant>
      <vt:variant>
        <vt:i4>77</vt:i4>
      </vt:variant>
      <vt:variant>
        <vt:i4>0</vt:i4>
      </vt:variant>
      <vt:variant>
        <vt:i4>5</vt:i4>
      </vt:variant>
      <vt:variant>
        <vt:lpwstr/>
      </vt:variant>
      <vt:variant>
        <vt:lpwstr>_Toc333583492</vt:lpwstr>
      </vt:variant>
      <vt:variant>
        <vt:i4>1769532</vt:i4>
      </vt:variant>
      <vt:variant>
        <vt:i4>71</vt:i4>
      </vt:variant>
      <vt:variant>
        <vt:i4>0</vt:i4>
      </vt:variant>
      <vt:variant>
        <vt:i4>5</vt:i4>
      </vt:variant>
      <vt:variant>
        <vt:lpwstr/>
      </vt:variant>
      <vt:variant>
        <vt:lpwstr>_Toc333583491</vt:lpwstr>
      </vt:variant>
      <vt:variant>
        <vt:i4>1769532</vt:i4>
      </vt:variant>
      <vt:variant>
        <vt:i4>65</vt:i4>
      </vt:variant>
      <vt:variant>
        <vt:i4>0</vt:i4>
      </vt:variant>
      <vt:variant>
        <vt:i4>5</vt:i4>
      </vt:variant>
      <vt:variant>
        <vt:lpwstr/>
      </vt:variant>
      <vt:variant>
        <vt:lpwstr>_Toc333583490</vt:lpwstr>
      </vt:variant>
      <vt:variant>
        <vt:i4>1703996</vt:i4>
      </vt:variant>
      <vt:variant>
        <vt:i4>59</vt:i4>
      </vt:variant>
      <vt:variant>
        <vt:i4>0</vt:i4>
      </vt:variant>
      <vt:variant>
        <vt:i4>5</vt:i4>
      </vt:variant>
      <vt:variant>
        <vt:lpwstr/>
      </vt:variant>
      <vt:variant>
        <vt:lpwstr>_Toc333583489</vt:lpwstr>
      </vt:variant>
      <vt:variant>
        <vt:i4>1703996</vt:i4>
      </vt:variant>
      <vt:variant>
        <vt:i4>53</vt:i4>
      </vt:variant>
      <vt:variant>
        <vt:i4>0</vt:i4>
      </vt:variant>
      <vt:variant>
        <vt:i4>5</vt:i4>
      </vt:variant>
      <vt:variant>
        <vt:lpwstr/>
      </vt:variant>
      <vt:variant>
        <vt:lpwstr>_Toc333583488</vt:lpwstr>
      </vt:variant>
      <vt:variant>
        <vt:i4>1703996</vt:i4>
      </vt:variant>
      <vt:variant>
        <vt:i4>47</vt:i4>
      </vt:variant>
      <vt:variant>
        <vt:i4>0</vt:i4>
      </vt:variant>
      <vt:variant>
        <vt:i4>5</vt:i4>
      </vt:variant>
      <vt:variant>
        <vt:lpwstr/>
      </vt:variant>
      <vt:variant>
        <vt:lpwstr>_Toc333583487</vt:lpwstr>
      </vt:variant>
      <vt:variant>
        <vt:i4>1703996</vt:i4>
      </vt:variant>
      <vt:variant>
        <vt:i4>41</vt:i4>
      </vt:variant>
      <vt:variant>
        <vt:i4>0</vt:i4>
      </vt:variant>
      <vt:variant>
        <vt:i4>5</vt:i4>
      </vt:variant>
      <vt:variant>
        <vt:lpwstr/>
      </vt:variant>
      <vt:variant>
        <vt:lpwstr>_Toc333583486</vt:lpwstr>
      </vt:variant>
      <vt:variant>
        <vt:i4>1703996</vt:i4>
      </vt:variant>
      <vt:variant>
        <vt:i4>35</vt:i4>
      </vt:variant>
      <vt:variant>
        <vt:i4>0</vt:i4>
      </vt:variant>
      <vt:variant>
        <vt:i4>5</vt:i4>
      </vt:variant>
      <vt:variant>
        <vt:lpwstr/>
      </vt:variant>
      <vt:variant>
        <vt:lpwstr>_Toc333583485</vt:lpwstr>
      </vt:variant>
      <vt:variant>
        <vt:i4>1703996</vt:i4>
      </vt:variant>
      <vt:variant>
        <vt:i4>29</vt:i4>
      </vt:variant>
      <vt:variant>
        <vt:i4>0</vt:i4>
      </vt:variant>
      <vt:variant>
        <vt:i4>5</vt:i4>
      </vt:variant>
      <vt:variant>
        <vt:lpwstr/>
      </vt:variant>
      <vt:variant>
        <vt:lpwstr>_Toc333583484</vt:lpwstr>
      </vt:variant>
      <vt:variant>
        <vt:i4>1703996</vt:i4>
      </vt:variant>
      <vt:variant>
        <vt:i4>23</vt:i4>
      </vt:variant>
      <vt:variant>
        <vt:i4>0</vt:i4>
      </vt:variant>
      <vt:variant>
        <vt:i4>5</vt:i4>
      </vt:variant>
      <vt:variant>
        <vt:lpwstr/>
      </vt:variant>
      <vt:variant>
        <vt:lpwstr>_Toc333583483</vt:lpwstr>
      </vt:variant>
      <vt:variant>
        <vt:i4>1703996</vt:i4>
      </vt:variant>
      <vt:variant>
        <vt:i4>17</vt:i4>
      </vt:variant>
      <vt:variant>
        <vt:i4>0</vt:i4>
      </vt:variant>
      <vt:variant>
        <vt:i4>5</vt:i4>
      </vt:variant>
      <vt:variant>
        <vt:lpwstr/>
      </vt:variant>
      <vt:variant>
        <vt:lpwstr>_Toc333583482</vt:lpwstr>
      </vt:variant>
      <vt:variant>
        <vt:i4>1703996</vt:i4>
      </vt:variant>
      <vt:variant>
        <vt:i4>11</vt:i4>
      </vt:variant>
      <vt:variant>
        <vt:i4>0</vt:i4>
      </vt:variant>
      <vt:variant>
        <vt:i4>5</vt:i4>
      </vt:variant>
      <vt:variant>
        <vt:lpwstr/>
      </vt:variant>
      <vt:variant>
        <vt:lpwstr>_Toc333583481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Guide for Tansport Project Evaluation</dc:title>
  <dc:creator>Daniel Aldridge</dc:creator>
  <cp:lastModifiedBy>Adrian Olteanu</cp:lastModifiedBy>
  <cp:revision>34</cp:revision>
  <cp:lastPrinted>2015-02-06T15:20:00Z</cp:lastPrinted>
  <dcterms:created xsi:type="dcterms:W3CDTF">2015-02-04T14:34:00Z</dcterms:created>
  <dcterms:modified xsi:type="dcterms:W3CDTF">2015-04-22T08:00:00Z</dcterms:modified>
</cp:coreProperties>
</file>