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67" w:rsidRPr="003D05D6" w:rsidRDefault="00B67740">
      <w:pPr>
        <w:rPr>
          <w:rFonts w:ascii="Times New Roman" w:hAnsi="Times New Roman"/>
        </w:rPr>
      </w:pPr>
      <w:r w:rsidRPr="003D05D6">
        <w:rPr>
          <w:rFonts w:ascii="Times New Roman" w:hAnsi="Times New Roman"/>
        </w:rPr>
        <w:t>Cabinet Preşedinte</w:t>
      </w:r>
      <w:r w:rsidRPr="003D05D6">
        <w:rPr>
          <w:rFonts w:ascii="Times New Roman" w:hAnsi="Times New Roman"/>
        </w:rPr>
        <w:tab/>
        <w:t xml:space="preserve">                                                              </w:t>
      </w:r>
    </w:p>
    <w:p w:rsidR="006C4467" w:rsidRPr="003D05D6" w:rsidRDefault="00B67740">
      <w:pPr>
        <w:rPr>
          <w:rFonts w:ascii="Times New Roman" w:hAnsi="Times New Roman"/>
          <w:noProof w:val="0"/>
        </w:rPr>
      </w:pPr>
      <w:r w:rsidRPr="003D05D6">
        <w:rPr>
          <w:rFonts w:ascii="Times New Roman" w:hAnsi="Times New Roman"/>
        </w:rPr>
        <w:t xml:space="preserve"> Nr. ........./...........................</w:t>
      </w:r>
    </w:p>
    <w:p w:rsidR="006C4467" w:rsidRPr="003D05D6" w:rsidRDefault="00B67740">
      <w:pPr>
        <w:spacing w:line="240" w:lineRule="auto"/>
        <w:ind w:firstLine="708"/>
        <w:jc w:val="center"/>
        <w:rPr>
          <w:rFonts w:ascii="Times New Roman" w:eastAsia="Times New Roman" w:hAnsi="Times New Roman"/>
          <w:b/>
        </w:rPr>
      </w:pPr>
      <w:r w:rsidRPr="003D05D6">
        <w:rPr>
          <w:rFonts w:ascii="Times New Roman" w:eastAsia="Times New Roman" w:hAnsi="Times New Roman"/>
          <w:b/>
        </w:rPr>
        <w:t>REFERAT DE APROBARE</w:t>
      </w:r>
    </w:p>
    <w:p w:rsidR="006C4467" w:rsidRPr="003D05D6" w:rsidRDefault="00B67740">
      <w:pPr>
        <w:spacing w:after="11" w:line="240" w:lineRule="auto"/>
        <w:ind w:left="1287" w:right="3" w:hanging="391"/>
        <w:jc w:val="center"/>
        <w:rPr>
          <w:rFonts w:ascii="Times New Roman" w:hAnsi="Times New Roman"/>
          <w:b/>
          <w:bCs/>
          <w:i/>
        </w:rPr>
      </w:pPr>
      <w:r w:rsidRPr="003D05D6">
        <w:rPr>
          <w:rFonts w:ascii="Times New Roman" w:hAnsi="Times New Roman"/>
          <w:b/>
          <w:i/>
        </w:rPr>
        <w:t xml:space="preserve">pentru modificarea și completarea Ghidului de finanțare a </w:t>
      </w:r>
      <w:r w:rsidRPr="003D05D6">
        <w:rPr>
          <w:rFonts w:ascii="Times New Roman" w:hAnsi="Times New Roman"/>
          <w:b/>
          <w:bCs/>
          <w:i/>
        </w:rPr>
        <w:t>Programului privind reducerea emisiilor de gaze cu efect de seră în transporturi, prin promovarea vehiculelor de transport rutier nepoluante şi eficiente din punct de vedere energetic, 2017 - 2019, aprobat prin Ordinul viceprim-ministrului, ministrul mediului nr. 660/2017, cu modificările și completările ulterioare</w:t>
      </w:r>
    </w:p>
    <w:p w:rsidR="006C4467" w:rsidRPr="003D05D6" w:rsidRDefault="006C4467" w:rsidP="008167B1">
      <w:pPr>
        <w:autoSpaceDE w:val="0"/>
        <w:autoSpaceDN w:val="0"/>
        <w:adjustRightInd w:val="0"/>
        <w:spacing w:after="0" w:line="240" w:lineRule="auto"/>
        <w:jc w:val="both"/>
        <w:rPr>
          <w:rFonts w:ascii="Times New Roman" w:eastAsia="Times New Roman" w:hAnsi="Times New Roman"/>
          <w:bCs/>
        </w:rPr>
      </w:pPr>
    </w:p>
    <w:p w:rsidR="006C4467" w:rsidRPr="003D05D6" w:rsidRDefault="00B67740">
      <w:pPr>
        <w:autoSpaceDE w:val="0"/>
        <w:autoSpaceDN w:val="0"/>
        <w:adjustRightInd w:val="0"/>
        <w:spacing w:after="0" w:line="240" w:lineRule="auto"/>
        <w:ind w:firstLine="720"/>
        <w:jc w:val="both"/>
        <w:rPr>
          <w:rFonts w:ascii="Times New Roman" w:hAnsi="Times New Roman"/>
          <w:bCs/>
          <w:i/>
        </w:rPr>
      </w:pPr>
      <w:r w:rsidRPr="003D05D6">
        <w:rPr>
          <w:rFonts w:ascii="Times New Roman" w:eastAsia="Times New Roman" w:hAnsi="Times New Roman"/>
          <w:bCs/>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proiectului de </w:t>
      </w:r>
      <w:r w:rsidRPr="003D05D6">
        <w:rPr>
          <w:rFonts w:ascii="Times New Roman" w:hAnsi="Times New Roman"/>
          <w:i/>
        </w:rPr>
        <w:t xml:space="preserve">ordin </w:t>
      </w:r>
      <w:r w:rsidRPr="003D05D6">
        <w:rPr>
          <w:rFonts w:ascii="Times New Roman" w:hAnsi="Times New Roman"/>
          <w:bCs/>
          <w:i/>
        </w:rPr>
        <w:t xml:space="preserve">pentru </w:t>
      </w:r>
      <w:r w:rsidRPr="003D05D6">
        <w:rPr>
          <w:rFonts w:ascii="Times New Roman" w:hAnsi="Times New Roman"/>
          <w:i/>
        </w:rPr>
        <w:t xml:space="preserve">modificarea și completarea Ghidului de finanțare a </w:t>
      </w:r>
      <w:r w:rsidRPr="003D05D6">
        <w:rPr>
          <w:rFonts w:ascii="Times New Roman" w:hAnsi="Times New Roman"/>
          <w:bCs/>
          <w:i/>
        </w:rPr>
        <w:t>Programului privind reducerea emisiilor de gaze cu efect de seră în transporturi, prin promovarea vehiculelor de transport rutier nepoluante şi eficiente din punct de vedere energetic, 2017 - 2019, aprobat prin Ordinul viceprim-ministrului, ministrul mediului nr. 660/201, cu modificările și completările ulterioare</w:t>
      </w:r>
      <w:r w:rsidRPr="003D05D6">
        <w:rPr>
          <w:rFonts w:ascii="Times New Roman" w:eastAsia="MS Mincho" w:hAnsi="Times New Roman"/>
          <w:i/>
          <w:lang w:val="en-US"/>
        </w:rPr>
        <w:t>.</w:t>
      </w:r>
      <w:r w:rsidRPr="003D05D6">
        <w:rPr>
          <w:rFonts w:ascii="Times New Roman" w:hAnsi="Times New Roman"/>
          <w:noProof w:val="0"/>
        </w:rPr>
        <w:t xml:space="preserve"> </w:t>
      </w:r>
    </w:p>
    <w:p w:rsidR="006C4467" w:rsidRPr="003D05D6" w:rsidRDefault="00B67740">
      <w:pPr>
        <w:autoSpaceDE w:val="0"/>
        <w:autoSpaceDN w:val="0"/>
        <w:adjustRightInd w:val="0"/>
        <w:spacing w:after="0" w:line="240" w:lineRule="auto"/>
        <w:ind w:firstLine="720"/>
        <w:jc w:val="both"/>
        <w:rPr>
          <w:rFonts w:ascii="Times New Roman" w:hAnsi="Times New Roman"/>
          <w:noProof w:val="0"/>
          <w:lang w:val="en-US"/>
        </w:rPr>
      </w:pPr>
      <w:r w:rsidRPr="003D05D6">
        <w:rPr>
          <w:rFonts w:ascii="Times New Roman" w:hAnsi="Times New Roman"/>
          <w:noProof w:val="0"/>
        </w:rPr>
        <w:t xml:space="preserve">Ghidul a fost modificat prin Ordinul ministrului mediului nr. 1116/2017 pentru modificarea şi completarea Ghidului de finanţare a Programului privind reducerea emisiilor de gaze cu efect de seră în transporturi, prin promovarea vehiculelor de transport rutier nepoluante şi eficiente din punct de vedere energetic, 2017 – 2019, </w:t>
      </w:r>
      <w:proofErr w:type="spellStart"/>
      <w:r w:rsidRPr="003D05D6">
        <w:rPr>
          <w:rFonts w:ascii="Times New Roman" w:hAnsi="Times New Roman"/>
          <w:bCs/>
          <w:noProof w:val="0"/>
          <w:color w:val="000000"/>
          <w:lang w:val="en-US"/>
        </w:rPr>
        <w:t>Ordinul</w:t>
      </w:r>
      <w:proofErr w:type="spellEnd"/>
      <w:r w:rsidRPr="003D05D6">
        <w:rPr>
          <w:rFonts w:ascii="Times New Roman" w:hAnsi="Times New Roman"/>
          <w:bCs/>
          <w:noProof w:val="0"/>
          <w:color w:val="000000"/>
          <w:lang w:val="en-US"/>
        </w:rPr>
        <w:t xml:space="preserve">  </w:t>
      </w:r>
      <w:proofErr w:type="spellStart"/>
      <w:r w:rsidRPr="003D05D6">
        <w:rPr>
          <w:rFonts w:ascii="Times New Roman" w:hAnsi="Times New Roman"/>
          <w:bCs/>
          <w:noProof w:val="0"/>
          <w:color w:val="000000"/>
          <w:lang w:val="en-US"/>
        </w:rPr>
        <w:t>nr</w:t>
      </w:r>
      <w:proofErr w:type="spellEnd"/>
      <w:r w:rsidRPr="003D05D6">
        <w:rPr>
          <w:rFonts w:ascii="Times New Roman" w:hAnsi="Times New Roman"/>
          <w:bCs/>
          <w:noProof w:val="0"/>
          <w:color w:val="000000"/>
          <w:lang w:val="en-US"/>
        </w:rPr>
        <w:t xml:space="preserve">. 1.364 din 31 </w:t>
      </w:r>
      <w:proofErr w:type="spellStart"/>
      <w:r w:rsidRPr="003D05D6">
        <w:rPr>
          <w:rFonts w:ascii="Times New Roman" w:hAnsi="Times New Roman"/>
          <w:bCs/>
          <w:noProof w:val="0"/>
          <w:color w:val="000000"/>
          <w:lang w:val="en-US"/>
        </w:rPr>
        <w:t>octombrie</w:t>
      </w:r>
      <w:proofErr w:type="spellEnd"/>
      <w:r w:rsidRPr="003D05D6">
        <w:rPr>
          <w:rFonts w:ascii="Times New Roman" w:hAnsi="Times New Roman"/>
          <w:bCs/>
          <w:noProof w:val="0"/>
          <w:color w:val="000000"/>
          <w:lang w:val="en-US"/>
        </w:rPr>
        <w:t xml:space="preserve"> 2017</w:t>
      </w:r>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pentru</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modificarea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şi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completarea</w:t>
      </w:r>
      <w:proofErr w:type="spellEnd"/>
      <w:r w:rsidRPr="003D05D6">
        <w:rPr>
          <w:rFonts w:ascii="Times New Roman" w:hAnsi="Times New Roman"/>
          <w:noProof w:val="0"/>
          <w:lang w:val="en-US"/>
        </w:rPr>
        <w:t xml:space="preserve"> </w:t>
      </w:r>
      <w:r w:rsidRPr="003D05D6">
        <w:rPr>
          <w:rFonts w:ascii="Times New Roman" w:hAnsi="Times New Roman"/>
          <w:noProof w:val="0"/>
          <w:vanish/>
          <w:lang w:val="en-US"/>
        </w:rPr>
        <w:t>&lt;LLNK 12017     0742CS01   0 21&gt;</w:t>
      </w:r>
      <w:proofErr w:type="spellStart"/>
      <w:r w:rsidRPr="003D05D6">
        <w:rPr>
          <w:rFonts w:ascii="Times New Roman" w:hAnsi="Times New Roman"/>
          <w:noProof w:val="0"/>
          <w:color w:val="000000"/>
          <w:u w:val="single"/>
          <w:lang w:val="en-US"/>
        </w:rPr>
        <w:t>Ghidului</w:t>
      </w:r>
      <w:proofErr w:type="spellEnd"/>
      <w:r w:rsidRPr="003D05D6">
        <w:rPr>
          <w:rFonts w:ascii="Times New Roman" w:hAnsi="Times New Roman"/>
          <w:noProof w:val="0"/>
          <w:color w:val="000000"/>
          <w:u w:val="single"/>
          <w:lang w:val="en-US"/>
        </w:rPr>
        <w:t xml:space="preserve"> de </w:t>
      </w:r>
      <w:proofErr w:type="spellStart"/>
      <w:r w:rsidRPr="003D05D6">
        <w:rPr>
          <w:rFonts w:ascii="Times New Roman" w:hAnsi="Times New Roman"/>
          <w:noProof w:val="0"/>
          <w:color w:val="000000"/>
          <w:u w:val="single"/>
          <w:lang w:val="en-US"/>
        </w:rPr>
        <w:t>finanţare</w:t>
      </w:r>
      <w:proofErr w:type="spellEnd"/>
      <w:r w:rsidRPr="003D05D6">
        <w:rPr>
          <w:rFonts w:ascii="Times New Roman" w:hAnsi="Times New Roman"/>
          <w:noProof w:val="0"/>
          <w:lang w:val="en-US"/>
        </w:rPr>
        <w:t xml:space="preserve"> a </w:t>
      </w:r>
      <w:proofErr w:type="spellStart"/>
      <w:r w:rsidRPr="003D05D6">
        <w:rPr>
          <w:rFonts w:ascii="Times New Roman" w:hAnsi="Times New Roman"/>
          <w:noProof w:val="0"/>
          <w:lang w:val="en-US"/>
        </w:rPr>
        <w:t>Programului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privind</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reducerea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emisiilor</w:t>
      </w:r>
      <w:proofErr w:type="spellEnd"/>
      <w:r w:rsidRPr="003D05D6">
        <w:rPr>
          <w:rFonts w:ascii="Times New Roman" w:hAnsi="Times New Roman"/>
          <w:noProof w:val="0"/>
          <w:lang w:val="en-US"/>
        </w:rPr>
        <w:t xml:space="preserve"> de gaze cu </w:t>
      </w:r>
      <w:proofErr w:type="spellStart"/>
      <w:r w:rsidRPr="003D05D6">
        <w:rPr>
          <w:rFonts w:ascii="Times New Roman" w:hAnsi="Times New Roman"/>
          <w:noProof w:val="0"/>
          <w:lang w:val="en-US"/>
        </w:rPr>
        <w:t>efect</w:t>
      </w:r>
      <w:proofErr w:type="spellEnd"/>
      <w:r w:rsidRPr="003D05D6">
        <w:rPr>
          <w:rFonts w:ascii="Times New Roman" w:hAnsi="Times New Roman"/>
          <w:noProof w:val="0"/>
          <w:lang w:val="en-US"/>
        </w:rPr>
        <w:t xml:space="preserve"> de </w:t>
      </w:r>
      <w:proofErr w:type="spellStart"/>
      <w:r w:rsidRPr="003D05D6">
        <w:rPr>
          <w:rFonts w:ascii="Times New Roman" w:hAnsi="Times New Roman"/>
          <w:noProof w:val="0"/>
          <w:lang w:val="en-US"/>
        </w:rPr>
        <w:t>seră</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în</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transporturi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prin</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promovarea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vehiculelor</w:t>
      </w:r>
      <w:proofErr w:type="spellEnd"/>
      <w:r w:rsidRPr="003D05D6">
        <w:rPr>
          <w:rFonts w:ascii="Times New Roman" w:hAnsi="Times New Roman"/>
          <w:noProof w:val="0"/>
          <w:lang w:val="en-US"/>
        </w:rPr>
        <w:t xml:space="preserve"> de transport </w:t>
      </w:r>
      <w:proofErr w:type="spellStart"/>
      <w:r w:rsidRPr="003D05D6">
        <w:rPr>
          <w:rFonts w:ascii="Times New Roman" w:hAnsi="Times New Roman"/>
          <w:noProof w:val="0"/>
          <w:lang w:val="en-US"/>
        </w:rPr>
        <w:t>rutier</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nepoluante</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şi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eficiente</w:t>
      </w:r>
      <w:proofErr w:type="spellEnd"/>
      <w:r w:rsidRPr="003D05D6">
        <w:rPr>
          <w:rFonts w:ascii="Times New Roman" w:hAnsi="Times New Roman"/>
          <w:noProof w:val="0"/>
          <w:lang w:val="en-US"/>
        </w:rPr>
        <w:t xml:space="preserve"> din </w:t>
      </w:r>
      <w:proofErr w:type="spellStart"/>
      <w:r w:rsidRPr="003D05D6">
        <w:rPr>
          <w:rFonts w:ascii="Times New Roman" w:hAnsi="Times New Roman"/>
          <w:noProof w:val="0"/>
          <w:lang w:val="en-US"/>
        </w:rPr>
        <w:t>punct</w:t>
      </w:r>
      <w:proofErr w:type="spellEnd"/>
      <w:r w:rsidRPr="003D05D6">
        <w:rPr>
          <w:rFonts w:ascii="Times New Roman" w:hAnsi="Times New Roman"/>
          <w:noProof w:val="0"/>
          <w:lang w:val="en-US"/>
        </w:rPr>
        <w:t xml:space="preserve"> de </w:t>
      </w:r>
      <w:proofErr w:type="spellStart"/>
      <w:r w:rsidRPr="003D05D6">
        <w:rPr>
          <w:rFonts w:ascii="Times New Roman" w:hAnsi="Times New Roman"/>
          <w:noProof w:val="0"/>
          <w:lang w:val="en-US"/>
        </w:rPr>
        <w:t>vedere</w:t>
      </w:r>
      <w:proofErr w:type="spellEnd"/>
      <w:r w:rsidRPr="003D05D6">
        <w:rPr>
          <w:rFonts w:ascii="Times New Roman" w:hAnsi="Times New Roman"/>
          <w:noProof w:val="0"/>
          <w:lang w:val="en-US"/>
        </w:rPr>
        <w:t xml:space="preserve"> energetic, 2017-2019, </w:t>
      </w:r>
      <w:proofErr w:type="spellStart"/>
      <w:r w:rsidRPr="003D05D6">
        <w:rPr>
          <w:rFonts w:ascii="Times New Roman" w:hAnsi="Times New Roman"/>
          <w:noProof w:val="0"/>
          <w:lang w:val="en-US"/>
        </w:rPr>
        <w:t>și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Ordinul</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nr</w:t>
      </w:r>
      <w:proofErr w:type="spellEnd"/>
      <w:r w:rsidRPr="003D05D6">
        <w:rPr>
          <w:rFonts w:ascii="Times New Roman" w:hAnsi="Times New Roman"/>
          <w:noProof w:val="0"/>
          <w:lang w:val="en-US"/>
        </w:rPr>
        <w:t xml:space="preserve">. 278/21.03.2018 </w:t>
      </w:r>
      <w:proofErr w:type="spellStart"/>
      <w:r w:rsidRPr="003D05D6">
        <w:rPr>
          <w:rFonts w:ascii="Times New Roman" w:hAnsi="Times New Roman"/>
          <w:noProof w:val="0"/>
          <w:lang w:val="en-US"/>
        </w:rPr>
        <w:t>pentru</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modificarea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și</w:t>
      </w:r>
      <w:proofErr w:type="spellEnd"/>
      <w:r w:rsidRPr="003D05D6">
        <w:rPr>
          <w:rFonts w:ascii="Times New Roman" w:hAnsi="Times New Roman"/>
          <w:noProof w:val="0"/>
          <w:lang w:val="en-US"/>
        </w:rPr>
        <w:t xml:space="preserve"> </w:t>
      </w:r>
      <w:proofErr w:type="spellStart"/>
      <w:proofErr w:type="gramStart"/>
      <w:r w:rsidRPr="003D05D6">
        <w:rPr>
          <w:rFonts w:ascii="Times New Roman" w:hAnsi="Times New Roman"/>
          <w:noProof w:val="0"/>
          <w:lang w:val="en-US"/>
        </w:rPr>
        <w:t>completarea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Ghidului</w:t>
      </w:r>
      <w:proofErr w:type="spellEnd"/>
      <w:proofErr w:type="gramEnd"/>
      <w:r w:rsidRPr="003D05D6">
        <w:rPr>
          <w:rFonts w:ascii="Times New Roman" w:hAnsi="Times New Roman"/>
          <w:noProof w:val="0"/>
          <w:lang w:val="en-US"/>
        </w:rPr>
        <w:t xml:space="preserve"> de </w:t>
      </w:r>
      <w:proofErr w:type="spellStart"/>
      <w:r w:rsidRPr="003D05D6">
        <w:rPr>
          <w:rFonts w:ascii="Times New Roman" w:hAnsi="Times New Roman"/>
          <w:noProof w:val="0"/>
          <w:lang w:val="en-US"/>
        </w:rPr>
        <w:t>finanţare</w:t>
      </w:r>
      <w:proofErr w:type="spellEnd"/>
      <w:r w:rsidRPr="003D05D6">
        <w:rPr>
          <w:rFonts w:ascii="Times New Roman" w:hAnsi="Times New Roman"/>
          <w:noProof w:val="0"/>
          <w:lang w:val="en-US"/>
        </w:rPr>
        <w:t xml:space="preserve"> a </w:t>
      </w:r>
      <w:proofErr w:type="spellStart"/>
      <w:r w:rsidRPr="003D05D6">
        <w:rPr>
          <w:rFonts w:ascii="Times New Roman" w:hAnsi="Times New Roman"/>
          <w:noProof w:val="0"/>
          <w:lang w:val="en-US"/>
        </w:rPr>
        <w:t>Programului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privind</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reducerea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emisiilor</w:t>
      </w:r>
      <w:proofErr w:type="spellEnd"/>
      <w:r w:rsidRPr="003D05D6">
        <w:rPr>
          <w:rFonts w:ascii="Times New Roman" w:hAnsi="Times New Roman"/>
          <w:noProof w:val="0"/>
          <w:lang w:val="en-US"/>
        </w:rPr>
        <w:t xml:space="preserve"> de gaze cu </w:t>
      </w:r>
      <w:proofErr w:type="spellStart"/>
      <w:r w:rsidRPr="003D05D6">
        <w:rPr>
          <w:rFonts w:ascii="Times New Roman" w:hAnsi="Times New Roman"/>
          <w:noProof w:val="0"/>
          <w:lang w:val="en-US"/>
        </w:rPr>
        <w:t>efect</w:t>
      </w:r>
      <w:proofErr w:type="spellEnd"/>
      <w:r w:rsidRPr="003D05D6">
        <w:rPr>
          <w:rFonts w:ascii="Times New Roman" w:hAnsi="Times New Roman"/>
          <w:noProof w:val="0"/>
          <w:lang w:val="en-US"/>
        </w:rPr>
        <w:t xml:space="preserve"> de </w:t>
      </w:r>
      <w:proofErr w:type="spellStart"/>
      <w:r w:rsidRPr="003D05D6">
        <w:rPr>
          <w:rFonts w:ascii="Times New Roman" w:hAnsi="Times New Roman"/>
          <w:noProof w:val="0"/>
          <w:lang w:val="en-US"/>
        </w:rPr>
        <w:t>seră</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în</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transporturi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prin</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promovarea</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vehiculelor</w:t>
      </w:r>
      <w:proofErr w:type="spellEnd"/>
      <w:r w:rsidRPr="003D05D6">
        <w:rPr>
          <w:rFonts w:ascii="Times New Roman" w:hAnsi="Times New Roman"/>
          <w:noProof w:val="0"/>
          <w:lang w:val="en-US"/>
        </w:rPr>
        <w:t xml:space="preserve"> de transport </w:t>
      </w:r>
      <w:proofErr w:type="spellStart"/>
      <w:r w:rsidRPr="003D05D6">
        <w:rPr>
          <w:rFonts w:ascii="Times New Roman" w:hAnsi="Times New Roman"/>
          <w:noProof w:val="0"/>
          <w:lang w:val="en-US"/>
        </w:rPr>
        <w:t>rutier</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nepoluante</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şi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eficiente</w:t>
      </w:r>
      <w:proofErr w:type="spellEnd"/>
      <w:r w:rsidRPr="003D05D6">
        <w:rPr>
          <w:rFonts w:ascii="Times New Roman" w:hAnsi="Times New Roman"/>
          <w:noProof w:val="0"/>
          <w:lang w:val="en-US"/>
        </w:rPr>
        <w:t xml:space="preserve"> din </w:t>
      </w:r>
      <w:proofErr w:type="spellStart"/>
      <w:r w:rsidRPr="003D05D6">
        <w:rPr>
          <w:rFonts w:ascii="Times New Roman" w:hAnsi="Times New Roman"/>
          <w:noProof w:val="0"/>
          <w:lang w:val="en-US"/>
        </w:rPr>
        <w:t>punct</w:t>
      </w:r>
      <w:proofErr w:type="spellEnd"/>
      <w:r w:rsidRPr="003D05D6">
        <w:rPr>
          <w:rFonts w:ascii="Times New Roman" w:hAnsi="Times New Roman"/>
          <w:noProof w:val="0"/>
          <w:lang w:val="en-US"/>
        </w:rPr>
        <w:t xml:space="preserve"> de </w:t>
      </w:r>
      <w:proofErr w:type="spellStart"/>
      <w:r w:rsidRPr="003D05D6">
        <w:rPr>
          <w:rFonts w:ascii="Times New Roman" w:hAnsi="Times New Roman"/>
          <w:noProof w:val="0"/>
          <w:lang w:val="en-US"/>
        </w:rPr>
        <w:t>vedere</w:t>
      </w:r>
      <w:proofErr w:type="spellEnd"/>
      <w:r w:rsidRPr="003D05D6">
        <w:rPr>
          <w:rFonts w:ascii="Times New Roman" w:hAnsi="Times New Roman"/>
          <w:noProof w:val="0"/>
          <w:lang w:val="en-US"/>
        </w:rPr>
        <w:t xml:space="preserve"> energetic, 2017 - 2019, </w:t>
      </w:r>
      <w:proofErr w:type="spellStart"/>
      <w:r w:rsidRPr="003D05D6">
        <w:rPr>
          <w:rFonts w:ascii="Times New Roman" w:hAnsi="Times New Roman"/>
          <w:noProof w:val="0"/>
          <w:lang w:val="en-US"/>
        </w:rPr>
        <w:t>aprobat</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prin</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Ordinul</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viceprim-ministrului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ministrul</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mediului</w:t>
      </w:r>
      <w:proofErr w:type="spellEnd"/>
      <w:r w:rsidRPr="003D05D6">
        <w:rPr>
          <w:rFonts w:ascii="Times New Roman" w:hAnsi="Times New Roman"/>
          <w:noProof w:val="0"/>
          <w:lang w:val="en-US"/>
        </w:rPr>
        <w:t xml:space="preserve"> </w:t>
      </w:r>
      <w:proofErr w:type="spellStart"/>
      <w:r w:rsidRPr="003D05D6">
        <w:rPr>
          <w:rFonts w:ascii="Times New Roman" w:hAnsi="Times New Roman"/>
          <w:noProof w:val="0"/>
          <w:lang w:val="en-US"/>
        </w:rPr>
        <w:t>nr</w:t>
      </w:r>
      <w:proofErr w:type="spellEnd"/>
      <w:r w:rsidRPr="003D05D6">
        <w:rPr>
          <w:rFonts w:ascii="Times New Roman" w:hAnsi="Times New Roman"/>
          <w:noProof w:val="0"/>
          <w:lang w:val="en-US"/>
        </w:rPr>
        <w:t xml:space="preserve">. </w:t>
      </w:r>
      <w:proofErr w:type="gramStart"/>
      <w:r w:rsidRPr="003D05D6">
        <w:rPr>
          <w:rFonts w:ascii="Times New Roman" w:hAnsi="Times New Roman"/>
          <w:noProof w:val="0"/>
          <w:lang w:val="en-US"/>
        </w:rPr>
        <w:t>660/2017.</w:t>
      </w:r>
      <w:proofErr w:type="gramEnd"/>
    </w:p>
    <w:p w:rsidR="006C4467" w:rsidRPr="003D05D6" w:rsidRDefault="00B67740">
      <w:pPr>
        <w:autoSpaceDE w:val="0"/>
        <w:autoSpaceDN w:val="0"/>
        <w:adjustRightInd w:val="0"/>
        <w:spacing w:after="0"/>
        <w:ind w:right="-1" w:firstLine="720"/>
        <w:jc w:val="both"/>
        <w:rPr>
          <w:rFonts w:ascii="Times New Roman" w:hAnsi="Times New Roman"/>
          <w:i/>
        </w:rPr>
      </w:pPr>
      <w:r w:rsidRPr="003D05D6">
        <w:rPr>
          <w:rFonts w:ascii="Times New Roman" w:hAnsi="Times New Roman"/>
          <w:b/>
          <w:lang w:val="pt-BR"/>
        </w:rPr>
        <w:t>Baza legală a proiectului de ordin supus aprobării</w:t>
      </w:r>
      <w:r w:rsidRPr="003D05D6">
        <w:rPr>
          <w:rFonts w:ascii="Times New Roman" w:hAnsi="Times New Roman"/>
          <w:lang w:val="pt-BR"/>
        </w:rPr>
        <w:t xml:space="preserve"> o constituie prevederile art. 13 alin. (4)</w:t>
      </w:r>
      <w:r w:rsidRPr="003D05D6">
        <w:rPr>
          <w:rFonts w:ascii="Times New Roman" w:hAnsi="Times New Roman"/>
        </w:rPr>
        <w:t xml:space="preserve"> din Ordonanţa de urgenţă a Guvernului nr. </w:t>
      </w:r>
      <w:hyperlink r:id="rId8" w:history="1">
        <w:r w:rsidRPr="003D05D6">
          <w:rPr>
            <w:rStyle w:val="Hyperlink"/>
            <w:rFonts w:ascii="Times New Roman" w:hAnsi="Times New Roman"/>
            <w:bCs/>
            <w:color w:val="auto"/>
            <w:u w:val="none"/>
          </w:rPr>
          <w:t>196/2005</w:t>
        </w:r>
      </w:hyperlink>
      <w:r w:rsidRPr="003D05D6">
        <w:rPr>
          <w:rFonts w:ascii="Times New Roman" w:hAnsi="Times New Roman"/>
        </w:rPr>
        <w:t xml:space="preserve"> privind Fondul pentru mediu, aprobată cu modificări şi completări prin Legea nr. </w:t>
      </w:r>
      <w:hyperlink r:id="rId9" w:history="1">
        <w:r w:rsidRPr="003D05D6">
          <w:rPr>
            <w:rStyle w:val="Hyperlink"/>
            <w:rFonts w:ascii="Times New Roman" w:hAnsi="Times New Roman"/>
            <w:bCs/>
            <w:color w:val="auto"/>
            <w:u w:val="none"/>
          </w:rPr>
          <w:t>105/2006</w:t>
        </w:r>
      </w:hyperlink>
      <w:r w:rsidRPr="003D05D6">
        <w:rPr>
          <w:rFonts w:ascii="Times New Roman" w:hAnsi="Times New Roman"/>
        </w:rPr>
        <w:t>, cu modificările şi completările ulterioare. Potrivit art. 13 alin. (4) din actul normativ menționat, ”</w:t>
      </w:r>
      <w:r w:rsidRPr="003D05D6">
        <w:rPr>
          <w:rFonts w:ascii="Times New Roman" w:hAnsi="Times New Roman"/>
          <w:i/>
          <w:iCs/>
          <w:noProof w:val="0"/>
        </w:rPr>
        <w:t>Categoriile de beneficiari şi metodologia de finanţare care prevede analiza, selectarea, aprobarea, implementarea proiectelor şi/sau programelor pentru protecţia mediului prevăzute la alin. (1) lit. a) - l), n), q) - s), u), w) - z) se stabilesc prin ghidul de finanţare aferent fiecărui program sau proiect, care se elaborează de Administraţia Fondului pentru Mediu şi se aprobă prin ordin al conducătorului autorităţii publice centrale pentru protecţia mediului.</w:t>
      </w:r>
      <w:r w:rsidRPr="003D05D6">
        <w:rPr>
          <w:rFonts w:ascii="Times New Roman" w:hAnsi="Times New Roman"/>
          <w:i/>
        </w:rPr>
        <w:t>”</w:t>
      </w:r>
    </w:p>
    <w:p w:rsidR="006C4467" w:rsidRPr="003D05D6" w:rsidRDefault="00B67740">
      <w:pPr>
        <w:autoSpaceDE w:val="0"/>
        <w:autoSpaceDN w:val="0"/>
        <w:adjustRightInd w:val="0"/>
        <w:spacing w:after="0" w:line="240" w:lineRule="auto"/>
        <w:jc w:val="both"/>
        <w:rPr>
          <w:rFonts w:ascii="Times New Roman" w:hAnsi="Times New Roman"/>
          <w:noProof w:val="0"/>
        </w:rPr>
      </w:pPr>
      <w:r w:rsidRPr="003D05D6">
        <w:rPr>
          <w:rFonts w:ascii="Times New Roman" w:hAnsi="Times New Roman"/>
          <w:noProof w:val="0"/>
        </w:rPr>
        <w:tab/>
        <w:t xml:space="preserve">Prin prezentul proiect se se propun următoarele: </w:t>
      </w:r>
    </w:p>
    <w:p w:rsidR="006C4467" w:rsidRPr="003D05D6" w:rsidRDefault="00B67740">
      <w:pPr>
        <w:pStyle w:val="ListParagraph"/>
        <w:numPr>
          <w:ilvl w:val="0"/>
          <w:numId w:val="16"/>
        </w:numPr>
        <w:autoSpaceDE w:val="0"/>
        <w:autoSpaceDN w:val="0"/>
        <w:adjustRightInd w:val="0"/>
        <w:spacing w:after="0" w:line="240" w:lineRule="auto"/>
        <w:jc w:val="both"/>
        <w:rPr>
          <w:rFonts w:ascii="Times New Roman" w:hAnsi="Times New Roman"/>
          <w:noProof w:val="0"/>
        </w:rPr>
      </w:pPr>
      <w:r w:rsidRPr="003D05D6">
        <w:rPr>
          <w:rFonts w:ascii="Times New Roman" w:hAnsi="Times New Roman"/>
          <w:noProof w:val="0"/>
        </w:rPr>
        <w:t>Modificarea condițiilor de acordare a ecotichetelor:</w:t>
      </w:r>
    </w:p>
    <w:p w:rsidR="006C4467" w:rsidRPr="003D05D6" w:rsidRDefault="005942FE" w:rsidP="005942FE">
      <w:pPr>
        <w:autoSpaceDE w:val="0"/>
        <w:autoSpaceDN w:val="0"/>
        <w:adjustRightInd w:val="0"/>
        <w:spacing w:after="0" w:line="240" w:lineRule="auto"/>
        <w:ind w:firstLine="360"/>
        <w:jc w:val="both"/>
        <w:rPr>
          <w:rFonts w:ascii="Times New Roman" w:hAnsi="Times New Roman"/>
          <w:noProof w:val="0"/>
        </w:rPr>
      </w:pPr>
      <w:r w:rsidRPr="003D05D6">
        <w:rPr>
          <w:rFonts w:ascii="Times New Roman" w:hAnsi="Times New Roman"/>
          <w:noProof w:val="0"/>
        </w:rPr>
        <w:t>Î</w:t>
      </w:r>
      <w:r w:rsidR="00B67740" w:rsidRPr="003D05D6">
        <w:rPr>
          <w:rFonts w:ascii="Times New Roman" w:hAnsi="Times New Roman"/>
          <w:noProof w:val="0"/>
        </w:rPr>
        <w:t>n ceea ce privește achiziționarea autovehiculelor hibrid - electrice: se va lua în considearare standardul NEDC CO2MPASS/BT back translated de calcul al emisiilor CO</w:t>
      </w:r>
      <w:r w:rsidR="00B67740" w:rsidRPr="003D05D6">
        <w:rPr>
          <w:rFonts w:ascii="Times New Roman" w:hAnsi="Times New Roman"/>
          <w:noProof w:val="0"/>
          <w:vertAlign w:val="subscript"/>
        </w:rPr>
        <w:t>2</w:t>
      </w:r>
      <w:r w:rsidR="00B67740" w:rsidRPr="003D05D6">
        <w:rPr>
          <w:rFonts w:ascii="Times New Roman" w:hAnsi="Times New Roman"/>
          <w:noProof w:val="0"/>
        </w:rPr>
        <w:t>, pentru autovehiculele (categoria M1 și N1 Clasa 1)  fabricate după 1 septembrie 2018, care generează o cantitate de emisii de CO(2) mai mică de mai mică de 70 g CO2/km NEDC (CO2MPAS/BT – back translated );</w:t>
      </w:r>
    </w:p>
    <w:p w:rsidR="006C4467" w:rsidRPr="003D05D6" w:rsidRDefault="005942FE" w:rsidP="005942FE">
      <w:pPr>
        <w:autoSpaceDE w:val="0"/>
        <w:autoSpaceDN w:val="0"/>
        <w:adjustRightInd w:val="0"/>
        <w:spacing w:after="0" w:line="240" w:lineRule="auto"/>
        <w:ind w:firstLine="360"/>
        <w:jc w:val="both"/>
        <w:rPr>
          <w:rFonts w:ascii="Times New Roman" w:hAnsi="Times New Roman"/>
          <w:noProof w:val="0"/>
        </w:rPr>
      </w:pPr>
      <w:r w:rsidRPr="003D05D6">
        <w:rPr>
          <w:rFonts w:ascii="Times New Roman" w:hAnsi="Times New Roman"/>
          <w:noProof w:val="0"/>
        </w:rPr>
        <w:t>Î</w:t>
      </w:r>
      <w:r w:rsidR="00B67740" w:rsidRPr="003D05D6">
        <w:rPr>
          <w:rFonts w:ascii="Times New Roman" w:hAnsi="Times New Roman"/>
          <w:noProof w:val="0"/>
        </w:rPr>
        <w:t>n ceea ce privește achiziționarea autovehiculelor pur electrice: se va lua în considearare standardul NEDC CO2MPASS/BT back translated de calcul al emisiilor CO</w:t>
      </w:r>
      <w:r w:rsidR="00B67740" w:rsidRPr="003D05D6">
        <w:rPr>
          <w:rFonts w:ascii="Times New Roman" w:hAnsi="Times New Roman"/>
          <w:noProof w:val="0"/>
          <w:vertAlign w:val="subscript"/>
        </w:rPr>
        <w:t>2</w:t>
      </w:r>
      <w:r w:rsidR="00B67740" w:rsidRPr="003D05D6">
        <w:rPr>
          <w:rFonts w:ascii="Times New Roman" w:hAnsi="Times New Roman"/>
          <w:noProof w:val="0"/>
        </w:rPr>
        <w:t>, pentru autovehiculele (categoria M1 și N1 Clasa 1)  fabricate după 1 septembrie 2018</w:t>
      </w:r>
    </w:p>
    <w:p w:rsidR="006C4467" w:rsidRPr="003D05D6" w:rsidRDefault="00B67740" w:rsidP="005942FE">
      <w:pPr>
        <w:ind w:firstLine="360"/>
        <w:jc w:val="both"/>
        <w:rPr>
          <w:rFonts w:ascii="Times New Roman" w:hAnsi="Times New Roman"/>
        </w:rPr>
      </w:pPr>
      <w:r w:rsidRPr="003D05D6">
        <w:rPr>
          <w:rFonts w:ascii="Times New Roman" w:hAnsi="Times New Roman"/>
        </w:rPr>
        <w:t>Modificările survin în măsurarea cantității de emisii CO2, urmare primirii la Administrația Fondului pentru Mediu de solicitări, în perioada desfăşurării, până în prezent, privind actualizarea calcului a noxelor și consumului de combustibil (NEDC -WLTP), conform reglementărilor în vigoare.</w:t>
      </w:r>
    </w:p>
    <w:p w:rsidR="006C4467" w:rsidRPr="003D05D6" w:rsidRDefault="00B67740" w:rsidP="005942FE">
      <w:pPr>
        <w:pStyle w:val="ListParagraph"/>
        <w:numPr>
          <w:ilvl w:val="0"/>
          <w:numId w:val="16"/>
        </w:numPr>
        <w:autoSpaceDE w:val="0"/>
        <w:autoSpaceDN w:val="0"/>
        <w:adjustRightInd w:val="0"/>
        <w:spacing w:after="0" w:line="240" w:lineRule="auto"/>
        <w:jc w:val="both"/>
        <w:rPr>
          <w:rFonts w:ascii="Times New Roman" w:hAnsi="Times New Roman"/>
          <w:noProof w:val="0"/>
        </w:rPr>
      </w:pPr>
      <w:r w:rsidRPr="003D05D6">
        <w:rPr>
          <w:rFonts w:ascii="Times New Roman" w:hAnsi="Times New Roman"/>
          <w:noProof w:val="0"/>
        </w:rPr>
        <w:lastRenderedPageBreak/>
        <w:t>Introducerea prevederilor referitoare la faptul că Programul privind reducerea emisiilor de gaze cu efect de seră în transporturi, prin promovarea vehiculelor de transport rutier nepoluante şi eficiente din punct de vedere energetic nu se cumulează cu cu niciun alt program care finanțează/încurajează achiziţionarea autovehiculelor noi pur electrice sau autovehiculelor noi electrice hibride cu sursă de alimentare externă, cu excepția Programului de stimulare a înnoirii Parcului auto naţional.</w:t>
      </w:r>
    </w:p>
    <w:p w:rsidR="005942FE" w:rsidRPr="003D05D6" w:rsidRDefault="005942FE" w:rsidP="005942FE">
      <w:pPr>
        <w:pStyle w:val="ListParagraph"/>
        <w:autoSpaceDE w:val="0"/>
        <w:autoSpaceDN w:val="0"/>
        <w:adjustRightInd w:val="0"/>
        <w:spacing w:after="0" w:line="240" w:lineRule="auto"/>
        <w:jc w:val="both"/>
        <w:rPr>
          <w:rFonts w:ascii="Times New Roman" w:hAnsi="Times New Roman"/>
          <w:noProof w:val="0"/>
        </w:rPr>
      </w:pPr>
    </w:p>
    <w:p w:rsidR="006C4467" w:rsidRPr="003D05D6" w:rsidRDefault="00B67740" w:rsidP="005942FE">
      <w:pPr>
        <w:pStyle w:val="ListParagraph"/>
        <w:numPr>
          <w:ilvl w:val="0"/>
          <w:numId w:val="16"/>
        </w:numPr>
        <w:autoSpaceDE w:val="0"/>
        <w:autoSpaceDN w:val="0"/>
        <w:adjustRightInd w:val="0"/>
        <w:spacing w:after="0" w:line="240" w:lineRule="auto"/>
        <w:jc w:val="both"/>
        <w:rPr>
          <w:rFonts w:ascii="Times New Roman" w:hAnsi="Times New Roman"/>
          <w:noProof w:val="0"/>
        </w:rPr>
      </w:pPr>
      <w:r w:rsidRPr="003D05D6">
        <w:rPr>
          <w:rFonts w:ascii="Times New Roman" w:hAnsi="Times New Roman"/>
          <w:noProof w:val="0"/>
        </w:rPr>
        <w:t>Introducerea prevederilor referitoare la responsabilităţile privind gestionarea datelor cu caracter personal</w:t>
      </w:r>
      <w:r w:rsidR="005942FE" w:rsidRPr="003D05D6">
        <w:rPr>
          <w:rFonts w:ascii="Times New Roman" w:hAnsi="Times New Roman"/>
          <w:noProof w:val="0"/>
        </w:rPr>
        <w:t xml:space="preserve">. </w:t>
      </w:r>
      <w:r w:rsidRPr="003D05D6">
        <w:rPr>
          <w:rFonts w:ascii="Times New Roman" w:hAnsi="Times New Roman"/>
          <w:noProof w:val="0"/>
        </w:rPr>
        <w:t>Administrația Fondului pentru Mediu pune în aplicare prevederile Regulamentului 2016/679 (GDPR) privind prelucrarea datelor cu caracter personal. Datele cu caracter personal ale beneficiarilor și ale terților sunt prelucrate respectând  prevederile legale. Autoritatea răspunde, în condițiile legii, pentru gestionarea datelor cu caracter personal aparținând persoanelor participante în vadrul programului, pe care aceasta le prelucreaza. Prin înscrierea la producătorul validat sau depunerea cererii de finanțare, beneficiarul declară că este de acord cu privire la prelucrarea de către Autoritate și producătorul validat, a tuturor datelor și informațiilor funrizate, precum și cu privire la transmiterea acestora către terțe institușii sau persoane juridice în vederea verificării îndeplinirii tuturor obligațiilor și clauzelor prevăzute în prezentul ghid sau în scopul elaborării de situații și statistici.</w:t>
      </w:r>
    </w:p>
    <w:p w:rsidR="006C4467" w:rsidRPr="003D05D6" w:rsidRDefault="006C4467">
      <w:pPr>
        <w:autoSpaceDE w:val="0"/>
        <w:autoSpaceDN w:val="0"/>
        <w:adjustRightInd w:val="0"/>
        <w:spacing w:after="0"/>
        <w:jc w:val="both"/>
        <w:rPr>
          <w:rFonts w:ascii="Times New Roman" w:hAnsi="Times New Roman"/>
        </w:rPr>
      </w:pPr>
    </w:p>
    <w:p w:rsidR="006C4467" w:rsidRPr="003D05D6" w:rsidRDefault="00B67740">
      <w:pPr>
        <w:pStyle w:val="ListParagraph"/>
        <w:numPr>
          <w:ilvl w:val="0"/>
          <w:numId w:val="16"/>
        </w:numPr>
        <w:autoSpaceDE w:val="0"/>
        <w:autoSpaceDN w:val="0"/>
        <w:adjustRightInd w:val="0"/>
        <w:spacing w:after="0" w:line="240" w:lineRule="auto"/>
        <w:jc w:val="both"/>
        <w:rPr>
          <w:rFonts w:ascii="Times New Roman" w:hAnsi="Times New Roman"/>
          <w:noProof w:val="0"/>
        </w:rPr>
      </w:pPr>
      <w:r w:rsidRPr="003D05D6">
        <w:rPr>
          <w:rFonts w:ascii="Times New Roman" w:hAnsi="Times New Roman"/>
          <w:noProof w:val="0"/>
        </w:rPr>
        <w:t>Modificarea prevederii conform căreia, în cazul în care achiziţionarea autovehiculului nou nu se realizează din culpa exclusivă a producătorului validat, acesta are obligaţia de a oferi solicitantului înscris, în maximum 90 de zile de la data expirării notei de înscriere, posibilitatea  achiziţionării unui autovehicul nou, din al cărui preţ de comercializare se va scădea cuantumul ecotichetului.</w:t>
      </w:r>
    </w:p>
    <w:p w:rsidR="003D05D6" w:rsidRPr="003D05D6" w:rsidRDefault="003D05D6" w:rsidP="003D05D6">
      <w:pPr>
        <w:pStyle w:val="ListParagraph"/>
        <w:rPr>
          <w:rFonts w:ascii="Times New Roman" w:hAnsi="Times New Roman"/>
          <w:noProof w:val="0"/>
        </w:rPr>
      </w:pPr>
    </w:p>
    <w:p w:rsidR="003D05D6" w:rsidRPr="003D05D6" w:rsidRDefault="003D05D6">
      <w:pPr>
        <w:pStyle w:val="ListParagraph"/>
        <w:numPr>
          <w:ilvl w:val="0"/>
          <w:numId w:val="16"/>
        </w:numPr>
        <w:autoSpaceDE w:val="0"/>
        <w:autoSpaceDN w:val="0"/>
        <w:adjustRightInd w:val="0"/>
        <w:spacing w:after="0" w:line="240" w:lineRule="auto"/>
        <w:jc w:val="both"/>
        <w:rPr>
          <w:rFonts w:ascii="Times New Roman" w:hAnsi="Times New Roman"/>
          <w:noProof w:val="0"/>
        </w:rPr>
      </w:pPr>
      <w:r w:rsidRPr="003D05D6">
        <w:rPr>
          <w:rFonts w:ascii="Times New Roman" w:hAnsi="Times New Roman"/>
          <w:noProof w:val="0"/>
        </w:rPr>
        <w:t xml:space="preserve">Modificarea prevederii conform căreia certificatul de atestare fiscală privind obligațiile </w:t>
      </w:r>
      <w:r>
        <w:rPr>
          <w:rFonts w:ascii="Times New Roman" w:hAnsi="Times New Roman"/>
          <w:noProof w:val="0"/>
        </w:rPr>
        <w:t xml:space="preserve">de plată către bugetul de stat  </w:t>
      </w:r>
      <w:r w:rsidRPr="003D05D6">
        <w:rPr>
          <w:rFonts w:ascii="Times New Roman" w:hAnsi="Times New Roman"/>
          <w:noProof w:val="0"/>
        </w:rPr>
        <w:t xml:space="preserve">se depune în termen de valabilitate la data depunerii dosarului de decontare. </w:t>
      </w:r>
    </w:p>
    <w:p w:rsidR="003D05D6" w:rsidRPr="003D05D6" w:rsidRDefault="003D05D6" w:rsidP="003D05D6">
      <w:pPr>
        <w:autoSpaceDE w:val="0"/>
        <w:autoSpaceDN w:val="0"/>
        <w:adjustRightInd w:val="0"/>
        <w:spacing w:after="0" w:line="240" w:lineRule="auto"/>
        <w:jc w:val="both"/>
        <w:rPr>
          <w:rFonts w:ascii="Times New Roman" w:hAnsi="Times New Roman"/>
          <w:noProof w:val="0"/>
        </w:rPr>
      </w:pPr>
    </w:p>
    <w:p w:rsidR="003D05D6" w:rsidRDefault="00B67740" w:rsidP="00B67740">
      <w:pPr>
        <w:spacing w:after="32" w:line="249" w:lineRule="auto"/>
        <w:ind w:firstLine="360"/>
        <w:jc w:val="both"/>
        <w:rPr>
          <w:rFonts w:ascii="Times New Roman" w:eastAsia="Times New Roman" w:hAnsi="Times New Roman"/>
          <w:noProof w:val="0"/>
          <w:color w:val="000000"/>
          <w:lang w:eastAsia="ro-RO"/>
        </w:rPr>
      </w:pPr>
      <w:r w:rsidRPr="003D05D6">
        <w:rPr>
          <w:rFonts w:ascii="Times New Roman" w:eastAsia="Times New Roman" w:hAnsi="Times New Roman"/>
          <w:noProof w:val="0"/>
          <w:vanish/>
          <w:color w:val="000000"/>
          <w:lang w:eastAsia="ro-RO"/>
        </w:rPr>
        <w:cr/>
        <w:t xml:space="preserve">ector din data de 14.08.2018. </w:t>
      </w:r>
      <w:r w:rsidRPr="003D05D6">
        <w:rPr>
          <w:rFonts w:ascii="Times New Roman" w:eastAsia="Times New Roman" w:hAnsi="Times New Roman"/>
          <w:noProof w:val="0"/>
          <w:vanish/>
          <w:color w:val="000000"/>
          <w:lang w:eastAsia="ro-RO"/>
        </w:rPr>
        <w:cr/>
        <w:t xml:space="preserve"> </w:t>
      </w:r>
      <w:r w:rsidRPr="003D05D6">
        <w:rPr>
          <w:rFonts w:ascii="Times New Roman" w:eastAsia="Times New Roman" w:hAnsi="Times New Roman"/>
          <w:noProof w:val="0"/>
          <w:vanish/>
          <w:color w:val="000000"/>
          <w:lang w:eastAsia="ro-RO"/>
        </w:rPr>
        <w:cr/>
        <w:t xml:space="preserve"> în șdeința Comitetului ea următorul cuprins </w:t>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vanish/>
          <w:color w:val="000000"/>
          <w:lang w:eastAsia="ro-RO"/>
        </w:rPr>
        <w:pgNum/>
      </w:r>
      <w:r w:rsidRPr="003D05D6">
        <w:rPr>
          <w:rFonts w:ascii="Times New Roman" w:eastAsia="Times New Roman" w:hAnsi="Times New Roman"/>
          <w:noProof w:val="0"/>
          <w:color w:val="000000"/>
          <w:lang w:eastAsia="ro-RO"/>
        </w:rPr>
        <w:t>Modificările la prezentul ghid au fost aprobate în ședința Comitetului Director din data de 14.08.2018.</w:t>
      </w:r>
    </w:p>
    <w:p w:rsidR="00B67740" w:rsidRPr="003D05D6" w:rsidRDefault="00B67740" w:rsidP="00B67740">
      <w:pPr>
        <w:spacing w:after="32" w:line="249" w:lineRule="auto"/>
        <w:ind w:firstLine="360"/>
        <w:jc w:val="both"/>
        <w:rPr>
          <w:rFonts w:ascii="Times New Roman" w:eastAsia="Times New Roman" w:hAnsi="Times New Roman"/>
          <w:noProof w:val="0"/>
          <w:color w:val="000000"/>
          <w:lang w:eastAsia="ro-RO"/>
        </w:rPr>
      </w:pPr>
      <w:r w:rsidRPr="003D05D6">
        <w:rPr>
          <w:rFonts w:ascii="Times New Roman" w:eastAsia="Times New Roman" w:hAnsi="Times New Roman"/>
          <w:noProof w:val="0"/>
          <w:color w:val="000000"/>
          <w:lang w:eastAsia="ro-RO"/>
        </w:rPr>
        <w:t xml:space="preserve"> </w:t>
      </w:r>
    </w:p>
    <w:p w:rsidR="006C4467" w:rsidRPr="003D05D6" w:rsidRDefault="00B67740">
      <w:pPr>
        <w:spacing w:after="32" w:line="249" w:lineRule="auto"/>
        <w:ind w:firstLine="720"/>
        <w:jc w:val="both"/>
        <w:rPr>
          <w:rFonts w:ascii="Times New Roman" w:eastAsia="Times New Roman" w:hAnsi="Times New Roman"/>
          <w:b/>
          <w:i/>
          <w:noProof w:val="0"/>
          <w:color w:val="000000"/>
          <w:lang w:val="en-US" w:eastAsia="ro-RO"/>
        </w:rPr>
      </w:pPr>
      <w:r w:rsidRPr="003D05D6">
        <w:rPr>
          <w:rFonts w:ascii="Times New Roman" w:eastAsia="Times New Roman" w:hAnsi="Times New Roman"/>
          <w:noProof w:val="0"/>
          <w:color w:val="000000"/>
          <w:lang w:eastAsia="ro-RO"/>
        </w:rPr>
        <w:t xml:space="preserve">Față de cele de mai sus, ținând seama de importanța Programului, de scopul şi obiectivele acestuia, vă rugăm să aprobați emiterea </w:t>
      </w:r>
      <w:r w:rsidRPr="003D05D6">
        <w:rPr>
          <w:rFonts w:ascii="Times New Roman" w:eastAsia="Times New Roman" w:hAnsi="Times New Roman"/>
          <w:b/>
          <w:i/>
          <w:noProof w:val="0"/>
          <w:color w:val="000000"/>
          <w:lang w:eastAsia="ro-RO"/>
        </w:rPr>
        <w:t xml:space="preserve">Ordinului pentru modificarea și completarea Ghidului de finanţare a </w:t>
      </w:r>
      <w:r w:rsidRPr="003D05D6">
        <w:rPr>
          <w:rFonts w:ascii="Times New Roman" w:eastAsia="Times New Roman" w:hAnsi="Times New Roman"/>
          <w:b/>
          <w:bCs/>
          <w:i/>
          <w:noProof w:val="0"/>
          <w:color w:val="000000"/>
          <w:lang w:eastAsia="ro-RO"/>
        </w:rPr>
        <w:t>Programului privind reducerea emisiilor de gaze cu efect de seră în transporturi, prin promovarea vehiculelor de transport rutier nepoluante şi eficiente din punct de vedere energetic, 2017-2019, aprobat prin Ordinul viceprim-ministrului, ministrul mediului nr. 660/2017</w:t>
      </w:r>
      <w:r w:rsidRPr="003D05D6">
        <w:rPr>
          <w:rFonts w:ascii="Times New Roman" w:eastAsia="Times New Roman" w:hAnsi="Times New Roman"/>
          <w:b/>
          <w:i/>
          <w:noProof w:val="0"/>
          <w:color w:val="000000"/>
          <w:lang w:val="en-US" w:eastAsia="ro-RO"/>
        </w:rPr>
        <w:t xml:space="preserve"> cu </w:t>
      </w:r>
      <w:proofErr w:type="spellStart"/>
      <w:r w:rsidRPr="003D05D6">
        <w:rPr>
          <w:rFonts w:ascii="Times New Roman" w:eastAsia="Times New Roman" w:hAnsi="Times New Roman"/>
          <w:b/>
          <w:i/>
          <w:noProof w:val="0"/>
          <w:color w:val="000000"/>
          <w:lang w:val="en-US" w:eastAsia="ro-RO"/>
        </w:rPr>
        <w:t>modificările</w:t>
      </w:r>
      <w:proofErr w:type="spellEnd"/>
      <w:r w:rsidRPr="003D05D6">
        <w:rPr>
          <w:rFonts w:ascii="Times New Roman" w:eastAsia="Times New Roman" w:hAnsi="Times New Roman"/>
          <w:b/>
          <w:i/>
          <w:noProof w:val="0"/>
          <w:color w:val="000000"/>
          <w:lang w:val="en-US" w:eastAsia="ro-RO"/>
        </w:rPr>
        <w:t xml:space="preserve"> </w:t>
      </w:r>
      <w:proofErr w:type="spellStart"/>
      <w:r w:rsidRPr="003D05D6">
        <w:rPr>
          <w:rFonts w:ascii="Times New Roman" w:eastAsia="Times New Roman" w:hAnsi="Times New Roman"/>
          <w:b/>
          <w:i/>
          <w:noProof w:val="0"/>
          <w:color w:val="000000"/>
          <w:lang w:val="en-US" w:eastAsia="ro-RO"/>
        </w:rPr>
        <w:t>și</w:t>
      </w:r>
      <w:proofErr w:type="spellEnd"/>
      <w:r w:rsidRPr="003D05D6">
        <w:rPr>
          <w:rFonts w:ascii="Times New Roman" w:eastAsia="Times New Roman" w:hAnsi="Times New Roman"/>
          <w:b/>
          <w:i/>
          <w:noProof w:val="0"/>
          <w:color w:val="000000"/>
          <w:lang w:val="en-US" w:eastAsia="ro-RO"/>
        </w:rPr>
        <w:t xml:space="preserve"> </w:t>
      </w:r>
      <w:proofErr w:type="spellStart"/>
      <w:r w:rsidRPr="003D05D6">
        <w:rPr>
          <w:rFonts w:ascii="Times New Roman" w:eastAsia="Times New Roman" w:hAnsi="Times New Roman"/>
          <w:b/>
          <w:i/>
          <w:noProof w:val="0"/>
          <w:color w:val="000000"/>
          <w:lang w:val="en-US" w:eastAsia="ro-RO"/>
        </w:rPr>
        <w:t>completările</w:t>
      </w:r>
      <w:proofErr w:type="spellEnd"/>
      <w:r w:rsidRPr="003D05D6">
        <w:rPr>
          <w:rFonts w:ascii="Times New Roman" w:eastAsia="Times New Roman" w:hAnsi="Times New Roman"/>
          <w:b/>
          <w:i/>
          <w:noProof w:val="0"/>
          <w:color w:val="000000"/>
          <w:lang w:val="en-US" w:eastAsia="ro-RO"/>
        </w:rPr>
        <w:t xml:space="preserve"> </w:t>
      </w:r>
      <w:proofErr w:type="spellStart"/>
      <w:r w:rsidRPr="003D05D6">
        <w:rPr>
          <w:rFonts w:ascii="Times New Roman" w:eastAsia="Times New Roman" w:hAnsi="Times New Roman"/>
          <w:b/>
          <w:i/>
          <w:noProof w:val="0"/>
          <w:color w:val="000000"/>
          <w:lang w:val="en-US" w:eastAsia="ro-RO"/>
        </w:rPr>
        <w:t>ulterioare</w:t>
      </w:r>
      <w:proofErr w:type="spellEnd"/>
      <w:r w:rsidRPr="003D05D6">
        <w:rPr>
          <w:rFonts w:ascii="Times New Roman" w:eastAsia="Times New Roman" w:hAnsi="Times New Roman"/>
          <w:b/>
          <w:i/>
          <w:noProof w:val="0"/>
          <w:color w:val="000000"/>
          <w:lang w:val="en-US" w:eastAsia="ro-RO"/>
        </w:rPr>
        <w:t>.</w:t>
      </w:r>
    </w:p>
    <w:p w:rsidR="006C4467" w:rsidRDefault="00B67740">
      <w:pPr>
        <w:spacing w:after="32" w:line="249" w:lineRule="auto"/>
        <w:ind w:firstLine="851"/>
        <w:jc w:val="both"/>
        <w:rPr>
          <w:rFonts w:ascii="Times New Roman" w:eastAsia="Times New Roman" w:hAnsi="Times New Roman"/>
          <w:b/>
          <w:i/>
          <w:noProof w:val="0"/>
          <w:color w:val="000000"/>
          <w:lang w:eastAsia="ro-RO"/>
        </w:rPr>
      </w:pPr>
      <w:r w:rsidRPr="003D05D6">
        <w:rPr>
          <w:rFonts w:ascii="Times New Roman" w:eastAsia="Times New Roman" w:hAnsi="Times New Roman"/>
          <w:b/>
          <w:i/>
          <w:noProof w:val="0"/>
          <w:color w:val="000000"/>
          <w:lang w:eastAsia="ro-RO"/>
        </w:rPr>
        <w:t xml:space="preserve"> </w:t>
      </w:r>
    </w:p>
    <w:p w:rsidR="003D05D6" w:rsidRPr="003D05D6" w:rsidRDefault="003D05D6">
      <w:pPr>
        <w:spacing w:after="32" w:line="249" w:lineRule="auto"/>
        <w:ind w:firstLine="851"/>
        <w:jc w:val="both"/>
        <w:rPr>
          <w:rFonts w:ascii="Times New Roman" w:eastAsia="Times New Roman" w:hAnsi="Times New Roman"/>
          <w:noProof w:val="0"/>
          <w:color w:val="000000"/>
          <w:lang w:eastAsia="ro-RO"/>
        </w:rPr>
      </w:pPr>
    </w:p>
    <w:p w:rsidR="006C4467" w:rsidRPr="003D05D6" w:rsidRDefault="00B67740">
      <w:pPr>
        <w:spacing w:after="0" w:line="240" w:lineRule="auto"/>
        <w:jc w:val="center"/>
        <w:rPr>
          <w:rFonts w:ascii="Times New Roman" w:hAnsi="Times New Roman"/>
          <w:b/>
        </w:rPr>
      </w:pPr>
      <w:r w:rsidRPr="003D05D6">
        <w:rPr>
          <w:rFonts w:ascii="Times New Roman" w:hAnsi="Times New Roman"/>
          <w:b/>
        </w:rPr>
        <w:t>PREȘEDINTE,</w:t>
      </w:r>
    </w:p>
    <w:p w:rsidR="006C4467" w:rsidRDefault="00B67740">
      <w:pPr>
        <w:spacing w:after="0" w:line="240" w:lineRule="auto"/>
        <w:jc w:val="center"/>
        <w:rPr>
          <w:rFonts w:ascii="Times New Roman" w:hAnsi="Times New Roman"/>
          <w:b/>
        </w:rPr>
      </w:pPr>
      <w:r w:rsidRPr="003D05D6">
        <w:rPr>
          <w:rFonts w:ascii="Times New Roman" w:hAnsi="Times New Roman"/>
          <w:b/>
        </w:rPr>
        <w:t>Cornel BREZUICĂ</w:t>
      </w:r>
    </w:p>
    <w:p w:rsidR="003D05D6" w:rsidRDefault="003D05D6">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Default="00BD6975">
      <w:pPr>
        <w:spacing w:after="0" w:line="240" w:lineRule="auto"/>
        <w:jc w:val="center"/>
        <w:rPr>
          <w:rFonts w:ascii="Times New Roman" w:hAnsi="Times New Roman"/>
          <w:b/>
        </w:rPr>
      </w:pPr>
    </w:p>
    <w:p w:rsidR="00BD6975" w:rsidRPr="003D05D6" w:rsidRDefault="00BD6975">
      <w:pPr>
        <w:spacing w:after="0" w:line="240" w:lineRule="auto"/>
        <w:jc w:val="center"/>
        <w:rPr>
          <w:rFonts w:ascii="Times New Roman" w:hAnsi="Times New Roman"/>
          <w:b/>
        </w:rPr>
      </w:pPr>
      <w:bookmarkStart w:id="0" w:name="_GoBack"/>
      <w:bookmarkEnd w:id="0"/>
    </w:p>
    <w:p w:rsidR="008167B1" w:rsidRPr="003D05D6" w:rsidRDefault="008167B1">
      <w:pPr>
        <w:spacing w:after="0" w:line="240" w:lineRule="auto"/>
        <w:jc w:val="center"/>
        <w:rPr>
          <w:rFonts w:ascii="Times New Roman" w:hAnsi="Times New Roman"/>
          <w:b/>
        </w:rPr>
      </w:pPr>
    </w:p>
    <w:p w:rsidR="008167B1" w:rsidRPr="003D05D6" w:rsidRDefault="008167B1">
      <w:pPr>
        <w:spacing w:after="0" w:line="240" w:lineRule="auto"/>
        <w:jc w:val="center"/>
        <w:rPr>
          <w:rFonts w:ascii="Times New Roman" w:hAnsi="Times New Roman"/>
          <w:b/>
        </w:rPr>
      </w:pPr>
    </w:p>
    <w:p w:rsidR="008167B1" w:rsidRPr="003D05D6" w:rsidRDefault="008167B1" w:rsidP="008167B1">
      <w:pPr>
        <w:spacing w:after="0" w:line="240" w:lineRule="auto"/>
        <w:rPr>
          <w:rFonts w:ascii="Times New Roman" w:hAnsi="Times New Roman"/>
        </w:rPr>
      </w:pPr>
      <w:r w:rsidRPr="003D05D6">
        <w:rPr>
          <w:rFonts w:ascii="Times New Roman" w:hAnsi="Times New Roman"/>
        </w:rPr>
        <w:t>Director Direcția Juridică</w:t>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t>Întocmit</w:t>
      </w:r>
    </w:p>
    <w:p w:rsidR="008167B1" w:rsidRPr="003D05D6" w:rsidRDefault="008167B1" w:rsidP="008167B1">
      <w:pPr>
        <w:spacing w:after="0" w:line="240" w:lineRule="auto"/>
        <w:rPr>
          <w:rFonts w:ascii="Times New Roman" w:hAnsi="Times New Roman"/>
        </w:rPr>
      </w:pPr>
      <w:r w:rsidRPr="003D05D6">
        <w:rPr>
          <w:rFonts w:ascii="Times New Roman" w:hAnsi="Times New Roman"/>
        </w:rPr>
        <w:t xml:space="preserve">Marian CUCU </w:t>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r>
      <w:r w:rsidRPr="003D05D6">
        <w:rPr>
          <w:rFonts w:ascii="Times New Roman" w:hAnsi="Times New Roman"/>
        </w:rPr>
        <w:tab/>
        <w:t>Emilia PAVEL</w:t>
      </w:r>
    </w:p>
    <w:sectPr w:rsidR="008167B1" w:rsidRPr="003D05D6">
      <w:headerReference w:type="even" r:id="rId10"/>
      <w:headerReference w:type="default" r:id="rId11"/>
      <w:footerReference w:type="default" r:id="rId12"/>
      <w:pgSz w:w="11907" w:h="16839" w:code="9"/>
      <w:pgMar w:top="1440" w:right="850" w:bottom="28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8E" w:rsidRDefault="001A1C8E">
      <w:pPr>
        <w:spacing w:after="0" w:line="240" w:lineRule="auto"/>
      </w:pPr>
      <w:r>
        <w:separator/>
      </w:r>
    </w:p>
  </w:endnote>
  <w:endnote w:type="continuationSeparator" w:id="0">
    <w:p w:rsidR="001A1C8E" w:rsidRDefault="001A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7" w:rsidRDefault="006C4467">
    <w:pP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8E" w:rsidRDefault="001A1C8E">
      <w:pPr>
        <w:spacing w:after="0" w:line="240" w:lineRule="auto"/>
      </w:pPr>
      <w:r>
        <w:separator/>
      </w:r>
    </w:p>
  </w:footnote>
  <w:footnote w:type="continuationSeparator" w:id="0">
    <w:p w:rsidR="001A1C8E" w:rsidRDefault="001A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7" w:rsidRDefault="00B67740">
    <w:pPr>
      <w:pStyle w:val="Header"/>
    </w:pPr>
    <w:r>
      <w:rPr>
        <w:lang w:eastAsia="ro-RO"/>
      </w:rPr>
      <w:drawing>
        <wp:inline distT="0" distB="0" distL="0" distR="0" wp14:anchorId="3D43D68D" wp14:editId="6E8AA474">
          <wp:extent cx="1800225" cy="1790700"/>
          <wp:effectExtent l="0" t="0" r="9525" b="0"/>
          <wp:docPr id="8" name="Picture 8" descr="D:\Utile\card vizitator\s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e\card vizitator\ste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79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67" w:rsidRDefault="00B67740">
    <w:pPr>
      <w:pStyle w:val="Header"/>
    </w:pPr>
    <w:r>
      <w:rPr>
        <w:lang w:eastAsia="ro-RO"/>
      </w:rPr>
      <w:drawing>
        <wp:anchor distT="0" distB="0" distL="114300" distR="114300" simplePos="0" relativeHeight="251659264" behindDoc="0" locked="0" layoutInCell="1" allowOverlap="1" wp14:anchorId="57D3F00C" wp14:editId="78ACEA93">
          <wp:simplePos x="0" y="0"/>
          <wp:positionH relativeFrom="margin">
            <wp:posOffset>-303107</wp:posOffset>
          </wp:positionH>
          <wp:positionV relativeFrom="margin">
            <wp:posOffset>-231140</wp:posOffset>
          </wp:positionV>
          <wp:extent cx="6930390" cy="1000125"/>
          <wp:effectExtent l="1905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MM-AFM_centenar-03-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1000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D7D2"/>
      </v:shape>
    </w:pict>
  </w:numPicBullet>
  <w:abstractNum w:abstractNumId="0">
    <w:nsid w:val="060C2C82"/>
    <w:multiLevelType w:val="hybridMultilevel"/>
    <w:tmpl w:val="603A2F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9F0286"/>
    <w:multiLevelType w:val="hybridMultilevel"/>
    <w:tmpl w:val="2D3801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93B582A"/>
    <w:multiLevelType w:val="hybridMultilevel"/>
    <w:tmpl w:val="BD70F836"/>
    <w:lvl w:ilvl="0" w:tplc="18C4A03C">
      <w:start w:val="1"/>
      <w:numFmt w:val="lowerLetter"/>
      <w:lvlText w:val="%1)"/>
      <w:lvlJc w:val="left"/>
      <w:pPr>
        <w:ind w:left="911" w:hanging="360"/>
      </w:pPr>
      <w:rPr>
        <w:rFonts w:hint="default"/>
      </w:rPr>
    </w:lvl>
    <w:lvl w:ilvl="1" w:tplc="04180019" w:tentative="1">
      <w:start w:val="1"/>
      <w:numFmt w:val="lowerLetter"/>
      <w:lvlText w:val="%2."/>
      <w:lvlJc w:val="left"/>
      <w:pPr>
        <w:ind w:left="1631" w:hanging="360"/>
      </w:pPr>
    </w:lvl>
    <w:lvl w:ilvl="2" w:tplc="0418001B" w:tentative="1">
      <w:start w:val="1"/>
      <w:numFmt w:val="lowerRoman"/>
      <w:lvlText w:val="%3."/>
      <w:lvlJc w:val="right"/>
      <w:pPr>
        <w:ind w:left="2351" w:hanging="180"/>
      </w:pPr>
    </w:lvl>
    <w:lvl w:ilvl="3" w:tplc="0418000F" w:tentative="1">
      <w:start w:val="1"/>
      <w:numFmt w:val="decimal"/>
      <w:lvlText w:val="%4."/>
      <w:lvlJc w:val="left"/>
      <w:pPr>
        <w:ind w:left="3071" w:hanging="360"/>
      </w:pPr>
    </w:lvl>
    <w:lvl w:ilvl="4" w:tplc="04180019" w:tentative="1">
      <w:start w:val="1"/>
      <w:numFmt w:val="lowerLetter"/>
      <w:lvlText w:val="%5."/>
      <w:lvlJc w:val="left"/>
      <w:pPr>
        <w:ind w:left="3791" w:hanging="360"/>
      </w:pPr>
    </w:lvl>
    <w:lvl w:ilvl="5" w:tplc="0418001B" w:tentative="1">
      <w:start w:val="1"/>
      <w:numFmt w:val="lowerRoman"/>
      <w:lvlText w:val="%6."/>
      <w:lvlJc w:val="right"/>
      <w:pPr>
        <w:ind w:left="4511" w:hanging="180"/>
      </w:pPr>
    </w:lvl>
    <w:lvl w:ilvl="6" w:tplc="0418000F" w:tentative="1">
      <w:start w:val="1"/>
      <w:numFmt w:val="decimal"/>
      <w:lvlText w:val="%7."/>
      <w:lvlJc w:val="left"/>
      <w:pPr>
        <w:ind w:left="5231" w:hanging="360"/>
      </w:pPr>
    </w:lvl>
    <w:lvl w:ilvl="7" w:tplc="04180019" w:tentative="1">
      <w:start w:val="1"/>
      <w:numFmt w:val="lowerLetter"/>
      <w:lvlText w:val="%8."/>
      <w:lvlJc w:val="left"/>
      <w:pPr>
        <w:ind w:left="5951" w:hanging="360"/>
      </w:pPr>
    </w:lvl>
    <w:lvl w:ilvl="8" w:tplc="0418001B" w:tentative="1">
      <w:start w:val="1"/>
      <w:numFmt w:val="lowerRoman"/>
      <w:lvlText w:val="%9."/>
      <w:lvlJc w:val="right"/>
      <w:pPr>
        <w:ind w:left="6671" w:hanging="180"/>
      </w:pPr>
    </w:lvl>
  </w:abstractNum>
  <w:abstractNum w:abstractNumId="3">
    <w:nsid w:val="0DFD66FD"/>
    <w:multiLevelType w:val="hybridMultilevel"/>
    <w:tmpl w:val="603A2F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5D76CE"/>
    <w:multiLevelType w:val="hybridMultilevel"/>
    <w:tmpl w:val="292CD6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370C1D"/>
    <w:multiLevelType w:val="hybridMultilevel"/>
    <w:tmpl w:val="EC24D9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B670A6"/>
    <w:multiLevelType w:val="hybridMultilevel"/>
    <w:tmpl w:val="B936FE18"/>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3D4E094C"/>
    <w:multiLevelType w:val="hybridMultilevel"/>
    <w:tmpl w:val="8822ED54"/>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3C1086E"/>
    <w:multiLevelType w:val="hybridMultilevel"/>
    <w:tmpl w:val="39F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D338E"/>
    <w:multiLevelType w:val="hybridMultilevel"/>
    <w:tmpl w:val="31F4E7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48897E0D"/>
    <w:multiLevelType w:val="hybridMultilevel"/>
    <w:tmpl w:val="33406E42"/>
    <w:lvl w:ilvl="0" w:tplc="891EA792">
      <w:start w:val="7"/>
      <w:numFmt w:val="bullet"/>
      <w:lvlText w:val="-"/>
      <w:lvlJc w:val="left"/>
      <w:pPr>
        <w:ind w:left="911" w:hanging="360"/>
      </w:pPr>
      <w:rPr>
        <w:rFonts w:ascii="Times New Roman" w:eastAsia="Times New Roman" w:hAnsi="Times New Roman" w:cs="Times New Roman" w:hint="default"/>
      </w:rPr>
    </w:lvl>
    <w:lvl w:ilvl="1" w:tplc="04180003">
      <w:start w:val="1"/>
      <w:numFmt w:val="bullet"/>
      <w:lvlText w:val="o"/>
      <w:lvlJc w:val="left"/>
      <w:pPr>
        <w:ind w:left="1631" w:hanging="360"/>
      </w:pPr>
      <w:rPr>
        <w:rFonts w:ascii="Courier New" w:hAnsi="Courier New" w:cs="Courier New" w:hint="default"/>
      </w:rPr>
    </w:lvl>
    <w:lvl w:ilvl="2" w:tplc="04180005">
      <w:start w:val="1"/>
      <w:numFmt w:val="bullet"/>
      <w:lvlText w:val=""/>
      <w:lvlJc w:val="left"/>
      <w:pPr>
        <w:ind w:left="2351" w:hanging="360"/>
      </w:pPr>
      <w:rPr>
        <w:rFonts w:ascii="Wingdings" w:hAnsi="Wingdings" w:hint="default"/>
      </w:rPr>
    </w:lvl>
    <w:lvl w:ilvl="3" w:tplc="04180001">
      <w:start w:val="1"/>
      <w:numFmt w:val="bullet"/>
      <w:lvlText w:val=""/>
      <w:lvlJc w:val="left"/>
      <w:pPr>
        <w:ind w:left="3071" w:hanging="360"/>
      </w:pPr>
      <w:rPr>
        <w:rFonts w:ascii="Symbol" w:hAnsi="Symbol" w:hint="default"/>
      </w:rPr>
    </w:lvl>
    <w:lvl w:ilvl="4" w:tplc="04180003">
      <w:start w:val="1"/>
      <w:numFmt w:val="bullet"/>
      <w:lvlText w:val="o"/>
      <w:lvlJc w:val="left"/>
      <w:pPr>
        <w:ind w:left="3791" w:hanging="360"/>
      </w:pPr>
      <w:rPr>
        <w:rFonts w:ascii="Courier New" w:hAnsi="Courier New" w:cs="Courier New" w:hint="default"/>
      </w:rPr>
    </w:lvl>
    <w:lvl w:ilvl="5" w:tplc="04180005">
      <w:start w:val="1"/>
      <w:numFmt w:val="bullet"/>
      <w:lvlText w:val=""/>
      <w:lvlJc w:val="left"/>
      <w:pPr>
        <w:ind w:left="4511" w:hanging="360"/>
      </w:pPr>
      <w:rPr>
        <w:rFonts w:ascii="Wingdings" w:hAnsi="Wingdings" w:hint="default"/>
      </w:rPr>
    </w:lvl>
    <w:lvl w:ilvl="6" w:tplc="04180001">
      <w:start w:val="1"/>
      <w:numFmt w:val="bullet"/>
      <w:lvlText w:val=""/>
      <w:lvlJc w:val="left"/>
      <w:pPr>
        <w:ind w:left="5231" w:hanging="360"/>
      </w:pPr>
      <w:rPr>
        <w:rFonts w:ascii="Symbol" w:hAnsi="Symbol" w:hint="default"/>
      </w:rPr>
    </w:lvl>
    <w:lvl w:ilvl="7" w:tplc="04180003">
      <w:start w:val="1"/>
      <w:numFmt w:val="bullet"/>
      <w:lvlText w:val="o"/>
      <w:lvlJc w:val="left"/>
      <w:pPr>
        <w:ind w:left="5951" w:hanging="360"/>
      </w:pPr>
      <w:rPr>
        <w:rFonts w:ascii="Courier New" w:hAnsi="Courier New" w:cs="Courier New" w:hint="default"/>
      </w:rPr>
    </w:lvl>
    <w:lvl w:ilvl="8" w:tplc="04180005">
      <w:start w:val="1"/>
      <w:numFmt w:val="bullet"/>
      <w:lvlText w:val=""/>
      <w:lvlJc w:val="left"/>
      <w:pPr>
        <w:ind w:left="6671" w:hanging="360"/>
      </w:pPr>
      <w:rPr>
        <w:rFonts w:ascii="Wingdings" w:hAnsi="Wingdings" w:hint="default"/>
      </w:rPr>
    </w:lvl>
  </w:abstractNum>
  <w:abstractNum w:abstractNumId="11">
    <w:nsid w:val="4E2D4A52"/>
    <w:multiLevelType w:val="hybridMultilevel"/>
    <w:tmpl w:val="FFCCD39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55C2394B"/>
    <w:multiLevelType w:val="hybridMultilevel"/>
    <w:tmpl w:val="C69C09A6"/>
    <w:lvl w:ilvl="0" w:tplc="547A355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C586401"/>
    <w:multiLevelType w:val="hybridMultilevel"/>
    <w:tmpl w:val="3A121B2C"/>
    <w:lvl w:ilvl="0" w:tplc="1EA034F6">
      <w:start w:val="1"/>
      <w:numFmt w:val="decimal"/>
      <w:lvlText w:val="(%1)"/>
      <w:lvlJc w:val="left"/>
      <w:pPr>
        <w:ind w:left="645" w:hanging="360"/>
      </w:pPr>
      <w:rPr>
        <w:rFonts w:cs="Times New Roman" w:hint="default"/>
      </w:rPr>
    </w:lvl>
    <w:lvl w:ilvl="1" w:tplc="04180019" w:tentative="1">
      <w:start w:val="1"/>
      <w:numFmt w:val="lowerLetter"/>
      <w:lvlText w:val="%2."/>
      <w:lvlJc w:val="left"/>
      <w:pPr>
        <w:ind w:left="1365" w:hanging="360"/>
      </w:pPr>
      <w:rPr>
        <w:rFonts w:cs="Times New Roman"/>
      </w:rPr>
    </w:lvl>
    <w:lvl w:ilvl="2" w:tplc="0418001B" w:tentative="1">
      <w:start w:val="1"/>
      <w:numFmt w:val="lowerRoman"/>
      <w:lvlText w:val="%3."/>
      <w:lvlJc w:val="right"/>
      <w:pPr>
        <w:ind w:left="2085" w:hanging="180"/>
      </w:pPr>
      <w:rPr>
        <w:rFonts w:cs="Times New Roman"/>
      </w:rPr>
    </w:lvl>
    <w:lvl w:ilvl="3" w:tplc="0418000F" w:tentative="1">
      <w:start w:val="1"/>
      <w:numFmt w:val="decimal"/>
      <w:lvlText w:val="%4."/>
      <w:lvlJc w:val="left"/>
      <w:pPr>
        <w:ind w:left="2805" w:hanging="360"/>
      </w:pPr>
      <w:rPr>
        <w:rFonts w:cs="Times New Roman"/>
      </w:rPr>
    </w:lvl>
    <w:lvl w:ilvl="4" w:tplc="04180019" w:tentative="1">
      <w:start w:val="1"/>
      <w:numFmt w:val="lowerLetter"/>
      <w:lvlText w:val="%5."/>
      <w:lvlJc w:val="left"/>
      <w:pPr>
        <w:ind w:left="3525" w:hanging="360"/>
      </w:pPr>
      <w:rPr>
        <w:rFonts w:cs="Times New Roman"/>
      </w:rPr>
    </w:lvl>
    <w:lvl w:ilvl="5" w:tplc="0418001B" w:tentative="1">
      <w:start w:val="1"/>
      <w:numFmt w:val="lowerRoman"/>
      <w:lvlText w:val="%6."/>
      <w:lvlJc w:val="right"/>
      <w:pPr>
        <w:ind w:left="4245" w:hanging="180"/>
      </w:pPr>
      <w:rPr>
        <w:rFonts w:cs="Times New Roman"/>
      </w:rPr>
    </w:lvl>
    <w:lvl w:ilvl="6" w:tplc="0418000F" w:tentative="1">
      <w:start w:val="1"/>
      <w:numFmt w:val="decimal"/>
      <w:lvlText w:val="%7."/>
      <w:lvlJc w:val="left"/>
      <w:pPr>
        <w:ind w:left="4965" w:hanging="360"/>
      </w:pPr>
      <w:rPr>
        <w:rFonts w:cs="Times New Roman"/>
      </w:rPr>
    </w:lvl>
    <w:lvl w:ilvl="7" w:tplc="04180019" w:tentative="1">
      <w:start w:val="1"/>
      <w:numFmt w:val="lowerLetter"/>
      <w:lvlText w:val="%8."/>
      <w:lvlJc w:val="left"/>
      <w:pPr>
        <w:ind w:left="5685" w:hanging="360"/>
      </w:pPr>
      <w:rPr>
        <w:rFonts w:cs="Times New Roman"/>
      </w:rPr>
    </w:lvl>
    <w:lvl w:ilvl="8" w:tplc="0418001B" w:tentative="1">
      <w:start w:val="1"/>
      <w:numFmt w:val="lowerRoman"/>
      <w:lvlText w:val="%9."/>
      <w:lvlJc w:val="right"/>
      <w:pPr>
        <w:ind w:left="6405" w:hanging="180"/>
      </w:pPr>
      <w:rPr>
        <w:rFonts w:cs="Times New Roman"/>
      </w:rPr>
    </w:lvl>
  </w:abstractNum>
  <w:abstractNum w:abstractNumId="14">
    <w:nsid w:val="66B61C9C"/>
    <w:multiLevelType w:val="hybridMultilevel"/>
    <w:tmpl w:val="EC24D9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13E1CC4"/>
    <w:multiLevelType w:val="hybridMultilevel"/>
    <w:tmpl w:val="7F846280"/>
    <w:lvl w:ilvl="0" w:tplc="B438526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11"/>
  </w:num>
  <w:num w:numId="6">
    <w:abstractNumId w:val="6"/>
  </w:num>
  <w:num w:numId="7">
    <w:abstractNumId w:val="0"/>
  </w:num>
  <w:num w:numId="8">
    <w:abstractNumId w:val="1"/>
  </w:num>
  <w:num w:numId="9">
    <w:abstractNumId w:val="13"/>
  </w:num>
  <w:num w:numId="10">
    <w:abstractNumId w:val="2"/>
  </w:num>
  <w:num w:numId="11">
    <w:abstractNumId w:val="8"/>
  </w:num>
  <w:num w:numId="12">
    <w:abstractNumId w:val="9"/>
  </w:num>
  <w:num w:numId="13">
    <w:abstractNumId w:val="10"/>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67"/>
    <w:rsid w:val="001A1C8E"/>
    <w:rsid w:val="003716E1"/>
    <w:rsid w:val="003D05D6"/>
    <w:rsid w:val="00513A59"/>
    <w:rsid w:val="005942FE"/>
    <w:rsid w:val="006C4467"/>
    <w:rsid w:val="008167B1"/>
    <w:rsid w:val="00B67740"/>
    <w:rsid w:val="00BD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MS Mincho" w:hAnsi="Times New Roman"/>
      <w:noProof w:val="0"/>
      <w:sz w:val="24"/>
      <w:szCs w:val="24"/>
      <w:lang w:val="en-US"/>
    </w:rPr>
  </w:style>
  <w:style w:type="character" w:customStyle="1" w:styleId="FooterChar">
    <w:name w:val="Footer Char"/>
    <w:basedOn w:val="DefaultParagraphFont"/>
    <w:link w:val="Footer"/>
    <w:uiPriority w:val="99"/>
    <w:rPr>
      <w:rFonts w:ascii="Times New Roman" w:eastAsia="MS Mincho"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ro-RO"/>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noProof/>
      <w:sz w:val="22"/>
      <w:szCs w:val="22"/>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noProof/>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MS Mincho" w:hAnsi="Times New Roman"/>
      <w:noProof w:val="0"/>
      <w:sz w:val="24"/>
      <w:szCs w:val="24"/>
      <w:lang w:val="en-US"/>
    </w:rPr>
  </w:style>
  <w:style w:type="character" w:customStyle="1" w:styleId="FooterChar">
    <w:name w:val="Footer Char"/>
    <w:basedOn w:val="DefaultParagraphFont"/>
    <w:link w:val="Footer"/>
    <w:uiPriority w:val="99"/>
    <w:rPr>
      <w:rFonts w:ascii="Times New Roman" w:eastAsia="MS Mincho"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ro-RO"/>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noProof/>
      <w:sz w:val="22"/>
      <w:szCs w:val="22"/>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noProof/>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905">
      <w:bodyDiv w:val="1"/>
      <w:marLeft w:val="0"/>
      <w:marRight w:val="0"/>
      <w:marTop w:val="0"/>
      <w:marBottom w:val="0"/>
      <w:divBdr>
        <w:top w:val="none" w:sz="0" w:space="0" w:color="auto"/>
        <w:left w:val="none" w:sz="0" w:space="0" w:color="auto"/>
        <w:bottom w:val="none" w:sz="0" w:space="0" w:color="auto"/>
        <w:right w:val="none" w:sz="0" w:space="0" w:color="auto"/>
      </w:divBdr>
    </w:div>
    <w:div w:id="621033901">
      <w:bodyDiv w:val="1"/>
      <w:marLeft w:val="0"/>
      <w:marRight w:val="0"/>
      <w:marTop w:val="0"/>
      <w:marBottom w:val="0"/>
      <w:divBdr>
        <w:top w:val="none" w:sz="0" w:space="0" w:color="auto"/>
        <w:left w:val="none" w:sz="0" w:space="0" w:color="auto"/>
        <w:bottom w:val="none" w:sz="0" w:space="0" w:color="auto"/>
        <w:right w:val="none" w:sz="0" w:space="0" w:color="auto"/>
      </w:divBdr>
    </w:div>
    <w:div w:id="871458368">
      <w:bodyDiv w:val="1"/>
      <w:marLeft w:val="0"/>
      <w:marRight w:val="0"/>
      <w:marTop w:val="0"/>
      <w:marBottom w:val="0"/>
      <w:divBdr>
        <w:top w:val="none" w:sz="0" w:space="0" w:color="auto"/>
        <w:left w:val="none" w:sz="0" w:space="0" w:color="auto"/>
        <w:bottom w:val="none" w:sz="0" w:space="0" w:color="auto"/>
        <w:right w:val="none" w:sz="0" w:space="0" w:color="auto"/>
      </w:divBdr>
    </w:div>
    <w:div w:id="1087455983">
      <w:bodyDiv w:val="1"/>
      <w:marLeft w:val="0"/>
      <w:marRight w:val="0"/>
      <w:marTop w:val="0"/>
      <w:marBottom w:val="0"/>
      <w:divBdr>
        <w:top w:val="none" w:sz="0" w:space="0" w:color="auto"/>
        <w:left w:val="none" w:sz="0" w:space="0" w:color="auto"/>
        <w:bottom w:val="none" w:sz="0" w:space="0" w:color="auto"/>
        <w:right w:val="none" w:sz="0" w:space="0" w:color="auto"/>
      </w:divBdr>
    </w:div>
    <w:div w:id="154674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Temporary%20Internet%20Files\Content.IE5\Sintact%202.0\cache\Legislatie\temp\0008904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AppData\Local\Microsoft\Windows\Temporary%20Internet%20Files\Content.IE5\Sintact%202.0\cache\Legislatie\temp\00092395.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1092</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2018-08-14T11:53:00Z</cp:lastPrinted>
  <dcterms:created xsi:type="dcterms:W3CDTF">2018-08-14T11:42:00Z</dcterms:created>
  <dcterms:modified xsi:type="dcterms:W3CDTF">2018-08-14T11:55:00Z</dcterms:modified>
</cp:coreProperties>
</file>