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26" w:line="256" w:lineRule="auto"/>
        <w:rPr>
          <w:rFonts w:ascii="Times New Roman" w:hAnsi="Times New Roman"/>
          <w:noProof w:val="0"/>
          <w:color w:val="000000"/>
          <w:sz w:val="24"/>
          <w:szCs w:val="24"/>
          <w:lang w:eastAsia="ro-RO"/>
        </w:rPr>
      </w:pPr>
      <w:r>
        <w:rPr>
          <w:rFonts w:ascii="Times New Roman" w:hAnsi="Times New Roman"/>
          <w:noProof w:val="0"/>
          <w:color w:val="000000"/>
          <w:sz w:val="24"/>
          <w:szCs w:val="24"/>
          <w:lang w:eastAsia="ro-RO"/>
        </w:rPr>
        <w:t>Nr. ................/.............................2022</w:t>
      </w:r>
    </w:p>
    <w:p>
      <w:pPr>
        <w:spacing w:after="26" w:line="256" w:lineRule="auto"/>
        <w:rPr>
          <w:rFonts w:ascii="Times New Roman" w:hAnsi="Times New Roman"/>
          <w:noProof w:val="0"/>
          <w:color w:val="000000"/>
          <w:sz w:val="24"/>
          <w:szCs w:val="24"/>
          <w:lang w:eastAsia="ro-RO"/>
        </w:rPr>
      </w:pPr>
    </w:p>
    <w:p>
      <w:pPr>
        <w:keepNext/>
        <w:keepLines/>
        <w:spacing w:after="0" w:line="256" w:lineRule="auto"/>
        <w:outlineLvl w:val="0"/>
        <w:rPr>
          <w:rFonts w:ascii="Times New Roman" w:hAnsi="Times New Roman"/>
          <w:b/>
          <w:noProof w:val="0"/>
          <w:color w:val="000000"/>
          <w:lang w:eastAsia="ro-RO"/>
        </w:rPr>
      </w:pPr>
    </w:p>
    <w:p>
      <w:pPr>
        <w:keepNext/>
        <w:keepLines/>
        <w:spacing w:after="0"/>
        <w:ind w:left="2829" w:firstLine="3"/>
        <w:outlineLvl w:val="0"/>
        <w:rPr>
          <w:rFonts w:ascii="Times New Roman" w:hAnsi="Times New Roman"/>
          <w:b/>
          <w:noProof w:val="0"/>
          <w:color w:val="000000"/>
          <w:sz w:val="24"/>
          <w:szCs w:val="24"/>
          <w:lang w:eastAsia="ro-RO"/>
        </w:rPr>
      </w:pPr>
      <w:r>
        <w:rPr>
          <w:rFonts w:ascii="Times New Roman" w:hAnsi="Times New Roman"/>
          <w:b/>
          <w:noProof w:val="0"/>
          <w:color w:val="000000"/>
          <w:sz w:val="24"/>
          <w:szCs w:val="24"/>
          <w:lang w:eastAsia="ro-RO"/>
        </w:rPr>
        <w:t xml:space="preserve">             REFERAT DE APROBARE</w:t>
      </w:r>
    </w:p>
    <w:p>
      <w:pPr>
        <w:spacing w:after="11"/>
        <w:ind w:right="3"/>
        <w:jc w:val="center"/>
        <w:rPr>
          <w:rFonts w:ascii="Times New Roman" w:hAnsi="Times New Roman"/>
          <w:b/>
          <w:bCs/>
          <w:sz w:val="24"/>
          <w:szCs w:val="24"/>
          <w:lang w:eastAsia="ro-RO"/>
        </w:rPr>
      </w:pPr>
      <w:r>
        <w:rPr>
          <w:rFonts w:ascii="Times New Roman" w:hAnsi="Times New Roman"/>
          <w:b/>
          <w:bCs/>
          <w:sz w:val="24"/>
          <w:szCs w:val="24"/>
          <w:lang w:eastAsia="ro-RO"/>
        </w:rPr>
        <w:t>a</w:t>
      </w:r>
    </w:p>
    <w:p>
      <w:pPr>
        <w:spacing w:after="11"/>
        <w:ind w:right="3"/>
        <w:jc w:val="center"/>
        <w:rPr>
          <w:rFonts w:ascii="Times New Roman" w:hAnsi="Times New Roman"/>
          <w:b/>
          <w:bCs/>
          <w:sz w:val="24"/>
          <w:szCs w:val="24"/>
          <w:lang w:eastAsia="ro-RO"/>
        </w:rPr>
      </w:pPr>
      <w:r>
        <w:rPr>
          <w:rFonts w:ascii="Times New Roman" w:hAnsi="Times New Roman"/>
          <w:b/>
          <w:bCs/>
          <w:sz w:val="24"/>
          <w:szCs w:val="24"/>
          <w:lang w:eastAsia="ro-RO"/>
        </w:rPr>
        <w:t xml:space="preserve">Ghidului de finanțare </w:t>
      </w:r>
      <w:r>
        <w:rPr>
          <w:rFonts w:ascii="Times New Roman" w:hAnsi="Times New Roman"/>
          <w:b/>
          <w:bCs/>
          <w:iCs/>
          <w:sz w:val="24"/>
          <w:szCs w:val="24"/>
          <w:lang w:eastAsia="ro-RO"/>
        </w:rPr>
        <w:t>a Programului privind creșterea eficienței energetice prin înlocuirea becurilor convenționale cu becuri led</w:t>
      </w:r>
    </w:p>
    <w:p>
      <w:pPr>
        <w:spacing w:after="11"/>
        <w:ind w:right="3"/>
        <w:jc w:val="center"/>
        <w:rPr>
          <w:rFonts w:ascii="Times New Roman" w:hAnsi="Times New Roman"/>
          <w:b/>
          <w:i/>
          <w:sz w:val="24"/>
          <w:szCs w:val="24"/>
        </w:rPr>
      </w:pPr>
    </w:p>
    <w:p>
      <w:pPr>
        <w:spacing w:after="11"/>
        <w:ind w:right="3" w:firstLine="709"/>
        <w:jc w:val="both"/>
        <w:rPr>
          <w:rFonts w:ascii="Times New Roman" w:hAnsi="Times New Roman"/>
          <w:b/>
          <w:bCs/>
          <w:i/>
          <w:sz w:val="24"/>
          <w:szCs w:val="24"/>
        </w:rPr>
      </w:pPr>
      <w:r>
        <w:rPr>
          <w:rFonts w:ascii="Times New Roman" w:hAnsi="Times New Roman"/>
          <w:bCs/>
          <w:sz w:val="24"/>
          <w:szCs w:val="24"/>
        </w:rPr>
        <w:t>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instrumentul de prezentare și motivare a</w:t>
      </w:r>
      <w:r>
        <w:rPr>
          <w:rFonts w:ascii="Times New Roman" w:hAnsi="Times New Roman"/>
          <w:b/>
          <w:bCs/>
          <w:i/>
          <w:sz w:val="24"/>
          <w:szCs w:val="24"/>
        </w:rPr>
        <w:t xml:space="preserve"> proiectului de ordin pentru aprobarea Ghidului de finanțare </w:t>
      </w:r>
      <w:r>
        <w:rPr>
          <w:rFonts w:ascii="Times New Roman" w:eastAsia="Calibri" w:hAnsi="Times New Roman"/>
          <w:b/>
          <w:i/>
          <w:iCs/>
          <w:sz w:val="24"/>
          <w:szCs w:val="24"/>
        </w:rPr>
        <w:t>a Programului privind creșterea eficienței energetice prin înlocuirea becurilor convenționale cu becuri led</w:t>
      </w:r>
      <w:r>
        <w:rPr>
          <w:rFonts w:ascii="Times New Roman" w:hAnsi="Times New Roman"/>
          <w:b/>
          <w:bCs/>
          <w:i/>
          <w:sz w:val="24"/>
          <w:szCs w:val="24"/>
        </w:rPr>
        <w:t>.</w:t>
      </w:r>
    </w:p>
    <w:p>
      <w:pPr>
        <w:pStyle w:val="NoSpacing"/>
        <w:spacing w:line="276" w:lineRule="auto"/>
        <w:ind w:firstLine="708"/>
        <w:jc w:val="both"/>
        <w:rPr>
          <w:rFonts w:ascii="Times New Roman" w:hAnsi="Times New Roman"/>
          <w:noProof w:val="0"/>
          <w:sz w:val="24"/>
          <w:szCs w:val="24"/>
          <w:lang w:eastAsia="ro-RO"/>
        </w:rPr>
      </w:pPr>
      <w:r>
        <w:rPr>
          <w:rFonts w:ascii="Times New Roman" w:hAnsi="Times New Roman"/>
          <w:b/>
          <w:noProof w:val="0"/>
          <w:sz w:val="24"/>
          <w:szCs w:val="24"/>
          <w:lang w:eastAsia="ro-RO"/>
        </w:rPr>
        <w:t xml:space="preserve">Baza legală a proiectului de ordin supus aprobării </w:t>
      </w:r>
      <w:r>
        <w:rPr>
          <w:rFonts w:ascii="Times New Roman" w:hAnsi="Times New Roman"/>
          <w:noProof w:val="0"/>
          <w:sz w:val="24"/>
          <w:szCs w:val="24"/>
          <w:lang w:eastAsia="ro-RO"/>
        </w:rPr>
        <w:t>o constituie prevederile art. 12 alin. (4) din Ordonanța de urgență a Guvernului nr. 115/2011 privind stabilirea cadrului instituțional și autorizarea Guvernului, prin Ministerul Finanțelor, de a scoate la licitație certificatele de emisii de gaze cu efect de seră atribuite Romaniei la nivelul Uniunii Europene, aprobată prin Legea nr. 163/2012, cu modificările și completările ulterioare. Potrivit art. 12 alin. (4) din actul normativ menționat, ”</w:t>
      </w:r>
      <w:r>
        <w:rPr>
          <w:rFonts w:ascii="Times New Roman" w:hAnsi="Times New Roman"/>
          <w:i/>
          <w:iCs/>
          <w:noProof w:val="0"/>
          <w:sz w:val="24"/>
          <w:szCs w:val="24"/>
          <w:lang w:eastAsia="ro-RO"/>
        </w:rPr>
        <w:t>(4) Categoriile de beneficiari şi metodologia de finanţare care prevede analiza, selectarea, aprobarea, implementarea şi monitorizarea proiectelor prevăzute la alin. (1) se stabilesc prin ghidul de finanţare aferent fiecărui program, aprobat prin ordin al ministrului autorităţii publice centrale pentru protecţia mediului</w:t>
      </w:r>
      <w:r>
        <w:rPr>
          <w:rFonts w:ascii="Times New Roman" w:hAnsi="Times New Roman"/>
          <w:noProof w:val="0"/>
          <w:sz w:val="24"/>
          <w:szCs w:val="24"/>
          <w:lang w:eastAsia="ro-RO"/>
        </w:rPr>
        <w:t>.”</w:t>
      </w:r>
    </w:p>
    <w:p>
      <w:pPr>
        <w:pStyle w:val="NoSpacing"/>
        <w:ind w:firstLine="708"/>
        <w:jc w:val="both"/>
        <w:rPr>
          <w:rFonts w:ascii="Times New Roman" w:hAnsi="Times New Roman"/>
          <w:sz w:val="24"/>
          <w:szCs w:val="24"/>
          <w:lang w:val="pt-BR"/>
        </w:rPr>
      </w:pPr>
      <w:r>
        <w:rPr>
          <w:rFonts w:ascii="Times New Roman" w:hAnsi="Times New Roman"/>
          <w:sz w:val="24"/>
          <w:szCs w:val="24"/>
          <w:lang w:val="pt-BR"/>
        </w:rPr>
        <w:t xml:space="preserve">Ghidul de finanţare constituie un suport informativ complex, având rolul de a furniza informaţii esenţiale privind derularea </w:t>
      </w:r>
      <w:r>
        <w:rPr>
          <w:rFonts w:ascii="Times New Roman" w:hAnsi="Times New Roman"/>
          <w:sz w:val="24"/>
          <w:szCs w:val="24"/>
        </w:rPr>
        <w:t>Programului privind creșterea eficienței energetice prin înlocuirea becurilor convenționale cu becuri led</w:t>
      </w:r>
      <w:r>
        <w:rPr>
          <w:rFonts w:ascii="Times New Roman" w:hAnsi="Times New Roman"/>
          <w:sz w:val="24"/>
          <w:szCs w:val="24"/>
          <w:lang w:val="pt-BR"/>
        </w:rPr>
        <w:t>.</w:t>
      </w:r>
    </w:p>
    <w:p>
      <w:pPr>
        <w:pStyle w:val="NoSpacing"/>
        <w:ind w:firstLine="708"/>
        <w:jc w:val="both"/>
        <w:rPr>
          <w:rFonts w:ascii="Times New Roman" w:hAnsi="Times New Roman"/>
          <w:sz w:val="24"/>
          <w:szCs w:val="24"/>
          <w:lang w:val="pt-BR"/>
        </w:rPr>
      </w:pPr>
      <w:r>
        <w:rPr>
          <w:rFonts w:ascii="Times New Roman" w:hAnsi="Times New Roman"/>
          <w:sz w:val="24"/>
          <w:szCs w:val="24"/>
        </w:rPr>
        <w:t>Obiectul programului îl reprezintă finanţarea nerambursabilă din Fondul pentru mediu, acordată sub forma unui voucher, pentru înlocuirea becurilor convenționale din locuință cu becuri cu led noi, mai performante din punct de vedere energetic</w:t>
      </w:r>
      <w:r>
        <w:rPr>
          <w:rFonts w:ascii="Times New Roman" w:hAnsi="Times New Roman"/>
          <w:sz w:val="24"/>
          <w:szCs w:val="24"/>
          <w:lang w:val="pt-BR"/>
        </w:rPr>
        <w:t xml:space="preserve">. </w:t>
      </w:r>
    </w:p>
    <w:p>
      <w:pPr>
        <w:pStyle w:val="NoSpacing"/>
        <w:ind w:firstLine="708"/>
        <w:jc w:val="both"/>
        <w:rPr>
          <w:rFonts w:ascii="Times New Roman" w:hAnsi="Times New Roman"/>
          <w:sz w:val="24"/>
          <w:szCs w:val="24"/>
        </w:rPr>
      </w:pPr>
      <w:r>
        <w:rPr>
          <w:rFonts w:ascii="Times New Roman" w:hAnsi="Times New Roman"/>
          <w:sz w:val="24"/>
          <w:szCs w:val="24"/>
        </w:rPr>
        <w:t>Scopul Programului îl constituie reducerea consumului de energie și a emisiilor de gaze cu efect de seră în locuințe, pentru utilizatorii casnici.</w:t>
      </w:r>
    </w:p>
    <w:p>
      <w:pPr>
        <w:pStyle w:val="NoSpacing"/>
        <w:ind w:firstLine="708"/>
        <w:jc w:val="both"/>
        <w:rPr>
          <w:rFonts w:ascii="Times New Roman" w:hAnsi="Times New Roman"/>
          <w:sz w:val="24"/>
          <w:szCs w:val="24"/>
        </w:rPr>
      </w:pPr>
      <w:r>
        <w:rPr>
          <w:rFonts w:ascii="Times New Roman" w:hAnsi="Times New Roman"/>
          <w:sz w:val="24"/>
          <w:szCs w:val="24"/>
        </w:rPr>
        <w:t xml:space="preserve">Finanţarea programului se realizează din veniturile rezultate din vânzarea certificatelor de emisii de gaze cu efect de seră încasate la Fondul pentru mediu, în limita creditelor de angajament şi bugetare prevăzute cu această destinaţie prin bugetul anual al Fondului pentru mediu, aprobat conform legii, în baza contractelor de decontare şi documentelor justificative ale persoanelor fizice beneficiare. </w:t>
      </w:r>
    </w:p>
    <w:p>
      <w:pPr>
        <w:pStyle w:val="NoSpacing"/>
        <w:ind w:firstLine="708"/>
        <w:jc w:val="both"/>
        <w:rPr>
          <w:rFonts w:ascii="Times New Roman" w:hAnsi="Times New Roman"/>
          <w:sz w:val="24"/>
          <w:szCs w:val="24"/>
        </w:rPr>
      </w:pPr>
      <w:r>
        <w:rPr>
          <w:rFonts w:ascii="Times New Roman" w:hAnsi="Times New Roman"/>
          <w:sz w:val="24"/>
          <w:szCs w:val="24"/>
        </w:rPr>
        <w:t>Finanţarea se acordă sub formă de voucher în cuantum de 200 lei cu TVA pentru achiziţionarea becurilor cu led de maximum 15 W.</w:t>
      </w:r>
    </w:p>
    <w:p>
      <w:pPr>
        <w:pStyle w:val="NoSpacing"/>
        <w:ind w:firstLine="708"/>
        <w:jc w:val="both"/>
        <w:rPr>
          <w:rFonts w:ascii="Times New Roman" w:hAnsi="Times New Roman"/>
          <w:sz w:val="24"/>
          <w:szCs w:val="24"/>
        </w:rPr>
      </w:pPr>
      <w:r>
        <w:rPr>
          <w:rFonts w:ascii="Times New Roman" w:hAnsi="Times New Roman"/>
          <w:sz w:val="24"/>
          <w:szCs w:val="24"/>
        </w:rPr>
        <w:t>Este considerată cheltuială eligibilă achiziția becurilor cu led de maximum 15 W.</w:t>
      </w:r>
    </w:p>
    <w:p>
      <w:pPr>
        <w:pStyle w:val="NoSpacing"/>
        <w:ind w:firstLine="708"/>
        <w:jc w:val="both"/>
        <w:rPr>
          <w:rFonts w:ascii="Times New Roman" w:hAnsi="Times New Roman"/>
          <w:sz w:val="24"/>
          <w:szCs w:val="24"/>
          <w:lang w:val="pt-BR"/>
        </w:rPr>
      </w:pPr>
      <w:r>
        <w:rPr>
          <w:rFonts w:ascii="Times New Roman" w:hAnsi="Times New Roman"/>
          <w:sz w:val="24"/>
          <w:szCs w:val="24"/>
        </w:rPr>
        <w:t>Pentru a putea fi considerate eligibile, becurile cu led achiziționate trebuie să fie noi.</w:t>
      </w:r>
    </w:p>
    <w:p>
      <w:pPr>
        <w:pStyle w:val="NoSpacing"/>
        <w:jc w:val="both"/>
        <w:rPr>
          <w:rFonts w:ascii="Times New Roman" w:hAnsi="Times New Roman"/>
          <w:sz w:val="24"/>
          <w:szCs w:val="24"/>
        </w:rPr>
      </w:pPr>
      <w:r>
        <w:rPr>
          <w:rFonts w:ascii="Times New Roman" w:hAnsi="Times New Roman"/>
          <w:sz w:val="24"/>
          <w:szCs w:val="24"/>
        </w:rPr>
        <w:t xml:space="preserve">            Criterii de eligibilitate în vederea validării comerciantului - este eligibil pentru a participa în cadrul programului comerciantul care îndeplineşte, cumulativ, următoarele criterii de eligibilitate, la data înscrierii cererii de validare în aplicaţia informatică:</w:t>
      </w:r>
    </w:p>
    <w:p>
      <w:pPr>
        <w:pStyle w:val="NoSpacing"/>
        <w:jc w:val="both"/>
        <w:rPr>
          <w:rFonts w:ascii="Times New Roman" w:hAnsi="Times New Roman"/>
          <w:sz w:val="24"/>
          <w:szCs w:val="24"/>
        </w:rPr>
      </w:pPr>
      <w:r>
        <w:rPr>
          <w:rFonts w:ascii="Times New Roman" w:hAnsi="Times New Roman"/>
          <w:bCs/>
          <w:sz w:val="24"/>
          <w:szCs w:val="24"/>
        </w:rPr>
        <w:t>a)</w:t>
      </w:r>
      <w:r>
        <w:rPr>
          <w:rFonts w:ascii="Times New Roman" w:hAnsi="Times New Roman"/>
          <w:b/>
          <w:bCs/>
          <w:sz w:val="24"/>
          <w:szCs w:val="24"/>
        </w:rPr>
        <w:t xml:space="preserve"> </w:t>
      </w:r>
      <w:r>
        <w:rPr>
          <w:rFonts w:ascii="Times New Roman" w:hAnsi="Times New Roman"/>
          <w:sz w:val="24"/>
          <w:szCs w:val="24"/>
        </w:rPr>
        <w:t>este operator economic cu personalitate juridică română;</w:t>
      </w:r>
    </w:p>
    <w:p>
      <w:pPr>
        <w:pStyle w:val="NoSpacing"/>
        <w:jc w:val="both"/>
        <w:rPr>
          <w:rFonts w:ascii="Times New Roman" w:hAnsi="Times New Roman"/>
          <w:sz w:val="24"/>
          <w:szCs w:val="24"/>
        </w:rPr>
      </w:pPr>
      <w:r>
        <w:rPr>
          <w:rFonts w:ascii="Times New Roman" w:hAnsi="Times New Roman"/>
          <w:bCs/>
          <w:sz w:val="24"/>
          <w:szCs w:val="24"/>
        </w:rPr>
        <w:t>b)</w:t>
      </w:r>
      <w:r>
        <w:rPr>
          <w:rFonts w:ascii="Times New Roman" w:hAnsi="Times New Roman"/>
          <w:b/>
          <w:bCs/>
          <w:sz w:val="24"/>
          <w:szCs w:val="24"/>
        </w:rPr>
        <w:t xml:space="preserve"> </w:t>
      </w:r>
      <w:r>
        <w:rPr>
          <w:rFonts w:ascii="Times New Roman" w:hAnsi="Times New Roman"/>
          <w:sz w:val="24"/>
          <w:szCs w:val="24"/>
        </w:rPr>
        <w:t>desfăşoară activităţi economice pe teritoriul României;</w:t>
      </w:r>
    </w:p>
    <w:p>
      <w:pPr>
        <w:pStyle w:val="NoSpacing"/>
        <w:jc w:val="both"/>
        <w:rPr>
          <w:rFonts w:ascii="Times New Roman" w:hAnsi="Times New Roman"/>
          <w:sz w:val="24"/>
          <w:szCs w:val="24"/>
        </w:rPr>
      </w:pPr>
      <w:r>
        <w:rPr>
          <w:rFonts w:ascii="Times New Roman" w:hAnsi="Times New Roman"/>
          <w:bCs/>
          <w:sz w:val="24"/>
          <w:szCs w:val="24"/>
        </w:rPr>
        <w:t>c)</w:t>
      </w:r>
      <w:r>
        <w:rPr>
          <w:rFonts w:ascii="Times New Roman" w:hAnsi="Times New Roman"/>
          <w:b/>
          <w:bCs/>
          <w:sz w:val="24"/>
          <w:szCs w:val="24"/>
        </w:rPr>
        <w:t xml:space="preserve"> </w:t>
      </w:r>
      <w:r>
        <w:rPr>
          <w:rFonts w:ascii="Times New Roman" w:hAnsi="Times New Roman"/>
          <w:sz w:val="24"/>
          <w:szCs w:val="24"/>
        </w:rPr>
        <w:t>are ca obiect de activitate autorizat comerţ cu amanuntul al mobilei, al articolelor de iluminat și al articolelor de uz casnic, conform CAEN rev. 2, cod 4759 /comerţ cu amănuntul prin intermediul caselor de comenzi sau prin internet, conform CAEN 4791;</w:t>
      </w:r>
    </w:p>
    <w:p>
      <w:pPr>
        <w:pStyle w:val="NoSpacing"/>
        <w:jc w:val="both"/>
        <w:rPr>
          <w:rFonts w:ascii="Times New Roman" w:hAnsi="Times New Roman"/>
          <w:sz w:val="24"/>
          <w:szCs w:val="24"/>
        </w:rPr>
      </w:pPr>
      <w:r>
        <w:rPr>
          <w:rFonts w:ascii="Times New Roman" w:hAnsi="Times New Roman"/>
          <w:bCs/>
          <w:sz w:val="24"/>
          <w:szCs w:val="24"/>
        </w:rPr>
        <w:lastRenderedPageBreak/>
        <w:t>d)</w:t>
      </w:r>
      <w:r>
        <w:rPr>
          <w:rFonts w:ascii="Times New Roman" w:hAnsi="Times New Roman"/>
          <w:b/>
          <w:bCs/>
          <w:sz w:val="24"/>
          <w:szCs w:val="24"/>
        </w:rPr>
        <w:t xml:space="preserve"> </w:t>
      </w:r>
      <w:r>
        <w:rPr>
          <w:rFonts w:ascii="Times New Roman" w:hAnsi="Times New Roman"/>
          <w:sz w:val="24"/>
          <w:szCs w:val="24"/>
        </w:rPr>
        <w:t>are deschis la Trezoreria Statului contul 50.70.24 „Disponibil din sume alocate din Fondul pentru mediu reprezentând finanţare sau cofinanţare nerambursabilă a proiectelor pentru protecţia mediului“;</w:t>
      </w:r>
    </w:p>
    <w:p>
      <w:pPr>
        <w:pStyle w:val="NoSpacing"/>
        <w:jc w:val="both"/>
        <w:rPr>
          <w:rFonts w:ascii="Times New Roman" w:hAnsi="Times New Roman"/>
          <w:sz w:val="24"/>
          <w:szCs w:val="24"/>
        </w:rPr>
      </w:pPr>
      <w:r>
        <w:rPr>
          <w:rFonts w:ascii="Times New Roman" w:hAnsi="Times New Roman"/>
          <w:bCs/>
          <w:sz w:val="24"/>
          <w:szCs w:val="24"/>
        </w:rPr>
        <w:t>e)</w:t>
      </w:r>
      <w:r>
        <w:rPr>
          <w:rFonts w:ascii="Times New Roman" w:hAnsi="Times New Roman"/>
          <w:b/>
          <w:bCs/>
          <w:sz w:val="24"/>
          <w:szCs w:val="24"/>
        </w:rPr>
        <w:t xml:space="preserve"> </w:t>
      </w:r>
      <w:r>
        <w:rPr>
          <w:rFonts w:ascii="Times New Roman" w:hAnsi="Times New Roman"/>
          <w:sz w:val="24"/>
          <w:szCs w:val="24"/>
        </w:rPr>
        <w:t xml:space="preserve">nu este sub incidenţa </w:t>
      </w:r>
      <w:r>
        <w:rPr>
          <w:rFonts w:ascii="Times New Roman" w:hAnsi="Times New Roman"/>
          <w:sz w:val="24"/>
          <w:szCs w:val="24"/>
          <w:u w:val="single"/>
        </w:rPr>
        <w:t>Legii nr. 85/2014</w:t>
      </w:r>
      <w:r>
        <w:rPr>
          <w:rFonts w:ascii="Times New Roman" w:hAnsi="Times New Roman"/>
          <w:sz w:val="24"/>
          <w:szCs w:val="24"/>
        </w:rPr>
        <w:t xml:space="preserve"> privind procedurile de prevenire a insolvenţei şi de insolvenţă, cu modificările şi completările ulterioare, nu are suspendate/restricţionate activităţile economice sau nu se află în situaţii similare; dizolvare, lichidare, desfiinţare, închidere, radiere, inclusiv închidere operaţională, nu se află sub administrare specială; nu face obiectul unei proceduri legale în justiţie pentru situaţiile mai sus menţionate şi nici pentru orice altă situaţie similară;</w:t>
      </w:r>
    </w:p>
    <w:p>
      <w:pPr>
        <w:pStyle w:val="NoSpacing"/>
        <w:jc w:val="both"/>
        <w:rPr>
          <w:rFonts w:ascii="Times New Roman" w:hAnsi="Times New Roman"/>
          <w:sz w:val="24"/>
          <w:szCs w:val="24"/>
          <w:lang w:val="pt-BR"/>
        </w:rPr>
      </w:pPr>
      <w:r>
        <w:rPr>
          <w:rFonts w:ascii="Times New Roman" w:hAnsi="Times New Roman"/>
          <w:bCs/>
          <w:sz w:val="24"/>
          <w:szCs w:val="24"/>
        </w:rPr>
        <w:t>f)</w:t>
      </w:r>
      <w:r>
        <w:rPr>
          <w:rFonts w:ascii="Times New Roman" w:hAnsi="Times New Roman"/>
          <w:b/>
          <w:bCs/>
          <w:sz w:val="24"/>
          <w:szCs w:val="24"/>
        </w:rPr>
        <w:t xml:space="preserve"> </w:t>
      </w:r>
      <w:r>
        <w:rPr>
          <w:rFonts w:ascii="Times New Roman" w:hAnsi="Times New Roman"/>
          <w:sz w:val="24"/>
          <w:szCs w:val="24"/>
        </w:rPr>
        <w:t>se va asigura că prețul unui bec cu led nu va depăși media prețurilor de comercializare ale acestuia, în ultimele 6 luni.</w:t>
      </w:r>
    </w:p>
    <w:p>
      <w:pPr>
        <w:spacing w:after="0" w:line="240" w:lineRule="auto"/>
        <w:jc w:val="both"/>
        <w:rPr>
          <w:rFonts w:ascii="Times New Roman" w:hAnsi="Times New Roman"/>
          <w:sz w:val="24"/>
          <w:szCs w:val="24"/>
        </w:rPr>
      </w:pPr>
      <w:r>
        <w:rPr>
          <w:rFonts w:ascii="Times New Roman" w:hAnsi="Times New Roman"/>
          <w:sz w:val="24"/>
          <w:szCs w:val="24"/>
        </w:rPr>
        <w:t xml:space="preserve">            Poate beneficia de finanţare solicitantul care îndeplineşte cumulativ următoarele condiţii:</w:t>
      </w:r>
    </w:p>
    <w:p>
      <w:pPr>
        <w:spacing w:after="0" w:line="240" w:lineRule="auto"/>
        <w:jc w:val="both"/>
        <w:rPr>
          <w:rFonts w:ascii="Times New Roman" w:hAnsi="Times New Roman"/>
          <w:sz w:val="24"/>
          <w:szCs w:val="24"/>
        </w:rPr>
      </w:pPr>
      <w:r>
        <w:rPr>
          <w:rFonts w:ascii="Times New Roman" w:hAnsi="Times New Roman"/>
          <w:bCs/>
          <w:sz w:val="24"/>
          <w:szCs w:val="24"/>
        </w:rPr>
        <w:t>a)</w:t>
      </w:r>
      <w:r>
        <w:rPr>
          <w:rFonts w:ascii="Times New Roman" w:hAnsi="Times New Roman"/>
          <w:sz w:val="24"/>
          <w:szCs w:val="24"/>
        </w:rPr>
        <w:t xml:space="preserve"> este persoană fizică cu domiciliul în România;</w:t>
      </w:r>
    </w:p>
    <w:p>
      <w:pPr>
        <w:spacing w:after="0" w:line="240" w:lineRule="auto"/>
        <w:jc w:val="both"/>
        <w:rPr>
          <w:rFonts w:ascii="Times New Roman" w:hAnsi="Times New Roman"/>
          <w:sz w:val="24"/>
          <w:szCs w:val="24"/>
        </w:rPr>
      </w:pPr>
      <w:r>
        <w:rPr>
          <w:rFonts w:ascii="Times New Roman" w:hAnsi="Times New Roman"/>
          <w:bCs/>
          <w:sz w:val="24"/>
          <w:szCs w:val="24"/>
        </w:rPr>
        <w:t>b)</w:t>
      </w:r>
      <w:r>
        <w:rPr>
          <w:rFonts w:ascii="Times New Roman" w:hAnsi="Times New Roman"/>
          <w:b/>
          <w:bCs/>
          <w:sz w:val="24"/>
          <w:szCs w:val="24"/>
        </w:rPr>
        <w:t xml:space="preserve"> </w:t>
      </w:r>
      <w:r>
        <w:rPr>
          <w:rFonts w:ascii="Times New Roman" w:hAnsi="Times New Roman"/>
          <w:sz w:val="24"/>
          <w:szCs w:val="24"/>
        </w:rPr>
        <w:t>nu are obligaţii restante la bugetul de stat şi la bugetul local, conform legislaţiei naţionale în vigoare, la data achiziţionării becurilor cu led;</w:t>
      </w:r>
    </w:p>
    <w:p>
      <w:pPr>
        <w:spacing w:after="0" w:line="240" w:lineRule="auto"/>
        <w:jc w:val="both"/>
        <w:rPr>
          <w:rFonts w:ascii="Times New Roman" w:hAnsi="Times New Roman"/>
          <w:sz w:val="24"/>
          <w:szCs w:val="24"/>
        </w:rPr>
      </w:pPr>
      <w:r>
        <w:rPr>
          <w:rFonts w:ascii="Times New Roman" w:hAnsi="Times New Roman"/>
          <w:bCs/>
          <w:sz w:val="24"/>
          <w:szCs w:val="24"/>
        </w:rPr>
        <w:t>c)</w:t>
      </w:r>
      <w:r>
        <w:rPr>
          <w:rFonts w:ascii="Times New Roman" w:hAnsi="Times New Roman"/>
          <w:b/>
          <w:bCs/>
          <w:sz w:val="24"/>
          <w:szCs w:val="24"/>
        </w:rPr>
        <w:t xml:space="preserve"> </w:t>
      </w:r>
      <w:r>
        <w:rPr>
          <w:rFonts w:ascii="Times New Roman" w:hAnsi="Times New Roman"/>
          <w:sz w:val="24"/>
          <w:szCs w:val="24"/>
        </w:rPr>
        <w:t>are vârsta de minimum 18 ani împliniţi în momentul înscrierii în aplicaţia informatică;</w:t>
      </w:r>
    </w:p>
    <w:p>
      <w:pPr>
        <w:spacing w:after="0" w:line="240" w:lineRule="auto"/>
        <w:jc w:val="both"/>
        <w:rPr>
          <w:rFonts w:ascii="Times New Roman" w:hAnsi="Times New Roman"/>
          <w:sz w:val="24"/>
          <w:szCs w:val="24"/>
        </w:rPr>
      </w:pPr>
      <w:r>
        <w:rPr>
          <w:rFonts w:ascii="Times New Roman" w:hAnsi="Times New Roman"/>
          <w:bCs/>
          <w:sz w:val="24"/>
          <w:szCs w:val="24"/>
        </w:rPr>
        <w:t>d)</w:t>
      </w:r>
      <w:r>
        <w:rPr>
          <w:rFonts w:ascii="Times New Roman" w:hAnsi="Times New Roman"/>
          <w:b/>
          <w:bCs/>
          <w:sz w:val="24"/>
          <w:szCs w:val="24"/>
        </w:rPr>
        <w:t xml:space="preserve"> </w:t>
      </w:r>
      <w:r>
        <w:rPr>
          <w:rFonts w:ascii="Times New Roman" w:hAnsi="Times New Roman"/>
          <w:sz w:val="24"/>
          <w:szCs w:val="24"/>
        </w:rPr>
        <w:t>este posesor al unui/unei buletin/cărţi de identitate valabil(e) în momentul înscrierii în program;</w:t>
      </w:r>
    </w:p>
    <w:p>
      <w:pPr>
        <w:spacing w:after="0" w:line="240" w:lineRule="auto"/>
        <w:jc w:val="both"/>
        <w:rPr>
          <w:rFonts w:ascii="Times New Roman" w:hAnsi="Times New Roman"/>
          <w:sz w:val="24"/>
          <w:szCs w:val="24"/>
        </w:rPr>
      </w:pPr>
      <w:r>
        <w:rPr>
          <w:rFonts w:ascii="Times New Roman" w:hAnsi="Times New Roman"/>
          <w:bCs/>
          <w:sz w:val="24"/>
          <w:szCs w:val="24"/>
        </w:rPr>
        <w:t>e)</w:t>
      </w:r>
      <w:bookmarkStart w:id="0" w:name="_Hlk114498471"/>
      <w:r>
        <w:rPr>
          <w:rFonts w:ascii="Times New Roman" w:hAnsi="Times New Roman"/>
          <w:b/>
          <w:bCs/>
          <w:sz w:val="24"/>
          <w:szCs w:val="24"/>
        </w:rPr>
        <w:t xml:space="preserve"> </w:t>
      </w:r>
      <w:r>
        <w:rPr>
          <w:rFonts w:ascii="Times New Roman" w:hAnsi="Times New Roman"/>
          <w:sz w:val="24"/>
          <w:szCs w:val="24"/>
        </w:rPr>
        <w:t>se obligă să predea comerciantului, în momentul achiziţionării becurilor cu led, un număr echivalent de becuri convenționale;</w:t>
      </w:r>
      <w:bookmarkEnd w:id="0"/>
    </w:p>
    <w:p>
      <w:pPr>
        <w:spacing w:after="0" w:line="240" w:lineRule="auto"/>
        <w:jc w:val="both"/>
        <w:rPr>
          <w:rFonts w:ascii="Times New Roman" w:hAnsi="Times New Roman"/>
          <w:sz w:val="24"/>
          <w:szCs w:val="24"/>
        </w:rPr>
      </w:pPr>
      <w:r>
        <w:rPr>
          <w:rFonts w:ascii="Times New Roman" w:hAnsi="Times New Roman"/>
          <w:bCs/>
          <w:sz w:val="24"/>
          <w:szCs w:val="24"/>
        </w:rPr>
        <w:t>f)</w:t>
      </w:r>
      <w:r>
        <w:rPr>
          <w:rFonts w:ascii="Times New Roman" w:hAnsi="Times New Roman"/>
          <w:b/>
          <w:bCs/>
          <w:sz w:val="24"/>
          <w:szCs w:val="24"/>
        </w:rPr>
        <w:t xml:space="preserve"> </w:t>
      </w:r>
      <w:r>
        <w:rPr>
          <w:rFonts w:ascii="Times New Roman" w:hAnsi="Times New Roman"/>
          <w:sz w:val="24"/>
          <w:szCs w:val="24"/>
        </w:rPr>
        <w:t>îşi dă acordul cu privire la prelucrarea de către AFM a tuturor datelor şi informaţiilor furnizate, precum şi cu privire la transmiterea acestora către terţe instituţii sau persoane juridice în vederea verificării îndeplinirii tuturor obligaţiilor şi clauzelor prevăzute în ghid sau în scopul elaborării de situaţii şi statistici.</w:t>
      </w:r>
    </w:p>
    <w:p>
      <w:pPr>
        <w:spacing w:after="0" w:line="240" w:lineRule="auto"/>
        <w:jc w:val="both"/>
        <w:rPr>
          <w:rFonts w:ascii="Times New Roman" w:hAnsi="Times New Roman"/>
          <w:sz w:val="24"/>
          <w:szCs w:val="24"/>
        </w:rPr>
      </w:pPr>
      <w:r>
        <w:rPr>
          <w:rFonts w:ascii="Times New Roman" w:hAnsi="Times New Roman"/>
          <w:sz w:val="24"/>
          <w:szCs w:val="24"/>
        </w:rPr>
        <w:t xml:space="preserve">            În cadrul unei sesiuni de înscriere, un solicitant poate beneficia de un singur voucher.</w:t>
      </w:r>
    </w:p>
    <w:p>
      <w:pPr>
        <w:spacing w:after="0" w:line="240" w:lineRule="auto"/>
        <w:jc w:val="both"/>
        <w:rPr>
          <w:rFonts w:ascii="Times New Roman" w:hAnsi="Times New Roman"/>
          <w:sz w:val="24"/>
          <w:szCs w:val="24"/>
        </w:rPr>
      </w:pPr>
      <w:r>
        <w:rPr>
          <w:rFonts w:ascii="Times New Roman" w:hAnsi="Times New Roman"/>
          <w:sz w:val="24"/>
          <w:szCs w:val="24"/>
        </w:rPr>
        <w:t xml:space="preserve">            Persoana fizică aprobată poate beneficia de un voucher în cuantum de 200 lei la achiziţionarea a cel puțin unui bec cu led, în schimbul predării unui număr echivalent de becuri convenționale.</w:t>
      </w:r>
    </w:p>
    <w:p>
      <w:pPr>
        <w:spacing w:after="0" w:line="240" w:lineRule="auto"/>
        <w:jc w:val="both"/>
        <w:rPr>
          <w:rFonts w:ascii="Times New Roman" w:hAnsi="Times New Roman"/>
          <w:sz w:val="24"/>
          <w:szCs w:val="24"/>
          <w:lang w:val="pt-BR"/>
        </w:rPr>
      </w:pPr>
      <w:r>
        <w:rPr>
          <w:rFonts w:ascii="Times New Roman" w:hAnsi="Times New Roman"/>
          <w:sz w:val="24"/>
          <w:szCs w:val="24"/>
        </w:rPr>
        <w:t xml:space="preserve">            </w:t>
      </w:r>
    </w:p>
    <w:p>
      <w:pPr>
        <w:pStyle w:val="NoSpacing"/>
        <w:spacing w:line="276" w:lineRule="auto"/>
        <w:ind w:firstLine="720"/>
        <w:jc w:val="both"/>
        <w:rPr>
          <w:rFonts w:ascii="Times New Roman" w:hAnsi="Times New Roman"/>
          <w:sz w:val="24"/>
          <w:szCs w:val="24"/>
          <w:lang w:val="pt-BR"/>
        </w:rPr>
      </w:pPr>
      <w:r>
        <w:rPr>
          <w:rFonts w:ascii="Times New Roman" w:hAnsi="Times New Roman"/>
          <w:sz w:val="24"/>
          <w:szCs w:val="24"/>
        </w:rPr>
        <w:t>Proiectul Ghidului de finanțare, astfel cum îl înaintăm, a fost avizat în ședința Comitetului Director al AFM din 28.09.2022.</w:t>
      </w:r>
    </w:p>
    <w:p>
      <w:pPr>
        <w:pStyle w:val="NoSpacing"/>
        <w:spacing w:line="276" w:lineRule="auto"/>
        <w:ind w:firstLine="708"/>
        <w:jc w:val="both"/>
        <w:rPr>
          <w:rFonts w:ascii="Times New Roman" w:hAnsi="Times New Roman"/>
          <w:sz w:val="24"/>
          <w:szCs w:val="24"/>
        </w:rPr>
      </w:pPr>
    </w:p>
    <w:p>
      <w:pPr>
        <w:pStyle w:val="NoSpacing"/>
        <w:spacing w:line="276" w:lineRule="auto"/>
        <w:ind w:firstLine="708"/>
        <w:jc w:val="both"/>
        <w:rPr>
          <w:rFonts w:ascii="Times New Roman" w:hAnsi="Times New Roman"/>
          <w:sz w:val="24"/>
          <w:szCs w:val="24"/>
          <w:lang w:val="en-US"/>
        </w:rPr>
      </w:pPr>
      <w:r>
        <w:rPr>
          <w:rFonts w:ascii="Times New Roman" w:hAnsi="Times New Roman"/>
          <w:sz w:val="24"/>
          <w:szCs w:val="24"/>
        </w:rPr>
        <w:t xml:space="preserve">Pentru </w:t>
      </w:r>
      <w:r>
        <w:rPr>
          <w:rFonts w:ascii="Times New Roman" w:hAnsi="Times New Roman"/>
          <w:bCs/>
          <w:sz w:val="24"/>
          <w:szCs w:val="24"/>
        </w:rPr>
        <w:t>motivele invocate</w:t>
      </w:r>
      <w:r>
        <w:rPr>
          <w:rFonts w:ascii="Times New Roman" w:hAnsi="Times New Roman"/>
          <w:sz w:val="24"/>
          <w:szCs w:val="24"/>
        </w:rPr>
        <w:t xml:space="preserve">, vă transmitem alăturat, în vederea avizării și aprobării, </w:t>
      </w:r>
      <w:r>
        <w:rPr>
          <w:rFonts w:ascii="Times New Roman" w:hAnsi="Times New Roman"/>
          <w:b/>
          <w:i/>
          <w:sz w:val="24"/>
          <w:szCs w:val="24"/>
        </w:rPr>
        <w:t xml:space="preserve">proiectul de ordin pentru </w:t>
      </w:r>
      <w:r>
        <w:rPr>
          <w:rFonts w:ascii="Times New Roman" w:hAnsi="Times New Roman"/>
          <w:b/>
          <w:bCs/>
          <w:i/>
          <w:sz w:val="24"/>
          <w:szCs w:val="24"/>
        </w:rPr>
        <w:t xml:space="preserve">aprobarea Ghidului de finanțare a </w:t>
      </w:r>
      <w:bookmarkStart w:id="1" w:name="_Hlk114661041"/>
      <w:r>
        <w:rPr>
          <w:rFonts w:ascii="Times New Roman" w:hAnsi="Times New Roman"/>
          <w:b/>
          <w:bCs/>
          <w:i/>
          <w:sz w:val="24"/>
          <w:szCs w:val="24"/>
        </w:rPr>
        <w:t xml:space="preserve">Programului privind creșterea eficienței energetice </w:t>
      </w:r>
      <w:bookmarkStart w:id="2" w:name="_Hlk114477189"/>
      <w:r>
        <w:rPr>
          <w:rFonts w:ascii="Times New Roman" w:hAnsi="Times New Roman"/>
          <w:b/>
          <w:bCs/>
          <w:i/>
          <w:sz w:val="24"/>
          <w:szCs w:val="24"/>
        </w:rPr>
        <w:t>prin înlocuirea becurilor convenționale cu becuri led</w:t>
      </w:r>
      <w:bookmarkEnd w:id="1"/>
      <w:bookmarkEnd w:id="2"/>
      <w:r>
        <w:rPr>
          <w:rFonts w:ascii="Times New Roman" w:hAnsi="Times New Roman"/>
          <w:b/>
          <w:bCs/>
          <w:i/>
          <w:sz w:val="24"/>
          <w:szCs w:val="24"/>
        </w:rPr>
        <w:t>.</w:t>
      </w:r>
    </w:p>
    <w:p>
      <w:pPr>
        <w:tabs>
          <w:tab w:val="left" w:pos="915"/>
        </w:tabs>
        <w:spacing w:after="0"/>
        <w:jc w:val="center"/>
        <w:rPr>
          <w:rFonts w:ascii="Times New Roman" w:eastAsia="Calibri" w:hAnsi="Times New Roman"/>
          <w:b/>
          <w:sz w:val="24"/>
          <w:szCs w:val="24"/>
          <w:lang w:val="en-US"/>
        </w:rPr>
      </w:pPr>
    </w:p>
    <w:p>
      <w:pPr>
        <w:tabs>
          <w:tab w:val="left" w:pos="915"/>
        </w:tabs>
        <w:spacing w:after="0"/>
        <w:jc w:val="center"/>
        <w:rPr>
          <w:rFonts w:ascii="Times New Roman" w:eastAsia="Calibri" w:hAnsi="Times New Roman"/>
          <w:sz w:val="24"/>
          <w:szCs w:val="24"/>
        </w:rPr>
      </w:pPr>
      <w:r>
        <w:rPr>
          <w:rFonts w:ascii="Times New Roman" w:eastAsia="Calibri" w:hAnsi="Times New Roman"/>
          <w:b/>
          <w:sz w:val="24"/>
          <w:szCs w:val="24"/>
          <w:lang w:val="en-US"/>
        </w:rPr>
        <w:t>PREȘEDINTE,</w:t>
      </w:r>
    </w:p>
    <w:p>
      <w:pPr>
        <w:tabs>
          <w:tab w:val="left" w:pos="720"/>
          <w:tab w:val="left" w:pos="1005"/>
          <w:tab w:val="center" w:pos="5032"/>
        </w:tabs>
        <w:spacing w:after="0"/>
        <w:jc w:val="center"/>
        <w:rPr>
          <w:rFonts w:ascii="Times New Roman" w:eastAsia="Calibri" w:hAnsi="Times New Roman"/>
          <w:b/>
          <w:sz w:val="24"/>
          <w:szCs w:val="24"/>
          <w:lang w:val="en-US"/>
        </w:rPr>
      </w:pPr>
      <w:r>
        <w:rPr>
          <w:rFonts w:ascii="Times New Roman" w:eastAsia="Calibri" w:hAnsi="Times New Roman"/>
          <w:b/>
          <w:sz w:val="24"/>
          <w:szCs w:val="24"/>
          <w:lang w:val="en-US"/>
        </w:rPr>
        <w:t>Laurențiu Adrian NECULAESCU</w:t>
      </w:r>
    </w:p>
    <w:p>
      <w:pPr>
        <w:tabs>
          <w:tab w:val="left" w:pos="720"/>
          <w:tab w:val="left" w:pos="1005"/>
          <w:tab w:val="center" w:pos="5032"/>
        </w:tabs>
        <w:spacing w:after="0"/>
        <w:jc w:val="center"/>
        <w:rPr>
          <w:rFonts w:ascii="Times New Roman" w:eastAsia="Calibri" w:hAnsi="Times New Roman"/>
          <w:b/>
          <w:sz w:val="24"/>
          <w:szCs w:val="24"/>
          <w:lang w:val="en-US"/>
        </w:rPr>
      </w:pPr>
      <w:bookmarkStart w:id="3" w:name="_GoBack"/>
      <w:bookmarkEnd w:id="3"/>
    </w:p>
    <w:sectPr>
      <w:headerReference w:type="even" r:id="rId8"/>
      <w:headerReference w:type="default" r:id="rId9"/>
      <w:footerReference w:type="even" r:id="rId10"/>
      <w:footerReference w:type="default" r:id="rId11"/>
      <w:headerReference w:type="first" r:id="rId12"/>
      <w:footerReference w:type="first" r:id="rId13"/>
      <w:pgSz w:w="11906" w:h="16838"/>
      <w:pgMar w:top="1985" w:right="707" w:bottom="567" w:left="993"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after="0"/>
      <w:jc w:val="center"/>
      <w:rPr>
        <w:rFonts w:ascii="Trebuchet MS" w:hAnsi="Trebuchet MS"/>
        <w:color w:val="404040"/>
        <w:sz w:val="18"/>
        <w:szCs w:val="18"/>
      </w:rPr>
    </w:pPr>
    <w:r>
      <w:rPr>
        <w:lang w:eastAsia="ro-RO"/>
      </w:rPr>
      <mc:AlternateContent>
        <mc:Choice Requires="wps">
          <w:drawing>
            <wp:anchor distT="4294967293" distB="4294967293" distL="114300" distR="114300" simplePos="0" relativeHeight="251663360" behindDoc="0" locked="0" layoutInCell="1" allowOverlap="1">
              <wp:simplePos x="0" y="0"/>
              <wp:positionH relativeFrom="column">
                <wp:posOffset>-384810</wp:posOffset>
              </wp:positionH>
              <wp:positionV relativeFrom="paragraph">
                <wp:posOffset>-92076</wp:posOffset>
              </wp:positionV>
              <wp:extent cx="6534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7"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30.3pt,-7.25pt" to="484.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" strokecolor="#4a7ebb">
              <o:lock v:ext="edit" shapetype="f"/>
            </v:line>
          </w:pict>
        </mc:Fallback>
      </mc:AlternateContent>
    </w:r>
    <w:r>
      <w:rPr>
        <w:rFonts w:ascii="Trebuchet MS" w:hAnsi="Trebuchet MS"/>
        <w:color w:val="404040"/>
        <w:sz w:val="18"/>
        <w:szCs w:val="18"/>
      </w:rPr>
      <w:t>Splaiul Independenţei, nr. 294, Sector 6, Bucureşti, Tel/Fax: 004/021.319.48.49; 004/021.319.48.50</w:t>
    </w:r>
  </w:p>
  <w:p>
    <w:pPr>
      <w:spacing w:after="0"/>
      <w:jc w:val="center"/>
      <w:rPr>
        <w:rFonts w:ascii="Trebuchet MS" w:hAnsi="Trebuchet MS"/>
        <w:color w:val="404040"/>
        <w:sz w:val="18"/>
        <w:szCs w:val="18"/>
      </w:rPr>
    </w:pPr>
    <w:hyperlink r:id="rId1" w:history="1">
      <w:r>
        <w:rPr>
          <w:rStyle w:val="Hyperlink"/>
          <w:rFonts w:ascii="Trebuchet MS" w:hAnsi="Trebuchet MS"/>
          <w:color w:val="404040"/>
          <w:sz w:val="18"/>
          <w:szCs w:val="18"/>
          <w:u w:val="none"/>
        </w:rPr>
        <w:t>www.afm.ro</w:t>
      </w:r>
    </w:hyperlink>
  </w:p>
  <w:p>
    <w:pPr>
      <w:pStyle w:val="Footer"/>
    </w:pP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327047" o:spid="_x0000_s2050" type="#_x0000_t136" style="position:absolute;margin-left:0;margin-top:0;width:575.55pt;height:143.85pt;rotation:315;z-index:-251648000;mso-position-horizontal:center;mso-position-horizontal-relative:margin;mso-position-vertical:center;mso-position-vertical-relative:margin" o:allowincell="f" fillcolor="#4f81bd [3204]" stroked="f">
          <v:fill opacity=".5"/>
          <v:textpath style="font-family:&quot;Verdana&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ind w:left="-851"/>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327048" o:spid="_x0000_s2051" type="#_x0000_t136" style="position:absolute;left:0;text-align:left;margin-left:0;margin-top:0;width:575.55pt;height:143.85pt;rotation:315;z-index:-251645952;mso-position-horizontal:center;mso-position-horizontal-relative:margin;mso-position-vertical:center;mso-position-vertical-relative:margin" o:allowincell="f" fillcolor="#4f81bd [3204]" stroked="f">
          <v:fill opacity=".5"/>
          <v:textpath style="font-family:&quot;Verdana&quot;;font-size:1pt" string="PROIECT"/>
          <w10:wrap anchorx="margin" anchory="margin"/>
        </v:shape>
      </w:pict>
    </w:r>
    <w:r>
      <w:rPr>
        <w:rFonts w:ascii="Times New Roman" w:hAnsi="Times New Roman"/>
        <w:b/>
        <w:noProof/>
        <w:sz w:val="28"/>
        <w:szCs w:val="28"/>
        <w:lang w:eastAsia="ro-RO"/>
      </w:rPr>
      <w:drawing>
        <wp:anchor distT="0" distB="0" distL="114300" distR="114300" simplePos="0" relativeHeight="251664384" behindDoc="1" locked="0" layoutInCell="1" allowOverlap="1">
          <wp:simplePos x="0" y="0"/>
          <wp:positionH relativeFrom="column">
            <wp:posOffset>4819460</wp:posOffset>
          </wp:positionH>
          <wp:positionV relativeFrom="paragraph">
            <wp:posOffset>-97790</wp:posOffset>
          </wp:positionV>
          <wp:extent cx="1113155" cy="793115"/>
          <wp:effectExtent l="0" t="0" r="0" b="6985"/>
          <wp:wrapNone/>
          <wp:docPr id="15" name="Picture 15" descr="D:\Comunicare\Grafica AFM\Sigla AFM\sigla_A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municare\Grafica AFM\Sigla AFM\sigla_AF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15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61312" behindDoc="0" locked="0" layoutInCell="1" allowOverlap="1">
          <wp:simplePos x="0" y="0"/>
          <wp:positionH relativeFrom="column">
            <wp:posOffset>-338455</wp:posOffset>
          </wp:positionH>
          <wp:positionV relativeFrom="paragraph">
            <wp:posOffset>-102870</wp:posOffset>
          </wp:positionV>
          <wp:extent cx="866775" cy="866775"/>
          <wp:effectExtent l="0" t="0" r="9525" b="9525"/>
          <wp:wrapNone/>
          <wp:docPr id="16" name="Picture 16" descr="D:\Utile\Desktop 04092017\materiale_rollup_afm\NOI ROLLUP SPIDER\sambata\finale\stem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tile\Desktop 04092017\materiale_rollup_afm\NOI ROLLUP SPIDER\sambata\finale\stema_guvern.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p>
  <w:p>
    <w:pPr>
      <w:pStyle w:val="Header"/>
      <w:ind w:left="-851"/>
    </w:pPr>
    <w:r>
      <w:rPr>
        <w:rFonts w:ascii="Trajan Pro" w:hAnsi="Trajan Pro" w:cs="Times New Roman"/>
        <w:sz w:val="20"/>
        <w:szCs w:val="20"/>
      </w:rPr>
      <w:t xml:space="preserve">                                    MINISTERUL MEDIULUI, APELOR ȘI PĂDURILOR</w:t>
    </w:r>
  </w:p>
  <w:p>
    <w:pPr>
      <w:pStyle w:val="Header"/>
      <w:tabs>
        <w:tab w:val="clear" w:pos="9072"/>
        <w:tab w:val="left" w:pos="8280"/>
      </w:tabs>
      <w:ind w:left="-851"/>
      <w:rPr>
        <w:rFonts w:ascii="Trajan Pro" w:hAnsi="Trajan Pro" w:cs="Times New Roman"/>
        <w:sz w:val="20"/>
        <w:szCs w:val="20"/>
      </w:rPr>
    </w:pPr>
    <w:r>
      <w:rPr>
        <w:rFonts w:ascii="Trajan Pro" w:hAnsi="Trajan Pro" w:cs="Times New Roman"/>
        <w:sz w:val="20"/>
        <w:szCs w:val="20"/>
      </w:rPr>
      <w:t xml:space="preserve">                                    ADMINISTRAȚIA FONDULUI PENTRU MEDIU                 </w:t>
    </w:r>
    <w:r>
      <w:rPr>
        <w:rFonts w:ascii="Trajan Pro" w:hAnsi="Trajan Pro" w:cs="Times New Roman"/>
        <w:sz w:val="20"/>
        <w:szCs w:val="20"/>
      </w:rPr>
      <w:tab/>
    </w:r>
  </w:p>
  <w:p>
    <w:pPr>
      <w:pStyle w:val="Header"/>
    </w:pPr>
    <w:r>
      <w:rPr>
        <w:noProof/>
        <w:lang w:eastAsia="ro-RO"/>
      </w:rPr>
      <mc:AlternateContent>
        <mc:Choice Requires="wps">
          <w:drawing>
            <wp:anchor distT="4294967295" distB="4294967295" distL="114300" distR="114300" simplePos="0" relativeHeight="251659264" behindDoc="0" locked="0" layoutInCell="1" allowOverlap="1">
              <wp:simplePos x="0" y="0"/>
              <wp:positionH relativeFrom="column">
                <wp:posOffset>-500380</wp:posOffset>
              </wp:positionH>
              <wp:positionV relativeFrom="paragraph">
                <wp:posOffset>309244</wp:posOffset>
              </wp:positionV>
              <wp:extent cx="6781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pt,24.35pt" to="494.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" strokecolor="#365f91 [2404]" strokeweight="1.5pt">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327046" o:spid="_x0000_s2049" type="#_x0000_t136" style="position:absolute;margin-left:0;margin-top:0;width:575.55pt;height:143.85pt;rotation:315;z-index:-251650048;mso-position-horizontal:center;mso-position-horizontal-relative:margin;mso-position-vertical:center;mso-position-vertical-relative:margin" o:allowincell="f" fillcolor="#4f81bd [3204]" stroked="f">
          <v:fill opacity=".5"/>
          <v:textpath style="font-family:&quot;Verdana&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55A6"/>
    <w:multiLevelType w:val="hybridMultilevel"/>
    <w:tmpl w:val="155833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D81127"/>
    <w:multiLevelType w:val="hybridMultilevel"/>
    <w:tmpl w:val="5A52773E"/>
    <w:lvl w:ilvl="0" w:tplc="04180017">
      <w:start w:val="1"/>
      <w:numFmt w:val="lowerLetter"/>
      <w:lvlText w:val="%1)"/>
      <w:lvlJc w:val="left"/>
      <w:pPr>
        <w:ind w:left="785" w:hanging="360"/>
      </w:pPr>
      <w:rPr>
        <w:rFonts w:hint="default"/>
      </w:rPr>
    </w:lvl>
    <w:lvl w:ilvl="1" w:tplc="04180019" w:tentative="1">
      <w:start w:val="1"/>
      <w:numFmt w:val="lowerLetter"/>
      <w:lvlText w:val="%2."/>
      <w:lvlJc w:val="left"/>
      <w:pPr>
        <w:ind w:left="1515" w:hanging="360"/>
      </w:pPr>
    </w:lvl>
    <w:lvl w:ilvl="2" w:tplc="0418001B" w:tentative="1">
      <w:start w:val="1"/>
      <w:numFmt w:val="lowerRoman"/>
      <w:lvlText w:val="%3."/>
      <w:lvlJc w:val="right"/>
      <w:pPr>
        <w:ind w:left="2235" w:hanging="180"/>
      </w:pPr>
    </w:lvl>
    <w:lvl w:ilvl="3" w:tplc="0418000F" w:tentative="1">
      <w:start w:val="1"/>
      <w:numFmt w:val="decimal"/>
      <w:lvlText w:val="%4."/>
      <w:lvlJc w:val="left"/>
      <w:pPr>
        <w:ind w:left="2955" w:hanging="360"/>
      </w:pPr>
    </w:lvl>
    <w:lvl w:ilvl="4" w:tplc="04180019" w:tentative="1">
      <w:start w:val="1"/>
      <w:numFmt w:val="lowerLetter"/>
      <w:lvlText w:val="%5."/>
      <w:lvlJc w:val="left"/>
      <w:pPr>
        <w:ind w:left="3675" w:hanging="360"/>
      </w:pPr>
    </w:lvl>
    <w:lvl w:ilvl="5" w:tplc="0418001B" w:tentative="1">
      <w:start w:val="1"/>
      <w:numFmt w:val="lowerRoman"/>
      <w:lvlText w:val="%6."/>
      <w:lvlJc w:val="right"/>
      <w:pPr>
        <w:ind w:left="4395" w:hanging="180"/>
      </w:pPr>
    </w:lvl>
    <w:lvl w:ilvl="6" w:tplc="0418000F" w:tentative="1">
      <w:start w:val="1"/>
      <w:numFmt w:val="decimal"/>
      <w:lvlText w:val="%7."/>
      <w:lvlJc w:val="left"/>
      <w:pPr>
        <w:ind w:left="5115" w:hanging="360"/>
      </w:pPr>
    </w:lvl>
    <w:lvl w:ilvl="7" w:tplc="04180019" w:tentative="1">
      <w:start w:val="1"/>
      <w:numFmt w:val="lowerLetter"/>
      <w:lvlText w:val="%8."/>
      <w:lvlJc w:val="left"/>
      <w:pPr>
        <w:ind w:left="5835" w:hanging="360"/>
      </w:pPr>
    </w:lvl>
    <w:lvl w:ilvl="8" w:tplc="0418001B" w:tentative="1">
      <w:start w:val="1"/>
      <w:numFmt w:val="lowerRoman"/>
      <w:lvlText w:val="%9."/>
      <w:lvlJc w:val="right"/>
      <w:pPr>
        <w:ind w:left="6555" w:hanging="180"/>
      </w:pPr>
    </w:lvl>
  </w:abstractNum>
  <w:abstractNum w:abstractNumId="2" w15:restartNumberingAfterBreak="0">
    <w:nsid w:val="102055F8"/>
    <w:multiLevelType w:val="hybridMultilevel"/>
    <w:tmpl w:val="9E14D10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B095B2D"/>
    <w:multiLevelType w:val="hybridMultilevel"/>
    <w:tmpl w:val="217839C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3BF5FDD"/>
    <w:multiLevelType w:val="hybridMultilevel"/>
    <w:tmpl w:val="C854E16C"/>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5" w15:restartNumberingAfterBreak="0">
    <w:nsid w:val="3F200033"/>
    <w:multiLevelType w:val="hybridMultilevel"/>
    <w:tmpl w:val="A268F2C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12F5CA7"/>
    <w:multiLevelType w:val="hybridMultilevel"/>
    <w:tmpl w:val="80EC5C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96B7AAD"/>
    <w:multiLevelType w:val="hybridMultilevel"/>
    <w:tmpl w:val="3B243F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abstractNumId w:val="4"/>
  </w:num>
  <w:num w:numId="2">
    <w:abstractNumId w:val="6"/>
  </w:num>
  <w:num w:numId="3">
    <w:abstractNumId w:val="0"/>
  </w:num>
  <w:num w:numId="4">
    <w:abstractNumId w:val="7"/>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6FBD158-658D-41E6-A103-5EEC90EE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imes New Roman" w:hAnsi="Calibri" w:cs="Times New Roman"/>
      <w:noProof/>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style>
  <w:style w:type="character" w:styleId="Hyperlink">
    <w:name w:val="Hyperlink"/>
    <w:rPr>
      <w:color w:val="0000FF"/>
      <w:u w:val="single"/>
    </w:rPr>
  </w:style>
  <w:style w:type="paragraph" w:styleId="NoSpacing">
    <w:name w:val="No Spacing"/>
    <w:uiPriority w:val="1"/>
    <w:qFormat/>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ro-RO"/>
    </w:rPr>
  </w:style>
  <w:style w:type="paragraph" w:customStyle="1" w:styleId="ac">
    <w:name w:val="a_c"/>
    <w:basedOn w:val="Normal"/>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Pr>
      <w:rFonts w:asciiTheme="majorHAnsi" w:eastAsiaTheme="majorEastAsia" w:hAnsiTheme="majorHAnsi" w:cstheme="majorBidi"/>
      <w:b/>
      <w:bCs/>
      <w:noProof/>
      <w:color w:val="365F91" w:themeColor="accent1" w:themeShade="BF"/>
      <w:sz w:val="28"/>
      <w:szCs w:val="28"/>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alb">
    <w:name w:val="a_lb"/>
    <w:basedOn w:val="DefaultParagraphFont"/>
  </w:style>
  <w:style w:type="character" w:customStyle="1" w:styleId="atl">
    <w:name w:val="a_tl"/>
    <w:basedOn w:val="DefaultParagraphFont"/>
  </w:style>
  <w:style w:type="character" w:customStyle="1" w:styleId="Heading3Char">
    <w:name w:val="Heading 3 Char"/>
    <w:basedOn w:val="DefaultParagraphFont"/>
    <w:link w:val="Heading3"/>
    <w:uiPriority w:val="9"/>
    <w:rPr>
      <w:rFonts w:asciiTheme="majorHAnsi" w:eastAsiaTheme="majorEastAsia" w:hAnsiTheme="majorHAnsi" w:cstheme="majorBidi"/>
      <w:noProof/>
      <w:color w:val="243F60" w:themeColor="accent1" w:themeShade="7F"/>
      <w:sz w:val="24"/>
      <w:szCs w:val="24"/>
    </w:rPr>
  </w:style>
  <w:style w:type="character" w:customStyle="1" w:styleId="ng-binding">
    <w:name w:val="ng-binding"/>
    <w:basedOn w:val="DefaultParagraphFont"/>
  </w:style>
  <w:style w:type="character" w:customStyle="1" w:styleId="ng-scope">
    <w:name w:val="ng-scope"/>
    <w:basedOn w:val="DefaultParagraphFont"/>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005">
      <w:bodyDiv w:val="1"/>
      <w:marLeft w:val="0"/>
      <w:marRight w:val="0"/>
      <w:marTop w:val="0"/>
      <w:marBottom w:val="0"/>
      <w:divBdr>
        <w:top w:val="none" w:sz="0" w:space="0" w:color="auto"/>
        <w:left w:val="none" w:sz="0" w:space="0" w:color="auto"/>
        <w:bottom w:val="none" w:sz="0" w:space="0" w:color="auto"/>
        <w:right w:val="none" w:sz="0" w:space="0" w:color="auto"/>
      </w:divBdr>
    </w:div>
    <w:div w:id="161507397">
      <w:bodyDiv w:val="1"/>
      <w:marLeft w:val="0"/>
      <w:marRight w:val="0"/>
      <w:marTop w:val="0"/>
      <w:marBottom w:val="0"/>
      <w:divBdr>
        <w:top w:val="none" w:sz="0" w:space="0" w:color="auto"/>
        <w:left w:val="none" w:sz="0" w:space="0" w:color="auto"/>
        <w:bottom w:val="none" w:sz="0" w:space="0" w:color="auto"/>
        <w:right w:val="none" w:sz="0" w:space="0" w:color="auto"/>
      </w:divBdr>
    </w:div>
    <w:div w:id="236090077">
      <w:bodyDiv w:val="1"/>
      <w:marLeft w:val="0"/>
      <w:marRight w:val="0"/>
      <w:marTop w:val="0"/>
      <w:marBottom w:val="0"/>
      <w:divBdr>
        <w:top w:val="none" w:sz="0" w:space="0" w:color="auto"/>
        <w:left w:val="none" w:sz="0" w:space="0" w:color="auto"/>
        <w:bottom w:val="none" w:sz="0" w:space="0" w:color="auto"/>
        <w:right w:val="none" w:sz="0" w:space="0" w:color="auto"/>
      </w:divBdr>
      <w:divsChild>
        <w:div w:id="1476725752">
          <w:marLeft w:val="0"/>
          <w:marRight w:val="0"/>
          <w:marTop w:val="72"/>
          <w:marBottom w:val="0"/>
          <w:divBdr>
            <w:top w:val="none" w:sz="0" w:space="0" w:color="auto"/>
            <w:left w:val="none" w:sz="0" w:space="0" w:color="auto"/>
            <w:bottom w:val="none" w:sz="0" w:space="0" w:color="auto"/>
            <w:right w:val="none" w:sz="0" w:space="0" w:color="auto"/>
          </w:divBdr>
        </w:div>
        <w:div w:id="1068384214">
          <w:marLeft w:val="0"/>
          <w:marRight w:val="0"/>
          <w:marTop w:val="72"/>
          <w:marBottom w:val="0"/>
          <w:divBdr>
            <w:top w:val="none" w:sz="0" w:space="0" w:color="auto"/>
            <w:left w:val="none" w:sz="0" w:space="0" w:color="auto"/>
            <w:bottom w:val="none" w:sz="0" w:space="0" w:color="auto"/>
            <w:right w:val="none" w:sz="0" w:space="0" w:color="auto"/>
          </w:divBdr>
        </w:div>
      </w:divsChild>
    </w:div>
    <w:div w:id="276565246">
      <w:bodyDiv w:val="1"/>
      <w:marLeft w:val="0"/>
      <w:marRight w:val="0"/>
      <w:marTop w:val="0"/>
      <w:marBottom w:val="0"/>
      <w:divBdr>
        <w:top w:val="none" w:sz="0" w:space="0" w:color="auto"/>
        <w:left w:val="none" w:sz="0" w:space="0" w:color="auto"/>
        <w:bottom w:val="none" w:sz="0" w:space="0" w:color="auto"/>
        <w:right w:val="none" w:sz="0" w:space="0" w:color="auto"/>
      </w:divBdr>
      <w:divsChild>
        <w:div w:id="1695881485">
          <w:marLeft w:val="0"/>
          <w:marRight w:val="0"/>
          <w:marTop w:val="72"/>
          <w:marBottom w:val="0"/>
          <w:divBdr>
            <w:top w:val="none" w:sz="0" w:space="0" w:color="auto"/>
            <w:left w:val="none" w:sz="0" w:space="0" w:color="auto"/>
            <w:bottom w:val="none" w:sz="0" w:space="0" w:color="auto"/>
            <w:right w:val="none" w:sz="0" w:space="0" w:color="auto"/>
          </w:divBdr>
        </w:div>
        <w:div w:id="221865097">
          <w:marLeft w:val="0"/>
          <w:marRight w:val="0"/>
          <w:marTop w:val="72"/>
          <w:marBottom w:val="0"/>
          <w:divBdr>
            <w:top w:val="none" w:sz="0" w:space="0" w:color="auto"/>
            <w:left w:val="none" w:sz="0" w:space="0" w:color="auto"/>
            <w:bottom w:val="none" w:sz="0" w:space="0" w:color="auto"/>
            <w:right w:val="none" w:sz="0" w:space="0" w:color="auto"/>
          </w:divBdr>
        </w:div>
      </w:divsChild>
    </w:div>
    <w:div w:id="393282105">
      <w:bodyDiv w:val="1"/>
      <w:marLeft w:val="0"/>
      <w:marRight w:val="0"/>
      <w:marTop w:val="0"/>
      <w:marBottom w:val="0"/>
      <w:divBdr>
        <w:top w:val="none" w:sz="0" w:space="0" w:color="auto"/>
        <w:left w:val="none" w:sz="0" w:space="0" w:color="auto"/>
        <w:bottom w:val="none" w:sz="0" w:space="0" w:color="auto"/>
        <w:right w:val="none" w:sz="0" w:space="0" w:color="auto"/>
      </w:divBdr>
    </w:div>
    <w:div w:id="625048108">
      <w:bodyDiv w:val="1"/>
      <w:marLeft w:val="0"/>
      <w:marRight w:val="0"/>
      <w:marTop w:val="0"/>
      <w:marBottom w:val="0"/>
      <w:divBdr>
        <w:top w:val="none" w:sz="0" w:space="0" w:color="auto"/>
        <w:left w:val="none" w:sz="0" w:space="0" w:color="auto"/>
        <w:bottom w:val="none" w:sz="0" w:space="0" w:color="auto"/>
        <w:right w:val="none" w:sz="0" w:space="0" w:color="auto"/>
      </w:divBdr>
    </w:div>
    <w:div w:id="637075911">
      <w:bodyDiv w:val="1"/>
      <w:marLeft w:val="0"/>
      <w:marRight w:val="0"/>
      <w:marTop w:val="0"/>
      <w:marBottom w:val="0"/>
      <w:divBdr>
        <w:top w:val="none" w:sz="0" w:space="0" w:color="auto"/>
        <w:left w:val="none" w:sz="0" w:space="0" w:color="auto"/>
        <w:bottom w:val="none" w:sz="0" w:space="0" w:color="auto"/>
        <w:right w:val="none" w:sz="0" w:space="0" w:color="auto"/>
      </w:divBdr>
    </w:div>
    <w:div w:id="717628655">
      <w:bodyDiv w:val="1"/>
      <w:marLeft w:val="0"/>
      <w:marRight w:val="0"/>
      <w:marTop w:val="0"/>
      <w:marBottom w:val="0"/>
      <w:divBdr>
        <w:top w:val="none" w:sz="0" w:space="0" w:color="auto"/>
        <w:left w:val="none" w:sz="0" w:space="0" w:color="auto"/>
        <w:bottom w:val="none" w:sz="0" w:space="0" w:color="auto"/>
        <w:right w:val="none" w:sz="0" w:space="0" w:color="auto"/>
      </w:divBdr>
      <w:divsChild>
        <w:div w:id="1741562138">
          <w:marLeft w:val="360"/>
          <w:marRight w:val="0"/>
          <w:marTop w:val="0"/>
          <w:marBottom w:val="72"/>
          <w:divBdr>
            <w:top w:val="none" w:sz="0" w:space="0" w:color="auto"/>
            <w:left w:val="none" w:sz="0" w:space="0" w:color="auto"/>
            <w:bottom w:val="none" w:sz="0" w:space="0" w:color="auto"/>
            <w:right w:val="none" w:sz="0" w:space="0" w:color="auto"/>
          </w:divBdr>
          <w:divsChild>
            <w:div w:id="1241865268">
              <w:marLeft w:val="0"/>
              <w:marRight w:val="0"/>
              <w:marTop w:val="72"/>
              <w:marBottom w:val="0"/>
              <w:divBdr>
                <w:top w:val="none" w:sz="0" w:space="0" w:color="auto"/>
                <w:left w:val="none" w:sz="0" w:space="0" w:color="auto"/>
                <w:bottom w:val="none" w:sz="0" w:space="0" w:color="auto"/>
                <w:right w:val="none" w:sz="0" w:space="0" w:color="auto"/>
              </w:divBdr>
            </w:div>
          </w:divsChild>
        </w:div>
        <w:div w:id="514617911">
          <w:marLeft w:val="360"/>
          <w:marRight w:val="0"/>
          <w:marTop w:val="0"/>
          <w:marBottom w:val="72"/>
          <w:divBdr>
            <w:top w:val="none" w:sz="0" w:space="0" w:color="auto"/>
            <w:left w:val="none" w:sz="0" w:space="0" w:color="auto"/>
            <w:bottom w:val="none" w:sz="0" w:space="0" w:color="auto"/>
            <w:right w:val="none" w:sz="0" w:space="0" w:color="auto"/>
          </w:divBdr>
          <w:divsChild>
            <w:div w:id="1788809768">
              <w:marLeft w:val="0"/>
              <w:marRight w:val="0"/>
              <w:marTop w:val="72"/>
              <w:marBottom w:val="0"/>
              <w:divBdr>
                <w:top w:val="none" w:sz="0" w:space="0" w:color="auto"/>
                <w:left w:val="none" w:sz="0" w:space="0" w:color="auto"/>
                <w:bottom w:val="none" w:sz="0" w:space="0" w:color="auto"/>
                <w:right w:val="none" w:sz="0" w:space="0" w:color="auto"/>
              </w:divBdr>
            </w:div>
          </w:divsChild>
        </w:div>
        <w:div w:id="320698561">
          <w:marLeft w:val="360"/>
          <w:marRight w:val="0"/>
          <w:marTop w:val="0"/>
          <w:marBottom w:val="72"/>
          <w:divBdr>
            <w:top w:val="none" w:sz="0" w:space="0" w:color="auto"/>
            <w:left w:val="none" w:sz="0" w:space="0" w:color="auto"/>
            <w:bottom w:val="none" w:sz="0" w:space="0" w:color="auto"/>
            <w:right w:val="none" w:sz="0" w:space="0" w:color="auto"/>
          </w:divBdr>
          <w:divsChild>
            <w:div w:id="161929229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697580442">
      <w:bodyDiv w:val="1"/>
      <w:marLeft w:val="0"/>
      <w:marRight w:val="0"/>
      <w:marTop w:val="0"/>
      <w:marBottom w:val="0"/>
      <w:divBdr>
        <w:top w:val="none" w:sz="0" w:space="0" w:color="auto"/>
        <w:left w:val="none" w:sz="0" w:space="0" w:color="auto"/>
        <w:bottom w:val="none" w:sz="0" w:space="0" w:color="auto"/>
        <w:right w:val="none" w:sz="0" w:space="0" w:color="auto"/>
      </w:divBdr>
    </w:div>
    <w:div w:id="1879080218">
      <w:bodyDiv w:val="1"/>
      <w:marLeft w:val="0"/>
      <w:marRight w:val="0"/>
      <w:marTop w:val="0"/>
      <w:marBottom w:val="0"/>
      <w:divBdr>
        <w:top w:val="none" w:sz="0" w:space="0" w:color="auto"/>
        <w:left w:val="none" w:sz="0" w:space="0" w:color="auto"/>
        <w:bottom w:val="none" w:sz="0" w:space="0" w:color="auto"/>
        <w:right w:val="none" w:sz="0" w:space="0" w:color="auto"/>
      </w:divBdr>
    </w:div>
    <w:div w:id="2045253679">
      <w:bodyDiv w:val="1"/>
      <w:marLeft w:val="0"/>
      <w:marRight w:val="0"/>
      <w:marTop w:val="0"/>
      <w:marBottom w:val="0"/>
      <w:divBdr>
        <w:top w:val="none" w:sz="0" w:space="0" w:color="auto"/>
        <w:left w:val="none" w:sz="0" w:space="0" w:color="auto"/>
        <w:bottom w:val="none" w:sz="0" w:space="0" w:color="auto"/>
        <w:right w:val="none" w:sz="0" w:space="0" w:color="auto"/>
      </w:divBdr>
      <w:divsChild>
        <w:div w:id="643047160">
          <w:marLeft w:val="0"/>
          <w:marRight w:val="0"/>
          <w:marTop w:val="72"/>
          <w:marBottom w:val="0"/>
          <w:divBdr>
            <w:top w:val="none" w:sz="0" w:space="0" w:color="auto"/>
            <w:left w:val="none" w:sz="0" w:space="0" w:color="auto"/>
            <w:bottom w:val="none" w:sz="0" w:space="0" w:color="auto"/>
            <w:right w:val="none" w:sz="0" w:space="0" w:color="auto"/>
          </w:divBdr>
        </w:div>
        <w:div w:id="750274372">
          <w:marLeft w:val="0"/>
          <w:marRight w:val="0"/>
          <w:marTop w:val="72"/>
          <w:marBottom w:val="0"/>
          <w:divBdr>
            <w:top w:val="none" w:sz="0" w:space="0" w:color="auto"/>
            <w:left w:val="none" w:sz="0" w:space="0" w:color="auto"/>
            <w:bottom w:val="none" w:sz="0" w:space="0" w:color="auto"/>
            <w:right w:val="none" w:sz="0" w:space="0" w:color="auto"/>
          </w:divBdr>
        </w:div>
        <w:div w:id="278993434">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5C221-B753-4D6D-8C4F-1E71BC01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893</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DOBRE</dc:creator>
  <cp:lastModifiedBy>Andreea CRISTESCU</cp:lastModifiedBy>
  <cp:revision>4</cp:revision>
  <cp:lastPrinted>2022-05-31T10:14:00Z</cp:lastPrinted>
  <dcterms:created xsi:type="dcterms:W3CDTF">2022-09-28T11:02:00Z</dcterms:created>
  <dcterms:modified xsi:type="dcterms:W3CDTF">2022-09-28T11:46:00Z</dcterms:modified>
</cp:coreProperties>
</file>