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78703" w14:textId="24D04EC0" w:rsidR="0034259E" w:rsidRPr="007A429F" w:rsidRDefault="0034259E" w:rsidP="00AD177D">
      <w:pPr>
        <w:jc w:val="both"/>
        <w:rPr>
          <w:rFonts w:ascii="Trebuchet MS" w:hAnsi="Trebuchet MS"/>
          <w:color w:val="000000" w:themeColor="text1"/>
          <w:lang w:val="ro-RO"/>
        </w:rPr>
      </w:pPr>
    </w:p>
    <w:p w14:paraId="569016CF" w14:textId="77777777" w:rsidR="0034259E" w:rsidRPr="007A429F" w:rsidRDefault="0034259E" w:rsidP="00AD177D">
      <w:pPr>
        <w:spacing w:line="360" w:lineRule="auto"/>
        <w:ind w:right="851" w:firstLine="357"/>
        <w:jc w:val="both"/>
        <w:rPr>
          <w:rFonts w:ascii="Trebuchet MS" w:hAnsi="Trebuchet MS"/>
          <w:color w:val="000000" w:themeColor="text1"/>
          <w:lang w:val="ro-RO"/>
        </w:rPr>
      </w:pPr>
    </w:p>
    <w:p w14:paraId="25BDD066" w14:textId="04446ED9" w:rsidR="00904C60" w:rsidRPr="007A429F" w:rsidRDefault="00DB0167" w:rsidP="00AD177D">
      <w:pPr>
        <w:spacing w:line="360" w:lineRule="auto"/>
        <w:ind w:right="851" w:firstLine="357"/>
        <w:jc w:val="both"/>
        <w:rPr>
          <w:rFonts w:ascii="Trebuchet MS" w:eastAsia="Times New Roman" w:hAnsi="Trebuchet MS"/>
          <w:b/>
          <w:bCs/>
          <w:color w:val="000000" w:themeColor="text1"/>
          <w:lang w:val="ro-RO"/>
        </w:rPr>
      </w:pPr>
      <w:r w:rsidRPr="007A429F">
        <w:rPr>
          <w:rFonts w:ascii="Trebuchet MS" w:eastAsia="Times New Roman" w:hAnsi="Trebuchet MS"/>
          <w:b/>
          <w:bCs/>
          <w:color w:val="000000" w:themeColor="text1"/>
          <w:lang w:val="ro-RO"/>
        </w:rPr>
        <w:t>Dezvoltarea durabilă a regiunii Dunării</w:t>
      </w:r>
      <w:r w:rsidR="00B343E8" w:rsidRPr="007A429F">
        <w:rPr>
          <w:rFonts w:ascii="Trebuchet MS" w:eastAsia="Times New Roman" w:hAnsi="Trebuchet MS"/>
          <w:b/>
          <w:bCs/>
          <w:color w:val="000000" w:themeColor="text1"/>
          <w:lang w:val="ro-RO"/>
        </w:rPr>
        <w:t>:</w:t>
      </w:r>
      <w:r w:rsidRPr="007A429F">
        <w:rPr>
          <w:rFonts w:ascii="Trebuchet MS" w:eastAsia="Times New Roman" w:hAnsi="Trebuchet MS"/>
          <w:b/>
          <w:bCs/>
          <w:color w:val="000000" w:themeColor="text1"/>
          <w:lang w:val="ro-RO"/>
        </w:rPr>
        <w:t xml:space="preserve"> co</w:t>
      </w:r>
      <w:r w:rsidR="00B343E8" w:rsidRPr="007A429F">
        <w:rPr>
          <w:rFonts w:ascii="Trebuchet MS" w:eastAsia="Times New Roman" w:hAnsi="Trebuchet MS"/>
          <w:b/>
          <w:bCs/>
          <w:color w:val="000000" w:themeColor="text1"/>
          <w:lang w:val="ro-RO"/>
        </w:rPr>
        <w:t>laborarea între țările membre</w:t>
      </w:r>
      <w:r w:rsidR="00F60995" w:rsidRPr="007A429F">
        <w:rPr>
          <w:rFonts w:ascii="Trebuchet MS" w:eastAsia="Times New Roman" w:hAnsi="Trebuchet MS"/>
          <w:b/>
          <w:bCs/>
          <w:color w:val="000000" w:themeColor="text1"/>
          <w:lang w:val="ro-RO"/>
        </w:rPr>
        <w:t xml:space="preserve"> ș</w:t>
      </w:r>
      <w:r w:rsidR="00B343E8" w:rsidRPr="007A429F">
        <w:rPr>
          <w:rFonts w:ascii="Trebuchet MS" w:eastAsia="Times New Roman" w:hAnsi="Trebuchet MS"/>
          <w:b/>
          <w:bCs/>
          <w:color w:val="000000" w:themeColor="text1"/>
          <w:lang w:val="ro-RO"/>
        </w:rPr>
        <w:t xml:space="preserve">i identificarea de soluții bazate pe natură </w:t>
      </w:r>
      <w:r w:rsidR="00C721AB">
        <w:rPr>
          <w:rFonts w:ascii="Trebuchet MS" w:eastAsia="Times New Roman" w:hAnsi="Trebuchet MS"/>
          <w:b/>
          <w:bCs/>
          <w:color w:val="000000" w:themeColor="text1"/>
          <w:lang w:val="ro-RO"/>
        </w:rPr>
        <w:t>pentru managementul riscurilor de mediu</w:t>
      </w:r>
    </w:p>
    <w:p w14:paraId="3FFE88B7" w14:textId="77777777" w:rsidR="0034259E" w:rsidRPr="007A429F" w:rsidRDefault="0034259E" w:rsidP="00AD177D">
      <w:pPr>
        <w:spacing w:line="360" w:lineRule="auto"/>
        <w:ind w:right="851" w:firstLine="357"/>
        <w:jc w:val="both"/>
        <w:rPr>
          <w:rFonts w:ascii="Trebuchet MS" w:hAnsi="Trebuchet MS"/>
          <w:color w:val="000000" w:themeColor="text1"/>
          <w:lang w:val="ro-RO"/>
        </w:rPr>
      </w:pPr>
    </w:p>
    <w:p w14:paraId="6E635108" w14:textId="5DFBBAEA" w:rsidR="0034259E" w:rsidRPr="007A429F" w:rsidRDefault="00CC4C77" w:rsidP="00AD177D">
      <w:pPr>
        <w:spacing w:line="360" w:lineRule="auto"/>
        <w:ind w:right="851"/>
        <w:jc w:val="both"/>
        <w:rPr>
          <w:rFonts w:ascii="Trebuchet MS" w:hAnsi="Trebuchet MS"/>
          <w:color w:val="000000" w:themeColor="text1"/>
          <w:lang w:val="ro-RO"/>
        </w:rPr>
      </w:pPr>
      <w:r w:rsidRPr="007A429F">
        <w:rPr>
          <w:rFonts w:ascii="Trebuchet MS" w:hAnsi="Trebuchet MS"/>
          <w:color w:val="000000" w:themeColor="text1"/>
          <w:lang w:val="ro-RO"/>
        </w:rPr>
        <w:t>La data de 14 iunie</w:t>
      </w:r>
      <w:r w:rsidR="0034259E" w:rsidRPr="007A429F">
        <w:rPr>
          <w:rFonts w:ascii="Trebuchet MS" w:hAnsi="Trebuchet MS"/>
          <w:color w:val="000000" w:themeColor="text1"/>
          <w:lang w:val="ro-RO"/>
        </w:rPr>
        <w:t xml:space="preserve"> 202</w:t>
      </w:r>
      <w:r w:rsidRPr="007A429F">
        <w:rPr>
          <w:rFonts w:ascii="Trebuchet MS" w:hAnsi="Trebuchet MS"/>
          <w:color w:val="000000" w:themeColor="text1"/>
          <w:lang w:val="ro-RO"/>
        </w:rPr>
        <w:t>2</w:t>
      </w:r>
      <w:r w:rsidR="0034259E" w:rsidRPr="007A429F">
        <w:rPr>
          <w:rFonts w:ascii="Trebuchet MS" w:hAnsi="Trebuchet MS"/>
          <w:color w:val="000000" w:themeColor="text1"/>
          <w:lang w:val="ro-RO"/>
        </w:rPr>
        <w:t>, s-a desfășurat</w:t>
      </w:r>
      <w:r w:rsidR="00000CD7" w:rsidRPr="007A429F">
        <w:rPr>
          <w:rFonts w:ascii="Trebuchet MS" w:hAnsi="Trebuchet MS"/>
          <w:color w:val="000000" w:themeColor="text1"/>
          <w:lang w:val="ro-RO"/>
        </w:rPr>
        <w:t>, la București,</w:t>
      </w:r>
      <w:r w:rsidR="0034259E" w:rsidRPr="007A429F">
        <w:rPr>
          <w:rFonts w:ascii="Trebuchet MS" w:hAnsi="Trebuchet MS"/>
          <w:color w:val="000000" w:themeColor="text1"/>
          <w:lang w:val="ro-RO"/>
        </w:rPr>
        <w:t xml:space="preserve"> cea de-a </w:t>
      </w:r>
      <w:r w:rsidR="00E0637A" w:rsidRPr="007A429F">
        <w:rPr>
          <w:rFonts w:ascii="Trebuchet MS" w:hAnsi="Trebuchet MS"/>
          <w:color w:val="000000" w:themeColor="text1"/>
          <w:lang w:val="ro-RO"/>
        </w:rPr>
        <w:t>2</w:t>
      </w:r>
      <w:r w:rsidRPr="007A429F">
        <w:rPr>
          <w:rFonts w:ascii="Trebuchet MS" w:hAnsi="Trebuchet MS"/>
          <w:color w:val="000000" w:themeColor="text1"/>
          <w:lang w:val="ro-RO"/>
        </w:rPr>
        <w:t>1</w:t>
      </w:r>
      <w:r w:rsidR="0034259E" w:rsidRPr="007A429F">
        <w:rPr>
          <w:rFonts w:ascii="Trebuchet MS" w:hAnsi="Trebuchet MS"/>
          <w:color w:val="000000" w:themeColor="text1"/>
          <w:lang w:val="ro-RO"/>
        </w:rPr>
        <w:t>-a întâlnire a Grupului Director pentru A</w:t>
      </w:r>
      <w:r w:rsidR="00F4459C" w:rsidRPr="007A429F">
        <w:rPr>
          <w:rFonts w:ascii="Trebuchet MS" w:hAnsi="Trebuchet MS"/>
          <w:color w:val="000000" w:themeColor="text1"/>
          <w:lang w:val="ro-RO"/>
        </w:rPr>
        <w:t>ria</w:t>
      </w:r>
      <w:r w:rsidR="0034259E" w:rsidRPr="007A429F">
        <w:rPr>
          <w:rFonts w:ascii="Trebuchet MS" w:hAnsi="Trebuchet MS"/>
          <w:color w:val="000000" w:themeColor="text1"/>
          <w:lang w:val="ro-RO"/>
        </w:rPr>
        <w:t xml:space="preserve"> Prioritară 5(</w:t>
      </w:r>
      <w:r w:rsidR="00F4459C" w:rsidRPr="007A429F">
        <w:rPr>
          <w:rFonts w:ascii="Trebuchet MS" w:hAnsi="Trebuchet MS"/>
          <w:color w:val="000000" w:themeColor="text1"/>
          <w:lang w:val="ro-RO"/>
        </w:rPr>
        <w:t>AP</w:t>
      </w:r>
      <w:r w:rsidR="0034259E" w:rsidRPr="007A429F">
        <w:rPr>
          <w:rFonts w:ascii="Trebuchet MS" w:hAnsi="Trebuchet MS"/>
          <w:color w:val="000000" w:themeColor="text1"/>
          <w:lang w:val="ro-RO"/>
        </w:rPr>
        <w:t>5) privind Managementul Riscurilor de Mediu, d</w:t>
      </w:r>
      <w:r w:rsidR="0034259E" w:rsidRPr="007A429F">
        <w:rPr>
          <w:rFonts w:ascii="Trebuchet MS" w:hAnsi="Trebuchet MS" w:cs="Arial"/>
          <w:color w:val="000000" w:themeColor="text1"/>
          <w:shd w:val="clear" w:color="auto" w:fill="FFFFFF"/>
          <w:lang w:val="ro-RO"/>
        </w:rPr>
        <w:t>in cadrul Strategiei U</w:t>
      </w:r>
      <w:r w:rsidR="00F4459C" w:rsidRPr="007A429F">
        <w:rPr>
          <w:rFonts w:ascii="Trebuchet MS" w:hAnsi="Trebuchet MS" w:cs="Arial"/>
          <w:color w:val="000000" w:themeColor="text1"/>
          <w:shd w:val="clear" w:color="auto" w:fill="FFFFFF"/>
          <w:lang w:val="ro-RO"/>
        </w:rPr>
        <w:t xml:space="preserve">niunii </w:t>
      </w:r>
      <w:r w:rsidR="0034259E" w:rsidRPr="007A429F">
        <w:rPr>
          <w:rFonts w:ascii="Trebuchet MS" w:hAnsi="Trebuchet MS" w:cs="Arial"/>
          <w:color w:val="000000" w:themeColor="text1"/>
          <w:shd w:val="clear" w:color="auto" w:fill="FFFFFF"/>
          <w:lang w:val="ro-RO"/>
        </w:rPr>
        <w:t>E</w:t>
      </w:r>
      <w:r w:rsidR="00F4459C" w:rsidRPr="007A429F">
        <w:rPr>
          <w:rFonts w:ascii="Trebuchet MS" w:hAnsi="Trebuchet MS" w:cs="Arial"/>
          <w:color w:val="000000" w:themeColor="text1"/>
          <w:shd w:val="clear" w:color="auto" w:fill="FFFFFF"/>
          <w:lang w:val="ro-RO"/>
        </w:rPr>
        <w:t>uropene</w:t>
      </w:r>
      <w:r w:rsidR="0034259E" w:rsidRPr="007A429F">
        <w:rPr>
          <w:rFonts w:ascii="Trebuchet MS" w:hAnsi="Trebuchet MS" w:cs="Arial"/>
          <w:color w:val="000000" w:themeColor="text1"/>
          <w:shd w:val="clear" w:color="auto" w:fill="FFFFFF"/>
          <w:lang w:val="ro-RO"/>
        </w:rPr>
        <w:t xml:space="preserve"> pentru Regiunea Dunării”,</w:t>
      </w:r>
      <w:r w:rsidR="0034259E" w:rsidRPr="007A429F">
        <w:rPr>
          <w:rFonts w:ascii="Trebuchet MS" w:hAnsi="Trebuchet MS"/>
          <w:color w:val="000000" w:themeColor="text1"/>
          <w:lang w:val="ro-RO"/>
        </w:rPr>
        <w:t xml:space="preserve"> (SUERD),</w:t>
      </w:r>
      <w:r w:rsidR="0034259E" w:rsidRPr="007A429F">
        <w:rPr>
          <w:rFonts w:ascii="Trebuchet MS" w:hAnsi="Trebuchet MS" w:cs="Arial"/>
          <w:color w:val="000000" w:themeColor="text1"/>
          <w:shd w:val="clear" w:color="auto" w:fill="FFFFFF"/>
          <w:lang w:val="ro-RO"/>
        </w:rPr>
        <w:t xml:space="preserve"> </w:t>
      </w:r>
      <w:r w:rsidR="0034259E" w:rsidRPr="007A429F">
        <w:rPr>
          <w:rFonts w:ascii="Trebuchet MS" w:hAnsi="Trebuchet MS" w:cs="Segoe UI"/>
          <w:color w:val="000000" w:themeColor="text1"/>
          <w:shd w:val="clear" w:color="auto" w:fill="FFFFFF"/>
          <w:lang w:val="ro-RO"/>
        </w:rPr>
        <w:t>finanțat prin Programul Transnațional „Dunărea”,</w:t>
      </w:r>
      <w:r w:rsidR="0034259E" w:rsidRPr="007A429F">
        <w:rPr>
          <w:rFonts w:ascii="Trebuchet MS" w:hAnsi="Trebuchet MS"/>
          <w:color w:val="000000" w:themeColor="text1"/>
          <w:lang w:val="ro-RO"/>
        </w:rPr>
        <w:t xml:space="preserve"> eveniment organizat de </w:t>
      </w:r>
      <w:proofErr w:type="spellStart"/>
      <w:r w:rsidR="0034259E" w:rsidRPr="007A429F">
        <w:rPr>
          <w:rFonts w:ascii="Trebuchet MS" w:hAnsi="Trebuchet MS"/>
          <w:color w:val="000000" w:themeColor="text1"/>
          <w:lang w:val="ro-RO"/>
        </w:rPr>
        <w:t>co</w:t>
      </w:r>
      <w:proofErr w:type="spellEnd"/>
      <w:r w:rsidR="0034259E" w:rsidRPr="007A429F">
        <w:rPr>
          <w:rFonts w:ascii="Trebuchet MS" w:hAnsi="Trebuchet MS"/>
          <w:color w:val="000000" w:themeColor="text1"/>
          <w:lang w:val="ro-RO"/>
        </w:rPr>
        <w:t xml:space="preserve">-coordonatorul </w:t>
      </w:r>
      <w:r w:rsidR="009D5B92" w:rsidRPr="007A429F">
        <w:rPr>
          <w:rFonts w:ascii="Trebuchet MS" w:hAnsi="Trebuchet MS"/>
          <w:color w:val="000000" w:themeColor="text1"/>
          <w:lang w:val="ro-RO"/>
        </w:rPr>
        <w:t>român</w:t>
      </w:r>
      <w:r w:rsidR="0034259E" w:rsidRPr="007A429F">
        <w:rPr>
          <w:rFonts w:ascii="Trebuchet MS" w:hAnsi="Trebuchet MS"/>
          <w:color w:val="000000" w:themeColor="text1"/>
          <w:lang w:val="ro-RO"/>
        </w:rPr>
        <w:t xml:space="preserve"> </w:t>
      </w:r>
      <w:r w:rsidR="00C721AB">
        <w:rPr>
          <w:rFonts w:ascii="Trebuchet MS" w:hAnsi="Trebuchet MS"/>
          <w:color w:val="000000" w:themeColor="text1"/>
          <w:lang w:val="ro-RO"/>
        </w:rPr>
        <w:t xml:space="preserve"> al </w:t>
      </w:r>
      <w:r w:rsidR="00F4459C" w:rsidRPr="007A429F">
        <w:rPr>
          <w:rFonts w:ascii="Trebuchet MS" w:hAnsi="Trebuchet MS"/>
          <w:color w:val="000000" w:themeColor="text1"/>
          <w:lang w:val="ro-RO"/>
        </w:rPr>
        <w:t>AP</w:t>
      </w:r>
      <w:r w:rsidR="0034259E" w:rsidRPr="007A429F">
        <w:rPr>
          <w:rFonts w:ascii="Trebuchet MS" w:hAnsi="Trebuchet MS"/>
          <w:color w:val="000000" w:themeColor="text1"/>
          <w:lang w:val="ro-RO"/>
        </w:rPr>
        <w:t xml:space="preserve">5. </w:t>
      </w:r>
    </w:p>
    <w:p w14:paraId="7328A307" w14:textId="051100D4" w:rsidR="0034259E" w:rsidRPr="007A429F" w:rsidRDefault="0034259E" w:rsidP="00AD177D">
      <w:pPr>
        <w:spacing w:line="360" w:lineRule="auto"/>
        <w:ind w:right="851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7A429F">
        <w:rPr>
          <w:rFonts w:ascii="Trebuchet MS" w:hAnsi="Trebuchet MS"/>
          <w:bCs/>
          <w:color w:val="000000" w:themeColor="text1"/>
          <w:lang w:val="ro-RO"/>
        </w:rPr>
        <w:t xml:space="preserve">În cadrul Strategiei Uniunii Europene pentru Regiunea Dunării, România, prin Ministerul Mediului, Apelor și Pădurilor, asigură </w:t>
      </w:r>
      <w:proofErr w:type="spellStart"/>
      <w:r w:rsidRPr="007A429F">
        <w:rPr>
          <w:rFonts w:ascii="Trebuchet MS" w:hAnsi="Trebuchet MS"/>
          <w:bCs/>
          <w:color w:val="000000" w:themeColor="text1"/>
          <w:lang w:val="ro-RO"/>
        </w:rPr>
        <w:t>co</w:t>
      </w:r>
      <w:proofErr w:type="spellEnd"/>
      <w:r w:rsidRPr="007A429F">
        <w:rPr>
          <w:rFonts w:ascii="Trebuchet MS" w:hAnsi="Trebuchet MS"/>
          <w:bCs/>
          <w:color w:val="000000" w:themeColor="text1"/>
          <w:lang w:val="ro-RO"/>
        </w:rPr>
        <w:t>-coordonarea A</w:t>
      </w:r>
      <w:r w:rsidR="00F4459C" w:rsidRPr="007A429F">
        <w:rPr>
          <w:rFonts w:ascii="Trebuchet MS" w:hAnsi="Trebuchet MS"/>
          <w:bCs/>
          <w:color w:val="000000" w:themeColor="text1"/>
          <w:lang w:val="ro-RO"/>
        </w:rPr>
        <w:t>ri</w:t>
      </w:r>
      <w:r w:rsidRPr="007A429F">
        <w:rPr>
          <w:rFonts w:ascii="Trebuchet MS" w:hAnsi="Trebuchet MS"/>
          <w:bCs/>
          <w:color w:val="000000" w:themeColor="text1"/>
          <w:lang w:val="ro-RO"/>
        </w:rPr>
        <w:t xml:space="preserve">ei prioritare 5 (AP 5) – Managementul riscurilor de mediu împreună cu Ministerului Afacerilor Externe și Comerțului din Ungaria. </w:t>
      </w:r>
    </w:p>
    <w:p w14:paraId="4173883E" w14:textId="236403CF" w:rsidR="00000CD7" w:rsidRPr="007A429F" w:rsidRDefault="007100F1" w:rsidP="00AD177D">
      <w:pPr>
        <w:spacing w:line="360" w:lineRule="auto"/>
        <w:ind w:right="851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7A429F">
        <w:rPr>
          <w:rFonts w:ascii="Trebuchet MS" w:hAnsi="Trebuchet MS"/>
          <w:bCs/>
          <w:color w:val="000000" w:themeColor="text1"/>
          <w:lang w:val="ro-RO"/>
        </w:rPr>
        <w:t>Sesiunea</w:t>
      </w:r>
      <w:r w:rsidR="00000CD7" w:rsidRPr="007A429F">
        <w:rPr>
          <w:rFonts w:ascii="Trebuchet MS" w:hAnsi="Trebuchet MS"/>
          <w:bCs/>
          <w:color w:val="000000" w:themeColor="text1"/>
          <w:lang w:val="ro-RO"/>
        </w:rPr>
        <w:t>, ce s-a desfășurat în format hibrid,</w:t>
      </w:r>
      <w:r w:rsidRPr="007A429F">
        <w:rPr>
          <w:rFonts w:ascii="Trebuchet MS" w:hAnsi="Trebuchet MS"/>
          <w:bCs/>
          <w:color w:val="000000" w:themeColor="text1"/>
          <w:lang w:val="ro-RO"/>
        </w:rPr>
        <w:t xml:space="preserve"> a fost condusă de Gheorghe Constantin, </w:t>
      </w:r>
      <w:proofErr w:type="spellStart"/>
      <w:r w:rsidRPr="007A429F">
        <w:rPr>
          <w:rFonts w:ascii="Trebuchet MS" w:hAnsi="Trebuchet MS"/>
          <w:bCs/>
          <w:color w:val="000000" w:themeColor="text1"/>
          <w:lang w:val="ro-RO"/>
        </w:rPr>
        <w:t>co</w:t>
      </w:r>
      <w:proofErr w:type="spellEnd"/>
      <w:r w:rsidRPr="007A429F">
        <w:rPr>
          <w:rFonts w:ascii="Trebuchet MS" w:hAnsi="Trebuchet MS"/>
          <w:bCs/>
          <w:color w:val="000000" w:themeColor="text1"/>
          <w:lang w:val="ro-RO"/>
        </w:rPr>
        <w:t xml:space="preserve">-coordonator român </w:t>
      </w:r>
      <w:r w:rsidR="00C721AB">
        <w:rPr>
          <w:rFonts w:ascii="Trebuchet MS" w:hAnsi="Trebuchet MS"/>
          <w:bCs/>
          <w:color w:val="000000" w:themeColor="text1"/>
          <w:lang w:val="ro-RO"/>
        </w:rPr>
        <w:t xml:space="preserve">al </w:t>
      </w:r>
      <w:r w:rsidRPr="007A429F">
        <w:rPr>
          <w:rFonts w:ascii="Trebuchet MS" w:hAnsi="Trebuchet MS"/>
          <w:bCs/>
          <w:color w:val="000000" w:themeColor="text1"/>
          <w:lang w:val="ro-RO"/>
        </w:rPr>
        <w:t>A</w:t>
      </w:r>
      <w:r w:rsidR="00C721AB">
        <w:rPr>
          <w:rFonts w:ascii="Trebuchet MS" w:hAnsi="Trebuchet MS"/>
          <w:bCs/>
          <w:color w:val="000000" w:themeColor="text1"/>
          <w:lang w:val="ro-RO"/>
        </w:rPr>
        <w:t>P</w:t>
      </w:r>
      <w:r w:rsidRPr="007A429F">
        <w:rPr>
          <w:rFonts w:ascii="Trebuchet MS" w:hAnsi="Trebuchet MS"/>
          <w:bCs/>
          <w:color w:val="000000" w:themeColor="text1"/>
          <w:lang w:val="ro-RO"/>
        </w:rPr>
        <w:t>5</w:t>
      </w:r>
      <w:r w:rsidR="00000CD7" w:rsidRPr="007A429F">
        <w:rPr>
          <w:rFonts w:ascii="Trebuchet MS" w:hAnsi="Trebuchet MS"/>
          <w:bCs/>
          <w:color w:val="000000" w:themeColor="text1"/>
          <w:lang w:val="ro-RO"/>
        </w:rPr>
        <w:t xml:space="preserve">, </w:t>
      </w:r>
      <w:r w:rsidR="00C721AB">
        <w:rPr>
          <w:rFonts w:ascii="Trebuchet MS" w:hAnsi="Trebuchet MS"/>
          <w:lang w:val="ro-RO"/>
        </w:rPr>
        <w:t xml:space="preserve">împreună cu </w:t>
      </w:r>
      <w:proofErr w:type="spellStart"/>
      <w:r w:rsidR="007A429F" w:rsidRPr="007A429F">
        <w:rPr>
          <w:rFonts w:ascii="Trebuchet MS" w:hAnsi="Trebuchet MS"/>
        </w:rPr>
        <w:t>László</w:t>
      </w:r>
      <w:proofErr w:type="spellEnd"/>
      <w:r w:rsidR="007A429F" w:rsidRPr="007A429F">
        <w:rPr>
          <w:rFonts w:ascii="Trebuchet MS" w:hAnsi="Trebuchet MS"/>
        </w:rPr>
        <w:t xml:space="preserve"> </w:t>
      </w:r>
      <w:proofErr w:type="spellStart"/>
      <w:r w:rsidR="007A429F" w:rsidRPr="007A429F">
        <w:rPr>
          <w:rFonts w:ascii="Trebuchet MS" w:hAnsi="Trebuchet MS"/>
        </w:rPr>
        <w:t>Balatonyi</w:t>
      </w:r>
      <w:proofErr w:type="spellEnd"/>
      <w:r w:rsidR="00000CD7" w:rsidRPr="007A429F">
        <w:rPr>
          <w:rFonts w:ascii="Trebuchet MS" w:hAnsi="Trebuchet MS"/>
          <w:bCs/>
          <w:color w:val="000000" w:themeColor="text1"/>
          <w:lang w:val="ro-RO"/>
        </w:rPr>
        <w:t xml:space="preserve">, </w:t>
      </w:r>
      <w:proofErr w:type="spellStart"/>
      <w:r w:rsidR="00000CD7" w:rsidRPr="007A429F">
        <w:rPr>
          <w:rFonts w:ascii="Trebuchet MS" w:hAnsi="Trebuchet MS"/>
          <w:bCs/>
          <w:color w:val="000000" w:themeColor="text1"/>
          <w:lang w:val="ro-RO"/>
        </w:rPr>
        <w:t>co</w:t>
      </w:r>
      <w:proofErr w:type="spellEnd"/>
      <w:r w:rsidR="00000CD7" w:rsidRPr="007A429F">
        <w:rPr>
          <w:rFonts w:ascii="Trebuchet MS" w:hAnsi="Trebuchet MS"/>
          <w:bCs/>
          <w:color w:val="000000" w:themeColor="text1"/>
          <w:lang w:val="ro-RO"/>
        </w:rPr>
        <w:t xml:space="preserve">-coordonator  </w:t>
      </w:r>
      <w:r w:rsidR="00C721AB">
        <w:rPr>
          <w:rFonts w:ascii="Trebuchet MS" w:hAnsi="Trebuchet MS"/>
          <w:bCs/>
          <w:color w:val="000000" w:themeColor="text1"/>
          <w:lang w:val="ro-RO"/>
        </w:rPr>
        <w:t xml:space="preserve">al </w:t>
      </w:r>
      <w:r w:rsidR="00000CD7" w:rsidRPr="007A429F">
        <w:rPr>
          <w:rFonts w:ascii="Trebuchet MS" w:hAnsi="Trebuchet MS"/>
          <w:bCs/>
          <w:color w:val="000000" w:themeColor="text1"/>
          <w:lang w:val="ro-RO"/>
        </w:rPr>
        <w:t>A</w:t>
      </w:r>
      <w:r w:rsidR="00C721AB">
        <w:rPr>
          <w:rFonts w:ascii="Trebuchet MS" w:hAnsi="Trebuchet MS"/>
          <w:bCs/>
          <w:color w:val="000000" w:themeColor="text1"/>
          <w:lang w:val="ro-RO"/>
        </w:rPr>
        <w:t xml:space="preserve">P </w:t>
      </w:r>
      <w:r w:rsidR="00000CD7" w:rsidRPr="007A429F">
        <w:rPr>
          <w:rFonts w:ascii="Trebuchet MS" w:hAnsi="Trebuchet MS"/>
          <w:bCs/>
          <w:color w:val="000000" w:themeColor="text1"/>
          <w:lang w:val="ro-RO"/>
        </w:rPr>
        <w:t>5,</w:t>
      </w:r>
      <w:r w:rsidR="00C721AB">
        <w:rPr>
          <w:rFonts w:ascii="Trebuchet MS" w:hAnsi="Trebuchet MS"/>
          <w:bCs/>
          <w:color w:val="000000" w:themeColor="text1"/>
          <w:lang w:val="ro-RO"/>
        </w:rPr>
        <w:t xml:space="preserve"> din partea Ungariei</w:t>
      </w:r>
      <w:r w:rsidR="00000CD7" w:rsidRPr="007A429F">
        <w:rPr>
          <w:rFonts w:ascii="Trebuchet MS" w:hAnsi="Trebuchet MS"/>
        </w:rPr>
        <w:t xml:space="preserve"> </w:t>
      </w:r>
      <w:proofErr w:type="spellStart"/>
      <w:r w:rsidR="00000CD7" w:rsidRPr="007A429F">
        <w:rPr>
          <w:rFonts w:ascii="Trebuchet MS" w:hAnsi="Trebuchet MS"/>
        </w:rPr>
        <w:t>și</w:t>
      </w:r>
      <w:proofErr w:type="spellEnd"/>
      <w:r w:rsidR="00000CD7" w:rsidRPr="007A429F">
        <w:rPr>
          <w:rFonts w:ascii="Trebuchet MS" w:hAnsi="Trebuchet MS"/>
        </w:rPr>
        <w:t xml:space="preserve"> </w:t>
      </w:r>
      <w:proofErr w:type="spellStart"/>
      <w:r w:rsidR="00000CD7" w:rsidRPr="007A429F">
        <w:rPr>
          <w:rFonts w:ascii="Trebuchet MS" w:hAnsi="Trebuchet MS"/>
        </w:rPr>
        <w:t>pe</w:t>
      </w:r>
      <w:proofErr w:type="spellEnd"/>
      <w:r w:rsidR="00000CD7" w:rsidRPr="007A429F">
        <w:rPr>
          <w:rFonts w:ascii="Trebuchet MS" w:hAnsi="Trebuchet MS"/>
        </w:rPr>
        <w:t xml:space="preserve"> </w:t>
      </w:r>
      <w:r w:rsidR="009D5B92" w:rsidRPr="007A429F">
        <w:rPr>
          <w:rFonts w:ascii="Trebuchet MS" w:hAnsi="Trebuchet MS"/>
          <w:bCs/>
          <w:color w:val="000000" w:themeColor="text1"/>
          <w:lang w:val="ro-RO"/>
        </w:rPr>
        <w:t xml:space="preserve">Johan </w:t>
      </w:r>
      <w:proofErr w:type="spellStart"/>
      <w:r w:rsidR="009D5B92" w:rsidRPr="007A429F">
        <w:rPr>
          <w:rFonts w:ascii="Trebuchet MS" w:hAnsi="Trebuchet MS"/>
          <w:bCs/>
          <w:color w:val="000000" w:themeColor="text1"/>
          <w:lang w:val="ro-RO"/>
        </w:rPr>
        <w:t>Magnusson</w:t>
      </w:r>
      <w:proofErr w:type="spellEnd"/>
      <w:r w:rsidR="009D5B92" w:rsidRPr="007A429F">
        <w:rPr>
          <w:rFonts w:ascii="Trebuchet MS" w:hAnsi="Trebuchet MS"/>
          <w:bCs/>
          <w:color w:val="000000" w:themeColor="text1"/>
          <w:lang w:val="ro-RO"/>
        </w:rPr>
        <w:t>, din partea</w:t>
      </w:r>
      <w:r w:rsidR="00000CD7" w:rsidRPr="007A429F">
        <w:rPr>
          <w:rFonts w:ascii="Trebuchet MS" w:hAnsi="Trebuchet MS"/>
          <w:bCs/>
          <w:color w:val="000000" w:themeColor="text1"/>
          <w:lang w:val="ro-RO"/>
        </w:rPr>
        <w:t xml:space="preserve"> Comisi</w:t>
      </w:r>
      <w:r w:rsidR="009D5B92" w:rsidRPr="007A429F">
        <w:rPr>
          <w:rFonts w:ascii="Trebuchet MS" w:hAnsi="Trebuchet MS"/>
          <w:bCs/>
          <w:color w:val="000000" w:themeColor="text1"/>
          <w:lang w:val="ro-RO"/>
        </w:rPr>
        <w:t>ei</w:t>
      </w:r>
      <w:r w:rsidR="00000CD7" w:rsidRPr="007A429F">
        <w:rPr>
          <w:rFonts w:ascii="Trebuchet MS" w:hAnsi="Trebuchet MS"/>
          <w:bCs/>
          <w:color w:val="000000" w:themeColor="text1"/>
          <w:lang w:val="ro-RO"/>
        </w:rPr>
        <w:t xml:space="preserve"> Europen</w:t>
      </w:r>
      <w:r w:rsidR="009D5B92" w:rsidRPr="007A429F">
        <w:rPr>
          <w:rFonts w:ascii="Trebuchet MS" w:hAnsi="Trebuchet MS"/>
          <w:bCs/>
          <w:color w:val="000000" w:themeColor="text1"/>
          <w:lang w:val="ro-RO"/>
        </w:rPr>
        <w:t>e</w:t>
      </w:r>
      <w:r w:rsidR="00000CD7" w:rsidRPr="007A429F">
        <w:rPr>
          <w:rFonts w:ascii="Trebuchet MS" w:hAnsi="Trebuchet MS"/>
          <w:bCs/>
          <w:color w:val="000000" w:themeColor="text1"/>
          <w:lang w:val="ro-RO"/>
        </w:rPr>
        <w:t>.</w:t>
      </w:r>
    </w:p>
    <w:p w14:paraId="79033EF2" w14:textId="083E98F4" w:rsidR="0034259E" w:rsidRPr="007A429F" w:rsidRDefault="0034259E" w:rsidP="00AD177D">
      <w:pPr>
        <w:spacing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Membrii Grupului Director au analizat activitățile recente ale AP 5 din SUERD, </w:t>
      </w:r>
      <w:r w:rsidR="00383823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precum și 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evoluția și schimbările </w:t>
      </w:r>
      <w:r w:rsidR="00383823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modului 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de abordare a diverselor probleme, </w:t>
      </w:r>
      <w:r w:rsidR="00E0637A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inclusiv 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în contextul </w:t>
      </w:r>
      <w:r w:rsidR="00000CD7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creat de recenta 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epidemie de COVID 19</w:t>
      </w:r>
      <w:r w:rsidR="00000CD7" w:rsidRPr="007A429F">
        <w:rPr>
          <w:rFonts w:ascii="Trebuchet MS" w:eastAsia="Times New Roman" w:hAnsi="Trebuchet MS"/>
          <w:bCs/>
          <w:color w:val="000000" w:themeColor="text1"/>
          <w:lang w:val="ro-RO"/>
        </w:rPr>
        <w:t>, precum și de noile realități generate de situația din Ucraina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. </w:t>
      </w:r>
    </w:p>
    <w:p w14:paraId="19C5AC29" w14:textId="6DECC4B0" w:rsidR="00AD177D" w:rsidRPr="007A429F" w:rsidRDefault="00C721AB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r>
        <w:rPr>
          <w:rFonts w:ascii="Trebuchet MS" w:eastAsia="Times New Roman" w:hAnsi="Trebuchet MS"/>
          <w:bCs/>
          <w:color w:val="000000" w:themeColor="text1"/>
          <w:lang w:val="ro-RO"/>
        </w:rPr>
        <w:t>În acest sens</w:t>
      </w:r>
      <w:r w:rsidR="005B51BD">
        <w:rPr>
          <w:rFonts w:ascii="Trebuchet MS" w:eastAsia="Times New Roman" w:hAnsi="Trebuchet MS"/>
          <w:bCs/>
          <w:color w:val="000000" w:themeColor="text1"/>
          <w:lang w:val="ro-RO"/>
        </w:rPr>
        <w:t>,</w:t>
      </w:r>
      <w:r>
        <w:rPr>
          <w:rFonts w:ascii="Trebuchet MS" w:eastAsia="Times New Roman" w:hAnsi="Trebuchet MS"/>
          <w:bCs/>
          <w:color w:val="000000" w:themeColor="text1"/>
          <w:lang w:val="ro-RO"/>
        </w:rPr>
        <w:t xml:space="preserve"> a</w:t>
      </w:r>
      <w:r w:rsidR="0034259E" w:rsidRPr="007A429F">
        <w:rPr>
          <w:rFonts w:ascii="Trebuchet MS" w:eastAsia="Times New Roman" w:hAnsi="Trebuchet MS"/>
          <w:bCs/>
          <w:color w:val="000000" w:themeColor="text1"/>
          <w:lang w:val="ro-RO"/>
        </w:rPr>
        <w:t>u fost p</w:t>
      </w:r>
      <w:r>
        <w:rPr>
          <w:rFonts w:ascii="Trebuchet MS" w:eastAsia="Times New Roman" w:hAnsi="Trebuchet MS"/>
          <w:bCs/>
          <w:color w:val="000000" w:themeColor="text1"/>
          <w:lang w:val="ro-RO"/>
        </w:rPr>
        <w:t xml:space="preserve">rezentate și discutate </w:t>
      </w:r>
      <w:r w:rsidR="0034259E" w:rsidRPr="007A429F">
        <w:rPr>
          <w:rFonts w:ascii="Trebuchet MS" w:eastAsia="Times New Roman" w:hAnsi="Trebuchet MS"/>
          <w:bCs/>
          <w:color w:val="000000" w:themeColor="text1"/>
          <w:lang w:val="ro-RO"/>
        </w:rPr>
        <w:t>activitățile Grupului de lucru pentru gestionarea dezastrelor</w:t>
      </w:r>
      <w:r w:rsidR="0042284A" w:rsidRPr="007A429F">
        <w:rPr>
          <w:rFonts w:ascii="Trebuchet MS" w:eastAsia="Times New Roman" w:hAnsi="Trebuchet MS"/>
          <w:bCs/>
          <w:color w:val="000000" w:themeColor="text1"/>
          <w:lang w:val="ro-RO"/>
        </w:rPr>
        <w:t>;</w:t>
      </w:r>
      <w:r w:rsidR="00AD177D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</w:t>
      </w:r>
      <w:r w:rsidR="0034259E" w:rsidRPr="007A429F">
        <w:rPr>
          <w:rFonts w:ascii="Trebuchet MS" w:eastAsia="Times New Roman" w:hAnsi="Trebuchet MS"/>
          <w:bCs/>
          <w:color w:val="000000" w:themeColor="text1"/>
          <w:lang w:val="ro-RO"/>
        </w:rPr>
        <w:t>activitățile recente ale partenerilor și organizațiilor</w:t>
      </w:r>
      <w:r w:rsidR="0042284A" w:rsidRPr="007A429F">
        <w:rPr>
          <w:rFonts w:ascii="Trebuchet MS" w:eastAsia="Times New Roman" w:hAnsi="Trebuchet MS"/>
          <w:bCs/>
          <w:color w:val="000000" w:themeColor="text1"/>
          <w:lang w:val="ro-RO"/>
        </w:rPr>
        <w:t>;</w:t>
      </w:r>
      <w:r w:rsidR="00AD177D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</w:t>
      </w:r>
      <w:r w:rsidR="0034259E" w:rsidRPr="007A429F">
        <w:rPr>
          <w:rFonts w:ascii="Trebuchet MS" w:eastAsia="Times New Roman" w:hAnsi="Trebuchet MS"/>
          <w:bCs/>
          <w:color w:val="000000" w:themeColor="text1"/>
          <w:lang w:val="ro-RO"/>
        </w:rPr>
        <w:t>stadiul implementării proiectelor din Planul de acțiune al Ariei Prioritare 5 (AP5)</w:t>
      </w:r>
      <w:r w:rsidR="0042284A" w:rsidRPr="007A429F">
        <w:rPr>
          <w:rFonts w:ascii="Trebuchet MS" w:eastAsia="Times New Roman" w:hAnsi="Trebuchet MS"/>
          <w:bCs/>
          <w:color w:val="000000" w:themeColor="text1"/>
          <w:lang w:val="ro-RO"/>
        </w:rPr>
        <w:t>;</w:t>
      </w:r>
      <w:r w:rsidR="00AD177D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</w:t>
      </w:r>
      <w:r w:rsidR="0034259E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consolidarea cooperării în cadrul pilonului de mediu </w:t>
      </w:r>
      <w:r w:rsidR="00783B8A">
        <w:rPr>
          <w:rFonts w:ascii="Trebuchet MS" w:eastAsia="Times New Roman" w:hAnsi="Trebuchet MS"/>
          <w:bCs/>
          <w:color w:val="000000" w:themeColor="text1"/>
          <w:lang w:val="ro-RO"/>
        </w:rPr>
        <w:t xml:space="preserve">cu </w:t>
      </w:r>
      <w:r w:rsidR="0034259E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Ariile Prioritare 4 și 6.</w:t>
      </w:r>
    </w:p>
    <w:p w14:paraId="3CE315CE" w14:textId="77777777" w:rsidR="00AD177D" w:rsidRPr="007A429F" w:rsidRDefault="00AD177D" w:rsidP="00AD177D">
      <w:pPr>
        <w:spacing w:after="0" w:line="360" w:lineRule="auto"/>
        <w:ind w:left="357" w:right="851"/>
        <w:contextualSpacing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</w:p>
    <w:p w14:paraId="0A90AD1A" w14:textId="4E9CAE6A" w:rsidR="009D5B92" w:rsidRPr="007A429F" w:rsidRDefault="00AD177D" w:rsidP="00AD177D">
      <w:pPr>
        <w:spacing w:after="0" w:line="360" w:lineRule="auto"/>
        <w:ind w:right="851"/>
        <w:contextualSpacing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S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-a discutat despre a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ctualizare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a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activitățil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or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la nivelul întregului bazin hidrografic al Dunării ale 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SUERD A</w:t>
      </w:r>
      <w:r w:rsidR="00783B8A">
        <w:rPr>
          <w:rFonts w:ascii="Trebuchet MS" w:eastAsia="Times New Roman" w:hAnsi="Trebuchet MS"/>
          <w:bCs/>
          <w:color w:val="000000" w:themeColor="text1"/>
          <w:lang w:val="ro-RO"/>
        </w:rPr>
        <w:t xml:space="preserve">P 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5, 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despre acțiunile c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e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vor avea loc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. Printre acestea</w:t>
      </w:r>
      <w:r w:rsidR="00783B8A">
        <w:rPr>
          <w:rFonts w:ascii="Trebuchet MS" w:eastAsia="Times New Roman" w:hAnsi="Trebuchet MS"/>
          <w:bCs/>
          <w:color w:val="000000" w:themeColor="text1"/>
          <w:lang w:val="ro-RO"/>
        </w:rPr>
        <w:t xml:space="preserve"> se numără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: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a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sigurarea unui sprijin suficient pentru elaborarea și executarea planurilor de gestionare a riscurilor pentru diferite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pericole; c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onsolidarea capacităților și extinderea acoperirii sistemelor de prognoză și avertizare la nivel de bazin sau regional și elaborarea unor proceduri de reacție rapidă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; c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onsolidarea prev</w:t>
      </w:r>
      <w:r w:rsidR="005A5177">
        <w:rPr>
          <w:rFonts w:ascii="Trebuchet MS" w:eastAsia="Times New Roman" w:hAnsi="Trebuchet MS"/>
          <w:bCs/>
          <w:color w:val="000000" w:themeColor="text1"/>
          <w:lang w:val="ro-RO"/>
        </w:rPr>
        <w:t>enirii dezastrelor</w:t>
      </w:r>
      <w:r w:rsidR="005A5177" w:rsidRPr="005A5177">
        <w:rPr>
          <w:rFonts w:ascii="Trebuchet MS" w:eastAsia="Times New Roman" w:hAnsi="Trebuchet MS"/>
          <w:bCs/>
          <w:color w:val="000000" w:themeColor="text1"/>
          <w:lang w:val="ro-RO"/>
        </w:rPr>
        <w:t xml:space="preserve"> și pregătirii pentru dezastre în rândul organizațiilor guvernamentale și </w:t>
      </w:r>
      <w:r w:rsidR="005A5177" w:rsidRPr="005A5177">
        <w:rPr>
          <w:rFonts w:ascii="Trebuchet MS" w:eastAsia="Times New Roman" w:hAnsi="Trebuchet MS"/>
          <w:bCs/>
          <w:color w:val="000000" w:themeColor="text1"/>
          <w:lang w:val="ro-RO"/>
        </w:rPr>
        <w:lastRenderedPageBreak/>
        <w:t>neguvernamentale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; r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educerea impactului uman în factorii de risc naturali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care rezultă în daune de mediu, a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nticiparea impactului regional și local al schimbărilor climatice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.</w:t>
      </w:r>
    </w:p>
    <w:p w14:paraId="1E0A950E" w14:textId="6B4D7956" w:rsidR="007100F1" w:rsidRPr="007A429F" w:rsidRDefault="007100F1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</w:t>
      </w:r>
    </w:p>
    <w:p w14:paraId="5C6E4B47" w14:textId="7D5EB460" w:rsidR="008913E3" w:rsidRPr="007A429F" w:rsidRDefault="003D48EF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De asemenea, s-a subliniat importanța implementării ideii de a se identifica soluții și de a se elabora recomandă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ri de politici 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de acțiune 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bazat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e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pe natură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. Readucerea naturii într-o stare cât mai bună</w:t>
      </w:r>
      <w:r w:rsidR="008913E3" w:rsidRPr="007A429F">
        <w:rPr>
          <w:rFonts w:ascii="Trebuchet MS" w:eastAsia="Times New Roman" w:hAnsi="Trebuchet MS"/>
          <w:bCs/>
          <w:color w:val="000000" w:themeColor="text1"/>
          <w:lang w:val="ro-RO"/>
        </w:rPr>
        <w:t>, restaurarea anumitor zone din bazinul Dunării, ce duc la însănătoșirea biodiversității, toate acestea pot avea o contribuție esențială în ceea ce privește prevenirea dezastrelor naturale</w:t>
      </w:r>
      <w:r w:rsidR="0036786C" w:rsidRPr="007A429F">
        <w:rPr>
          <w:rFonts w:ascii="Trebuchet MS" w:eastAsia="Times New Roman" w:hAnsi="Trebuchet MS"/>
          <w:bCs/>
          <w:color w:val="000000" w:themeColor="text1"/>
          <w:lang w:val="ro-RO"/>
        </w:rPr>
        <w:t>, în special atenuarea riscului la inundații, dar și măsuri care trebuie să combată deficitul de apă și  seceta.</w:t>
      </w:r>
    </w:p>
    <w:p w14:paraId="35854C63" w14:textId="53B3B421" w:rsidR="007100F1" w:rsidRPr="007A429F" w:rsidRDefault="0036786C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Subliniind această idee, </w:t>
      </w:r>
      <w:proofErr w:type="spellStart"/>
      <w:r w:rsidR="003D48EF" w:rsidRPr="007A429F">
        <w:rPr>
          <w:rFonts w:ascii="Trebuchet MS" w:eastAsia="Times New Roman" w:hAnsi="Trebuchet MS"/>
          <w:bCs/>
          <w:color w:val="000000" w:themeColor="text1"/>
          <w:lang w:val="ro-RO"/>
        </w:rPr>
        <w:t>Konstantin</w:t>
      </w:r>
      <w:proofErr w:type="spellEnd"/>
      <w:r w:rsidR="003D48EF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Ivanov, r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eprezentantul Parteneriatului Global pentru Apă Europa Centrală și de Est</w:t>
      </w:r>
      <w:r w:rsidR="00EC3463">
        <w:rPr>
          <w:rFonts w:ascii="Trebuchet MS" w:eastAsia="Times New Roman" w:hAnsi="Trebuchet MS"/>
          <w:bCs/>
          <w:color w:val="000000" w:themeColor="text1"/>
          <w:lang w:val="ro-RO"/>
        </w:rPr>
        <w:t xml:space="preserve"> (GWP ECE)</w:t>
      </w:r>
      <w:r w:rsidR="003D48EF" w:rsidRPr="007A429F">
        <w:rPr>
          <w:rFonts w:ascii="Trebuchet MS" w:eastAsia="Times New Roman" w:hAnsi="Trebuchet MS"/>
          <w:bCs/>
          <w:color w:val="000000" w:themeColor="text1"/>
          <w:lang w:val="ro-RO"/>
        </w:rPr>
        <w:t>,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a </w:t>
      </w:r>
      <w:r w:rsidR="00037030" w:rsidRPr="007A429F">
        <w:rPr>
          <w:rFonts w:ascii="Trebuchet MS" w:eastAsia="Times New Roman" w:hAnsi="Trebuchet MS"/>
          <w:bCs/>
          <w:color w:val="000000" w:themeColor="text1"/>
          <w:lang w:val="ro-RO"/>
        </w:rPr>
        <w:t>vorbit despre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viitoarea cooperare cu Parteneriatul Global pentru Apă Europa Centrală și de Est</w:t>
      </w:r>
      <w:r w:rsidR="00037030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, </w:t>
      </w:r>
      <w:r w:rsidR="007100F1" w:rsidRPr="007A429F">
        <w:rPr>
          <w:rFonts w:ascii="Trebuchet MS" w:eastAsia="Times New Roman" w:hAnsi="Trebuchet MS"/>
          <w:bCs/>
          <w:color w:val="000000" w:themeColor="text1"/>
          <w:lang w:val="ro-RO"/>
        </w:rPr>
        <w:t>a prezentat o actualizare a activităților în curs de desfășurare ale GWP ECE în legătură cu Planul de acțiune PA5.</w:t>
      </w:r>
    </w:p>
    <w:p w14:paraId="76EC2F90" w14:textId="6607A12B" w:rsidR="007100F1" w:rsidRPr="007A429F" w:rsidRDefault="007100F1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Pentru o lume sigură</w:t>
      </w:r>
      <w:r w:rsidR="00EC3463">
        <w:rPr>
          <w:rFonts w:ascii="Trebuchet MS" w:eastAsia="Times New Roman" w:hAnsi="Trebuchet MS"/>
          <w:bCs/>
          <w:color w:val="000000" w:themeColor="text1"/>
          <w:lang w:val="ro-RO"/>
        </w:rPr>
        <w:t>,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</w:t>
      </w:r>
      <w:r w:rsidR="00EC3463">
        <w:rPr>
          <w:rFonts w:ascii="Trebuchet MS" w:eastAsia="Times New Roman" w:hAnsi="Trebuchet MS"/>
          <w:bCs/>
          <w:color w:val="000000" w:themeColor="text1"/>
          <w:lang w:val="ro-RO"/>
        </w:rPr>
        <w:t>din punct de vedere al resurselor de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apă</w:t>
      </w:r>
      <w:r w:rsidR="00EC3463">
        <w:rPr>
          <w:rFonts w:ascii="Trebuchet MS" w:eastAsia="Times New Roman" w:hAnsi="Trebuchet MS"/>
          <w:bCs/>
          <w:color w:val="000000" w:themeColor="text1"/>
          <w:lang w:val="ro-RO"/>
        </w:rPr>
        <w:t>,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există trei piloni principali: acțiune, învățare, mobilizare.  Au fost menționate obiective și aspecte transversale pentru o lume sigură în domeniul apei: soluții mai bune privind apa pentru O</w:t>
      </w:r>
      <w:r w:rsidR="00EC3463">
        <w:rPr>
          <w:rFonts w:ascii="Trebuchet MS" w:eastAsia="Times New Roman" w:hAnsi="Trebuchet MS"/>
          <w:bCs/>
          <w:color w:val="000000" w:themeColor="text1"/>
          <w:lang w:val="ro-RO"/>
        </w:rPr>
        <w:t xml:space="preserve">biectivele de 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D</w:t>
      </w:r>
      <w:r w:rsidR="00EC3463">
        <w:rPr>
          <w:rFonts w:ascii="Trebuchet MS" w:eastAsia="Times New Roman" w:hAnsi="Trebuchet MS"/>
          <w:bCs/>
          <w:color w:val="000000" w:themeColor="text1"/>
          <w:lang w:val="ro-RO"/>
        </w:rPr>
        <w:t xml:space="preserve">ezvoltare 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D</w:t>
      </w:r>
      <w:r w:rsidR="00EC3463">
        <w:rPr>
          <w:rFonts w:ascii="Trebuchet MS" w:eastAsia="Times New Roman" w:hAnsi="Trebuchet MS"/>
          <w:bCs/>
          <w:color w:val="000000" w:themeColor="text1"/>
          <w:lang w:val="ro-RO"/>
        </w:rPr>
        <w:t>urabilă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, 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r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ezistența la schimbările climatice prin apă, 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c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ooperarea transfrontalieră în domeniul apei, 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m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obilizarea tinerilor, 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a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ctivități 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>în direcția egalității de gen, implicarea sectorului privat, în ideea că orice modificare a calității mediului este rezultatul acțiunii sau inacțiunii tuturor.</w:t>
      </w:r>
    </w:p>
    <w:p w14:paraId="45C51576" w14:textId="0D09B9EE" w:rsidR="0034259E" w:rsidRPr="007A429F" w:rsidRDefault="0034259E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O temă importantă</w:t>
      </w:r>
      <w:r w:rsidR="009D5B92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a întâlnirii</w:t>
      </w:r>
      <w:r w:rsidR="007D6D88"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s</w:t>
      </w:r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-a referit la cooperarea cu diferiți parteneri și organizații (Comisia Internațională pentru Protecția Fluviului Dunărea-ICPDR, Convenția Carpaților-Carpathian </w:t>
      </w:r>
      <w:proofErr w:type="spellStart"/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Convention</w:t>
      </w:r>
      <w:proofErr w:type="spellEnd"/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, Parteneriatul Global pentru Apă-GWP, </w:t>
      </w:r>
      <w:proofErr w:type="spellStart"/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Joint</w:t>
      </w:r>
      <w:proofErr w:type="spellEnd"/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</w:t>
      </w:r>
      <w:proofErr w:type="spellStart"/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>Research</w:t>
      </w:r>
      <w:proofErr w:type="spellEnd"/>
      <w:r w:rsidRPr="007A429F">
        <w:rPr>
          <w:rFonts w:ascii="Trebuchet MS" w:eastAsia="Times New Roman" w:hAnsi="Trebuchet MS"/>
          <w:bCs/>
          <w:color w:val="000000" w:themeColor="text1"/>
          <w:lang w:val="ro-RO"/>
        </w:rPr>
        <w:t xml:space="preserve"> Centre-JRC, precum și rezultatele proiectelor finalizate sau în derulare în cadrul Programului Transnațional Dunărea (DTP), proiecte care abordează obiectivele Axei Prioritare 5 a SUERD.</w:t>
      </w:r>
    </w:p>
    <w:p w14:paraId="78FE42B8" w14:textId="77777777" w:rsidR="007D6D88" w:rsidRPr="007A429F" w:rsidRDefault="007D6D88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</w:p>
    <w:p w14:paraId="34D5304D" w14:textId="5DB0F35E" w:rsidR="0034259E" w:rsidRPr="007A429F" w:rsidRDefault="00C2501C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lang w:val="ro-RO"/>
        </w:rPr>
      </w:pPr>
      <w:r w:rsidRPr="007A429F">
        <w:rPr>
          <w:rFonts w:ascii="Trebuchet MS" w:eastAsia="Times New Roman" w:hAnsi="Trebuchet MS"/>
          <w:bCs/>
          <w:lang w:val="ro-RO"/>
        </w:rPr>
        <w:t>Participanții la cea 2</w:t>
      </w:r>
      <w:r w:rsidR="00CC4C77" w:rsidRPr="007A429F">
        <w:rPr>
          <w:rFonts w:ascii="Trebuchet MS" w:eastAsia="Times New Roman" w:hAnsi="Trebuchet MS"/>
          <w:bCs/>
          <w:lang w:val="ro-RO"/>
        </w:rPr>
        <w:t>1</w:t>
      </w:r>
      <w:r w:rsidRPr="007A429F">
        <w:rPr>
          <w:rFonts w:ascii="Trebuchet MS" w:eastAsia="Times New Roman" w:hAnsi="Trebuchet MS"/>
          <w:bCs/>
          <w:lang w:val="ro-RO"/>
        </w:rPr>
        <w:t xml:space="preserve">-a întâlnire a Grupului Director pentru Aria Prioritară 5(AP5) privind Managementul Riscurilor de Mediu </w:t>
      </w:r>
      <w:r w:rsidR="0034259E" w:rsidRPr="007A429F">
        <w:rPr>
          <w:rFonts w:ascii="Trebuchet MS" w:eastAsia="Times New Roman" w:hAnsi="Trebuchet MS"/>
          <w:bCs/>
          <w:lang w:val="ro-RO"/>
        </w:rPr>
        <w:t>a</w:t>
      </w:r>
      <w:r w:rsidRPr="007A429F">
        <w:rPr>
          <w:rFonts w:ascii="Trebuchet MS" w:eastAsia="Times New Roman" w:hAnsi="Trebuchet MS"/>
          <w:bCs/>
          <w:lang w:val="ro-RO"/>
        </w:rPr>
        <w:t>u</w:t>
      </w:r>
      <w:r w:rsidR="0034259E" w:rsidRPr="007A429F">
        <w:rPr>
          <w:rFonts w:ascii="Trebuchet MS" w:eastAsia="Times New Roman" w:hAnsi="Trebuchet MS"/>
          <w:bCs/>
          <w:lang w:val="ro-RO"/>
        </w:rPr>
        <w:t xml:space="preserve"> subliniat importanța colaborării și a schimbului de experiență, în vederea implementării viitoarelor activități</w:t>
      </w:r>
      <w:r w:rsidR="0082466E" w:rsidRPr="007A429F">
        <w:rPr>
          <w:rFonts w:ascii="Trebuchet MS" w:eastAsia="Times New Roman" w:hAnsi="Trebuchet MS"/>
          <w:bCs/>
          <w:lang w:val="ro-RO"/>
        </w:rPr>
        <w:t xml:space="preserve"> specifice.</w:t>
      </w:r>
    </w:p>
    <w:p w14:paraId="4716E125" w14:textId="77777777" w:rsidR="00CC4C77" w:rsidRPr="007A429F" w:rsidRDefault="00CC4C77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lang w:val="ro-RO"/>
        </w:rPr>
      </w:pPr>
    </w:p>
    <w:p w14:paraId="71AACB0B" w14:textId="77777777" w:rsidR="0034259E" w:rsidRPr="007A429F" w:rsidRDefault="0034259E" w:rsidP="00AD177D">
      <w:pPr>
        <w:spacing w:after="0" w:line="360" w:lineRule="auto"/>
        <w:ind w:right="851"/>
        <w:jc w:val="both"/>
        <w:rPr>
          <w:rFonts w:ascii="Trebuchet MS" w:eastAsia="Times New Roman" w:hAnsi="Trebuchet MS"/>
          <w:bCs/>
          <w:color w:val="000000" w:themeColor="text1"/>
          <w:lang w:val="ro-RO"/>
        </w:rPr>
      </w:pPr>
      <w:bookmarkStart w:id="0" w:name="_GoBack"/>
      <w:bookmarkEnd w:id="0"/>
    </w:p>
    <w:p w14:paraId="6557060D" w14:textId="25F2BDC8" w:rsidR="0034259E" w:rsidRPr="007A429F" w:rsidRDefault="0034259E" w:rsidP="00F60995">
      <w:pPr>
        <w:shd w:val="clear" w:color="auto" w:fill="FFFFFF"/>
        <w:spacing w:after="150" w:line="240" w:lineRule="auto"/>
        <w:ind w:right="851"/>
        <w:jc w:val="both"/>
        <w:rPr>
          <w:rFonts w:ascii="Trebuchet MS" w:hAnsi="Trebuchet MS"/>
          <w:color w:val="000000" w:themeColor="text1"/>
          <w:lang w:val="ro-RO"/>
        </w:rPr>
      </w:pPr>
      <w:r w:rsidRPr="007A429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Mai multe informații pe </w:t>
      </w:r>
      <w:hyperlink r:id="rId8" w:history="1">
        <w:r w:rsidRPr="007A429F">
          <w:rPr>
            <w:rFonts w:ascii="Trebuchet MS" w:eastAsia="Times New Roman" w:hAnsi="Trebuchet MS" w:cs="Times New Roman"/>
            <w:b/>
            <w:color w:val="000000" w:themeColor="text1"/>
            <w:u w:val="single"/>
            <w:lang w:val="ro-RO"/>
          </w:rPr>
          <w:t>https://environmentalrisks.danube-region.eu/</w:t>
        </w:r>
      </w:hyperlink>
      <w:r w:rsidRPr="007A429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</w:t>
      </w:r>
      <w:r w:rsidR="0042284A" w:rsidRPr="007A429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și </w:t>
      </w:r>
      <w:r w:rsidRPr="007A429F">
        <w:rPr>
          <w:rFonts w:ascii="Trebuchet MS" w:eastAsia="Times New Roman" w:hAnsi="Trebuchet MS" w:cs="Times New Roman"/>
          <w:b/>
          <w:color w:val="000000" w:themeColor="text1"/>
          <w:lang w:val="ro-RO"/>
        </w:rPr>
        <w:t>pe http://www.mmediu.ro/categorie/proiect-suerd.</w:t>
      </w:r>
      <w:r w:rsidR="00F60995" w:rsidRPr="007A429F">
        <w:rPr>
          <w:rFonts w:ascii="Trebuchet MS" w:hAnsi="Trebuchet MS"/>
          <w:color w:val="000000" w:themeColor="text1"/>
          <w:lang w:val="ro-RO"/>
        </w:rPr>
        <w:t xml:space="preserve"> </w:t>
      </w:r>
    </w:p>
    <w:sectPr w:rsidR="0034259E" w:rsidRPr="007A429F" w:rsidSect="00DC4EA2">
      <w:headerReference w:type="default" r:id="rId9"/>
      <w:footerReference w:type="default" r:id="rId10"/>
      <w:pgSz w:w="12240" w:h="15840"/>
      <w:pgMar w:top="2044" w:right="310" w:bottom="1440" w:left="1440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3267" w16cex:dateUtc="2022-06-24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D4E68" w16cid:durableId="266032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6E0AE" w14:textId="77777777" w:rsidR="003D710E" w:rsidRDefault="003D710E" w:rsidP="00EE6B99">
      <w:pPr>
        <w:spacing w:after="0" w:line="240" w:lineRule="auto"/>
      </w:pPr>
      <w:r>
        <w:separator/>
      </w:r>
    </w:p>
  </w:endnote>
  <w:endnote w:type="continuationSeparator" w:id="0">
    <w:p w14:paraId="7B4EDC5F" w14:textId="77777777" w:rsidR="003D710E" w:rsidRDefault="003D710E" w:rsidP="00EE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DC62" w14:textId="2904AA11" w:rsidR="00885EFC" w:rsidRPr="00885EFC" w:rsidRDefault="00885EFC">
    <w:pPr>
      <w:pStyle w:val="Footer"/>
      <w:rPr>
        <w:sz w:val="20"/>
        <w:szCs w:val="20"/>
      </w:rPr>
    </w:pPr>
    <w:r w:rsidRPr="00885EFC">
      <w:rPr>
        <w:rFonts w:ascii="Montserrat-Regular" w:hAnsi="Montserrat-Regular" w:cs="Montserrat-Regular"/>
        <w:color w:val="78787B"/>
        <w:sz w:val="20"/>
        <w:szCs w:val="20"/>
      </w:rPr>
      <w:t>Project co-funded by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4644" w14:textId="77777777" w:rsidR="003D710E" w:rsidRDefault="003D710E" w:rsidP="00EE6B99">
      <w:pPr>
        <w:spacing w:after="0" w:line="240" w:lineRule="auto"/>
      </w:pPr>
      <w:r>
        <w:separator/>
      </w:r>
    </w:p>
  </w:footnote>
  <w:footnote w:type="continuationSeparator" w:id="0">
    <w:p w14:paraId="7E521E17" w14:textId="77777777" w:rsidR="003D710E" w:rsidRDefault="003D710E" w:rsidP="00EE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D2D0" w14:textId="5D8AE00A" w:rsidR="00DC4EA2" w:rsidRPr="00DD721D" w:rsidRDefault="00DD721D" w:rsidP="00A8398C">
    <w:pPr>
      <w:spacing w:after="0"/>
      <w:ind w:right="4293"/>
      <w:rPr>
        <w:color w:val="FFFFFF" w:themeColor="background1"/>
        <w14:textFill>
          <w14:noFill/>
        </w14:textFill>
      </w:rPr>
    </w:pPr>
    <w:r w:rsidRPr="00DD721D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62336" behindDoc="0" locked="0" layoutInCell="1" allowOverlap="1" wp14:anchorId="2E717261" wp14:editId="2C9F23F5">
          <wp:simplePos x="0" y="0"/>
          <wp:positionH relativeFrom="column">
            <wp:posOffset>8362766</wp:posOffset>
          </wp:positionH>
          <wp:positionV relativeFrom="paragraph">
            <wp:posOffset>-263149</wp:posOffset>
          </wp:positionV>
          <wp:extent cx="780662" cy="497495"/>
          <wp:effectExtent l="0" t="0" r="0" b="0"/>
          <wp:wrapNone/>
          <wp:docPr id="8" name="Picture 7" descr="C:\Users\gabriel.jitaru\Desktop\20191107 ministru instalare\logo MMAP\MMAP-antet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EA6F6AA-DC4F-8D41-A0C9-BBC587C405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gabriel.jitaru\Desktop\20191107 ministru instalare\logo MMAP\MMAP-antet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EA6F6AA-DC4F-8D41-A0C9-BBC587C4059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74" cy="52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84A">
      <w:rPr>
        <w:noProof/>
        <w:color w:val="FFFFFF" w:themeColor="background1"/>
        <w14:textFill>
          <w14:noFill/>
        </w14:textFill>
      </w:rPr>
      <w:t xml:space="preserve"> </w:t>
    </w:r>
  </w:p>
  <w:tbl>
    <w:tblPr>
      <w:tblStyle w:val="TableGrid"/>
      <w:tblpPr w:leftFromText="180" w:rightFromText="180" w:vertAnchor="text" w:horzAnchor="page" w:tblpXSpec="center" w:tblpY="388"/>
      <w:tblW w:w="10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700"/>
      <w:gridCol w:w="2584"/>
      <w:gridCol w:w="3035"/>
    </w:tblGrid>
    <w:tr w:rsidR="00DC4EA2" w14:paraId="10D8417B" w14:textId="77777777" w:rsidTr="00DC4EA2">
      <w:trPr>
        <w:trHeight w:val="915"/>
      </w:trPr>
      <w:tc>
        <w:tcPr>
          <w:tcW w:w="2400" w:type="dxa"/>
        </w:tcPr>
        <w:p w14:paraId="70332F57" w14:textId="77777777" w:rsidR="00DC4EA2" w:rsidRDefault="00DC4EA2" w:rsidP="00DC4EA2">
          <w:r w:rsidRPr="00DD721D">
            <w:rPr>
              <w:noProof/>
              <w:color w:val="FFFFFF" w:themeColor="background1"/>
              <w14:textFill>
                <w14:noFill/>
              </w14:textFill>
            </w:rPr>
            <w:drawing>
              <wp:anchor distT="0" distB="0" distL="114300" distR="114300" simplePos="0" relativeHeight="251668480" behindDoc="0" locked="0" layoutInCell="1" allowOverlap="1" wp14:anchorId="5354D26A" wp14:editId="2A749F3A">
                <wp:simplePos x="0" y="0"/>
                <wp:positionH relativeFrom="column">
                  <wp:posOffset>3997</wp:posOffset>
                </wp:positionH>
                <wp:positionV relativeFrom="paragraph">
                  <wp:posOffset>11355</wp:posOffset>
                </wp:positionV>
                <wp:extent cx="1369253" cy="331694"/>
                <wp:effectExtent l="0" t="0" r="2540" b="0"/>
                <wp:wrapNone/>
                <wp:docPr id="9" name="Picture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72531FF-C7C0-3B4A-8B11-FEA8F39AE9C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72531FF-C7C0-3B4A-8B11-FEA8F39AE9C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431" cy="358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0" w:type="dxa"/>
        </w:tcPr>
        <w:p w14:paraId="76AC056D" w14:textId="77777777" w:rsidR="00DC4EA2" w:rsidRDefault="00DC4EA2" w:rsidP="00DC4EA2">
          <w:r w:rsidRPr="00293484">
            <w:rPr>
              <w:noProof/>
              <w:color w:val="FFFFFF" w:themeColor="background1"/>
              <w14:textFill>
                <w14:noFill/>
              </w14:textFill>
            </w:rPr>
            <w:drawing>
              <wp:inline distT="0" distB="0" distL="0" distR="0" wp14:anchorId="75C736F6" wp14:editId="769483A9">
                <wp:extent cx="1353670" cy="476393"/>
                <wp:effectExtent l="0" t="0" r="571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32" cy="481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</w:tcPr>
        <w:p w14:paraId="40592B4C" w14:textId="77777777" w:rsidR="00DC4EA2" w:rsidRDefault="00DC4EA2" w:rsidP="00DC4EA2">
          <w:r w:rsidRPr="00293484">
            <w:rPr>
              <w:noProof/>
            </w:rPr>
            <w:drawing>
              <wp:inline distT="0" distB="0" distL="0" distR="0" wp14:anchorId="3A8BD3D2" wp14:editId="2149E8A5">
                <wp:extent cx="1013012" cy="599774"/>
                <wp:effectExtent l="0" t="0" r="317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451" cy="6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14:paraId="37DED076" w14:textId="77777777" w:rsidR="00DC4EA2" w:rsidRPr="00293484" w:rsidRDefault="00DC4EA2" w:rsidP="00DC4EA2">
          <w:pPr>
            <w:jc w:val="right"/>
          </w:pPr>
          <w:r>
            <w:rPr>
              <w:noProof/>
            </w:rPr>
            <w:drawing>
              <wp:inline distT="0" distB="0" distL="0" distR="0" wp14:anchorId="2B6ED51D" wp14:editId="55F284D6">
                <wp:extent cx="1586230" cy="440690"/>
                <wp:effectExtent l="0" t="0" r="1270" b="3810"/>
                <wp:docPr id="14" name="Picture 14" descr="C:\Users\gabriel.jitaru\Desktop\20191107 ministru instalare\logo MMAP\MMAP-ant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686423" w14:textId="774267D8" w:rsidR="00A8398C" w:rsidRPr="00DD721D" w:rsidRDefault="00A8398C" w:rsidP="00A8398C">
    <w:pPr>
      <w:spacing w:after="0"/>
      <w:ind w:right="4293"/>
      <w:rPr>
        <w:color w:val="FFFFFF" w:themeColor="background1"/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D4E"/>
    <w:multiLevelType w:val="multilevel"/>
    <w:tmpl w:val="25E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D0956"/>
    <w:multiLevelType w:val="hybridMultilevel"/>
    <w:tmpl w:val="AF8075F6"/>
    <w:lvl w:ilvl="0" w:tplc="355A16BC">
      <w:numFmt w:val="bullet"/>
      <w:lvlText w:val="•"/>
      <w:lvlJc w:val="left"/>
      <w:pPr>
        <w:ind w:left="717" w:hanging="360"/>
      </w:pPr>
      <w:rPr>
        <w:rFonts w:ascii="Trebuchet MS" w:eastAsia="Times New Roman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5D2765AB"/>
    <w:multiLevelType w:val="hybridMultilevel"/>
    <w:tmpl w:val="6E44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D"/>
    <w:rsid w:val="00000CD7"/>
    <w:rsid w:val="00002733"/>
    <w:rsid w:val="00014AD3"/>
    <w:rsid w:val="000163C4"/>
    <w:rsid w:val="000215ED"/>
    <w:rsid w:val="000224A8"/>
    <w:rsid w:val="0002458C"/>
    <w:rsid w:val="00030712"/>
    <w:rsid w:val="00037030"/>
    <w:rsid w:val="000502AC"/>
    <w:rsid w:val="0005412E"/>
    <w:rsid w:val="000741AE"/>
    <w:rsid w:val="00085D91"/>
    <w:rsid w:val="00086E2C"/>
    <w:rsid w:val="00087B3C"/>
    <w:rsid w:val="000A065E"/>
    <w:rsid w:val="000B1C11"/>
    <w:rsid w:val="000B6DF4"/>
    <w:rsid w:val="000C3608"/>
    <w:rsid w:val="000D3B24"/>
    <w:rsid w:val="000E4EBD"/>
    <w:rsid w:val="000F775F"/>
    <w:rsid w:val="001247A8"/>
    <w:rsid w:val="001424E4"/>
    <w:rsid w:val="0015079C"/>
    <w:rsid w:val="00151744"/>
    <w:rsid w:val="00182BC7"/>
    <w:rsid w:val="0019589C"/>
    <w:rsid w:val="001A075F"/>
    <w:rsid w:val="001A1F3F"/>
    <w:rsid w:val="001B2658"/>
    <w:rsid w:val="001B714F"/>
    <w:rsid w:val="001F0D01"/>
    <w:rsid w:val="00200C1C"/>
    <w:rsid w:val="00201823"/>
    <w:rsid w:val="00212C4F"/>
    <w:rsid w:val="00231BB0"/>
    <w:rsid w:val="00232E76"/>
    <w:rsid w:val="00233788"/>
    <w:rsid w:val="00237D14"/>
    <w:rsid w:val="002406B7"/>
    <w:rsid w:val="0026182A"/>
    <w:rsid w:val="00262F61"/>
    <w:rsid w:val="00270BBA"/>
    <w:rsid w:val="00270EA5"/>
    <w:rsid w:val="00272ACD"/>
    <w:rsid w:val="00274938"/>
    <w:rsid w:val="002828CF"/>
    <w:rsid w:val="00293484"/>
    <w:rsid w:val="002A3AE1"/>
    <w:rsid w:val="002B004D"/>
    <w:rsid w:val="002B2356"/>
    <w:rsid w:val="002D1B33"/>
    <w:rsid w:val="002D3465"/>
    <w:rsid w:val="002D456A"/>
    <w:rsid w:val="00307771"/>
    <w:rsid w:val="00313D32"/>
    <w:rsid w:val="0034005B"/>
    <w:rsid w:val="0034259E"/>
    <w:rsid w:val="0034510C"/>
    <w:rsid w:val="00352A2E"/>
    <w:rsid w:val="00366DF1"/>
    <w:rsid w:val="0036786C"/>
    <w:rsid w:val="0037589C"/>
    <w:rsid w:val="0038115E"/>
    <w:rsid w:val="003829E3"/>
    <w:rsid w:val="00383823"/>
    <w:rsid w:val="00383CEE"/>
    <w:rsid w:val="00386EF7"/>
    <w:rsid w:val="0039627F"/>
    <w:rsid w:val="003B470B"/>
    <w:rsid w:val="003B59A0"/>
    <w:rsid w:val="003D48EF"/>
    <w:rsid w:val="003D710E"/>
    <w:rsid w:val="003E21A1"/>
    <w:rsid w:val="003F1B49"/>
    <w:rsid w:val="003F6F53"/>
    <w:rsid w:val="00403554"/>
    <w:rsid w:val="00410468"/>
    <w:rsid w:val="00410D20"/>
    <w:rsid w:val="00413F94"/>
    <w:rsid w:val="0042284A"/>
    <w:rsid w:val="004268F3"/>
    <w:rsid w:val="0043194F"/>
    <w:rsid w:val="00432CAB"/>
    <w:rsid w:val="00441E04"/>
    <w:rsid w:val="004423FB"/>
    <w:rsid w:val="004449D8"/>
    <w:rsid w:val="00453835"/>
    <w:rsid w:val="00461FC3"/>
    <w:rsid w:val="00467E37"/>
    <w:rsid w:val="00474FC6"/>
    <w:rsid w:val="00485C85"/>
    <w:rsid w:val="004A0E44"/>
    <w:rsid w:val="004B186D"/>
    <w:rsid w:val="004C49E8"/>
    <w:rsid w:val="004D52DF"/>
    <w:rsid w:val="004D584E"/>
    <w:rsid w:val="004E650F"/>
    <w:rsid w:val="0050315B"/>
    <w:rsid w:val="0052109F"/>
    <w:rsid w:val="00535210"/>
    <w:rsid w:val="0053523C"/>
    <w:rsid w:val="0053748A"/>
    <w:rsid w:val="00587020"/>
    <w:rsid w:val="00592EB2"/>
    <w:rsid w:val="005A5177"/>
    <w:rsid w:val="005A5FA8"/>
    <w:rsid w:val="005B4775"/>
    <w:rsid w:val="005B51BD"/>
    <w:rsid w:val="005C5A81"/>
    <w:rsid w:val="005D6EE6"/>
    <w:rsid w:val="00627D98"/>
    <w:rsid w:val="006412BB"/>
    <w:rsid w:val="006553B8"/>
    <w:rsid w:val="00671233"/>
    <w:rsid w:val="00672106"/>
    <w:rsid w:val="0067337B"/>
    <w:rsid w:val="00676A92"/>
    <w:rsid w:val="00676FFB"/>
    <w:rsid w:val="00683732"/>
    <w:rsid w:val="00685745"/>
    <w:rsid w:val="006A61D6"/>
    <w:rsid w:val="006C5160"/>
    <w:rsid w:val="006D70A5"/>
    <w:rsid w:val="006E4897"/>
    <w:rsid w:val="006E7004"/>
    <w:rsid w:val="006F26B8"/>
    <w:rsid w:val="006F3CE0"/>
    <w:rsid w:val="007031A7"/>
    <w:rsid w:val="007100F1"/>
    <w:rsid w:val="0071355A"/>
    <w:rsid w:val="00720E77"/>
    <w:rsid w:val="0072283F"/>
    <w:rsid w:val="00722D2C"/>
    <w:rsid w:val="007322E9"/>
    <w:rsid w:val="007328FB"/>
    <w:rsid w:val="00734480"/>
    <w:rsid w:val="00737353"/>
    <w:rsid w:val="00743B0E"/>
    <w:rsid w:val="00747C75"/>
    <w:rsid w:val="007543EA"/>
    <w:rsid w:val="0077622F"/>
    <w:rsid w:val="00783B8A"/>
    <w:rsid w:val="00783BFE"/>
    <w:rsid w:val="0078472C"/>
    <w:rsid w:val="00785AE8"/>
    <w:rsid w:val="00794033"/>
    <w:rsid w:val="007A429F"/>
    <w:rsid w:val="007B63EE"/>
    <w:rsid w:val="007C6849"/>
    <w:rsid w:val="007C7BBF"/>
    <w:rsid w:val="007D6D88"/>
    <w:rsid w:val="007E279E"/>
    <w:rsid w:val="007F30B3"/>
    <w:rsid w:val="007F718E"/>
    <w:rsid w:val="00800E0C"/>
    <w:rsid w:val="008036F2"/>
    <w:rsid w:val="00811F84"/>
    <w:rsid w:val="008222F1"/>
    <w:rsid w:val="0082466E"/>
    <w:rsid w:val="00836099"/>
    <w:rsid w:val="00843B77"/>
    <w:rsid w:val="00845427"/>
    <w:rsid w:val="00847908"/>
    <w:rsid w:val="008508E8"/>
    <w:rsid w:val="00866881"/>
    <w:rsid w:val="00874110"/>
    <w:rsid w:val="00877CD4"/>
    <w:rsid w:val="00885EFC"/>
    <w:rsid w:val="008913E3"/>
    <w:rsid w:val="008B6B4A"/>
    <w:rsid w:val="008B6EFB"/>
    <w:rsid w:val="008C393E"/>
    <w:rsid w:val="008D1C8C"/>
    <w:rsid w:val="008D77FE"/>
    <w:rsid w:val="008F136A"/>
    <w:rsid w:val="008F5D93"/>
    <w:rsid w:val="008F7C02"/>
    <w:rsid w:val="00904C60"/>
    <w:rsid w:val="009060C9"/>
    <w:rsid w:val="00926C24"/>
    <w:rsid w:val="009436CE"/>
    <w:rsid w:val="00943853"/>
    <w:rsid w:val="00946507"/>
    <w:rsid w:val="00960F94"/>
    <w:rsid w:val="009866BB"/>
    <w:rsid w:val="009A3FE6"/>
    <w:rsid w:val="009B2B88"/>
    <w:rsid w:val="009D1EA9"/>
    <w:rsid w:val="009D5B92"/>
    <w:rsid w:val="009E19AC"/>
    <w:rsid w:val="009E7481"/>
    <w:rsid w:val="009F0BD1"/>
    <w:rsid w:val="00A04369"/>
    <w:rsid w:val="00A04440"/>
    <w:rsid w:val="00A10131"/>
    <w:rsid w:val="00A14A58"/>
    <w:rsid w:val="00A17128"/>
    <w:rsid w:val="00A20621"/>
    <w:rsid w:val="00A250CA"/>
    <w:rsid w:val="00A27B78"/>
    <w:rsid w:val="00A32917"/>
    <w:rsid w:val="00A43284"/>
    <w:rsid w:val="00A46356"/>
    <w:rsid w:val="00A501F5"/>
    <w:rsid w:val="00A52F58"/>
    <w:rsid w:val="00A55820"/>
    <w:rsid w:val="00A6359A"/>
    <w:rsid w:val="00A65490"/>
    <w:rsid w:val="00A67B8B"/>
    <w:rsid w:val="00A74A02"/>
    <w:rsid w:val="00A77A48"/>
    <w:rsid w:val="00A8398C"/>
    <w:rsid w:val="00A87FD4"/>
    <w:rsid w:val="00AB3F98"/>
    <w:rsid w:val="00AC7565"/>
    <w:rsid w:val="00AD177D"/>
    <w:rsid w:val="00B20913"/>
    <w:rsid w:val="00B343E8"/>
    <w:rsid w:val="00B42C5D"/>
    <w:rsid w:val="00B64FF2"/>
    <w:rsid w:val="00B7568E"/>
    <w:rsid w:val="00BA579B"/>
    <w:rsid w:val="00BB12E0"/>
    <w:rsid w:val="00BC2A7F"/>
    <w:rsid w:val="00BC7BE1"/>
    <w:rsid w:val="00BD7CE7"/>
    <w:rsid w:val="00BE7FEE"/>
    <w:rsid w:val="00C03C20"/>
    <w:rsid w:val="00C21849"/>
    <w:rsid w:val="00C2501C"/>
    <w:rsid w:val="00C26B9A"/>
    <w:rsid w:val="00C349AE"/>
    <w:rsid w:val="00C721AB"/>
    <w:rsid w:val="00C75D60"/>
    <w:rsid w:val="00CA6398"/>
    <w:rsid w:val="00CC0931"/>
    <w:rsid w:val="00CC1223"/>
    <w:rsid w:val="00CC451B"/>
    <w:rsid w:val="00CC4C77"/>
    <w:rsid w:val="00D04091"/>
    <w:rsid w:val="00D1104A"/>
    <w:rsid w:val="00D12DAC"/>
    <w:rsid w:val="00D20C18"/>
    <w:rsid w:val="00D260FD"/>
    <w:rsid w:val="00D3387B"/>
    <w:rsid w:val="00D34541"/>
    <w:rsid w:val="00D5397F"/>
    <w:rsid w:val="00D540A9"/>
    <w:rsid w:val="00D5489B"/>
    <w:rsid w:val="00DB0167"/>
    <w:rsid w:val="00DB388D"/>
    <w:rsid w:val="00DC2D58"/>
    <w:rsid w:val="00DC3920"/>
    <w:rsid w:val="00DC4B1E"/>
    <w:rsid w:val="00DC4EA2"/>
    <w:rsid w:val="00DD0A80"/>
    <w:rsid w:val="00DD721D"/>
    <w:rsid w:val="00DE4E47"/>
    <w:rsid w:val="00DF19D6"/>
    <w:rsid w:val="00E0637A"/>
    <w:rsid w:val="00E24C4F"/>
    <w:rsid w:val="00E25D44"/>
    <w:rsid w:val="00E3299B"/>
    <w:rsid w:val="00E34F05"/>
    <w:rsid w:val="00E74019"/>
    <w:rsid w:val="00E754D6"/>
    <w:rsid w:val="00E81163"/>
    <w:rsid w:val="00E974D8"/>
    <w:rsid w:val="00EA733C"/>
    <w:rsid w:val="00EB544F"/>
    <w:rsid w:val="00EC3463"/>
    <w:rsid w:val="00EC76AE"/>
    <w:rsid w:val="00ED4F37"/>
    <w:rsid w:val="00EE6B99"/>
    <w:rsid w:val="00EF5E73"/>
    <w:rsid w:val="00F20677"/>
    <w:rsid w:val="00F322C9"/>
    <w:rsid w:val="00F33A9D"/>
    <w:rsid w:val="00F4459C"/>
    <w:rsid w:val="00F500C7"/>
    <w:rsid w:val="00F60995"/>
    <w:rsid w:val="00F7477C"/>
    <w:rsid w:val="00F81C83"/>
    <w:rsid w:val="00FA5809"/>
    <w:rsid w:val="00FD5CCB"/>
    <w:rsid w:val="00FE7284"/>
    <w:rsid w:val="00FF3903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D52AD"/>
  <w15:docId w15:val="{44643143-7AB1-5D43-94D6-24B07D8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99"/>
  </w:style>
  <w:style w:type="paragraph" w:styleId="Footer">
    <w:name w:val="footer"/>
    <w:basedOn w:val="Normal"/>
    <w:link w:val="FooterChar"/>
    <w:uiPriority w:val="99"/>
    <w:unhideWhenUsed/>
    <w:rsid w:val="00EE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99"/>
  </w:style>
  <w:style w:type="paragraph" w:styleId="ListParagraph">
    <w:name w:val="List Paragraph"/>
    <w:basedOn w:val="Normal"/>
    <w:uiPriority w:val="34"/>
    <w:qFormat/>
    <w:rsid w:val="00270EA5"/>
    <w:pPr>
      <w:spacing w:after="200" w:line="27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70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E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0E77"/>
    <w:rPr>
      <w:b/>
      <w:bCs/>
    </w:rPr>
  </w:style>
  <w:style w:type="character" w:styleId="Hyperlink">
    <w:name w:val="Hyperlink"/>
    <w:basedOn w:val="DefaultParagraphFont"/>
    <w:uiPriority w:val="99"/>
    <w:unhideWhenUsed/>
    <w:rsid w:val="00D1104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721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alrisks.danube-region.eu/&#537;i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A1E2-E810-43EC-A2F0-0908D28F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Harceag</dc:creator>
  <cp:keywords/>
  <dc:description/>
  <cp:lastModifiedBy>Carmen Dobre</cp:lastModifiedBy>
  <cp:revision>5</cp:revision>
  <cp:lastPrinted>2021-12-15T09:57:00Z</cp:lastPrinted>
  <dcterms:created xsi:type="dcterms:W3CDTF">2022-06-24T09:58:00Z</dcterms:created>
  <dcterms:modified xsi:type="dcterms:W3CDTF">2022-06-24T10:22:00Z</dcterms:modified>
</cp:coreProperties>
</file>